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BAACD95" w:rsidP="232ECA4E" w:rsidRDefault="232ECA4E" w14:paraId="163363E6" w14:textId="54BF5B4B">
      <w:pPr>
        <w:jc w:val="center"/>
      </w:pPr>
      <w:r w:rsidRPr="232ECA4E">
        <w:rPr>
          <w:rFonts w:ascii="Georgia" w:hAnsi="Georgia" w:eastAsia="Georgia" w:cs="Georgia"/>
          <w:color w:val="000000" w:themeColor="text1"/>
          <w:sz w:val="21"/>
          <w:szCs w:val="21"/>
        </w:rPr>
        <w:t xml:space="preserve"> </w:t>
      </w:r>
    </w:p>
    <w:p w:rsidR="0BAACD95" w:rsidP="0BAACD95" w:rsidRDefault="0BAACD95" w14:paraId="33737F27" w14:textId="62F4B4E5">
      <w:pPr>
        <w:jc w:val="center"/>
      </w:pPr>
      <w:r w:rsidRPr="0BAACD95">
        <w:rPr>
          <w:rFonts w:ascii="Arial" w:hAnsi="Arial" w:eastAsia="Arial" w:cs="Arial"/>
          <w:b/>
          <w:bCs/>
          <w:color w:val="000000" w:themeColor="text1"/>
          <w:sz w:val="28"/>
          <w:szCs w:val="28"/>
        </w:rPr>
        <w:t xml:space="preserve">Postgraduate/Distance Learning </w:t>
      </w:r>
    </w:p>
    <w:p w:rsidR="0BAACD95" w:rsidP="0BAACD95" w:rsidRDefault="0BAACD95" w14:paraId="6FEA328A" w14:textId="38EC868F">
      <w:pPr>
        <w:jc w:val="center"/>
      </w:pPr>
      <w:r w:rsidRPr="0BAACD95">
        <w:rPr>
          <w:rFonts w:ascii="Arial" w:hAnsi="Arial" w:eastAsia="Arial" w:cs="Arial"/>
          <w:b/>
          <w:bCs/>
          <w:color w:val="000000" w:themeColor="text1"/>
          <w:sz w:val="28"/>
          <w:szCs w:val="28"/>
        </w:rPr>
        <w:t>Assignment coversheet &amp; feedback form</w:t>
      </w:r>
    </w:p>
    <w:p w:rsidR="0BAACD95" w:rsidP="0BAACD95" w:rsidRDefault="0BAACD95" w14:paraId="7FA24D96" w14:textId="3B7F182B">
      <w:pPr>
        <w:jc w:val="center"/>
      </w:pPr>
      <w:r w:rsidRPr="0BAACD95">
        <w:rPr>
          <w:rFonts w:ascii="Arial" w:hAnsi="Arial" w:eastAsia="Arial" w:cs="Arial"/>
          <w:color w:val="000000" w:themeColor="text1"/>
          <w:sz w:val="28"/>
          <w:szCs w:val="28"/>
        </w:rPr>
        <w:t xml:space="preserve"> </w:t>
      </w:r>
    </w:p>
    <w:p w:rsidR="0BAACD95" w:rsidP="0BAACD95" w:rsidRDefault="1A480A0D" w14:paraId="7BEE5BA6" w14:textId="7FAAB2B1">
      <w:pPr>
        <w:pStyle w:val="Heading3"/>
      </w:pPr>
      <w:r w:rsidRPr="1A480A0D">
        <w:rPr>
          <w:rFonts w:ascii="Tahoma" w:hAnsi="Tahoma" w:eastAsia="Tahoma" w:cs="Tahoma"/>
          <w:b/>
          <w:bCs/>
          <w:sz w:val="20"/>
          <w:szCs w:val="20"/>
        </w:rPr>
        <w:t xml:space="preserve">THIS SHEET MUST BE THE FIRST PAGE OF THE ASSIGNMENT YOU ARE </w:t>
      </w:r>
      <w:proofErr w:type="gramStart"/>
      <w:r w:rsidRPr="1A480A0D">
        <w:rPr>
          <w:rFonts w:ascii="Tahoma" w:hAnsi="Tahoma" w:eastAsia="Tahoma" w:cs="Tahoma"/>
          <w:b/>
          <w:bCs/>
          <w:sz w:val="20"/>
          <w:szCs w:val="20"/>
        </w:rPr>
        <w:t>SUBMITTING  (</w:t>
      </w:r>
      <w:proofErr w:type="gramEnd"/>
      <w:r w:rsidRPr="1A480A0D">
        <w:rPr>
          <w:rFonts w:ascii="Tahoma" w:hAnsi="Tahoma" w:eastAsia="Tahoma" w:cs="Tahoma"/>
          <w:b/>
          <w:bCs/>
          <w:sz w:val="20"/>
          <w:szCs w:val="20"/>
        </w:rPr>
        <w:t>DO NOT SEND AS A SEPARATE FILE)</w:t>
      </w:r>
    </w:p>
    <w:p w:rsidR="0BAACD95" w:rsidP="0BAACD95" w:rsidRDefault="0BAACD95" w14:paraId="0912F223" w14:textId="09A0E575">
      <w:pPr>
        <w:pStyle w:val="Heading3"/>
      </w:pPr>
      <w:r w:rsidRPr="0BAACD95">
        <w:rPr>
          <w:rFonts w:ascii="Trebuchet MS" w:hAnsi="Trebuchet MS" w:eastAsia="Trebuchet MS" w:cs="Trebuchet MS"/>
          <w:b/>
          <w:bCs/>
          <w:sz w:val="20"/>
          <w:szCs w:val="20"/>
        </w:rPr>
        <w:t xml:space="preserve"> </w:t>
      </w:r>
    </w:p>
    <w:tbl>
      <w:tblPr>
        <w:tblW w:w="0" w:type="auto"/>
        <w:tblLayout w:type="fixed"/>
        <w:tblLook w:val="04A0" w:firstRow="1" w:lastRow="0" w:firstColumn="1" w:lastColumn="0" w:noHBand="0" w:noVBand="1"/>
      </w:tblPr>
      <w:tblGrid>
        <w:gridCol w:w="3135"/>
        <w:gridCol w:w="420"/>
        <w:gridCol w:w="1200"/>
        <w:gridCol w:w="285"/>
        <w:gridCol w:w="1725"/>
      </w:tblGrid>
      <w:tr w:rsidR="0BAACD95" w:rsidTr="1A480A0D" w14:paraId="4E9367A9" w14:textId="77777777">
        <w:trPr>
          <w:trHeight w:val="615"/>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0BAACD95" w:rsidRDefault="0BAACD95" w14:paraId="21BC3625" w14:textId="53BD10EA">
            <w:r w:rsidRPr="0BAACD95">
              <w:rPr>
                <w:rFonts w:ascii="Arial" w:hAnsi="Arial" w:eastAsia="Arial" w:cs="Arial"/>
                <w:b/>
                <w:bCs/>
                <w:color w:val="000000" w:themeColor="text1"/>
              </w:rPr>
              <w:t>For completion by the student</w:t>
            </w:r>
            <w:r w:rsidRPr="0BAACD95">
              <w:rPr>
                <w:rFonts w:ascii="Arial" w:hAnsi="Arial" w:eastAsia="Arial" w:cs="Arial"/>
                <w:color w:val="000000" w:themeColor="text1"/>
              </w:rPr>
              <w:t>:</w:t>
            </w:r>
          </w:p>
        </w:tc>
      </w:tr>
      <w:tr w:rsidR="0BAACD95" w:rsidTr="1A480A0D" w14:paraId="44B2DE27" w14:textId="77777777">
        <w:trPr>
          <w:trHeight w:val="720"/>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0BAACD95" w:rsidRDefault="0BAACD95" w14:paraId="34BF42FC" w14:textId="45D32860">
            <w:r w:rsidRPr="0BAACD95">
              <w:rPr>
                <w:rFonts w:ascii="Arial" w:hAnsi="Arial" w:eastAsia="Arial" w:cs="Arial"/>
                <w:color w:val="000000" w:themeColor="text1"/>
              </w:rPr>
              <w:t>Student Name:</w:t>
            </w:r>
          </w:p>
          <w:p w:rsidR="0BAACD95" w:rsidRDefault="0BAACD95" w14:paraId="59A3C6DF" w14:textId="6211426D">
            <w:r w:rsidRPr="0BAACD95">
              <w:rPr>
                <w:rFonts w:ascii="Arial" w:hAnsi="Arial" w:eastAsia="Arial" w:cs="Arial"/>
                <w:color w:val="000000" w:themeColor="text1"/>
              </w:rPr>
              <w:t xml:space="preserve"> Leon Hicks</w:t>
            </w:r>
          </w:p>
        </w:tc>
      </w:tr>
      <w:tr w:rsidR="0BAACD95" w:rsidTr="1A480A0D" w14:paraId="69128DCE" w14:textId="77777777">
        <w:trPr>
          <w:trHeight w:val="855"/>
        </w:trPr>
        <w:tc>
          <w:tcPr>
            <w:tcW w:w="313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0BAACD95" w:rsidRDefault="0BAACD95" w14:paraId="02C734F1" w14:textId="179AE8D5">
            <w:r w:rsidRPr="0BAACD95">
              <w:rPr>
                <w:rFonts w:ascii="Arial" w:hAnsi="Arial" w:eastAsia="Arial" w:cs="Arial"/>
                <w:color w:val="000000" w:themeColor="text1"/>
              </w:rPr>
              <w:t>Module code: HPCA 7018</w:t>
            </w:r>
          </w:p>
          <w:p w:rsidR="0BAACD95" w:rsidRDefault="0BAACD95" w14:paraId="521E9E40" w14:textId="1B24C479">
            <w:r w:rsidRPr="0BAACD95">
              <w:rPr>
                <w:rFonts w:ascii="Arial" w:hAnsi="Arial" w:eastAsia="Arial" w:cs="Arial"/>
                <w:color w:val="000000" w:themeColor="text1"/>
              </w:rPr>
              <w:t xml:space="preserve"> </w:t>
            </w:r>
          </w:p>
          <w:p w:rsidR="0BAACD95" w:rsidRDefault="086C046A" w14:paraId="1307A59F" w14:textId="78F89291">
            <w:r w:rsidRPr="086C046A">
              <w:rPr>
                <w:rFonts w:ascii="Arial" w:hAnsi="Arial" w:eastAsia="Arial" w:cs="Arial"/>
                <w:color w:val="000000" w:themeColor="text1"/>
              </w:rPr>
              <w:t>Module title: Sky and Psyche</w:t>
            </w:r>
          </w:p>
          <w:p w:rsidR="0BAACD95" w:rsidRDefault="0BAACD95" w14:paraId="0BBFD2B7" w14:textId="113B7C57">
            <w:r w:rsidRPr="0BAACD95">
              <w:rPr>
                <w:rFonts w:ascii="Arial" w:hAnsi="Arial" w:eastAsia="Arial" w:cs="Arial"/>
                <w:color w:val="000000" w:themeColor="text1"/>
              </w:rPr>
              <w:t xml:space="preserve"> </w:t>
            </w:r>
          </w:p>
          <w:p w:rsidR="0BAACD95" w:rsidRDefault="0BAACD95" w14:paraId="4853C978" w14:textId="325D25E8">
            <w:r w:rsidRPr="0BAACD95">
              <w:rPr>
                <w:rFonts w:ascii="Arial" w:hAnsi="Arial" w:eastAsia="Arial" w:cs="Arial"/>
                <w:color w:val="000000" w:themeColor="text1"/>
              </w:rPr>
              <w:t xml:space="preserve"> </w:t>
            </w:r>
          </w:p>
        </w:tc>
        <w:tc>
          <w:tcPr>
            <w:tcW w:w="1905" w:type="dxa"/>
            <w:gridSpan w:val="3"/>
            <w:tcBorders>
              <w:top w:val="nil"/>
              <w:left w:val="single" w:color="000000" w:themeColor="text1" w:sz="8" w:space="0"/>
              <w:bottom w:val="single" w:color="000000" w:themeColor="text1" w:sz="8" w:space="0"/>
              <w:right w:val="single" w:color="000000" w:themeColor="text1" w:sz="8" w:space="0"/>
            </w:tcBorders>
          </w:tcPr>
          <w:p w:rsidR="0BAACD95" w:rsidRDefault="0BAACD95" w14:paraId="6F41AC14" w14:textId="1A05C54A">
            <w:r w:rsidRPr="0BAACD95">
              <w:rPr>
                <w:rFonts w:ascii="Arial" w:hAnsi="Arial" w:eastAsia="Arial" w:cs="Arial"/>
                <w:color w:val="000000" w:themeColor="text1"/>
              </w:rPr>
              <w:t>Student ID number:</w:t>
            </w:r>
          </w:p>
          <w:p w:rsidR="0BAACD95" w:rsidP="0BAACD95" w:rsidRDefault="0BAACD95" w14:paraId="328F2881" w14:textId="378FD279">
            <w:pPr>
              <w:rPr>
                <w:rFonts w:ascii="Arial" w:hAnsi="Arial" w:eastAsia="Arial" w:cs="Arial"/>
                <w:color w:val="000000" w:themeColor="text1"/>
              </w:rPr>
            </w:pPr>
            <w:r w:rsidRPr="0BAACD95">
              <w:rPr>
                <w:rFonts w:ascii="Arial" w:hAnsi="Arial" w:eastAsia="Arial" w:cs="Arial"/>
                <w:color w:val="000000" w:themeColor="text1"/>
              </w:rPr>
              <w:t>2022572</w:t>
            </w:r>
          </w:p>
        </w:tc>
        <w:tc>
          <w:tcPr>
            <w:tcW w:w="1725" w:type="dxa"/>
            <w:tcBorders>
              <w:top w:val="nil"/>
              <w:left w:val="nil"/>
              <w:bottom w:val="single" w:color="000000" w:themeColor="text1" w:sz="8" w:space="0"/>
              <w:right w:val="single" w:color="000000" w:themeColor="text1" w:sz="8" w:space="0"/>
            </w:tcBorders>
          </w:tcPr>
          <w:p w:rsidR="0BAACD95" w:rsidRDefault="0BAACD95" w14:paraId="7A1B3146" w14:textId="141F8701">
            <w:r w:rsidRPr="0BAACD95">
              <w:rPr>
                <w:rFonts w:ascii="Arial" w:hAnsi="Arial" w:eastAsia="Arial" w:cs="Arial"/>
                <w:color w:val="000000" w:themeColor="text1"/>
              </w:rPr>
              <w:t>Educational support needs:</w:t>
            </w:r>
          </w:p>
          <w:p w:rsidR="0BAACD95" w:rsidRDefault="0BAACD95" w14:paraId="53767585" w14:textId="3A526D71">
            <w:r w:rsidRPr="0BAACD95">
              <w:rPr>
                <w:rFonts w:ascii="Arial" w:hAnsi="Arial" w:eastAsia="Arial" w:cs="Arial"/>
                <w:color w:val="000000" w:themeColor="text1"/>
              </w:rPr>
              <w:t>Yes/No</w:t>
            </w:r>
          </w:p>
        </w:tc>
      </w:tr>
      <w:tr w:rsidR="0BAACD95" w:rsidTr="1A480A0D" w14:paraId="48997DCA" w14:textId="77777777">
        <w:trPr>
          <w:trHeight w:val="1140"/>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0BAACD95" w:rsidRDefault="0BAACD95" w14:paraId="783F508F" w14:textId="7914BC8C">
            <w:r w:rsidRPr="0BAACD95">
              <w:rPr>
                <w:rFonts w:ascii="Arial" w:hAnsi="Arial" w:eastAsia="Arial" w:cs="Arial"/>
                <w:color w:val="000000" w:themeColor="text1"/>
              </w:rPr>
              <w:t>Module tutor:</w:t>
            </w:r>
          </w:p>
          <w:p w:rsidR="0BAACD95" w:rsidRDefault="0BAACD95" w14:paraId="65B06113" w14:textId="2CDA8130">
            <w:r w:rsidRPr="0BAACD95">
              <w:rPr>
                <w:rFonts w:ascii="Arial" w:hAnsi="Arial" w:eastAsia="Arial" w:cs="Arial"/>
                <w:color w:val="000000" w:themeColor="text1"/>
              </w:rPr>
              <w:t xml:space="preserve"> Dr. Frances </w:t>
            </w:r>
            <w:proofErr w:type="spellStart"/>
            <w:r w:rsidRPr="0BAACD95">
              <w:rPr>
                <w:rFonts w:ascii="Arial" w:hAnsi="Arial" w:eastAsia="Arial" w:cs="Arial"/>
                <w:color w:val="000000" w:themeColor="text1"/>
              </w:rPr>
              <w:t>Clynes</w:t>
            </w:r>
            <w:proofErr w:type="spellEnd"/>
          </w:p>
          <w:p w:rsidR="0BAACD95" w:rsidRDefault="0BAACD95" w14:paraId="2B3C9002" w14:textId="6D1BC050">
            <w:r w:rsidRPr="0BAACD95">
              <w:rPr>
                <w:rFonts w:ascii="Arial" w:hAnsi="Arial" w:eastAsia="Arial" w:cs="Arial"/>
                <w:color w:val="000000" w:themeColor="text1"/>
              </w:rPr>
              <w:t xml:space="preserve"> </w:t>
            </w:r>
          </w:p>
          <w:p w:rsidR="0BAACD95" w:rsidRDefault="0BAACD95" w14:paraId="4B6B3F77" w14:textId="30BFB08D">
            <w:r w:rsidRPr="0BAACD95">
              <w:rPr>
                <w:rFonts w:ascii="Arial" w:hAnsi="Arial" w:eastAsia="Arial" w:cs="Arial"/>
                <w:color w:val="000000" w:themeColor="text1"/>
              </w:rPr>
              <w:t>Assignment due date: 29</w:t>
            </w:r>
            <w:r w:rsidRPr="0BAACD95">
              <w:rPr>
                <w:rFonts w:ascii="Arial" w:hAnsi="Arial" w:eastAsia="Arial" w:cs="Arial"/>
                <w:color w:val="000000" w:themeColor="text1"/>
                <w:vertAlign w:val="superscript"/>
              </w:rPr>
              <w:t>th</w:t>
            </w:r>
            <w:r w:rsidRPr="0BAACD95">
              <w:rPr>
                <w:rFonts w:ascii="Arial" w:hAnsi="Arial" w:eastAsia="Arial" w:cs="Arial"/>
                <w:color w:val="000000" w:themeColor="text1"/>
              </w:rPr>
              <w:t xml:space="preserve"> November</w:t>
            </w:r>
          </w:p>
        </w:tc>
      </w:tr>
      <w:tr w:rsidR="0BAACD95" w:rsidTr="1A480A0D" w14:paraId="31BA7A20" w14:textId="77777777">
        <w:trPr>
          <w:trHeight w:val="975"/>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0BAACD95" w:rsidRDefault="1A480A0D" w14:paraId="6E02C8E5" w14:textId="13EE2BDB">
            <w:r w:rsidRPr="1A480A0D">
              <w:rPr>
                <w:rFonts w:ascii="Arial" w:hAnsi="Arial" w:eastAsia="Arial" w:cs="Arial"/>
                <w:color w:val="000000" w:themeColor="text1"/>
              </w:rPr>
              <w:t>If your module has multiple submissions please indicate which piece of work this is.</w:t>
            </w:r>
          </w:p>
          <w:p w:rsidR="0BAACD95" w:rsidRDefault="0BAACD95" w14:paraId="03E2DC50" w14:textId="2861732D">
            <w:r w:rsidRPr="0BAACD95">
              <w:rPr>
                <w:rFonts w:ascii="Arial" w:hAnsi="Arial" w:eastAsia="Arial" w:cs="Arial"/>
                <w:color w:val="000000" w:themeColor="text1"/>
              </w:rPr>
              <w:t xml:space="preserve"> </w:t>
            </w:r>
          </w:p>
          <w:p w:rsidR="0BAACD95" w:rsidRDefault="0BAACD95" w14:paraId="07DD8918" w14:textId="3F975B64">
            <w:r w:rsidRPr="0BAACD95">
              <w:rPr>
                <w:rFonts w:ascii="Arial" w:hAnsi="Arial" w:eastAsia="Arial" w:cs="Arial"/>
                <w:color w:val="FF0000"/>
              </w:rPr>
              <w:t>1</w:t>
            </w:r>
            <w:r w:rsidRPr="0BAACD95">
              <w:rPr>
                <w:rFonts w:ascii="Arial" w:hAnsi="Arial" w:eastAsia="Arial" w:cs="Arial"/>
                <w:color w:val="FF0000"/>
                <w:vertAlign w:val="superscript"/>
              </w:rPr>
              <w:t>st</w:t>
            </w:r>
            <w:r w:rsidRPr="0BAACD95">
              <w:rPr>
                <w:rFonts w:ascii="Arial" w:hAnsi="Arial" w:eastAsia="Arial" w:cs="Arial"/>
                <w:color w:val="000000" w:themeColor="text1"/>
                <w:vertAlign w:val="superscript"/>
              </w:rPr>
              <w:t xml:space="preserve"> </w:t>
            </w:r>
            <w:r w:rsidRPr="0BAACD95">
              <w:rPr>
                <w:rFonts w:ascii="Arial" w:hAnsi="Arial" w:eastAsia="Arial" w:cs="Arial"/>
                <w:color w:val="000000" w:themeColor="text1"/>
              </w:rPr>
              <w:t xml:space="preserve">    2</w:t>
            </w:r>
            <w:r w:rsidRPr="0BAACD95">
              <w:rPr>
                <w:rFonts w:ascii="Arial" w:hAnsi="Arial" w:eastAsia="Arial" w:cs="Arial"/>
                <w:color w:val="000000" w:themeColor="text1"/>
                <w:vertAlign w:val="superscript"/>
              </w:rPr>
              <w:t>nd</w:t>
            </w:r>
            <w:r w:rsidRPr="0BAACD95">
              <w:rPr>
                <w:rFonts w:ascii="Arial" w:hAnsi="Arial" w:eastAsia="Arial" w:cs="Arial"/>
                <w:color w:val="000000" w:themeColor="text1"/>
              </w:rPr>
              <w:t xml:space="preserve">       3</w:t>
            </w:r>
            <w:r w:rsidRPr="0BAACD95">
              <w:rPr>
                <w:rFonts w:ascii="Arial" w:hAnsi="Arial" w:eastAsia="Arial" w:cs="Arial"/>
                <w:color w:val="000000" w:themeColor="text1"/>
                <w:vertAlign w:val="superscript"/>
              </w:rPr>
              <w:t>rd</w:t>
            </w:r>
            <w:r w:rsidRPr="0BAACD95">
              <w:rPr>
                <w:rFonts w:ascii="Arial" w:hAnsi="Arial" w:eastAsia="Arial" w:cs="Arial"/>
                <w:color w:val="000000" w:themeColor="text1"/>
              </w:rPr>
              <w:t xml:space="preserve">        4</w:t>
            </w:r>
            <w:r w:rsidRPr="0BAACD95">
              <w:rPr>
                <w:rFonts w:ascii="Arial" w:hAnsi="Arial" w:eastAsia="Arial" w:cs="Arial"/>
                <w:color w:val="000000" w:themeColor="text1"/>
                <w:vertAlign w:val="superscript"/>
              </w:rPr>
              <w:t>th</w:t>
            </w:r>
            <w:r w:rsidRPr="0BAACD95">
              <w:rPr>
                <w:rFonts w:ascii="Arial" w:hAnsi="Arial" w:eastAsia="Arial" w:cs="Arial"/>
                <w:color w:val="000000" w:themeColor="text1"/>
              </w:rPr>
              <w:t xml:space="preserve">       5</w:t>
            </w:r>
            <w:r w:rsidRPr="0BAACD95">
              <w:rPr>
                <w:rFonts w:ascii="Arial" w:hAnsi="Arial" w:eastAsia="Arial" w:cs="Arial"/>
                <w:color w:val="000000" w:themeColor="text1"/>
                <w:vertAlign w:val="superscript"/>
              </w:rPr>
              <w:t>th</w:t>
            </w:r>
            <w:r w:rsidRPr="0BAACD95">
              <w:rPr>
                <w:rFonts w:ascii="Arial" w:hAnsi="Arial" w:eastAsia="Arial" w:cs="Arial"/>
                <w:color w:val="000000" w:themeColor="text1"/>
              </w:rPr>
              <w:t xml:space="preserve">       6</w:t>
            </w:r>
            <w:r w:rsidRPr="0BAACD95">
              <w:rPr>
                <w:rFonts w:ascii="Arial" w:hAnsi="Arial" w:eastAsia="Arial" w:cs="Arial"/>
                <w:color w:val="000000" w:themeColor="text1"/>
                <w:vertAlign w:val="superscript"/>
              </w:rPr>
              <w:t>th</w:t>
            </w:r>
            <w:r w:rsidRPr="0BAACD95">
              <w:rPr>
                <w:rFonts w:ascii="Arial" w:hAnsi="Arial" w:eastAsia="Arial" w:cs="Arial"/>
                <w:color w:val="000000" w:themeColor="text1"/>
              </w:rPr>
              <w:t xml:space="preserve"> </w:t>
            </w:r>
          </w:p>
        </w:tc>
      </w:tr>
      <w:tr w:rsidR="0BAACD95" w:rsidTr="1A480A0D" w14:paraId="11DA8BD2" w14:textId="77777777">
        <w:trPr>
          <w:trHeight w:val="975"/>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D9D9D9" w:themeFill="background1" w:themeFillShade="D9"/>
          </w:tcPr>
          <w:p w:rsidR="0BAACD95" w:rsidRDefault="0BAACD95" w14:paraId="5946D617" w14:textId="1859CE97">
            <w:r w:rsidRPr="0BAACD95">
              <w:rPr>
                <w:rFonts w:ascii="Arial" w:hAnsi="Arial" w:eastAsia="Arial" w:cs="Arial"/>
                <w:color w:val="000000" w:themeColor="text1"/>
              </w:rPr>
              <w:t>I confirm that this is my original work and that I have adhered to the University policy on plagiarism.</w:t>
            </w:r>
          </w:p>
          <w:p w:rsidR="0BAACD95" w:rsidRDefault="0BAACD95" w14:paraId="3CA67DCF" w14:textId="78C8485D">
            <w:r w:rsidRPr="0BAACD95">
              <w:rPr>
                <w:rFonts w:ascii="Arial" w:hAnsi="Arial" w:eastAsia="Arial" w:cs="Arial"/>
                <w:color w:val="000000" w:themeColor="text1"/>
              </w:rPr>
              <w:t>Signed …………………Leon Hicks…………………………………………</w:t>
            </w:r>
          </w:p>
          <w:p w:rsidR="0BAACD95" w:rsidRDefault="0BAACD95" w14:paraId="6D9D5F71" w14:textId="35967978">
            <w:r w:rsidRPr="0BAACD95">
              <w:rPr>
                <w:rFonts w:ascii="Calibri" w:hAnsi="Calibri" w:eastAsia="Calibri" w:cs="Calibri"/>
                <w:b/>
                <w:bCs/>
                <w:color w:val="000000" w:themeColor="text1"/>
                <w:sz w:val="24"/>
                <w:szCs w:val="24"/>
              </w:rPr>
              <w:t>Email submission: if you are submitting this form via email, please tick this bo</w:t>
            </w:r>
            <w:r w:rsidRPr="0BAACD95">
              <w:rPr>
                <w:rFonts w:ascii="Calibri" w:hAnsi="Calibri" w:eastAsia="Calibri" w:cs="Calibri"/>
                <w:b/>
                <w:bCs/>
                <w:sz w:val="24"/>
                <w:szCs w:val="24"/>
              </w:rPr>
              <w:t xml:space="preserve">x </w:t>
            </w:r>
            <w:r w:rsidRPr="0BAACD95">
              <w:rPr>
                <w:rFonts w:ascii="Calibri" w:hAnsi="Calibri" w:eastAsia="Calibri" w:cs="Calibri"/>
                <w:b/>
                <w:bCs/>
                <w:sz w:val="44"/>
                <w:szCs w:val="44"/>
              </w:rPr>
              <w:t>□</w:t>
            </w:r>
          </w:p>
          <w:p w:rsidR="0BAACD95" w:rsidRDefault="1A480A0D" w14:paraId="0FEFF70D" w14:textId="2EA572EE">
            <w:r w:rsidRPr="1A480A0D">
              <w:rPr>
                <w:rFonts w:ascii="Calibri" w:hAnsi="Calibri" w:eastAsia="Calibri" w:cs="Calibri"/>
                <w:b/>
                <w:bCs/>
                <w:color w:val="000000" w:themeColor="text1"/>
                <w:sz w:val="24"/>
                <w:szCs w:val="24"/>
              </w:rPr>
              <w:lastRenderedPageBreak/>
              <w:t>(as a substitute for your signature) to confirm that you agree to the above declaration.</w:t>
            </w:r>
          </w:p>
        </w:tc>
        <w:bookmarkStart w:name="_GoBack" w:id="0"/>
        <w:bookmarkEnd w:id="0"/>
      </w:tr>
      <w:tr w:rsidR="0BAACD95" w:rsidTr="1A480A0D" w14:paraId="67D6CB8F" w14:textId="77777777">
        <w:trPr>
          <w:trHeight w:val="3975"/>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0BAACD95" w:rsidRDefault="0BAACD95" w14:paraId="2660568B" w14:textId="24F7E92C">
            <w:r w:rsidRPr="0BAACD95">
              <w:rPr>
                <w:rFonts w:ascii="Arial" w:hAnsi="Arial" w:eastAsia="Arial" w:cs="Arial"/>
                <w:b/>
                <w:bCs/>
                <w:color w:val="000000" w:themeColor="text1"/>
                <w:sz w:val="21"/>
                <w:szCs w:val="21"/>
              </w:rPr>
              <w:lastRenderedPageBreak/>
              <w:t xml:space="preserve"> </w:t>
            </w:r>
          </w:p>
          <w:p w:rsidR="0BAACD95" w:rsidRDefault="0BAACD95" w14:paraId="0C43B9F6" w14:textId="4DF2E9A0">
            <w:r w:rsidRPr="0BAACD95">
              <w:rPr>
                <w:rFonts w:ascii="Arial" w:hAnsi="Arial" w:eastAsia="Arial" w:cs="Arial"/>
                <w:b/>
                <w:bCs/>
                <w:color w:val="000000" w:themeColor="text1"/>
                <w:sz w:val="21"/>
                <w:szCs w:val="21"/>
              </w:rPr>
              <w:t>Assignment Mark</w:t>
            </w:r>
          </w:p>
          <w:tbl>
            <w:tblPr>
              <w:tblW w:w="0" w:type="auto"/>
              <w:tblLayout w:type="fixed"/>
              <w:tblLook w:val="01E0" w:firstRow="1" w:lastRow="1" w:firstColumn="1" w:lastColumn="1" w:noHBand="0" w:noVBand="0"/>
            </w:tblPr>
            <w:tblGrid>
              <w:gridCol w:w="5364"/>
              <w:gridCol w:w="1281"/>
            </w:tblGrid>
            <w:tr w:rsidR="0BAACD95" w:rsidTr="0BAACD95" w14:paraId="7D4E969B" w14:textId="77777777">
              <w:tc>
                <w:tcPr>
                  <w:tcW w:w="5364" w:type="dxa"/>
                  <w:tcBorders>
                    <w:top w:val="single" w:color="auto" w:sz="8" w:space="0"/>
                    <w:left w:val="single" w:color="auto" w:sz="8" w:space="0"/>
                    <w:bottom w:val="single" w:color="auto" w:sz="8" w:space="0"/>
                    <w:right w:val="single" w:color="auto" w:sz="8" w:space="0"/>
                  </w:tcBorders>
                </w:tcPr>
                <w:p w:rsidR="0BAACD95" w:rsidRDefault="0BAACD95" w14:paraId="110F1BA0" w14:textId="6F1438C7">
                  <w:r w:rsidRPr="0BAACD95">
                    <w:rPr>
                      <w:rFonts w:ascii="Arial" w:hAnsi="Arial" w:eastAsia="Arial" w:cs="Arial"/>
                      <w:color w:val="000000" w:themeColor="text1"/>
                      <w:sz w:val="20"/>
                      <w:szCs w:val="20"/>
                    </w:rPr>
                    <w:t xml:space="preserve"> </w:t>
                  </w:r>
                </w:p>
                <w:p w:rsidR="0BAACD95" w:rsidRDefault="0BAACD95" w14:paraId="236BC9FC" w14:textId="177401F5">
                  <w:r w:rsidRPr="0BAACD95">
                    <w:rPr>
                      <w:rFonts w:ascii="Arial" w:hAnsi="Arial" w:eastAsia="Arial" w:cs="Arial"/>
                      <w:b/>
                      <w:bCs/>
                      <w:color w:val="000000" w:themeColor="text1"/>
                      <w:sz w:val="20"/>
                      <w:szCs w:val="20"/>
                    </w:rPr>
                    <w:t>Final Mark</w:t>
                  </w:r>
                </w:p>
                <w:p w:rsidR="0BAACD95" w:rsidRDefault="0BAACD95" w14:paraId="1DEB9BAD" w14:textId="2CDA449C">
                  <w:r w:rsidRPr="0BAACD95">
                    <w:rPr>
                      <w:rFonts w:ascii="Arial" w:hAnsi="Arial" w:eastAsia="Arial" w:cs="Arial"/>
                      <w:color w:val="000000" w:themeColor="text1"/>
                      <w:sz w:val="20"/>
                      <w:szCs w:val="20"/>
                    </w:rPr>
                    <w:t xml:space="preserve"> </w:t>
                  </w:r>
                </w:p>
              </w:tc>
              <w:tc>
                <w:tcPr>
                  <w:tcW w:w="1281" w:type="dxa"/>
                  <w:tcBorders>
                    <w:top w:val="single" w:color="auto" w:sz="8" w:space="0"/>
                    <w:left w:val="single" w:color="auto" w:sz="8" w:space="0"/>
                    <w:bottom w:val="single" w:color="auto" w:sz="8" w:space="0"/>
                    <w:right w:val="single" w:color="auto" w:sz="8" w:space="0"/>
                  </w:tcBorders>
                </w:tcPr>
                <w:p w:rsidR="0BAACD95" w:rsidRDefault="0BAACD95" w14:paraId="2C9E6995" w14:textId="4D5D3178">
                  <w:r w:rsidRPr="0BAACD95">
                    <w:rPr>
                      <w:rFonts w:ascii="Arial" w:hAnsi="Arial" w:eastAsia="Arial" w:cs="Arial"/>
                      <w:color w:val="000000" w:themeColor="text1"/>
                      <w:sz w:val="20"/>
                      <w:szCs w:val="20"/>
                    </w:rPr>
                    <w:t>WILL BE GIVEN ON TURNITIN</w:t>
                  </w:r>
                </w:p>
              </w:tc>
            </w:tr>
          </w:tbl>
          <w:p w:rsidR="0BAACD95" w:rsidRDefault="0BAACD95" w14:paraId="391689B0" w14:textId="6478E101">
            <w:r w:rsidRPr="0BAACD95">
              <w:rPr>
                <w:rFonts w:ascii="Arial" w:hAnsi="Arial" w:eastAsia="Arial" w:cs="Arial"/>
                <w:b/>
                <w:bCs/>
                <w:color w:val="000000" w:themeColor="text1"/>
              </w:rPr>
              <w:t xml:space="preserve"> </w:t>
            </w:r>
          </w:p>
          <w:p w:rsidR="0BAACD95" w:rsidRDefault="0BAACD95" w14:paraId="325E248F" w14:textId="12FFC7C5">
            <w:r w:rsidRPr="0BAACD95">
              <w:rPr>
                <w:rFonts w:ascii="Arial" w:hAnsi="Arial" w:eastAsia="Arial" w:cs="Arial"/>
                <w:b/>
                <w:bCs/>
                <w:color w:val="000000" w:themeColor="text1"/>
              </w:rPr>
              <w:t>NB.</w:t>
            </w:r>
            <w:r w:rsidRPr="0BAACD95">
              <w:rPr>
                <w:rFonts w:ascii="Arial" w:hAnsi="Arial" w:eastAsia="Arial" w:cs="Arial"/>
                <w:color w:val="000000" w:themeColor="text1"/>
              </w:rPr>
              <w:t xml:space="preserve">  All marks are provisional until confirmed by the Final Examination Board.</w:t>
            </w:r>
          </w:p>
          <w:p w:rsidR="0BAACD95" w:rsidRDefault="0BAACD95" w14:paraId="0BD3F982" w14:textId="7921CAE6">
            <w:r w:rsidRPr="0BAACD95">
              <w:rPr>
                <w:rFonts w:ascii="Arial" w:hAnsi="Arial" w:eastAsia="Arial" w:cs="Arial"/>
                <w:b/>
                <w:bCs/>
                <w:color w:val="000000" w:themeColor="text1"/>
              </w:rPr>
              <w:t xml:space="preserve"> </w:t>
            </w:r>
          </w:p>
          <w:p w:rsidR="0BAACD95" w:rsidRDefault="0BAACD95" w14:paraId="447F768A" w14:textId="0AB88CFD">
            <w:r w:rsidRPr="0BAACD95">
              <w:rPr>
                <w:rFonts w:ascii="Arial" w:hAnsi="Arial" w:eastAsia="Arial" w:cs="Arial"/>
                <w:b/>
                <w:bCs/>
                <w:color w:val="000000" w:themeColor="text1"/>
              </w:rPr>
              <w:t>PLEASE NOTE: ALL COMMENTS WIL BE POSTED ON TURNITIN</w:t>
            </w:r>
          </w:p>
          <w:p w:rsidR="0BAACD95" w:rsidRDefault="0BAACD95" w14:paraId="6C3E7FE0" w14:textId="5795FF4B">
            <w:r w:rsidRPr="0BAACD95">
              <w:rPr>
                <w:rFonts w:ascii="Arial" w:hAnsi="Arial" w:eastAsia="Arial" w:cs="Arial"/>
                <w:b/>
                <w:bCs/>
                <w:color w:val="000000" w:themeColor="text1"/>
              </w:rPr>
              <w:t xml:space="preserve"> </w:t>
            </w:r>
          </w:p>
          <w:p w:rsidR="0BAACD95" w:rsidRDefault="0BAACD95" w14:paraId="3CA71B38" w14:textId="02EF3DF5">
            <w:r w:rsidRPr="0BAACD95">
              <w:rPr>
                <w:rFonts w:ascii="Arial" w:hAnsi="Arial" w:eastAsia="Arial" w:cs="Arial"/>
                <w:b/>
                <w:bCs/>
                <w:color w:val="000000" w:themeColor="text1"/>
              </w:rPr>
              <w:t xml:space="preserve"> </w:t>
            </w:r>
          </w:p>
          <w:p w:rsidR="0BAACD95" w:rsidP="1A480A0D" w:rsidRDefault="1A480A0D" w14:paraId="725CFBA9" w14:textId="69AF9A10">
            <w:pPr>
              <w:rPr>
                <w:rFonts w:ascii="Arial" w:hAnsi="Arial" w:eastAsia="Arial" w:cs="Arial"/>
                <w:b/>
                <w:bCs/>
                <w:color w:val="000000" w:themeColor="text1"/>
              </w:rPr>
            </w:pPr>
            <w:r w:rsidRPr="1A480A0D">
              <w:rPr>
                <w:rFonts w:ascii="Arial" w:hAnsi="Arial" w:eastAsia="Arial" w:cs="Arial"/>
                <w:b/>
                <w:bCs/>
                <w:color w:val="000000" w:themeColor="text1"/>
              </w:rPr>
              <w:t xml:space="preserve">For completion by Marker </w:t>
            </w:r>
            <w:proofErr w:type="gramStart"/>
            <w:r w:rsidRPr="1A480A0D">
              <w:rPr>
                <w:rFonts w:ascii="Arial" w:hAnsi="Arial" w:eastAsia="Arial" w:cs="Arial"/>
                <w:b/>
                <w:bCs/>
                <w:color w:val="000000" w:themeColor="text1"/>
              </w:rPr>
              <w:t>1 :</w:t>
            </w:r>
            <w:proofErr w:type="gramEnd"/>
          </w:p>
          <w:p w:rsidR="0BAACD95" w:rsidRDefault="0BAACD95" w14:paraId="3B0F7F27" w14:textId="21106AA3">
            <w:r w:rsidRPr="0BAACD95">
              <w:rPr>
                <w:rFonts w:ascii="Arial" w:hAnsi="Arial" w:eastAsia="Arial" w:cs="Arial"/>
                <w:color w:val="000000" w:themeColor="text1"/>
              </w:rPr>
              <w:t>Comments:</w:t>
            </w:r>
          </w:p>
          <w:p w:rsidR="0BAACD95" w:rsidRDefault="0BAACD95" w14:paraId="4480F178" w14:textId="248FF098">
            <w:r w:rsidRPr="0BAACD95">
              <w:rPr>
                <w:rFonts w:ascii="Arial" w:hAnsi="Arial" w:eastAsia="Arial" w:cs="Arial"/>
                <w:color w:val="000000" w:themeColor="text1"/>
              </w:rPr>
              <w:t xml:space="preserve"> </w:t>
            </w:r>
          </w:p>
        </w:tc>
      </w:tr>
      <w:tr w:rsidR="0BAACD95" w:rsidTr="1A480A0D" w14:paraId="32C0688A" w14:textId="77777777">
        <w:trPr>
          <w:trHeight w:val="495"/>
        </w:trPr>
        <w:tc>
          <w:tcPr>
            <w:tcW w:w="4755" w:type="dxa"/>
            <w:gridSpan w:val="3"/>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0BAACD95" w:rsidRDefault="0BAACD95" w14:paraId="12E81B60" w14:textId="7A59AAB6">
            <w:r w:rsidRPr="0BAACD95">
              <w:rPr>
                <w:rFonts w:ascii="Arial" w:hAnsi="Arial" w:eastAsia="Arial" w:cs="Arial"/>
                <w:color w:val="000000" w:themeColor="text1"/>
              </w:rPr>
              <w:t>Marker’s signature:</w:t>
            </w:r>
          </w:p>
        </w:tc>
        <w:tc>
          <w:tcPr>
            <w:tcW w:w="2010" w:type="dxa"/>
            <w:gridSpan w:val="2"/>
            <w:tcBorders>
              <w:top w:val="nil"/>
              <w:left w:val="nil"/>
              <w:bottom w:val="single" w:color="000000" w:themeColor="text1" w:sz="8" w:space="0"/>
              <w:right w:val="single" w:color="000000" w:themeColor="text1" w:sz="8" w:space="0"/>
            </w:tcBorders>
          </w:tcPr>
          <w:p w:rsidR="0BAACD95" w:rsidRDefault="0BAACD95" w14:paraId="44E4F652" w14:textId="169E17EB">
            <w:r w:rsidRPr="0BAACD95">
              <w:rPr>
                <w:rFonts w:ascii="Arial" w:hAnsi="Arial" w:eastAsia="Arial" w:cs="Arial"/>
                <w:color w:val="000000" w:themeColor="text1"/>
              </w:rPr>
              <w:t>Date:</w:t>
            </w:r>
          </w:p>
        </w:tc>
      </w:tr>
      <w:tr w:rsidR="0BAACD95" w:rsidTr="1A480A0D" w14:paraId="7C00DD52" w14:textId="77777777">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0BAACD95" w:rsidRDefault="0BAACD95" w14:paraId="4629CE8B" w14:textId="588D70E9">
            <w:r w:rsidRPr="0BAACD95">
              <w:rPr>
                <w:rFonts w:ascii="Arial" w:hAnsi="Arial" w:eastAsia="Arial" w:cs="Arial"/>
                <w:i/>
                <w:iCs/>
                <w:color w:val="000000" w:themeColor="text1"/>
              </w:rPr>
              <w:t xml:space="preserve"> </w:t>
            </w:r>
          </w:p>
          <w:p w:rsidR="0BAACD95" w:rsidRDefault="0BAACD95" w14:paraId="2A821E3A" w14:textId="133FAA8E">
            <w:r w:rsidRPr="0BAACD95">
              <w:rPr>
                <w:rFonts w:ascii="Arial" w:hAnsi="Arial" w:eastAsia="Arial" w:cs="Arial"/>
                <w:b/>
                <w:bCs/>
                <w:color w:val="000000" w:themeColor="text1"/>
              </w:rPr>
              <w:t>For completion by Marker 2/Moderator:</w:t>
            </w:r>
          </w:p>
          <w:p w:rsidR="0BAACD95" w:rsidRDefault="0BAACD95" w14:paraId="428A8AA1" w14:textId="1014AF09">
            <w:r w:rsidRPr="0BAACD95">
              <w:rPr>
                <w:rFonts w:ascii="Arial" w:hAnsi="Arial" w:eastAsia="Arial" w:cs="Arial"/>
                <w:b/>
                <w:bCs/>
                <w:color w:val="000000" w:themeColor="text1"/>
              </w:rPr>
              <w:t xml:space="preserve"> </w:t>
            </w:r>
          </w:p>
          <w:p w:rsidR="0BAACD95" w:rsidRDefault="0BAACD95" w14:paraId="3B15ADD6" w14:textId="315BE769">
            <w:r w:rsidRPr="0BAACD95">
              <w:rPr>
                <w:rFonts w:ascii="Arial" w:hAnsi="Arial" w:eastAsia="Arial" w:cs="Arial"/>
                <w:color w:val="000000" w:themeColor="text1"/>
              </w:rPr>
              <w:t>Comments:</w:t>
            </w:r>
          </w:p>
          <w:p w:rsidR="0BAACD95" w:rsidRDefault="0BAACD95" w14:paraId="1E3A8332" w14:textId="7D543DDB">
            <w:r w:rsidRPr="0BAACD95">
              <w:rPr>
                <w:rFonts w:ascii="Arial" w:hAnsi="Arial" w:eastAsia="Arial" w:cs="Arial"/>
                <w:color w:val="000000" w:themeColor="text1"/>
              </w:rPr>
              <w:t xml:space="preserve"> </w:t>
            </w:r>
          </w:p>
          <w:p w:rsidR="0BAACD95" w:rsidRDefault="0BAACD95" w14:paraId="037CF176" w14:textId="7EB7B1AB">
            <w:r w:rsidRPr="0BAACD95">
              <w:rPr>
                <w:rFonts w:ascii="Arial" w:hAnsi="Arial" w:eastAsia="Arial" w:cs="Arial"/>
                <w:color w:val="000000" w:themeColor="text1"/>
              </w:rPr>
              <w:t xml:space="preserve"> </w:t>
            </w:r>
          </w:p>
          <w:p w:rsidR="0BAACD95" w:rsidRDefault="0BAACD95" w14:paraId="05D66479" w14:textId="67B2A237">
            <w:r w:rsidRPr="0BAACD95">
              <w:rPr>
                <w:rFonts w:ascii="Arial" w:hAnsi="Arial" w:eastAsia="Arial" w:cs="Arial"/>
                <w:color w:val="000000" w:themeColor="text1"/>
              </w:rPr>
              <w:t xml:space="preserve"> </w:t>
            </w:r>
          </w:p>
        </w:tc>
      </w:tr>
      <w:tr w:rsidR="0BAACD95" w:rsidTr="1A480A0D" w14:paraId="5BD0472A" w14:textId="77777777">
        <w:trPr>
          <w:trHeight w:val="720"/>
        </w:trPr>
        <w:tc>
          <w:tcPr>
            <w:tcW w:w="3555" w:type="dxa"/>
            <w:gridSpan w:val="2"/>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0BAACD95" w:rsidRDefault="0BAACD95" w14:paraId="056BBDA5" w14:textId="3B94F008">
            <w:r w:rsidRPr="0BAACD95">
              <w:rPr>
                <w:rFonts w:ascii="Arial" w:hAnsi="Arial" w:eastAsia="Arial" w:cs="Arial"/>
                <w:color w:val="000000" w:themeColor="text1"/>
              </w:rPr>
              <w:t>Marker’s Signature:</w:t>
            </w:r>
          </w:p>
        </w:tc>
        <w:tc>
          <w:tcPr>
            <w:tcW w:w="3210" w:type="dxa"/>
            <w:gridSpan w:val="3"/>
            <w:tcBorders>
              <w:top w:val="nil"/>
              <w:left w:val="nil"/>
              <w:bottom w:val="single" w:color="000000" w:themeColor="text1" w:sz="8" w:space="0"/>
              <w:right w:val="single" w:color="000000" w:themeColor="text1" w:sz="8" w:space="0"/>
            </w:tcBorders>
          </w:tcPr>
          <w:p w:rsidR="0BAACD95" w:rsidRDefault="0BAACD95" w14:paraId="44CF9AD0" w14:textId="107C3E27">
            <w:r w:rsidRPr="0BAACD95">
              <w:rPr>
                <w:rFonts w:ascii="Arial" w:hAnsi="Arial" w:eastAsia="Arial" w:cs="Arial"/>
                <w:color w:val="000000" w:themeColor="text1"/>
              </w:rPr>
              <w:t>Date:</w:t>
            </w:r>
          </w:p>
        </w:tc>
      </w:tr>
      <w:tr w:rsidR="0BAACD95" w:rsidTr="1A480A0D" w14:paraId="6F6E4191" w14:textId="77777777">
        <w:trPr>
          <w:trHeight w:val="720"/>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0BAACD95" w:rsidRDefault="0BAACD95" w14:paraId="2FF4F2A4" w14:textId="4961E411">
            <w:r w:rsidRPr="0BAACD95">
              <w:rPr>
                <w:rFonts w:ascii="Arial" w:hAnsi="Arial" w:eastAsia="Arial" w:cs="Arial"/>
                <w:b/>
                <w:bCs/>
                <w:color w:val="000000" w:themeColor="text1"/>
              </w:rPr>
              <w:t>AGREED INTERNAL MARK (where necessary):</w:t>
            </w:r>
          </w:p>
          <w:p w:rsidR="0BAACD95" w:rsidRDefault="0BAACD95" w14:paraId="7D3E8A03" w14:textId="49F02565">
            <w:r w:rsidRPr="0BAACD95">
              <w:rPr>
                <w:rFonts w:ascii="Arial" w:hAnsi="Arial" w:eastAsia="Arial" w:cs="Arial"/>
                <w:b/>
                <w:bCs/>
                <w:color w:val="000000" w:themeColor="text1"/>
              </w:rPr>
              <w:lastRenderedPageBreak/>
              <w:t xml:space="preserve"> </w:t>
            </w:r>
          </w:p>
          <w:p w:rsidR="0BAACD95" w:rsidRDefault="0BAACD95" w14:paraId="2C52A9E0" w14:textId="09161C91">
            <w:r w:rsidRPr="0BAACD95">
              <w:rPr>
                <w:rFonts w:ascii="Arial" w:hAnsi="Arial" w:eastAsia="Arial" w:cs="Arial"/>
                <w:b/>
                <w:bCs/>
                <w:color w:val="000000" w:themeColor="text1"/>
              </w:rPr>
              <w:t>Comment on process of arriving at agreed mark:</w:t>
            </w:r>
          </w:p>
          <w:p w:rsidR="0BAACD95" w:rsidRDefault="0BAACD95" w14:paraId="1BE7490E" w14:textId="18A87A34">
            <w:r w:rsidRPr="0BAACD95">
              <w:rPr>
                <w:rFonts w:ascii="Arial" w:hAnsi="Arial" w:eastAsia="Arial" w:cs="Arial"/>
                <w:b/>
                <w:bCs/>
                <w:color w:val="000000" w:themeColor="text1"/>
              </w:rPr>
              <w:t xml:space="preserve"> </w:t>
            </w:r>
          </w:p>
          <w:p w:rsidR="0BAACD95" w:rsidRDefault="0BAACD95" w14:paraId="1B5ECE68" w14:textId="0E1166DF">
            <w:r w:rsidRPr="0BAACD95">
              <w:rPr>
                <w:rFonts w:ascii="Arial" w:hAnsi="Arial" w:eastAsia="Arial" w:cs="Arial"/>
                <w:b/>
                <w:bCs/>
                <w:color w:val="000000" w:themeColor="text1"/>
              </w:rPr>
              <w:t xml:space="preserve"> </w:t>
            </w:r>
          </w:p>
          <w:p w:rsidR="0BAACD95" w:rsidRDefault="0BAACD95" w14:paraId="020B050B" w14:textId="65268AB9">
            <w:r w:rsidRPr="0BAACD95">
              <w:rPr>
                <w:rFonts w:ascii="Arial" w:hAnsi="Arial" w:eastAsia="Arial" w:cs="Arial"/>
                <w:b/>
                <w:bCs/>
                <w:color w:val="000000" w:themeColor="text1"/>
              </w:rPr>
              <w:t xml:space="preserve"> </w:t>
            </w:r>
          </w:p>
          <w:p w:rsidR="0BAACD95" w:rsidRDefault="0BAACD95" w14:paraId="4753E0EA" w14:textId="2100E6E1">
            <w:r w:rsidRPr="0BAACD95">
              <w:rPr>
                <w:rFonts w:ascii="Arial" w:hAnsi="Arial" w:eastAsia="Arial" w:cs="Arial"/>
                <w:b/>
                <w:bCs/>
                <w:color w:val="000000" w:themeColor="text1"/>
              </w:rPr>
              <w:t xml:space="preserve"> </w:t>
            </w:r>
          </w:p>
          <w:p w:rsidR="0BAACD95" w:rsidRDefault="0BAACD95" w14:paraId="12B42627" w14:textId="2EE87F2B">
            <w:r w:rsidRPr="0BAACD95">
              <w:rPr>
                <w:rFonts w:ascii="Arial" w:hAnsi="Arial" w:eastAsia="Arial" w:cs="Arial"/>
                <w:b/>
                <w:bCs/>
                <w:color w:val="000000" w:themeColor="text1"/>
              </w:rPr>
              <w:t xml:space="preserve"> </w:t>
            </w:r>
          </w:p>
          <w:p w:rsidR="0BAACD95" w:rsidRDefault="0BAACD95" w14:paraId="4C82BCE3" w14:textId="09294F09">
            <w:r w:rsidRPr="0BAACD95">
              <w:rPr>
                <w:rFonts w:ascii="Arial" w:hAnsi="Arial" w:eastAsia="Arial" w:cs="Arial"/>
                <w:b/>
                <w:bCs/>
                <w:color w:val="000000" w:themeColor="text1"/>
              </w:rPr>
              <w:t xml:space="preserve"> </w:t>
            </w:r>
          </w:p>
          <w:p w:rsidR="0BAACD95" w:rsidRDefault="0BAACD95" w14:paraId="20242B87" w14:textId="536A56EC">
            <w:r w:rsidRPr="0BAACD95">
              <w:rPr>
                <w:rFonts w:ascii="Arial" w:hAnsi="Arial" w:eastAsia="Arial" w:cs="Arial"/>
                <w:b/>
                <w:bCs/>
                <w:color w:val="000000" w:themeColor="text1"/>
              </w:rPr>
              <w:t xml:space="preserve"> </w:t>
            </w:r>
          </w:p>
          <w:p w:rsidR="0BAACD95" w:rsidRDefault="0BAACD95" w14:paraId="1AD1BE45" w14:textId="43DF1613">
            <w:r w:rsidRPr="0BAACD95">
              <w:rPr>
                <w:rFonts w:ascii="Arial" w:hAnsi="Arial" w:eastAsia="Arial" w:cs="Arial"/>
                <w:b/>
                <w:bCs/>
                <w:color w:val="000000" w:themeColor="text1"/>
              </w:rPr>
              <w:t xml:space="preserve"> </w:t>
            </w:r>
          </w:p>
        </w:tc>
      </w:tr>
      <w:tr w:rsidR="0BAACD95" w:rsidTr="1A480A0D" w14:paraId="6FD9B6B6" w14:textId="77777777">
        <w:trPr>
          <w:trHeight w:val="720"/>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0BAACD95" w:rsidRDefault="0BAACD95" w14:paraId="6F4B6968" w14:textId="76DEB235">
            <w:r w:rsidRPr="0BAACD95">
              <w:rPr>
                <w:rFonts w:ascii="Arial" w:hAnsi="Arial" w:eastAsia="Arial" w:cs="Arial"/>
                <w:b/>
                <w:bCs/>
                <w:color w:val="000000" w:themeColor="text1"/>
              </w:rPr>
              <w:lastRenderedPageBreak/>
              <w:t>External Examiner’s comments (if relevant)</w:t>
            </w:r>
          </w:p>
          <w:p w:rsidR="0BAACD95" w:rsidRDefault="0BAACD95" w14:paraId="7CC8D1E9" w14:textId="32C96727">
            <w:r w:rsidRPr="0BAACD95">
              <w:rPr>
                <w:rFonts w:ascii="Arial" w:hAnsi="Arial" w:eastAsia="Arial" w:cs="Arial"/>
                <w:color w:val="000000" w:themeColor="text1"/>
              </w:rPr>
              <w:t xml:space="preserve"> </w:t>
            </w:r>
          </w:p>
          <w:p w:rsidR="0BAACD95" w:rsidRDefault="0BAACD95" w14:paraId="763DA6B7" w14:textId="6F94AC0F">
            <w:r w:rsidRPr="0BAACD95">
              <w:rPr>
                <w:rFonts w:ascii="Arial" w:hAnsi="Arial" w:eastAsia="Arial" w:cs="Arial"/>
                <w:color w:val="000000" w:themeColor="text1"/>
              </w:rPr>
              <w:t xml:space="preserve"> </w:t>
            </w:r>
          </w:p>
          <w:p w:rsidR="0BAACD95" w:rsidRDefault="0BAACD95" w14:paraId="66ABB13A" w14:textId="2A3A5384">
            <w:r w:rsidRPr="0BAACD95">
              <w:rPr>
                <w:rFonts w:ascii="Arial" w:hAnsi="Arial" w:eastAsia="Arial" w:cs="Arial"/>
                <w:color w:val="000000" w:themeColor="text1"/>
              </w:rPr>
              <w:t xml:space="preserve"> </w:t>
            </w:r>
          </w:p>
          <w:p w:rsidR="0BAACD95" w:rsidRDefault="0BAACD95" w14:paraId="12E05D64" w14:textId="030BB6D2">
            <w:r w:rsidRPr="0BAACD95">
              <w:rPr>
                <w:rFonts w:ascii="Arial" w:hAnsi="Arial" w:eastAsia="Arial" w:cs="Arial"/>
                <w:color w:val="000000" w:themeColor="text1"/>
              </w:rPr>
              <w:t xml:space="preserve"> </w:t>
            </w:r>
          </w:p>
          <w:p w:rsidR="0BAACD95" w:rsidRDefault="0BAACD95" w14:paraId="60BD99AE" w14:textId="6AE06F85">
            <w:r w:rsidRPr="0BAACD95">
              <w:rPr>
                <w:rFonts w:ascii="Arial" w:hAnsi="Arial" w:eastAsia="Arial" w:cs="Arial"/>
                <w:color w:val="000000" w:themeColor="text1"/>
              </w:rPr>
              <w:t xml:space="preserve"> </w:t>
            </w:r>
          </w:p>
          <w:p w:rsidR="0BAACD95" w:rsidRDefault="0BAACD95" w14:paraId="5FFAE483" w14:textId="198043E9">
            <w:r w:rsidRPr="0BAACD95">
              <w:rPr>
                <w:rFonts w:ascii="Arial" w:hAnsi="Arial" w:eastAsia="Arial" w:cs="Arial"/>
                <w:color w:val="000000" w:themeColor="text1"/>
              </w:rPr>
              <w:t xml:space="preserve"> </w:t>
            </w:r>
          </w:p>
          <w:p w:rsidR="0BAACD95" w:rsidRDefault="0BAACD95" w14:paraId="752C0AEA" w14:textId="78818763">
            <w:r w:rsidRPr="0BAACD95">
              <w:rPr>
                <w:rFonts w:ascii="Arial" w:hAnsi="Arial" w:eastAsia="Arial" w:cs="Arial"/>
                <w:color w:val="000000" w:themeColor="text1"/>
              </w:rPr>
              <w:t xml:space="preserve"> </w:t>
            </w:r>
          </w:p>
        </w:tc>
      </w:tr>
      <w:tr w:rsidR="0BAACD95" w:rsidTr="1A480A0D" w14:paraId="00A4BA01" w14:textId="77777777">
        <w:trPr>
          <w:trHeight w:val="720"/>
        </w:trPr>
        <w:tc>
          <w:tcPr>
            <w:tcW w:w="3555" w:type="dxa"/>
            <w:gridSpan w:val="2"/>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0BAACD95" w:rsidRDefault="0BAACD95" w14:paraId="3E51EB32" w14:textId="26FFFF5F">
            <w:r w:rsidRPr="0BAACD95">
              <w:rPr>
                <w:rFonts w:ascii="Arial" w:hAnsi="Arial" w:eastAsia="Arial" w:cs="Arial"/>
                <w:color w:val="000000" w:themeColor="text1"/>
              </w:rPr>
              <w:t>External Examiner’s Signature:</w:t>
            </w:r>
          </w:p>
        </w:tc>
        <w:tc>
          <w:tcPr>
            <w:tcW w:w="3210" w:type="dxa"/>
            <w:gridSpan w:val="3"/>
            <w:tcBorders>
              <w:top w:val="nil"/>
              <w:left w:val="nil"/>
              <w:bottom w:val="single" w:color="000000" w:themeColor="text1" w:sz="8" w:space="0"/>
              <w:right w:val="single" w:color="000000" w:themeColor="text1" w:sz="8" w:space="0"/>
            </w:tcBorders>
          </w:tcPr>
          <w:p w:rsidR="0BAACD95" w:rsidRDefault="0BAACD95" w14:paraId="07CDFFC6" w14:textId="409D06C8">
            <w:r w:rsidRPr="0BAACD95">
              <w:rPr>
                <w:rFonts w:ascii="Arial" w:hAnsi="Arial" w:eastAsia="Arial" w:cs="Arial"/>
                <w:color w:val="000000" w:themeColor="text1"/>
              </w:rPr>
              <w:t>Date:</w:t>
            </w:r>
          </w:p>
        </w:tc>
      </w:tr>
      <w:tr w:rsidR="0BAACD95" w:rsidTr="1A480A0D" w14:paraId="5792E972" w14:textId="77777777">
        <w:tc>
          <w:tcPr>
            <w:tcW w:w="3135" w:type="dxa"/>
            <w:tcBorders>
              <w:top w:val="single" w:color="000000" w:themeColor="text1" w:sz="8" w:space="0"/>
              <w:left w:val="nil"/>
              <w:bottom w:val="nil"/>
              <w:right w:val="nil"/>
            </w:tcBorders>
            <w:vAlign w:val="center"/>
          </w:tcPr>
          <w:p w:rsidR="0BAACD95" w:rsidRDefault="0BAACD95" w14:paraId="6A3EA192" w14:textId="6238176C"/>
        </w:tc>
        <w:tc>
          <w:tcPr>
            <w:tcW w:w="420" w:type="dxa"/>
            <w:tcBorders>
              <w:top w:val="nil"/>
              <w:left w:val="nil"/>
              <w:bottom w:val="nil"/>
              <w:right w:val="nil"/>
            </w:tcBorders>
            <w:vAlign w:val="center"/>
          </w:tcPr>
          <w:p w:rsidR="0BAACD95" w:rsidRDefault="0BAACD95" w14:paraId="238A0D10" w14:textId="1246C8F0"/>
        </w:tc>
        <w:tc>
          <w:tcPr>
            <w:tcW w:w="1200" w:type="dxa"/>
            <w:tcBorders>
              <w:top w:val="single" w:color="000000" w:themeColor="text1" w:sz="8" w:space="0"/>
              <w:left w:val="nil"/>
              <w:bottom w:val="nil"/>
              <w:right w:val="nil"/>
            </w:tcBorders>
            <w:vAlign w:val="center"/>
          </w:tcPr>
          <w:p w:rsidR="0BAACD95" w:rsidRDefault="0BAACD95" w14:paraId="571A8A35" w14:textId="52B1F9B5"/>
        </w:tc>
        <w:tc>
          <w:tcPr>
            <w:tcW w:w="285" w:type="dxa"/>
            <w:tcBorders>
              <w:top w:val="nil"/>
              <w:left w:val="nil"/>
              <w:bottom w:val="nil"/>
              <w:right w:val="nil"/>
            </w:tcBorders>
            <w:vAlign w:val="center"/>
          </w:tcPr>
          <w:p w:rsidR="0BAACD95" w:rsidRDefault="0BAACD95" w14:paraId="3621FF7D" w14:textId="6058B818"/>
        </w:tc>
        <w:tc>
          <w:tcPr>
            <w:tcW w:w="1725" w:type="dxa"/>
            <w:tcBorders>
              <w:top w:val="nil"/>
              <w:left w:val="nil"/>
              <w:bottom w:val="nil"/>
              <w:right w:val="nil"/>
            </w:tcBorders>
            <w:vAlign w:val="center"/>
          </w:tcPr>
          <w:p w:rsidR="0BAACD95" w:rsidRDefault="0BAACD95" w14:paraId="2E89A5D1" w14:textId="7F87D6EF"/>
        </w:tc>
      </w:tr>
    </w:tbl>
    <w:p w:rsidR="0BAACD95" w:rsidP="0BAACD95" w:rsidRDefault="0BAACD95" w14:paraId="6B15C1CA" w14:textId="17F06157">
      <w:pPr>
        <w:jc w:val="center"/>
        <w:rPr>
          <w:rFonts w:ascii="Trebuchet MS" w:hAnsi="Trebuchet MS" w:eastAsia="Trebuchet MS" w:cs="Trebuchet MS"/>
          <w:color w:val="000000" w:themeColor="text1"/>
          <w:sz w:val="24"/>
          <w:szCs w:val="24"/>
        </w:rPr>
      </w:pPr>
    </w:p>
    <w:p w:rsidR="0BAACD95" w:rsidP="0BAACD95" w:rsidRDefault="0BAACD95" w14:paraId="490C87D0" w14:textId="648C6ABA">
      <w:pPr>
        <w:jc w:val="center"/>
        <w:rPr>
          <w:rFonts w:ascii="Calibri" w:hAnsi="Calibri" w:eastAsia="Calibri" w:cs="Calibri"/>
          <w:b/>
          <w:bCs/>
        </w:rPr>
      </w:pPr>
    </w:p>
    <w:p w:rsidR="0BAACD95" w:rsidP="0BAACD95" w:rsidRDefault="0BAACD95" w14:paraId="15F2F241" w14:textId="152FDFF2">
      <w:pPr>
        <w:jc w:val="center"/>
        <w:rPr>
          <w:rFonts w:ascii="Calibri" w:hAnsi="Calibri" w:eastAsia="Calibri" w:cs="Calibri"/>
          <w:b/>
          <w:bCs/>
        </w:rPr>
      </w:pPr>
    </w:p>
    <w:p w:rsidR="0BAACD95" w:rsidP="0BAACD95" w:rsidRDefault="0BAACD95" w14:paraId="634CD0AA" w14:textId="126CD1F4">
      <w:pPr>
        <w:jc w:val="center"/>
        <w:rPr>
          <w:rFonts w:ascii="Calibri" w:hAnsi="Calibri" w:eastAsia="Calibri" w:cs="Calibri"/>
          <w:b/>
          <w:bCs/>
        </w:rPr>
      </w:pPr>
    </w:p>
    <w:p w:rsidR="0BAACD95" w:rsidP="0BAACD95" w:rsidRDefault="0BAACD95" w14:paraId="6A3AADD7" w14:textId="0A5EA916">
      <w:pPr>
        <w:jc w:val="center"/>
        <w:rPr>
          <w:rFonts w:ascii="Calibri" w:hAnsi="Calibri" w:eastAsia="Calibri" w:cs="Calibri"/>
          <w:b/>
          <w:bCs/>
        </w:rPr>
      </w:pPr>
    </w:p>
    <w:p w:rsidR="0BAACD95" w:rsidP="0BAACD95" w:rsidRDefault="0BAACD95" w14:paraId="5511858F" w14:textId="4FEFD9AF">
      <w:pPr>
        <w:jc w:val="center"/>
        <w:rPr>
          <w:rFonts w:ascii="Calibri" w:hAnsi="Calibri" w:eastAsia="Calibri" w:cs="Calibri"/>
          <w:b/>
          <w:bCs/>
        </w:rPr>
      </w:pPr>
    </w:p>
    <w:p w:rsidR="0BAACD95" w:rsidP="002E4488" w:rsidRDefault="0BAACD95" w14:paraId="64CEEFBC" w14:textId="65070EC4">
      <w:pPr>
        <w:rPr>
          <w:rFonts w:ascii="Calibri" w:hAnsi="Calibri" w:eastAsia="Calibri" w:cs="Calibri"/>
          <w:b/>
          <w:bCs/>
        </w:rPr>
      </w:pPr>
    </w:p>
    <w:p w:rsidR="0BAACD95" w:rsidP="0BAACD95" w:rsidRDefault="0BAACD95" w14:paraId="37F58BCC" w14:textId="78AA2AA5" w14:noSpellErr="1">
      <w:pPr>
        <w:jc w:val="center"/>
        <w:rPr>
          <w:rFonts w:ascii="Calibri" w:hAnsi="Calibri" w:eastAsia="Calibri" w:cs="Calibri"/>
          <w:b w:val="1"/>
          <w:bCs w:val="1"/>
        </w:rPr>
      </w:pPr>
    </w:p>
    <w:p w:rsidR="001A6155" w:rsidP="179EDB11" w:rsidRDefault="1CDE5FFE" w14:paraId="06681032" w14:textId="7D08E4F6">
      <w:pPr>
        <w:pStyle w:val="Normal"/>
        <w:spacing w:line="480" w:lineRule="auto"/>
        <w:jc w:val="center"/>
        <w:rPr>
          <w:rFonts w:ascii="Segoe UI" w:hAnsi="Segoe UI" w:eastAsia="Segoe UI" w:cs="Segoe UI"/>
          <w:b w:val="1"/>
          <w:bCs w:val="1"/>
          <w:color w:val="auto"/>
        </w:rPr>
      </w:pPr>
      <w:r w:rsidRPr="179EDB11" w:rsidR="39F243DA">
        <w:rPr>
          <w:rFonts w:ascii="Segoe UI" w:hAnsi="Segoe UI" w:eastAsia="Segoe UI" w:cs="Segoe UI"/>
          <w:b w:val="1"/>
          <w:bCs w:val="1"/>
          <w:color w:val="auto"/>
        </w:rPr>
        <w:t>An examination of the theories of C.G. Jung</w:t>
      </w:r>
    </w:p>
    <w:p w:rsidR="001A6155" w:rsidP="179EDB11" w:rsidRDefault="002E4488" w14:paraId="5A82CEB3" w14:textId="0D8D3E1C" w14:noSpellErr="1">
      <w:pPr>
        <w:spacing w:line="480" w:lineRule="auto"/>
        <w:jc w:val="both"/>
        <w:rPr>
          <w:rFonts w:ascii="Segoe UI" w:hAnsi="Segoe UI" w:eastAsia="Segoe UI" w:cs="Segoe UI"/>
          <w:color w:val="auto" w:themeColor="text1"/>
          <w:vertAlign w:val="superscript"/>
        </w:rPr>
      </w:pPr>
      <w:r>
        <w:br/>
      </w:r>
      <w:r w:rsidRPr="179EDB11" w:rsidR="39F243DA">
        <w:rPr>
          <w:rFonts w:ascii="Segoe UI" w:hAnsi="Segoe UI" w:eastAsia="Segoe UI" w:cs="Segoe UI"/>
          <w:b w:val="1"/>
          <w:bCs w:val="1"/>
          <w:color w:val="auto"/>
        </w:rPr>
        <w:t>Introduction</w:t>
      </w:r>
      <w:r w:rsidRPr="179EDB11" w:rsidR="39F243DA">
        <w:rPr>
          <w:rFonts w:ascii="Segoe UI" w:hAnsi="Segoe UI" w:eastAsia="Segoe UI" w:cs="Segoe UI"/>
          <w:color w:val="auto"/>
        </w:rPr>
        <w:t xml:space="preserve"> </w:t>
      </w:r>
    </w:p>
    <w:p w:rsidR="001A6155" w:rsidP="179EDB11" w:rsidRDefault="722478AC" w14:paraId="310420A8" w14:textId="6B20F78E">
      <w:pPr>
        <w:spacing w:line="480" w:lineRule="auto"/>
        <w:jc w:val="both"/>
        <w:rPr>
          <w:rFonts w:ascii="Segoe UI" w:hAnsi="Segoe UI" w:eastAsia="Segoe UI" w:cs="Segoe UI"/>
          <w:color w:val="auto"/>
          <w:lang w:val="en-GB"/>
        </w:rPr>
      </w:pPr>
      <w:r w:rsidRPr="179EDB11" w:rsidR="5389761D">
        <w:rPr>
          <w:rFonts w:ascii="Segoe UI" w:hAnsi="Segoe UI" w:eastAsia="Segoe UI" w:cs="Segoe UI"/>
          <w:color w:val="auto" w:themeColor="text1"/>
        </w:rPr>
        <w:t xml:space="preserve">The purpose of this essay </w:t>
      </w:r>
      <w:r w:rsidRPr="179EDB11" w:rsidR="4EECB693">
        <w:rPr>
          <w:rFonts w:ascii="Segoe UI" w:hAnsi="Segoe UI" w:eastAsia="Segoe UI" w:cs="Segoe UI"/>
          <w:color w:val="auto" w:themeColor="text1"/>
        </w:rPr>
        <w:t xml:space="preserve">is to explore the nature of </w:t>
      </w:r>
      <w:r w:rsidRPr="179EDB11" w:rsidR="4EECB693">
        <w:rPr>
          <w:rFonts w:ascii="Segoe UI" w:hAnsi="Segoe UI" w:eastAsia="Segoe UI" w:cs="Segoe UI"/>
          <w:color w:val="auto" w:themeColor="text1"/>
        </w:rPr>
        <w:t xml:space="preserve">C. G. Jung’s </w:t>
      </w:r>
      <w:r w:rsidRPr="179EDB11" w:rsidR="4EECB693">
        <w:rPr>
          <w:rFonts w:ascii="Segoe UI" w:hAnsi="Segoe UI" w:eastAsia="Segoe UI" w:cs="Segoe UI"/>
          <w:color w:val="auto" w:themeColor="text1"/>
        </w:rPr>
        <w:t xml:space="preserve">(1875-1961) relationship with astrology, </w:t>
      </w:r>
      <w:r w:rsidRPr="179EDB11" w:rsidR="4EECB693">
        <w:rPr>
          <w:rFonts w:ascii="Segoe UI" w:hAnsi="Segoe UI" w:eastAsia="Segoe UI" w:cs="Segoe UI"/>
          <w:color w:val="auto" w:themeColor="text1"/>
        </w:rPr>
        <w:t xml:space="preserve">as he himself was an ‘</w:t>
      </w:r>
      <w:r w:rsidRPr="179EDB11" w:rsidR="4EECB693">
        <w:rPr>
          <w:rFonts w:ascii="Segoe UI" w:hAnsi="Segoe UI" w:eastAsia="Segoe UI" w:cs="Segoe UI"/>
          <w:color w:val="auto"/>
        </w:rPr>
        <w:t xml:space="preserve">enthusiastic astrologer,’ </w:t>
      </w:r>
      <w:r w:rsidRPr="179EDB11" w:rsidR="4EECB693">
        <w:rPr>
          <w:rFonts w:ascii="Segoe UI" w:hAnsi="Segoe UI" w:eastAsia="Segoe UI" w:cs="Segoe UI"/>
          <w:color w:val="auto"/>
        </w:rPr>
        <w:t>Nicholas Campion suggested</w:t>
      </w:r>
      <w:r w:rsidRPr="179EDB11" w:rsidR="4EECB693">
        <w:rPr>
          <w:rFonts w:ascii="Segoe UI" w:hAnsi="Segoe UI" w:eastAsia="Segoe UI" w:cs="Segoe UI"/>
          <w:color w:val="auto" w:themeColor="text1"/>
        </w:rPr>
        <w:t>.</w:t>
      </w:r>
      <w:r w:rsidRPr="179EDB11" w:rsidR="002E4488">
        <w:rPr>
          <w:rStyle w:val="FootnoteReference"/>
          <w:rFonts w:ascii="Segoe UI" w:hAnsi="Segoe UI" w:eastAsia="Segoe UI" w:cs="Segoe UI"/>
          <w:color w:val="auto" w:themeColor="text1"/>
        </w:rPr>
        <w:footnoteReference w:id="1"/>
      </w:r>
      <w:r w:rsidRPr="179EDB11" w:rsidR="4EECB693">
        <w:rPr>
          <w:rFonts w:ascii="Segoe UI" w:hAnsi="Segoe UI" w:eastAsia="Segoe UI" w:cs="Segoe UI"/>
          <w:color w:val="auto" w:themeColor="text1"/>
        </w:rPr>
        <w:t xml:space="preserve"> Specifically, this essay will aim to focus on the astrological significance of </w:t>
      </w:r>
      <w:r w:rsidRPr="179EDB11" w:rsidR="4EECB693">
        <w:rPr>
          <w:rFonts w:ascii="Segoe UI" w:hAnsi="Segoe UI" w:eastAsia="Segoe UI" w:cs="Segoe UI"/>
          <w:i w:val="1"/>
          <w:iCs w:val="1"/>
          <w:color w:val="auto" w:themeColor="text1"/>
        </w:rPr>
        <w:t xml:space="preserve">Liber Novus, </w:t>
      </w:r>
      <w:r w:rsidRPr="179EDB11" w:rsidR="4EECB693">
        <w:rPr>
          <w:rFonts w:ascii="Segoe UI" w:hAnsi="Segoe UI" w:eastAsia="Segoe UI" w:cs="Segoe UI"/>
          <w:color w:val="auto" w:themeColor="text1"/>
        </w:rPr>
        <w:t xml:space="preserve">or </w:t>
      </w:r>
      <w:r w:rsidRPr="179EDB11" w:rsidR="4EECB693">
        <w:rPr>
          <w:rFonts w:ascii="Segoe UI" w:hAnsi="Segoe UI" w:eastAsia="Segoe UI" w:cs="Segoe UI"/>
          <w:i w:val="1"/>
          <w:iCs w:val="1"/>
          <w:color w:val="auto" w:themeColor="text1"/>
        </w:rPr>
        <w:t>The Red Book.</w:t>
      </w:r>
      <w:r w:rsidRPr="179EDB11" w:rsidR="002E4488">
        <w:rPr>
          <w:rStyle w:val="FootnoteReference"/>
          <w:rFonts w:ascii="Segoe UI" w:hAnsi="Segoe UI" w:eastAsia="Segoe UI" w:cs="Segoe UI"/>
          <w:color w:val="auto" w:themeColor="text1"/>
        </w:rPr>
        <w:footnoteReference w:id="2"/>
      </w:r>
      <w:r w:rsidRPr="179EDB11" w:rsidR="5CBD9964">
        <w:rPr>
          <w:rFonts w:ascii="Segoe UI" w:hAnsi="Segoe UI" w:eastAsia="Segoe UI" w:cs="Segoe UI"/>
          <w:color w:val="auto"/>
        </w:rPr>
        <w:t xml:space="preserve"> The academic rationale in writing this essay is to contribute</w:t>
      </w:r>
      <w:r w:rsidRPr="179EDB11" w:rsidR="179EDB11">
        <w:rPr>
          <w:rFonts w:ascii="Segoe UI" w:hAnsi="Segoe UI" w:eastAsia="Segoe UI" w:cs="Segoe UI"/>
          <w:color w:val="auto"/>
        </w:rPr>
        <w:t xml:space="preserve"> to </w:t>
      </w:r>
      <w:r w:rsidRPr="179EDB11" w:rsidR="5CBD9964">
        <w:rPr>
          <w:rFonts w:ascii="Segoe UI" w:hAnsi="Segoe UI" w:eastAsia="Segoe UI" w:cs="Segoe UI"/>
          <w:color w:val="auto"/>
        </w:rPr>
        <w:t xml:space="preserve">previous work in this field, as a means of </w:t>
      </w:r>
      <w:r w:rsidRPr="179EDB11" w:rsidR="5CBD9964">
        <w:rPr>
          <w:rFonts w:ascii="Segoe UI" w:hAnsi="Segoe UI" w:eastAsia="Segoe UI" w:cs="Segoe UI"/>
          <w:color w:val="auto"/>
        </w:rPr>
        <w:t xml:space="preserve">placing Jung’s work into historical context. </w:t>
      </w:r>
      <w:r w:rsidRPr="179EDB11" w:rsidR="5CBD9964">
        <w:rPr>
          <w:rFonts w:ascii="Segoe UI" w:hAnsi="Segoe UI" w:eastAsia="Segoe UI" w:cs="Segoe UI"/>
          <w:color w:val="auto" w:themeColor="text1"/>
        </w:rPr>
        <w:t xml:space="preserve">This is done by </w:t>
      </w:r>
      <w:r w:rsidRPr="179EDB11" w:rsidR="5CBD9964">
        <w:rPr>
          <w:rFonts w:ascii="Segoe UI" w:hAnsi="Segoe UI" w:eastAsia="Segoe UI" w:cs="Segoe UI"/>
          <w:color w:val="auto" w:themeColor="text1"/>
        </w:rPr>
        <w:t xml:space="preserve">exploring the qu</w:t>
      </w:r>
      <w:r w:rsidRPr="179EDB11" w:rsidR="179EDB11">
        <w:rPr>
          <w:rFonts w:ascii="Segoe UI" w:hAnsi="Segoe UI" w:eastAsia="Segoe UI" w:cs="Segoe UI"/>
          <w:color w:val="auto" w:themeColor="text1"/>
        </w:rPr>
        <w:t xml:space="preserve">estion through reference to many examples </w:t>
      </w:r>
      <w:r w:rsidRPr="179EDB11" w:rsidR="5CBD9964">
        <w:rPr>
          <w:rFonts w:ascii="Segoe UI" w:hAnsi="Segoe UI" w:eastAsia="Segoe UI" w:cs="Segoe UI"/>
          <w:color w:val="auto" w:themeColor="text1"/>
        </w:rPr>
        <w:t xml:space="preserve">of astrology, using numerous primary and secondary sources. </w:t>
      </w:r>
      <w:r w:rsidRPr="179EDB11" w:rsidR="5CBD9964">
        <w:rPr>
          <w:rFonts w:ascii="Segoe UI" w:hAnsi="Segoe UI" w:eastAsia="Segoe UI" w:cs="Segoe UI"/>
          <w:color w:val="auto" w:themeColor="text1"/>
          <w:lang w:val="en-GB"/>
        </w:rPr>
        <w:t xml:space="preserve">Firstly, it is important to describe </w:t>
      </w:r>
      <w:r w:rsidRPr="179EDB11" w:rsidR="5CBD9964">
        <w:rPr>
          <w:rFonts w:ascii="Segoe UI" w:hAnsi="Segoe UI" w:eastAsia="Segoe UI" w:cs="Segoe UI"/>
          <w:color w:val="auto"/>
          <w:lang w:val="en-GB"/>
        </w:rPr>
        <w:t xml:space="preserve">‘astrology’ </w:t>
      </w:r>
      <w:r w:rsidRPr="179EDB11" w:rsidR="5CBD9964">
        <w:rPr>
          <w:rFonts w:ascii="Segoe UI" w:hAnsi="Segoe UI" w:eastAsia="Segoe UI" w:cs="Segoe UI"/>
          <w:color w:val="auto" w:themeColor="text1"/>
          <w:lang w:val="en-GB"/>
        </w:rPr>
        <w:t xml:space="preserve">as this term is complex and </w:t>
      </w:r>
      <w:r w:rsidRPr="179EDB11" w:rsidR="5CBD9964">
        <w:rPr>
          <w:rFonts w:ascii="Segoe UI" w:hAnsi="Segoe UI" w:eastAsia="Segoe UI" w:cs="Segoe UI"/>
          <w:color w:val="auto" w:themeColor="text1"/>
          <w:lang w:val="en-GB"/>
        </w:rPr>
        <w:t>used in the context of this essay. Astrology is, ‘the practice of relating the heavenly bodies to life and events on earth and the tradition that has thus been generated,’ Patrick Curry wrote.</w:t>
      </w:r>
      <w:r w:rsidRPr="179EDB11" w:rsidR="002E4488">
        <w:rPr>
          <w:rStyle w:val="FootnoteReference"/>
          <w:rFonts w:ascii="Segoe UI" w:hAnsi="Segoe UI" w:eastAsia="Segoe UI" w:cs="Segoe UI"/>
          <w:color w:val="auto"/>
          <w:lang w:val="en-GB"/>
        </w:rPr>
        <w:footnoteReference w:id="3"/>
      </w:r>
      <w:r w:rsidRPr="179EDB11" w:rsidR="179EDB11">
        <w:rPr>
          <w:rFonts w:ascii="Segoe UI" w:hAnsi="Segoe UI" w:eastAsia="Segoe UI" w:cs="Segoe UI"/>
          <w:color w:val="auto"/>
          <w:lang w:val="en-GB"/>
        </w:rPr>
        <w:t xml:space="preserve"> The chapter below explores Jung and astrology.</w:t>
      </w:r>
    </w:p>
    <w:p w:rsidR="001A6155" w:rsidP="179EDB11" w:rsidRDefault="001A6155" w14:paraId="76EE3676" w14:textId="3234CEBA" w14:noSpellErr="1">
      <w:pPr>
        <w:spacing w:line="480" w:lineRule="auto"/>
        <w:jc w:val="both"/>
        <w:rPr>
          <w:rFonts w:ascii="Segoe UI" w:hAnsi="Segoe UI" w:eastAsia="Segoe UI" w:cs="Segoe UI"/>
          <w:b w:val="1"/>
          <w:bCs w:val="1"/>
          <w:color w:val="auto"/>
          <w:lang w:val="en-GB"/>
        </w:rPr>
      </w:pPr>
    </w:p>
    <w:p w:rsidR="001A6155" w:rsidP="179EDB11" w:rsidRDefault="1CDE5FFE" w14:paraId="5C130D30" w14:textId="6E2A1AFD" w14:noSpellErr="1">
      <w:pPr>
        <w:spacing w:line="480" w:lineRule="auto"/>
        <w:jc w:val="both"/>
        <w:rPr>
          <w:rFonts w:ascii="Segoe UI" w:hAnsi="Segoe UI" w:eastAsia="Segoe UI" w:cs="Segoe UI"/>
          <w:color w:val="auto"/>
          <w:lang w:val="en-GB"/>
        </w:rPr>
      </w:pPr>
      <w:r w:rsidRPr="179EDB11" w:rsidR="39F243DA">
        <w:rPr>
          <w:rFonts w:ascii="Segoe UI" w:hAnsi="Segoe UI" w:eastAsia="Segoe UI" w:cs="Segoe UI"/>
          <w:b w:val="1"/>
          <w:bCs w:val="1"/>
          <w:color w:val="auto"/>
          <w:lang w:val="en-GB"/>
        </w:rPr>
        <w:t>Jung and Astrology</w:t>
      </w:r>
    </w:p>
    <w:p w:rsidR="001A6155" w:rsidP="179EDB11" w:rsidRDefault="55F0D9A6" w14:paraId="475E0B6D" w14:textId="0FD04A8E">
      <w:pPr>
        <w:spacing w:line="480" w:lineRule="auto"/>
        <w:jc w:val="both"/>
        <w:rPr>
          <w:rFonts w:ascii="Segoe UI" w:hAnsi="Segoe UI" w:eastAsia="Segoe UI" w:cs="Segoe UI"/>
          <w:color w:val="auto"/>
          <w:lang w:val="en-GB"/>
        </w:rPr>
      </w:pPr>
      <w:r w:rsidRPr="179EDB11" w:rsidR="6CA72707">
        <w:rPr>
          <w:rFonts w:ascii="Segoe UI" w:hAnsi="Segoe UI" w:eastAsia="Segoe UI" w:cs="Segoe UI"/>
          <w:color w:val="auto"/>
          <w:lang w:val="en-GB"/>
        </w:rPr>
        <w:t>Jung’s interest in and involvement with astrology is evident from at least 1910, this is confirmed by Liz Greene.</w:t>
      </w:r>
      <w:r w:rsidRPr="179EDB11" w:rsidR="002E4488">
        <w:rPr>
          <w:rStyle w:val="FootnoteReference"/>
          <w:rFonts w:ascii="Segoe UI" w:hAnsi="Segoe UI" w:eastAsia="Segoe UI" w:cs="Segoe UI"/>
          <w:color w:val="auto"/>
          <w:lang w:val="en-GB"/>
        </w:rPr>
        <w:footnoteReference w:id="4"/>
      </w:r>
      <w:r w:rsidRPr="179EDB11" w:rsidR="6CA72707">
        <w:rPr>
          <w:rFonts w:ascii="Segoe UI" w:hAnsi="Segoe UI" w:eastAsia="Segoe UI" w:cs="Segoe UI"/>
          <w:color w:val="auto"/>
          <w:lang w:val="en-GB"/>
        </w:rPr>
        <w:t xml:space="preserve"> Additionally, Nant Savage Healy wrote ‘</w:t>
      </w:r>
      <w:r w:rsidRPr="179EDB11" w:rsidR="6CA72707">
        <w:rPr>
          <w:rFonts w:ascii="Segoe UI" w:hAnsi="Segoe UI" w:eastAsia="Segoe UI" w:cs="Segoe UI"/>
          <w:color w:val="auto"/>
          <w:lang w:val="en-GB"/>
        </w:rPr>
        <w:t>it was only after Jung met’</w:t>
      </w:r>
      <w:r w:rsidRPr="179EDB11" w:rsidR="6CA72707">
        <w:rPr>
          <w:rFonts w:ascii="Segoe UI" w:hAnsi="Segoe UI" w:eastAsia="Segoe UI" w:cs="Segoe UI"/>
          <w:color w:val="auto"/>
          <w:lang w:val="en-GB"/>
        </w:rPr>
        <w:t xml:space="preserve"> </w:t>
      </w:r>
      <w:r w:rsidRPr="179EDB11" w:rsidR="6CA72707">
        <w:rPr>
          <w:rFonts w:ascii="Segoe UI" w:hAnsi="Segoe UI" w:eastAsia="Segoe UI" w:cs="Segoe UI"/>
          <w:color w:val="auto"/>
          <w:lang w:val="en-GB"/>
        </w:rPr>
        <w:t xml:space="preserve">Jungian psychologist, Toni Wolff </w:t>
      </w:r>
      <w:r w:rsidRPr="179EDB11" w:rsidR="6CA72707">
        <w:rPr>
          <w:rFonts w:ascii="Segoe UI" w:hAnsi="Segoe UI" w:eastAsia="Segoe UI" w:cs="Segoe UI"/>
          <w:color w:val="auto"/>
          <w:lang w:val="en-GB"/>
        </w:rPr>
        <w:t xml:space="preserve">(1888-1953) in 1910, that Jung’s intrigue in astrology surfaced.</w:t>
      </w:r>
      <w:r w:rsidRPr="179EDB11" w:rsidR="002E4488">
        <w:rPr>
          <w:rStyle w:val="FootnoteReference"/>
          <w:rFonts w:ascii="Segoe UI" w:hAnsi="Segoe UI" w:eastAsia="Segoe UI" w:cs="Segoe UI"/>
          <w:color w:val="auto"/>
          <w:lang w:val="en-GB"/>
        </w:rPr>
        <w:footnoteReference w:id="5"/>
      </w:r>
      <w:r w:rsidRPr="179EDB11" w:rsidR="3B43A286">
        <w:rPr>
          <w:rFonts w:ascii="Segoe UI" w:hAnsi="Segoe UI" w:eastAsia="Segoe UI" w:cs="Segoe UI"/>
          <w:color w:val="auto"/>
          <w:lang w:val="en-GB"/>
        </w:rPr>
        <w:t xml:space="preserve"> Supporting this, is </w:t>
      </w:r>
      <w:r w:rsidRPr="179EDB11" w:rsidR="4E5D8242">
        <w:rPr>
          <w:rFonts w:ascii="Segoe UI" w:hAnsi="Segoe UI" w:eastAsia="Segoe UI" w:cs="Segoe UI"/>
          <w:color w:val="auto"/>
          <w:lang w:val="en-GB"/>
        </w:rPr>
        <w:t>Sonu</w:t>
      </w:r>
      <w:r w:rsidRPr="179EDB11" w:rsidR="4E5D8242">
        <w:rPr>
          <w:rFonts w:ascii="Segoe UI" w:hAnsi="Segoe UI" w:eastAsia="Segoe UI" w:cs="Segoe UI"/>
          <w:color w:val="auto"/>
          <w:lang w:val="en-GB"/>
        </w:rPr>
        <w:t xml:space="preserve"> Shamdasani who wrote that Jung began studying astrology in 1911.</w:t>
      </w:r>
      <w:r w:rsidRPr="179EDB11" w:rsidR="002E4488">
        <w:rPr>
          <w:rStyle w:val="FootnoteReference"/>
          <w:rFonts w:ascii="Segoe UI" w:hAnsi="Segoe UI" w:eastAsia="Segoe UI" w:cs="Segoe UI"/>
          <w:color w:val="auto"/>
          <w:lang w:val="en-GB"/>
        </w:rPr>
        <w:footnoteReference w:id="6"/>
      </w:r>
      <w:r w:rsidRPr="179EDB11" w:rsidR="3B43A286">
        <w:rPr>
          <w:rFonts w:ascii="Segoe UI" w:hAnsi="Segoe UI" w:eastAsia="Segoe UI" w:cs="Segoe UI"/>
          <w:color w:val="auto"/>
          <w:lang w:val="en-GB"/>
        </w:rPr>
        <w:t xml:space="preserve"> In 1911, Jung also </w:t>
      </w:r>
      <w:r w:rsidRPr="179EDB11" w:rsidR="3B43A286">
        <w:rPr>
          <w:rFonts w:ascii="Segoe UI" w:hAnsi="Segoe UI" w:eastAsia="Segoe UI" w:cs="Segoe UI"/>
          <w:color w:val="auto"/>
          <w:lang w:val="en-GB"/>
        </w:rPr>
        <w:t>‘entered communication’</w:t>
      </w:r>
      <w:r w:rsidRPr="179EDB11" w:rsidR="002E4488">
        <w:rPr>
          <w:rStyle w:val="FootnoteReference"/>
          <w:rFonts w:ascii="Segoe UI" w:hAnsi="Segoe UI" w:eastAsia="Segoe UI" w:cs="Segoe UI"/>
          <w:color w:val="auto"/>
          <w:lang w:val="en-GB"/>
        </w:rPr>
        <w:footnoteReference w:id="7"/>
      </w:r>
      <w:r w:rsidRPr="179EDB11" w:rsidR="3B43A286">
        <w:rPr>
          <w:rFonts w:ascii="Segoe UI" w:hAnsi="Segoe UI" w:eastAsia="Segoe UI" w:cs="Segoe UI"/>
          <w:color w:val="auto"/>
          <w:lang w:val="en-GB"/>
        </w:rPr>
        <w:t xml:space="preserve"> with Sigmund Freud (</w:t>
      </w:r>
      <w:r w:rsidRPr="179EDB11" w:rsidR="3B43A286">
        <w:rPr>
          <w:rFonts w:ascii="Segoe UI" w:hAnsi="Segoe UI" w:eastAsia="Segoe UI" w:cs="Segoe UI"/>
          <w:color w:val="auto"/>
          <w:lang w:val="en-GB"/>
        </w:rPr>
        <w:t>1856-1939</w:t>
      </w:r>
      <w:r w:rsidRPr="179EDB11" w:rsidR="3B43A286">
        <w:rPr>
          <w:rFonts w:ascii="Segoe UI" w:hAnsi="Segoe UI" w:eastAsia="Segoe UI" w:cs="Segoe UI"/>
          <w:color w:val="auto"/>
          <w:lang w:val="en-GB"/>
        </w:rPr>
        <w:t>), through this correspondence Jung informed Freud that he was drawn to a new subject - quoting Jung, ‘</w:t>
      </w:r>
      <w:r w:rsidRPr="179EDB11" w:rsidR="3B43A286">
        <w:rPr>
          <w:rFonts w:ascii="Segoe UI" w:hAnsi="Segoe UI" w:eastAsia="Segoe UI" w:cs="Segoe UI"/>
          <w:color w:val="auto"/>
          <w:lang w:val="en-GB"/>
        </w:rPr>
        <w:t>At the moment I am looking into astrol</w:t>
      </w:r>
      <w:r w:rsidRPr="179EDB11" w:rsidR="179EDB11">
        <w:rPr>
          <w:rFonts w:ascii="Segoe UI" w:hAnsi="Segoe UI" w:eastAsia="Segoe UI" w:cs="Segoe UI"/>
          <w:color w:val="auto"/>
          <w:lang w:val="en-GB"/>
        </w:rPr>
        <w:t>ogy.’</w:t>
      </w:r>
      <w:r w:rsidRPr="179EDB11" w:rsidR="002E4488">
        <w:rPr>
          <w:rStyle w:val="FootnoteReference"/>
          <w:rFonts w:ascii="Segoe UI" w:hAnsi="Segoe UI" w:eastAsia="Segoe UI" w:cs="Segoe UI"/>
          <w:color w:val="auto"/>
          <w:lang w:val="en-GB"/>
        </w:rPr>
        <w:footnoteReference w:id="8"/>
      </w:r>
      <w:r w:rsidRPr="179EDB11" w:rsidR="3B43A286">
        <w:rPr>
          <w:rFonts w:ascii="Segoe UI" w:hAnsi="Segoe UI" w:eastAsia="Segoe UI" w:cs="Segoe UI"/>
          <w:color w:val="auto"/>
          <w:lang w:val="en-GB"/>
        </w:rPr>
        <w:t xml:space="preserve"> </w:t>
      </w:r>
      <w:r w:rsidRPr="179EDB11" w:rsidR="3B43A286">
        <w:rPr>
          <w:rFonts w:ascii="Segoe UI" w:hAnsi="Segoe UI" w:eastAsia="Segoe UI" w:cs="Segoe UI"/>
          <w:color w:val="auto"/>
          <w:lang w:val="en-GB"/>
        </w:rPr>
        <w:t>This announcement was accompanied a few weeks later by a further correspondence to Freud, in which Jung continued to reveal his involvement with astrology, ‘</w:t>
      </w:r>
      <w:r w:rsidRPr="179EDB11" w:rsidR="3B43A286">
        <w:rPr>
          <w:rFonts w:ascii="Segoe UI" w:hAnsi="Segoe UI" w:eastAsia="Segoe UI" w:cs="Segoe UI"/>
          <w:color w:val="auto"/>
          <w:lang w:val="en-GB"/>
        </w:rPr>
        <w:t>My evenings are taken up very largely with astrology. I make horoscope calculations in order to find a clue to the core of psychological truth.’</w:t>
      </w:r>
      <w:r w:rsidRPr="179EDB11" w:rsidR="002E4488">
        <w:rPr>
          <w:rStyle w:val="FootnoteReference"/>
          <w:rFonts w:ascii="Segoe UI" w:hAnsi="Segoe UI" w:eastAsia="Segoe UI" w:cs="Segoe UI"/>
          <w:color w:val="auto"/>
          <w:lang w:val="en-GB"/>
        </w:rPr>
        <w:footnoteReference w:id="9"/>
      </w:r>
      <w:r w:rsidRPr="179EDB11" w:rsidR="3B43A286">
        <w:rPr>
          <w:rFonts w:ascii="Segoe UI" w:hAnsi="Segoe UI" w:eastAsia="Segoe UI" w:cs="Segoe UI"/>
          <w:color w:val="auto"/>
          <w:lang w:val="en-GB"/>
        </w:rPr>
        <w:t xml:space="preserve"> </w:t>
      </w:r>
      <w:r w:rsidRPr="179EDB11" w:rsidR="3B43A286">
        <w:rPr>
          <w:rFonts w:ascii="Segoe UI" w:hAnsi="Segoe UI" w:eastAsia="Segoe UI" w:cs="Segoe UI"/>
          <w:color w:val="auto"/>
          <w:lang w:val="en-GB"/>
        </w:rPr>
        <w:t xml:space="preserve">Accordingly, he assured Freud he was </w:t>
      </w:r>
      <w:r w:rsidRPr="179EDB11" w:rsidR="5389761D">
        <w:rPr>
          <w:rFonts w:ascii="Segoe UI" w:hAnsi="Segoe UI" w:eastAsia="Segoe UI" w:cs="Segoe UI"/>
          <w:color w:val="auto"/>
          <w:lang w:val="en-GB"/>
        </w:rPr>
        <w:t xml:space="preserve">coming back from his </w:t>
      </w:r>
      <w:r w:rsidRPr="179EDB11" w:rsidR="5389761D">
        <w:rPr>
          <w:rFonts w:ascii="Segoe UI" w:hAnsi="Segoe UI" w:eastAsia="Segoe UI" w:cs="Segoe UI"/>
          <w:color w:val="auto"/>
          <w:lang w:val="en-GB"/>
        </w:rPr>
        <w:t>examinations of astrology ‘</w:t>
      </w:r>
      <w:r w:rsidRPr="179EDB11" w:rsidR="5389761D">
        <w:rPr>
          <w:rFonts w:ascii="Segoe UI" w:hAnsi="Segoe UI" w:eastAsia="Segoe UI" w:cs="Segoe UI"/>
          <w:color w:val="auto"/>
          <w:lang w:val="en-GB"/>
        </w:rPr>
        <w:t>laden with rich booty for our knowledge of the human psyche.’</w:t>
      </w:r>
      <w:r w:rsidRPr="179EDB11" w:rsidR="002E4488">
        <w:rPr>
          <w:rStyle w:val="FootnoteReference"/>
          <w:rFonts w:ascii="Segoe UI" w:hAnsi="Segoe UI" w:eastAsia="Segoe UI" w:cs="Segoe UI"/>
          <w:color w:val="auto"/>
          <w:lang w:val="en-GB"/>
        </w:rPr>
        <w:footnoteReference w:id="10"/>
      </w:r>
      <w:r w:rsidRPr="179EDB11" w:rsidR="3B43A286">
        <w:rPr>
          <w:rFonts w:ascii="Segoe UI" w:hAnsi="Segoe UI" w:eastAsia="Segoe UI" w:cs="Segoe UI"/>
          <w:color w:val="auto"/>
          <w:lang w:val="en-GB"/>
        </w:rPr>
        <w:t xml:space="preserve"> What emerged, in bringing together Jung’s astrological reflections, was a more complete sense of the significant place astrology occupied in </w:t>
      </w:r>
      <w:proofErr w:type="gramStart"/>
      <w:r w:rsidRPr="179EDB11" w:rsidR="3B43A286">
        <w:rPr>
          <w:rFonts w:ascii="Segoe UI" w:hAnsi="Segoe UI" w:eastAsia="Segoe UI" w:cs="Segoe UI"/>
          <w:color w:val="auto"/>
          <w:lang w:val="en-GB"/>
        </w:rPr>
        <w:t>Jung‘</w:t>
      </w:r>
      <w:proofErr w:type="gramEnd"/>
      <w:r w:rsidRPr="179EDB11" w:rsidR="3B43A286">
        <w:rPr>
          <w:rFonts w:ascii="Segoe UI" w:hAnsi="Segoe UI" w:eastAsia="Segoe UI" w:cs="Segoe UI"/>
          <w:color w:val="auto"/>
          <w:lang w:val="en-GB"/>
        </w:rPr>
        <w:t xml:space="preserve">s daily contemplations. </w:t>
      </w:r>
      <w:r w:rsidRPr="179EDB11" w:rsidR="6CA72707">
        <w:rPr>
          <w:rFonts w:ascii="Segoe UI" w:hAnsi="Segoe UI" w:eastAsia="Segoe UI" w:cs="Segoe UI"/>
          <w:color w:val="auto"/>
          <w:lang w:val="en-GB"/>
        </w:rPr>
        <w:t xml:space="preserve">Jung was initially inspired by Freud’s work, </w:t>
      </w:r>
      <w:r w:rsidRPr="179EDB11" w:rsidR="6CA72707">
        <w:rPr>
          <w:rFonts w:ascii="Segoe UI" w:hAnsi="Segoe UI" w:eastAsia="Segoe UI" w:cs="Segoe UI"/>
          <w:color w:val="auto"/>
          <w:lang w:val="en-GB"/>
        </w:rPr>
        <w:t xml:space="preserve">due to their shared interest in the unconscious or </w:t>
      </w:r>
      <w:r w:rsidRPr="179EDB11" w:rsidR="6CA72707">
        <w:rPr>
          <w:rFonts w:ascii="Segoe UI" w:hAnsi="Segoe UI" w:eastAsia="Segoe UI" w:cs="Segoe UI"/>
          <w:color w:val="auto"/>
          <w:lang w:val="en-GB"/>
        </w:rPr>
        <w:t xml:space="preserve">’psychoanalysis,’ </w:t>
      </w:r>
      <w:r w:rsidRPr="179EDB11" w:rsidR="6CA72707">
        <w:rPr>
          <w:rFonts w:ascii="Segoe UI" w:hAnsi="Segoe UI" w:eastAsia="Segoe UI" w:cs="Segoe UI"/>
          <w:color w:val="auto"/>
          <w:lang w:val="en-GB"/>
        </w:rPr>
        <w:t>Shamdasani wrote.</w:t>
      </w:r>
      <w:r w:rsidRPr="179EDB11" w:rsidR="002E4488">
        <w:rPr>
          <w:rStyle w:val="FootnoteReference"/>
          <w:rFonts w:ascii="Segoe UI" w:hAnsi="Segoe UI" w:eastAsia="Segoe UI" w:cs="Segoe UI"/>
          <w:color w:val="auto"/>
          <w:lang w:val="en-GB"/>
        </w:rPr>
        <w:footnoteReference w:id="11"/>
      </w:r>
      <w:r w:rsidRPr="179EDB11" w:rsidR="6CA72707">
        <w:rPr>
          <w:rFonts w:ascii="Segoe UI" w:hAnsi="Segoe UI" w:eastAsia="Segoe UI" w:cs="Segoe UI"/>
          <w:color w:val="auto"/>
          <w:lang w:val="en-GB"/>
        </w:rPr>
        <w:t xml:space="preserve"> However, from </w:t>
      </w:r>
      <w:r w:rsidRPr="179EDB11" w:rsidR="6CA72707">
        <w:rPr>
          <w:rFonts w:ascii="Segoe UI" w:hAnsi="Segoe UI" w:eastAsia="Segoe UI" w:cs="Segoe UI"/>
          <w:color w:val="auto"/>
          <w:lang w:val="en-GB"/>
        </w:rPr>
        <w:t xml:space="preserve">a biographical standpoint, Jung’s astrological intrigue was a contributing component in Jung’s personal and professional split with Freud in </w:t>
      </w:r>
      <w:r w:rsidRPr="179EDB11" w:rsidR="6CA72707">
        <w:rPr>
          <w:rFonts w:ascii="Segoe UI" w:hAnsi="Segoe UI" w:eastAsia="Segoe UI" w:cs="Segoe UI"/>
          <w:color w:val="auto"/>
          <w:lang w:val="en-GB"/>
        </w:rPr>
        <w:t xml:space="preserve">1913, by way of Jung’s publication: </w:t>
      </w:r>
      <w:r w:rsidRPr="179EDB11" w:rsidR="6CA72707">
        <w:rPr>
          <w:rFonts w:ascii="Segoe UI" w:hAnsi="Segoe UI" w:eastAsia="Segoe UI" w:cs="Segoe UI"/>
          <w:i w:val="1"/>
          <w:iCs w:val="1"/>
          <w:color w:val="auto"/>
          <w:lang w:val="en-GB"/>
        </w:rPr>
        <w:t xml:space="preserve">Wandlungen und Symbole der Libido, </w:t>
      </w:r>
      <w:r w:rsidRPr="179EDB11" w:rsidR="6CA72707">
        <w:rPr>
          <w:rFonts w:ascii="Segoe UI" w:hAnsi="Segoe UI" w:eastAsia="Segoe UI" w:cs="Segoe UI"/>
          <w:color w:val="auto"/>
          <w:lang w:val="en-GB"/>
        </w:rPr>
        <w:t>published in 1911 and again in 1912.</w:t>
      </w:r>
      <w:r w:rsidRPr="179EDB11" w:rsidR="002E4488">
        <w:rPr>
          <w:rStyle w:val="FootnoteReference"/>
          <w:rFonts w:ascii="Segoe UI" w:hAnsi="Segoe UI" w:eastAsia="Segoe UI" w:cs="Segoe UI"/>
          <w:color w:val="auto"/>
          <w:lang w:val="en-GB"/>
        </w:rPr>
        <w:footnoteReference w:id="12"/>
      </w:r>
      <w:r w:rsidRPr="179EDB11" w:rsidR="6CA72707">
        <w:rPr>
          <w:rFonts w:ascii="Segoe UI" w:hAnsi="Segoe UI" w:eastAsia="Segoe UI" w:cs="Segoe UI"/>
          <w:color w:val="auto"/>
          <w:lang w:val="en-GB"/>
        </w:rPr>
        <w:t xml:space="preserve"> This confirmed their split - quoting Jung, ’</w:t>
      </w:r>
      <w:r w:rsidRPr="179EDB11" w:rsidR="6CA72707">
        <w:rPr>
          <w:rFonts w:ascii="Segoe UI" w:hAnsi="Segoe UI" w:eastAsia="Segoe UI" w:cs="Segoe UI"/>
          <w:color w:val="auto"/>
          <w:lang w:val="en-GB"/>
        </w:rPr>
        <w:t xml:space="preserve">The publication of the book marks the end of our friendship.’</w:t>
      </w:r>
      <w:r w:rsidRPr="179EDB11" w:rsidR="002E4488">
        <w:rPr>
          <w:rStyle w:val="FootnoteReference"/>
          <w:rFonts w:ascii="Segoe UI" w:hAnsi="Segoe UI" w:eastAsia="Segoe UI" w:cs="Segoe UI"/>
          <w:color w:val="auto"/>
          <w:lang w:val="en-GB"/>
        </w:rPr>
        <w:footnoteReference w:id="13"/>
      </w:r>
      <w:r w:rsidRPr="179EDB11" w:rsidR="6CA72707">
        <w:rPr>
          <w:rFonts w:ascii="Segoe UI" w:hAnsi="Segoe UI" w:eastAsia="Segoe UI" w:cs="Segoe UI"/>
          <w:color w:val="auto"/>
          <w:lang w:val="en-GB"/>
        </w:rPr>
        <w:t xml:space="preserve"> </w:t>
      </w:r>
      <w:r w:rsidRPr="179EDB11" w:rsidR="1A5094ED">
        <w:rPr>
          <w:rFonts w:ascii="Segoe UI" w:hAnsi="Segoe UI" w:eastAsia="Segoe UI" w:cs="Segoe UI"/>
          <w:color w:val="auto"/>
          <w:lang w:val="en-GB"/>
        </w:rPr>
        <w:t xml:space="preserve">Thus, it is clear Jung’s astrological </w:t>
      </w:r>
      <w:r w:rsidRPr="179EDB11" w:rsidR="1A5094ED">
        <w:rPr>
          <w:rFonts w:ascii="Segoe UI" w:hAnsi="Segoe UI" w:eastAsia="Segoe UI" w:cs="Segoe UI"/>
          <w:color w:val="auto"/>
          <w:lang w:val="en-GB"/>
        </w:rPr>
        <w:t xml:space="preserve">explorations were well underway by the time he encountered </w:t>
      </w:r>
      <w:r w:rsidRPr="179EDB11" w:rsidR="1A5094ED">
        <w:rPr>
          <w:rFonts w:ascii="Segoe UI" w:hAnsi="Segoe UI" w:eastAsia="Segoe UI" w:cs="Segoe UI"/>
          <w:color w:val="auto"/>
          <w:lang w:val="en-GB"/>
        </w:rPr>
        <w:t>Freud;</w:t>
      </w:r>
      <w:r w:rsidRPr="179EDB11" w:rsidR="1A5094ED">
        <w:rPr>
          <w:rFonts w:ascii="Segoe UI" w:hAnsi="Segoe UI" w:eastAsia="Segoe UI" w:cs="Segoe UI"/>
          <w:color w:val="auto"/>
          <w:lang w:val="en-GB"/>
        </w:rPr>
        <w:lastRenderedPageBreak/>
        <w:t xml:space="preserve"> Stephanie Buck suggests.</w:t>
      </w:r>
      <w:r w:rsidRPr="179EDB11" w:rsidR="002E4488">
        <w:rPr>
          <w:rStyle w:val="FootnoteReference"/>
          <w:rFonts w:ascii="Segoe UI" w:hAnsi="Segoe UI" w:eastAsia="Segoe UI" w:cs="Segoe UI"/>
          <w:color w:val="auto"/>
          <w:lang w:val="en-GB"/>
        </w:rPr>
        <w:footnoteReference w:id="14"/>
      </w:r>
    </w:p>
    <w:p w:rsidR="001A6155" w:rsidP="179EDB11" w:rsidRDefault="55F0D9A6" w14:paraId="6E87DBA3" w14:textId="06D6D69F">
      <w:pPr>
        <w:spacing w:line="480" w:lineRule="auto"/>
        <w:jc w:val="both"/>
        <w:rPr>
          <w:rFonts w:ascii="Segoe UI" w:hAnsi="Segoe UI" w:eastAsia="Segoe UI" w:cs="Segoe UI"/>
          <w:color w:val="auto"/>
          <w:lang w:val="en-GB"/>
        </w:rPr>
      </w:pPr>
      <w:r w:rsidRPr="179EDB11" w:rsidR="1A5094ED">
        <w:rPr>
          <w:rFonts w:ascii="Segoe UI" w:hAnsi="Segoe UI" w:eastAsia="Segoe UI" w:cs="Segoe UI"/>
          <w:color w:val="auto"/>
          <w:lang w:val="en-GB"/>
        </w:rPr>
        <w:t xml:space="preserve">Jung held an interest in astrology throughout much of his life, evident in a letter in 1947 to Indian astrologer B. V Ramen </w:t>
      </w:r>
      <w:r w:rsidRPr="179EDB11" w:rsidR="1A5094ED">
        <w:rPr>
          <w:rFonts w:ascii="Segoe UI" w:hAnsi="Segoe UI" w:eastAsia="Segoe UI" w:cs="Segoe UI"/>
          <w:color w:val="auto"/>
          <w:lang w:val="en-GB"/>
        </w:rPr>
        <w:t>(1912-1998), in which Jung described being interested in astrology for over three decad</w:t>
      </w:r>
      <w:r w:rsidRPr="179EDB11" w:rsidR="1A5094ED">
        <w:rPr>
          <w:rFonts w:ascii="Segoe UI" w:hAnsi="Segoe UI" w:eastAsia="Segoe UI" w:cs="Segoe UI"/>
          <w:color w:val="auto"/>
          <w:lang w:val="en-GB"/>
        </w:rPr>
        <w:t>es, also explaining of his interest in using horoscopes with his patients.</w:t>
      </w:r>
      <w:r w:rsidRPr="179EDB11" w:rsidR="002E4488">
        <w:rPr>
          <w:rStyle w:val="FootnoteReference"/>
          <w:rFonts w:ascii="Segoe UI" w:hAnsi="Segoe UI" w:eastAsia="Segoe UI" w:cs="Segoe UI"/>
          <w:color w:val="auto"/>
          <w:lang w:val="en-GB"/>
        </w:rPr>
        <w:footnoteReference w:id="15"/>
      </w:r>
      <w:r w:rsidRPr="179EDB11" w:rsidR="4E5D8242">
        <w:rPr>
          <w:rFonts w:ascii="Segoe UI" w:hAnsi="Segoe UI" w:eastAsia="Segoe UI" w:cs="Segoe UI"/>
          <w:color w:val="auto"/>
          <w:lang w:val="en-GB"/>
        </w:rPr>
        <w:t xml:space="preserve"> </w:t>
      </w:r>
      <w:r w:rsidRPr="179EDB11" w:rsidR="6CA72707">
        <w:rPr>
          <w:rFonts w:ascii="Segoe UI" w:hAnsi="Segoe UI" w:eastAsia="Segoe UI" w:cs="Segoe UI"/>
          <w:color w:val="auto"/>
          <w:lang w:val="en-GB"/>
        </w:rPr>
        <w:t xml:space="preserve">To further contextualized Jung’s fascination with astrology, one can look towards </w:t>
      </w:r>
      <w:r w:rsidRPr="179EDB11" w:rsidR="6CA72707">
        <w:rPr>
          <w:rFonts w:ascii="Segoe UI" w:hAnsi="Segoe UI" w:eastAsia="Segoe UI" w:cs="Segoe UI"/>
          <w:color w:val="auto"/>
          <w:lang w:val="en-GB"/>
        </w:rPr>
        <w:t>Gret</w:t>
      </w:r>
      <w:r w:rsidRPr="179EDB11" w:rsidR="6CA72707">
        <w:rPr>
          <w:rFonts w:ascii="Segoe UI" w:hAnsi="Segoe UI" w:eastAsia="Segoe UI" w:cs="Segoe UI"/>
          <w:color w:val="auto"/>
          <w:lang w:val="en-GB"/>
        </w:rPr>
        <w:t xml:space="preserve"> Baumann-Jung (1906-1995), Jung’s daughter.</w:t>
      </w:r>
      <w:r w:rsidRPr="179EDB11" w:rsidR="002E4488">
        <w:rPr>
          <w:rStyle w:val="FootnoteReference"/>
          <w:rFonts w:ascii="Segoe UI" w:hAnsi="Segoe UI" w:eastAsia="Segoe UI" w:cs="Segoe UI"/>
          <w:color w:val="auto"/>
          <w:lang w:val="en-GB"/>
        </w:rPr>
        <w:footnoteReference w:id="16"/>
      </w:r>
      <w:r w:rsidRPr="179EDB11" w:rsidR="3B43A286">
        <w:rPr>
          <w:rFonts w:ascii="Segoe UI" w:hAnsi="Segoe UI" w:eastAsia="Segoe UI" w:cs="Segoe UI"/>
          <w:color w:val="auto"/>
          <w:lang w:val="en-GB"/>
        </w:rPr>
        <w:t xml:space="preserve"> According to </w:t>
      </w:r>
      <w:r w:rsidRPr="179EDB11" w:rsidR="3B43A286">
        <w:rPr>
          <w:rFonts w:ascii="Segoe UI" w:hAnsi="Segoe UI" w:eastAsia="Segoe UI" w:cs="Segoe UI"/>
          <w:color w:val="auto"/>
          <w:lang w:val="en-GB"/>
        </w:rPr>
        <w:t>Gret</w:t>
      </w:r>
      <w:r w:rsidRPr="179EDB11" w:rsidR="3B43A286">
        <w:rPr>
          <w:rFonts w:ascii="Segoe UI" w:hAnsi="Segoe UI" w:eastAsia="Segoe UI" w:cs="Segoe UI"/>
          <w:color w:val="auto"/>
          <w:lang w:val="en-GB"/>
        </w:rPr>
        <w:t xml:space="preserve"> herself, she began her astrological intrigue at fifteen</w:t>
      </w:r>
      <w:r w:rsidRPr="179EDB11" w:rsidR="3B43A286">
        <w:rPr>
          <w:rFonts w:ascii="Segoe UI" w:hAnsi="Segoe UI" w:eastAsia="Segoe UI" w:cs="Segoe UI"/>
          <w:color w:val="auto"/>
          <w:lang w:val="en-GB"/>
        </w:rPr>
        <w:t xml:space="preserve">.</w:t>
      </w:r>
      <w:r w:rsidRPr="179EDB11" w:rsidR="002E4488">
        <w:rPr>
          <w:rStyle w:val="FootnoteReference"/>
          <w:rFonts w:ascii="Segoe UI" w:hAnsi="Segoe UI" w:eastAsia="Segoe UI" w:cs="Segoe UI"/>
          <w:color w:val="auto"/>
          <w:lang w:val="en-GB"/>
        </w:rPr>
        <w:footnoteReference w:id="17"/>
      </w:r>
      <w:r w:rsidRPr="179EDB11" w:rsidR="3B43A286">
        <w:rPr>
          <w:rFonts w:ascii="Segoe UI" w:hAnsi="Segoe UI" w:eastAsia="Segoe UI" w:cs="Segoe UI"/>
          <w:color w:val="auto"/>
          <w:lang w:val="en-GB"/>
        </w:rPr>
        <w:t xml:space="preserve"> It is likely that Jung’s </w:t>
      </w:r>
      <w:r w:rsidRPr="179EDB11" w:rsidR="6CA72707">
        <w:rPr>
          <w:rFonts w:ascii="Segoe UI" w:hAnsi="Segoe UI" w:eastAsia="Segoe UI" w:cs="Segoe UI"/>
          <w:color w:val="auto"/>
          <w:lang w:val="en-GB"/>
        </w:rPr>
        <w:t xml:space="preserve">relationship with astrology had a bearing on </w:t>
      </w:r>
      <w:r w:rsidRPr="179EDB11" w:rsidR="6CA72707">
        <w:rPr>
          <w:rFonts w:ascii="Segoe UI" w:hAnsi="Segoe UI" w:eastAsia="Segoe UI" w:cs="Segoe UI"/>
          <w:color w:val="auto"/>
          <w:lang w:val="en-GB"/>
        </w:rPr>
        <w:t>Gret’s</w:t>
      </w:r>
      <w:r w:rsidRPr="179EDB11" w:rsidR="6CA72707">
        <w:rPr>
          <w:rFonts w:ascii="Segoe UI" w:hAnsi="Segoe UI" w:eastAsia="Segoe UI" w:cs="Segoe UI"/>
          <w:color w:val="auto"/>
          <w:lang w:val="en-GB"/>
        </w:rPr>
        <w:t xml:space="preserve"> own astrological inquisitiveness. For example, she was a collaborator in her father’s work </w:t>
      </w:r>
      <w:r w:rsidRPr="179EDB11" w:rsidR="481DADFF">
        <w:rPr>
          <w:rFonts w:ascii="Segoe UI" w:hAnsi="Segoe UI" w:eastAsia="Segoe UI" w:cs="Segoe UI"/>
          <w:color w:val="auto"/>
          <w:lang w:val="en-GB"/>
        </w:rPr>
        <w:t>and would initially learn astrology in the first place so she could supply her father with horoscopes of his patients, Brian Clark wrote.</w:t>
      </w:r>
      <w:r w:rsidRPr="179EDB11" w:rsidR="002E4488">
        <w:rPr>
          <w:rStyle w:val="FootnoteReference"/>
          <w:rFonts w:ascii="Segoe UI" w:hAnsi="Segoe UI" w:eastAsia="Segoe UI" w:cs="Segoe UI"/>
          <w:color w:val="auto"/>
          <w:lang w:val="en-GB"/>
        </w:rPr>
        <w:footnoteReference w:id="18"/>
      </w:r>
      <w:r w:rsidRPr="179EDB11" w:rsidR="481DADFF">
        <w:rPr>
          <w:rFonts w:ascii="Segoe UI" w:hAnsi="Segoe UI" w:eastAsia="Segoe UI" w:cs="Segoe UI"/>
          <w:color w:val="auto"/>
          <w:lang w:val="en-GB"/>
        </w:rPr>
        <w:t xml:space="preserve"> According to </w:t>
      </w:r>
      <w:r w:rsidRPr="179EDB11" w:rsidR="481DADFF">
        <w:rPr>
          <w:rFonts w:ascii="Segoe UI" w:hAnsi="Segoe UI" w:eastAsia="Segoe UI" w:cs="Segoe UI"/>
          <w:color w:val="auto"/>
          <w:lang w:val="en-GB"/>
        </w:rPr>
        <w:t>Gret</w:t>
      </w:r>
      <w:r w:rsidRPr="179EDB11" w:rsidR="481DADFF">
        <w:rPr>
          <w:rFonts w:ascii="Segoe UI" w:hAnsi="Segoe UI" w:eastAsia="Segoe UI" w:cs="Segoe UI"/>
          <w:color w:val="auto"/>
          <w:lang w:val="en-GB"/>
        </w:rPr>
        <w:t xml:space="preserve"> herself, she did a delineation</w:t>
      </w:r>
      <w:r w:rsidRPr="179EDB11" w:rsidR="002E4488">
        <w:rPr>
          <w:rStyle w:val="FootnoteReference"/>
          <w:rFonts w:ascii="Segoe UI" w:hAnsi="Segoe UI" w:eastAsia="Segoe UI" w:cs="Segoe UI"/>
          <w:color w:val="auto"/>
          <w:lang w:val="en-GB"/>
        </w:rPr>
        <w:footnoteReference w:id="19"/>
      </w:r>
      <w:r w:rsidRPr="179EDB11" w:rsidR="481DADFF">
        <w:rPr>
          <w:rFonts w:ascii="Segoe UI" w:hAnsi="Segoe UI" w:eastAsia="Segoe UI" w:cs="Segoe UI"/>
          <w:color w:val="auto"/>
          <w:lang w:val="en-GB"/>
        </w:rPr>
        <w:t xml:space="preserve"> of her father’s birth chart, elucidating that, as they conversed on the topic of horoscopes </w:t>
      </w:r>
      <w:r w:rsidRPr="179EDB11" w:rsidR="481DADFF">
        <w:rPr>
          <w:rFonts w:ascii="Segoe UI" w:hAnsi="Segoe UI" w:eastAsia="Segoe UI" w:cs="Segoe UI"/>
          <w:color w:val="auto"/>
          <w:lang w:val="en-GB"/>
        </w:rPr>
        <w:t>soon before Jung’s passing, he remarked that ’</w:t>
      </w:r>
      <w:r w:rsidRPr="179EDB11" w:rsidR="481DADFF">
        <w:rPr>
          <w:rFonts w:ascii="Segoe UI" w:hAnsi="Segoe UI" w:eastAsia="Segoe UI" w:cs="Segoe UI"/>
          <w:color w:val="auto"/>
          <w:lang w:val="en-GB"/>
        </w:rPr>
        <w:t>the funny thing is that the darned stuff even works after death.</w:t>
      </w:r>
      <w:r w:rsidRPr="179EDB11" w:rsidR="002E4488">
        <w:rPr>
          <w:rStyle w:val="FootnoteReference"/>
          <w:rFonts w:ascii="Segoe UI" w:hAnsi="Segoe UI" w:eastAsia="Segoe UI" w:cs="Segoe UI"/>
          <w:color w:val="auto"/>
          <w:lang w:val="en-GB"/>
        </w:rPr>
        <w:footnoteReference w:id="20"/>
      </w:r>
      <w:r w:rsidRPr="179EDB11" w:rsidR="481DADFF">
        <w:rPr>
          <w:rFonts w:ascii="Segoe UI" w:hAnsi="Segoe UI" w:eastAsia="Segoe UI" w:cs="Segoe UI"/>
          <w:color w:val="auto"/>
          <w:lang w:val="en-GB"/>
        </w:rPr>
        <w:t xml:space="preserve"> </w:t>
      </w:r>
      <w:r w:rsidRPr="179EDB11" w:rsidR="481DADFF">
        <w:rPr>
          <w:rFonts w:ascii="Segoe UI" w:hAnsi="Segoe UI" w:eastAsia="Segoe UI" w:cs="Segoe UI"/>
          <w:color w:val="auto"/>
          <w:lang w:val="en-GB"/>
        </w:rPr>
        <w:t xml:space="preserve">This description while in a personal environment, in which he likely would </w:t>
      </w:r>
      <w:r w:rsidRPr="179EDB11" w:rsidR="481DADFF">
        <w:rPr>
          <w:rFonts w:ascii="Segoe UI" w:hAnsi="Segoe UI" w:eastAsia="Segoe UI" w:cs="Segoe UI"/>
          <w:color w:val="auto"/>
          <w:lang w:val="en-GB"/>
        </w:rPr>
        <w:t xml:space="preserve">have felt no reason to be guarded, </w:t>
      </w:r>
      <w:r w:rsidRPr="179EDB11" w:rsidR="481DADFF">
        <w:rPr>
          <w:rFonts w:ascii="Segoe UI" w:hAnsi="Segoe UI" w:eastAsia="Segoe UI" w:cs="Segoe UI"/>
          <w:color w:val="auto"/>
          <w:lang w:val="en-GB"/>
        </w:rPr>
        <w:t xml:space="preserve">gives an inclination of Jung’s confusion in attempting to coherently put astrology into context, which perpetuated until his passing. Thus, </w:t>
      </w:r>
      <w:r w:rsidRPr="179EDB11" w:rsidR="4E5D8242">
        <w:rPr>
          <w:rFonts w:ascii="Segoe UI" w:hAnsi="Segoe UI" w:eastAsia="Segoe UI" w:cs="Segoe UI"/>
          <w:color w:val="auto"/>
          <w:lang w:val="en-GB"/>
        </w:rPr>
        <w:t xml:space="preserve">the most obvious finding to emerge </w:t>
      </w:r>
      <w:r w:rsidRPr="179EDB11" w:rsidR="4E5D8242">
        <w:rPr>
          <w:rFonts w:ascii="Segoe UI" w:hAnsi="Segoe UI" w:eastAsia="Segoe UI" w:cs="Segoe UI"/>
          <w:color w:val="auto"/>
          <w:lang w:val="en-GB"/>
        </w:rPr>
        <w:t xml:space="preserve">from this section of the essay is Jung’s clear </w:t>
      </w:r>
      <w:r w:rsidRPr="179EDB11" w:rsidR="4E5D8242">
        <w:rPr>
          <w:rFonts w:ascii="Segoe UI" w:hAnsi="Segoe UI" w:eastAsia="Segoe UI" w:cs="Segoe UI"/>
          <w:color w:val="auto"/>
          <w:lang w:val="en-GB"/>
        </w:rPr>
        <w:lastRenderedPageBreak/>
        <w:t xml:space="preserve">fascination with astrology, both on a personal and professional level. The chapter below explores active imagination.</w:t>
      </w:r>
    </w:p>
    <w:p w:rsidR="001A6155" w:rsidP="179EDB11" w:rsidRDefault="55F0D9A6" w14:paraId="76BA7F5D" w14:textId="569AAE8A">
      <w:pPr>
        <w:pStyle w:val="Normal"/>
        <w:spacing w:line="480" w:lineRule="auto"/>
        <w:jc w:val="both"/>
        <w:rPr>
          <w:rFonts w:ascii="Segoe UI" w:hAnsi="Segoe UI" w:eastAsia="Segoe UI" w:cs="Segoe UI"/>
          <w:color w:val="auto"/>
          <w:lang w:val="en-GB"/>
        </w:rPr>
      </w:pPr>
    </w:p>
    <w:p w:rsidR="179EDB11" w:rsidP="179EDB11" w:rsidRDefault="179EDB11" w14:paraId="0CF65293" w14:textId="3C2B5268">
      <w:pPr>
        <w:pStyle w:val="Normal"/>
        <w:spacing w:line="480" w:lineRule="auto"/>
        <w:jc w:val="both"/>
        <w:rPr>
          <w:rFonts w:ascii="Segoe UI" w:hAnsi="Segoe UI" w:eastAsia="Segoe UI" w:cs="Segoe UI"/>
          <w:color w:val="auto"/>
          <w:lang w:val="en-GB"/>
        </w:rPr>
      </w:pPr>
    </w:p>
    <w:p w:rsidR="001A6155" w:rsidP="179EDB11" w:rsidRDefault="1CDE5FFE" w14:paraId="23C7CD52" w14:textId="443603E2" w14:noSpellErr="1">
      <w:pPr>
        <w:spacing w:line="480" w:lineRule="auto"/>
        <w:jc w:val="both"/>
        <w:rPr>
          <w:rFonts w:ascii="Segoe UI" w:hAnsi="Segoe UI" w:eastAsia="Segoe UI" w:cs="Segoe UI"/>
          <w:b w:val="1"/>
          <w:bCs w:val="1"/>
          <w:color w:val="auto"/>
          <w:lang w:val="en-GB"/>
        </w:rPr>
      </w:pPr>
      <w:r w:rsidRPr="179EDB11" w:rsidR="39F243DA">
        <w:rPr>
          <w:rFonts w:ascii="Segoe UI" w:hAnsi="Segoe UI" w:eastAsia="Segoe UI" w:cs="Segoe UI"/>
          <w:b w:val="1"/>
          <w:bCs w:val="1"/>
          <w:color w:val="auto"/>
          <w:lang w:val="en-GB"/>
        </w:rPr>
        <w:t>Active Imagination</w:t>
      </w:r>
    </w:p>
    <w:p w:rsidR="001A6155" w:rsidP="179EDB11" w:rsidRDefault="68C12C30" w14:paraId="01574E42" w14:textId="5C9ED2D4">
      <w:pPr>
        <w:spacing w:line="480" w:lineRule="auto"/>
        <w:jc w:val="both"/>
        <w:rPr>
          <w:rFonts w:ascii="Segoe UI" w:hAnsi="Segoe UI" w:eastAsia="Segoe UI" w:cs="Segoe UI"/>
          <w:color w:val="auto"/>
          <w:lang w:val="en-GB"/>
        </w:rPr>
      </w:pPr>
      <w:r w:rsidRPr="179EDB11" w:rsidR="1A5094ED">
        <w:rPr>
          <w:rFonts w:ascii="Segoe UI" w:hAnsi="Segoe UI" w:eastAsia="Segoe UI" w:cs="Segoe UI"/>
          <w:color w:val="auto"/>
        </w:rPr>
        <w:t xml:space="preserve">According to Campion, Jung was a Swiss psychiatrist and psychologist and one of the founding fathers of contemporary </w:t>
      </w:r>
      <w:r w:rsidRPr="179EDB11" w:rsidR="1A5094ED">
        <w:rPr>
          <w:rFonts w:ascii="Segoe UI" w:hAnsi="Segoe UI" w:eastAsia="Segoe UI" w:cs="Segoe UI"/>
          <w:color w:val="auto"/>
        </w:rPr>
        <w:t>’depth psychology,’</w:t>
      </w:r>
      <w:r w:rsidRPr="179EDB11" w:rsidR="002E4488">
        <w:rPr>
          <w:rStyle w:val="FootnoteReference"/>
          <w:rFonts w:ascii="Segoe UI" w:hAnsi="Segoe UI" w:eastAsia="Segoe UI" w:cs="Segoe UI"/>
          <w:color w:val="auto"/>
        </w:rPr>
        <w:footnoteReference w:id="21"/>
      </w:r>
      <w:r w:rsidRPr="179EDB11" w:rsidR="1A5094ED">
        <w:rPr>
          <w:rFonts w:ascii="Segoe UI" w:hAnsi="Segoe UI" w:eastAsia="Segoe UI" w:cs="Segoe UI"/>
          <w:color w:val="auto"/>
        </w:rPr>
        <w:t xml:space="preserve"> </w:t>
      </w:r>
      <w:r w:rsidRPr="179EDB11" w:rsidR="1A5094ED">
        <w:rPr>
          <w:rFonts w:ascii="Segoe UI" w:hAnsi="Segoe UI" w:eastAsia="Segoe UI" w:cs="Segoe UI"/>
          <w:color w:val="auto"/>
        </w:rPr>
        <w:t>- which is the practice and research into the unconscious mind, Gerald R. Weiner suggests.</w:t>
      </w:r>
      <w:r w:rsidRPr="179EDB11" w:rsidR="002E4488">
        <w:rPr>
          <w:rStyle w:val="FootnoteReference"/>
          <w:rFonts w:ascii="Segoe UI" w:hAnsi="Segoe UI" w:eastAsia="Segoe UI" w:cs="Segoe UI"/>
          <w:color w:val="auto"/>
        </w:rPr>
        <w:footnoteReference w:id="22"/>
      </w:r>
      <w:r w:rsidRPr="179EDB11" w:rsidR="1A5094ED">
        <w:rPr>
          <w:rFonts w:ascii="Segoe UI" w:hAnsi="Segoe UI" w:eastAsia="Segoe UI" w:cs="Segoe UI"/>
          <w:color w:val="auto"/>
          <w:lang w:val="en-GB"/>
        </w:rPr>
        <w:t xml:space="preserve"> Accordingly, Greene notes the importance astrology held for Jung both personally and in his psychological work.</w:t>
      </w:r>
      <w:r w:rsidRPr="179EDB11" w:rsidR="002E4488">
        <w:rPr>
          <w:rStyle w:val="FootnoteReference"/>
          <w:rFonts w:ascii="Segoe UI" w:hAnsi="Segoe UI" w:eastAsia="Segoe UI" w:cs="Segoe UI"/>
          <w:color w:val="auto"/>
          <w:lang w:val="en-GB"/>
        </w:rPr>
        <w:footnoteReference w:id="23"/>
      </w:r>
      <w:r w:rsidRPr="179EDB11" w:rsidR="6CA72707">
        <w:rPr>
          <w:rFonts w:ascii="Segoe UI" w:hAnsi="Segoe UI" w:eastAsia="Segoe UI" w:cs="Segoe UI"/>
          <w:color w:val="auto"/>
          <w:lang w:val="en-GB"/>
        </w:rPr>
        <w:t xml:space="preserve"> </w:t>
      </w:r>
      <w:r w:rsidRPr="179EDB11" w:rsidR="39F243DA">
        <w:rPr>
          <w:rFonts w:ascii="Segoe UI" w:hAnsi="Segoe UI" w:eastAsia="Segoe UI" w:cs="Segoe UI"/>
          <w:color w:val="auto"/>
          <w:lang w:val="en-GB"/>
        </w:rPr>
        <w:t xml:space="preserve">To put this into further context, following Jung’s split with Freud, Jung had many a </w:t>
      </w:r>
      <w:r w:rsidRPr="179EDB11" w:rsidR="39F243DA">
        <w:rPr>
          <w:rFonts w:ascii="Segoe UI" w:hAnsi="Segoe UI" w:eastAsia="Segoe UI" w:cs="Segoe UI"/>
          <w:color w:val="auto"/>
          <w:lang w:val="en-GB"/>
        </w:rPr>
        <w:t>’</w:t>
      </w:r>
      <w:r w:rsidRPr="179EDB11" w:rsidR="39F243DA">
        <w:rPr>
          <w:rFonts w:ascii="Segoe UI" w:hAnsi="Segoe UI" w:eastAsia="Segoe UI" w:cs="Segoe UI"/>
          <w:color w:val="auto"/>
          <w:lang w:val="en-GB"/>
        </w:rPr>
        <w:t>confrontation with his unconscious,’</w:t>
      </w:r>
      <w:r w:rsidRPr="179EDB11" w:rsidR="002E4488">
        <w:rPr>
          <w:rStyle w:val="FootnoteReference"/>
          <w:rFonts w:ascii="Segoe UI" w:hAnsi="Segoe UI" w:eastAsia="Segoe UI" w:cs="Segoe UI"/>
          <w:color w:val="auto"/>
          <w:lang w:val="en-GB"/>
        </w:rPr>
        <w:footnoteReference w:id="24"/>
      </w:r>
      <w:r w:rsidRPr="179EDB11" w:rsidR="39F243DA">
        <w:rPr>
          <w:rFonts w:ascii="Segoe UI" w:hAnsi="Segoe UI" w:eastAsia="Segoe UI" w:cs="Segoe UI"/>
          <w:color w:val="auto"/>
          <w:lang w:val="en-GB"/>
        </w:rPr>
        <w:t xml:space="preserve"> through which he contrived </w:t>
      </w:r>
      <w:r w:rsidRPr="179EDB11" w:rsidR="39F243DA">
        <w:rPr>
          <w:rFonts w:ascii="Segoe UI" w:hAnsi="Segoe UI" w:eastAsia="Segoe UI" w:cs="Segoe UI"/>
          <w:color w:val="auto"/>
          <w:lang w:val="en-GB"/>
        </w:rPr>
        <w:t>‘archetypes,’</w:t>
      </w:r>
      <w:r w:rsidRPr="179EDB11" w:rsidR="002E4488">
        <w:rPr>
          <w:rStyle w:val="FootnoteReference"/>
          <w:rFonts w:ascii="Segoe UI" w:hAnsi="Segoe UI" w:eastAsia="Segoe UI" w:cs="Segoe UI"/>
          <w:color w:val="auto"/>
        </w:rPr>
        <w:footnoteReference w:id="25"/>
      </w:r>
      <w:r w:rsidRPr="179EDB11" w:rsidR="39F243DA">
        <w:rPr>
          <w:rFonts w:ascii="Segoe UI" w:hAnsi="Segoe UI" w:eastAsia="Segoe UI" w:cs="Segoe UI"/>
          <w:color w:val="auto"/>
        </w:rPr>
        <w:t xml:space="preserve"> that he observed as images and themes that derive from, or represent the</w:t>
      </w:r>
      <w:r w:rsidRPr="179EDB11" w:rsidR="39F243DA">
        <w:rPr>
          <w:rFonts w:ascii="Segoe UI" w:hAnsi="Segoe UI" w:eastAsia="Segoe UI" w:cs="Segoe UI"/>
          <w:color w:val="auto"/>
        </w:rPr>
        <w:t xml:space="preserve"> </w:t>
      </w:r>
      <w:r w:rsidRPr="179EDB11" w:rsidR="39F243DA">
        <w:rPr>
          <w:rFonts w:ascii="Segoe UI" w:hAnsi="Segoe UI" w:eastAsia="Segoe UI" w:cs="Segoe UI"/>
          <w:color w:val="auto"/>
        </w:rPr>
        <w:t xml:space="preserve">mental aspects of an individual’s unconscious, or as </w:t>
      </w:r>
      <w:r w:rsidRPr="179EDB11" w:rsidR="39F243DA">
        <w:rPr>
          <w:rFonts w:ascii="Segoe UI" w:hAnsi="Segoe UI" w:eastAsia="Segoe UI" w:cs="Segoe UI"/>
          <w:color w:val="auto"/>
        </w:rPr>
        <w:t xml:space="preserve">Shamdasani suggests, the </w:t>
      </w:r>
      <w:r w:rsidRPr="179EDB11" w:rsidR="39F243DA">
        <w:rPr>
          <w:rFonts w:ascii="Segoe UI" w:hAnsi="Segoe UI" w:eastAsia="Segoe UI" w:cs="Segoe UI"/>
          <w:color w:val="auto"/>
        </w:rPr>
        <w:t>’collective unconscious.’</w:t>
      </w:r>
      <w:r w:rsidRPr="179EDB11" w:rsidR="002E4488">
        <w:rPr>
          <w:rStyle w:val="FootnoteReference"/>
          <w:rFonts w:ascii="Segoe UI" w:hAnsi="Segoe UI" w:eastAsia="Segoe UI" w:cs="Segoe UI"/>
          <w:color w:val="auto"/>
        </w:rPr>
        <w:footnoteReference w:id="26"/>
      </w:r>
      <w:r w:rsidRPr="179EDB11" w:rsidR="6CA72707">
        <w:rPr>
          <w:rFonts w:ascii="Segoe UI" w:hAnsi="Segoe UI" w:eastAsia="Segoe UI" w:cs="Segoe UI"/>
          <w:color w:val="auto"/>
          <w:lang w:val="en-GB"/>
        </w:rPr>
        <w:t xml:space="preserve"> Considering this, </w:t>
      </w:r>
      <w:r w:rsidRPr="179EDB11" w:rsidR="4E5D8242">
        <w:rPr>
          <w:rFonts w:ascii="Segoe UI" w:hAnsi="Segoe UI" w:eastAsia="Segoe UI" w:cs="Segoe UI"/>
          <w:color w:val="auto"/>
          <w:lang w:val="en-GB"/>
        </w:rPr>
        <w:t>Laner</w:t>
      </w:r>
      <w:r w:rsidRPr="179EDB11" w:rsidR="4E5D8242">
        <w:rPr>
          <w:rFonts w:ascii="Segoe UI" w:hAnsi="Segoe UI" w:eastAsia="Segoe UI" w:cs="Segoe UI"/>
          <w:color w:val="auto"/>
          <w:lang w:val="en-GB"/>
        </w:rPr>
        <w:t xml:space="preserve"> </w:t>
      </w:r>
      <w:r w:rsidRPr="179EDB11" w:rsidR="4E5D8242">
        <w:rPr>
          <w:rFonts w:ascii="Segoe UI" w:hAnsi="Segoe UI" w:eastAsia="Segoe UI" w:cs="Segoe UI"/>
          <w:color w:val="auto"/>
          <w:lang w:val="en-GB"/>
        </w:rPr>
        <w:t>Cassar</w:t>
      </w:r>
      <w:r w:rsidRPr="179EDB11" w:rsidR="4E5D8242">
        <w:rPr>
          <w:rFonts w:ascii="Segoe UI" w:hAnsi="Segoe UI" w:eastAsia="Segoe UI" w:cs="Segoe UI"/>
          <w:color w:val="auto"/>
          <w:lang w:val="en-GB"/>
        </w:rPr>
        <w:t xml:space="preserve"> suggests that Jung coined the term </w:t>
      </w:r>
      <w:r w:rsidRPr="179EDB11" w:rsidR="4E5D8242">
        <w:rPr>
          <w:rFonts w:ascii="Segoe UI" w:hAnsi="Segoe UI" w:eastAsia="Segoe UI" w:cs="Segoe UI"/>
          <w:color w:val="auto"/>
          <w:lang w:val="en-GB"/>
        </w:rPr>
        <w:t>’active imagination,’</w:t>
      </w:r>
      <w:r w:rsidRPr="179EDB11" w:rsidR="002E4488">
        <w:rPr>
          <w:rStyle w:val="FootnoteReference"/>
          <w:rFonts w:ascii="Segoe UI" w:hAnsi="Segoe UI" w:eastAsia="Segoe UI" w:cs="Segoe UI"/>
          <w:color w:val="auto"/>
          <w:lang w:val="en-GB"/>
        </w:rPr>
        <w:footnoteReference w:id="27"/>
      </w:r>
      <w:r w:rsidRPr="179EDB11" w:rsidR="4E5D8242">
        <w:rPr>
          <w:rFonts w:ascii="Segoe UI" w:hAnsi="Segoe UI" w:eastAsia="Segoe UI" w:cs="Segoe UI"/>
          <w:color w:val="auto"/>
          <w:lang w:val="en-GB"/>
        </w:rPr>
        <w:t xml:space="preserve"> </w:t>
      </w:r>
      <w:r w:rsidRPr="179EDB11" w:rsidR="4E5D8242">
        <w:rPr>
          <w:rFonts w:ascii="Segoe UI" w:hAnsi="Segoe UI" w:eastAsia="Segoe UI" w:cs="Segoe UI"/>
          <w:color w:val="auto"/>
          <w:lang w:val="en-GB"/>
        </w:rPr>
        <w:t>which is a technique he used to work with imagination.</w:t>
      </w:r>
      <w:r w:rsidRPr="179EDB11" w:rsidR="002E4488">
        <w:rPr>
          <w:rStyle w:val="FootnoteReference"/>
          <w:rFonts w:ascii="Segoe UI" w:hAnsi="Segoe UI" w:eastAsia="Segoe UI" w:cs="Segoe UI"/>
          <w:color w:val="auto"/>
          <w:lang w:val="en-GB"/>
        </w:rPr>
        <w:footnoteReference w:id="28"/>
      </w:r>
      <w:r w:rsidRPr="179EDB11" w:rsidR="4E5D8242">
        <w:rPr>
          <w:rFonts w:ascii="Segoe UI" w:hAnsi="Segoe UI" w:eastAsia="Segoe UI" w:cs="Segoe UI"/>
          <w:color w:val="auto"/>
          <w:lang w:val="en-GB"/>
        </w:rPr>
        <w:t xml:space="preserve"> Jung would use this technique to access his unconscious, which, simply put, </w:t>
      </w:r>
      <w:r w:rsidRPr="179EDB11" w:rsidR="4E5D8242">
        <w:rPr>
          <w:rFonts w:ascii="Segoe UI" w:hAnsi="Segoe UI" w:eastAsia="Segoe UI" w:cs="Segoe UI"/>
          <w:color w:val="auto"/>
          <w:lang w:val="en-GB"/>
        </w:rPr>
        <w:t xml:space="preserve">’formed the basis for </w:t>
      </w:r>
      <w:r w:rsidRPr="179EDB11" w:rsidR="4E5D8242">
        <w:rPr>
          <w:rFonts w:ascii="Segoe UI" w:hAnsi="Segoe UI" w:eastAsia="Segoe UI" w:cs="Segoe UI"/>
          <w:i w:val="1"/>
          <w:iCs w:val="1"/>
          <w:color w:val="auto"/>
          <w:lang w:val="en-GB"/>
        </w:rPr>
        <w:t xml:space="preserve">Liber </w:t>
      </w:r>
      <w:proofErr w:type="gramStart"/>
      <w:r w:rsidRPr="179EDB11" w:rsidR="4E5D8242">
        <w:rPr>
          <w:rFonts w:ascii="Segoe UI" w:hAnsi="Segoe UI" w:eastAsia="Segoe UI" w:cs="Segoe UI"/>
          <w:i w:val="1"/>
          <w:iCs w:val="1"/>
          <w:color w:val="auto"/>
          <w:lang w:val="en-GB"/>
        </w:rPr>
        <w:t>Novus,‘</w:t>
      </w:r>
      <w:proofErr w:type="gramEnd"/>
      <w:r w:rsidRPr="179EDB11" w:rsidR="4E5D8242">
        <w:rPr>
          <w:rFonts w:ascii="Segoe UI" w:hAnsi="Segoe UI" w:eastAsia="Segoe UI" w:cs="Segoe UI"/>
          <w:i w:val="1"/>
          <w:iCs w:val="1"/>
          <w:color w:val="auto"/>
          <w:lang w:val="en-GB"/>
        </w:rPr>
        <w:t xml:space="preserve"> </w:t>
      </w:r>
      <w:r w:rsidRPr="179EDB11" w:rsidR="4E5D8242">
        <w:rPr>
          <w:rFonts w:ascii="Segoe UI" w:hAnsi="Segoe UI" w:eastAsia="Segoe UI" w:cs="Segoe UI"/>
          <w:color w:val="auto"/>
          <w:lang w:val="en-GB"/>
        </w:rPr>
        <w:t>Shamdasani wrote.</w:t>
      </w:r>
      <w:r w:rsidRPr="179EDB11" w:rsidR="002E4488">
        <w:rPr>
          <w:rStyle w:val="FootnoteReference"/>
          <w:rFonts w:ascii="Segoe UI" w:hAnsi="Segoe UI" w:eastAsia="Segoe UI" w:cs="Segoe UI"/>
          <w:color w:val="auto"/>
          <w:lang w:val="en-GB"/>
        </w:rPr>
        <w:footnoteReference w:id="29"/>
      </w:r>
      <w:r w:rsidRPr="179EDB11" w:rsidR="6CA72707">
        <w:rPr>
          <w:rFonts w:ascii="Segoe UI" w:hAnsi="Segoe UI" w:eastAsia="Segoe UI" w:cs="Segoe UI"/>
          <w:color w:val="auto"/>
          <w:lang w:val="en-GB"/>
        </w:rPr>
        <w:t xml:space="preserve"> </w:t>
      </w:r>
      <w:r w:rsidRPr="179EDB11" w:rsidR="6CA72707">
        <w:rPr>
          <w:rFonts w:ascii="Segoe UI" w:hAnsi="Segoe UI" w:eastAsia="Segoe UI" w:cs="Segoe UI"/>
          <w:color w:val="auto"/>
          <w:lang w:val="en-GB"/>
        </w:rPr>
        <w:lastRenderedPageBreak/>
        <w:t xml:space="preserve">For this process to occur, Jung entered </w:t>
      </w:r>
      <w:r w:rsidRPr="179EDB11" w:rsidR="6CA72707">
        <w:rPr>
          <w:rFonts w:ascii="Segoe UI" w:hAnsi="Segoe UI" w:eastAsia="Segoe UI" w:cs="Segoe UI"/>
          <w:color w:val="auto"/>
          <w:lang w:val="en-GB"/>
        </w:rPr>
        <w:t xml:space="preserve">a meditative or dream-like state, through which he contrived visions and dreams. For example, through these experiences </w:t>
      </w:r>
      <w:r w:rsidRPr="179EDB11" w:rsidR="6CA72707">
        <w:rPr>
          <w:rFonts w:ascii="Segoe UI" w:hAnsi="Segoe UI" w:eastAsia="Segoe UI" w:cs="Segoe UI"/>
          <w:color w:val="auto"/>
          <w:lang w:val="en-GB"/>
        </w:rPr>
        <w:t xml:space="preserve">Jung was able to engage with </w:t>
      </w:r>
      <w:r w:rsidRPr="179EDB11" w:rsidR="6CA72707">
        <w:rPr>
          <w:rFonts w:ascii="Segoe UI" w:hAnsi="Segoe UI" w:eastAsia="Segoe UI" w:cs="Segoe UI"/>
          <w:color w:val="auto"/>
          <w:lang w:val="en-GB"/>
        </w:rPr>
        <w:t xml:space="preserve">’an intense process of imagination’ </w:t>
      </w:r>
      <w:r w:rsidRPr="179EDB11" w:rsidR="6CA72707">
        <w:rPr>
          <w:rFonts w:ascii="Segoe UI" w:hAnsi="Segoe UI" w:eastAsia="Segoe UI" w:cs="Segoe UI"/>
          <w:color w:val="auto"/>
          <w:lang w:val="en-GB"/>
        </w:rPr>
        <w:t>and ’</w:t>
      </w:r>
      <w:r w:rsidRPr="179EDB11" w:rsidR="6CA72707">
        <w:rPr>
          <w:rFonts w:ascii="Segoe UI" w:hAnsi="Segoe UI" w:eastAsia="Segoe UI" w:cs="Segoe UI"/>
          <w:color w:val="auto"/>
          <w:lang w:val="en-GB"/>
        </w:rPr>
        <w:t xml:space="preserve">visionary images,’ </w:t>
      </w:r>
      <w:r w:rsidRPr="179EDB11" w:rsidR="6CA72707">
        <w:rPr>
          <w:rFonts w:ascii="Segoe UI" w:hAnsi="Segoe UI" w:eastAsia="Segoe UI" w:cs="Segoe UI"/>
          <w:color w:val="auto"/>
          <w:lang w:val="en-GB"/>
        </w:rPr>
        <w:t xml:space="preserve">Martin </w:t>
      </w:r>
      <w:proofErr w:type="spellStart"/>
      <w:r w:rsidRPr="179EDB11" w:rsidR="6CA72707">
        <w:rPr>
          <w:rFonts w:ascii="Segoe UI" w:hAnsi="Segoe UI" w:eastAsia="Segoe UI" w:cs="Segoe UI"/>
          <w:color w:val="auto"/>
          <w:lang w:val="en-GB"/>
        </w:rPr>
        <w:t>Liebscher suggested</w:t>
      </w:r>
      <w:proofErr w:type="spellEnd"/>
      <w:r w:rsidRPr="179EDB11" w:rsidR="6CA72707">
        <w:rPr>
          <w:rFonts w:ascii="Segoe UI" w:hAnsi="Segoe UI" w:eastAsia="Segoe UI" w:cs="Segoe UI"/>
          <w:color w:val="auto"/>
          <w:lang w:val="en-GB"/>
        </w:rPr>
        <w:t xml:space="preserve">.</w:t>
      </w:r>
      <w:r w:rsidRPr="179EDB11" w:rsidR="002E4488">
        <w:rPr>
          <w:rStyle w:val="FootnoteReference"/>
          <w:rFonts w:ascii="Segoe UI" w:hAnsi="Segoe UI" w:eastAsia="Segoe UI" w:cs="Segoe UI"/>
          <w:color w:val="auto"/>
          <w:lang w:val="en-GB"/>
        </w:rPr>
        <w:footnoteReference w:id="30"/>
      </w:r>
      <w:r w:rsidRPr="179EDB11" w:rsidR="1A5094ED">
        <w:rPr>
          <w:rFonts w:ascii="Segoe UI" w:hAnsi="Segoe UI" w:eastAsia="Segoe UI" w:cs="Segoe UI"/>
          <w:color w:val="auto"/>
          <w:lang w:val="en-GB"/>
        </w:rPr>
        <w:t xml:space="preserve"> </w:t>
      </w:r>
      <w:r w:rsidRPr="179EDB11" w:rsidR="1A5094ED">
        <w:rPr>
          <w:rFonts w:ascii="Segoe UI" w:hAnsi="Segoe UI" w:eastAsia="Segoe UI" w:cs="Segoe UI"/>
          <w:color w:val="auto"/>
          <w:lang w:val="en-GB"/>
        </w:rPr>
        <w:t xml:space="preserve">Simultaneously, Jung was trying to understand what was happening to him cognitively. However, he did have some inclination - quoting Jung, ’</w:t>
      </w:r>
      <w:r w:rsidRPr="179EDB11" w:rsidR="1A5094ED">
        <w:rPr>
          <w:rFonts w:ascii="Segoe UI" w:hAnsi="Segoe UI" w:eastAsia="Segoe UI" w:cs="Segoe UI"/>
          <w:color w:val="auto"/>
          <w:lang w:val="en-GB"/>
        </w:rPr>
        <w:t xml:space="preserve">I understood that my dreams...my visions came to me from the subsoil of the colle</w:t>
      </w:r>
      <w:r w:rsidRPr="179EDB11" w:rsidR="179EDB11">
        <w:rPr>
          <w:rFonts w:ascii="Segoe UI" w:hAnsi="Segoe UI" w:eastAsia="Segoe UI" w:cs="Segoe UI"/>
          <w:color w:val="auto"/>
          <w:lang w:val="en-GB"/>
        </w:rPr>
        <w:t xml:space="preserve">ctive unconscious.’</w:t>
      </w:r>
      <w:r w:rsidRPr="179EDB11" w:rsidR="002E4488">
        <w:rPr>
          <w:rStyle w:val="FootnoteReference"/>
          <w:rFonts w:ascii="Segoe UI" w:hAnsi="Segoe UI" w:eastAsia="Segoe UI" w:cs="Segoe UI"/>
          <w:color w:val="auto"/>
          <w:lang w:val="en-GB"/>
        </w:rPr>
        <w:footnoteReference w:id="31"/>
      </w:r>
      <w:r w:rsidRPr="179EDB11" w:rsidR="1A5094ED">
        <w:rPr>
          <w:rFonts w:ascii="Segoe UI" w:hAnsi="Segoe UI" w:eastAsia="Segoe UI" w:cs="Segoe UI"/>
          <w:color w:val="auto"/>
          <w:lang w:val="en-GB"/>
        </w:rPr>
        <w:t xml:space="preserve"> Similarly</w:t>
      </w:r>
      <w:r w:rsidRPr="179EDB11" w:rsidR="1A5094ED">
        <w:rPr>
          <w:rFonts w:ascii="Segoe UI" w:hAnsi="Segoe UI" w:eastAsia="Segoe UI" w:cs="Segoe UI"/>
          <w:color w:val="auto"/>
          <w:lang w:val="en-GB"/>
        </w:rPr>
        <w:t xml:space="preserve">, was </w:t>
      </w:r>
      <w:r w:rsidRPr="179EDB11" w:rsidR="1A5094ED">
        <w:rPr>
          <w:rFonts w:ascii="Segoe UI" w:hAnsi="Segoe UI" w:eastAsia="Segoe UI" w:cs="Segoe UI"/>
          <w:color w:val="auto"/>
          <w:lang w:val="en-GB"/>
        </w:rPr>
        <w:t xml:space="preserve">Robert </w:t>
      </w:r>
      <w:proofErr w:type="spellStart"/>
      <w:r w:rsidRPr="179EDB11" w:rsidR="1A5094ED">
        <w:rPr>
          <w:rFonts w:ascii="Segoe UI" w:hAnsi="Segoe UI" w:eastAsia="Segoe UI" w:cs="Segoe UI"/>
          <w:color w:val="auto"/>
          <w:lang w:val="en-GB"/>
        </w:rPr>
        <w:t xml:space="preserve">Desoille’s </w:t>
      </w:r>
      <w:proofErr w:type="spellEnd"/>
      <w:r w:rsidRPr="179EDB11" w:rsidR="1A5094ED">
        <w:rPr>
          <w:rFonts w:ascii="Segoe UI" w:hAnsi="Segoe UI" w:eastAsia="Segoe UI" w:cs="Segoe UI"/>
          <w:color w:val="auto"/>
          <w:lang w:val="en-GB"/>
        </w:rPr>
        <w:t xml:space="preserve">(1890-1996) concept of a ’Waking dream- state’ of </w:t>
      </w:r>
      <w:r w:rsidRPr="179EDB11" w:rsidR="1A5094ED">
        <w:rPr>
          <w:rFonts w:ascii="Segoe UI" w:hAnsi="Segoe UI" w:eastAsia="Segoe UI" w:cs="Segoe UI"/>
          <w:color w:val="auto"/>
          <w:lang w:val="en-GB"/>
        </w:rPr>
        <w:t>‘waking dream method</w:t>
      </w:r>
      <w:r w:rsidRPr="179EDB11" w:rsidR="1A5094ED">
        <w:rPr>
          <w:rFonts w:ascii="Segoe UI" w:hAnsi="Segoe UI" w:eastAsia="Segoe UI" w:cs="Segoe UI"/>
          <w:color w:val="auto"/>
          <w:lang w:val="en-GB"/>
        </w:rPr>
        <w:t xml:space="preserve">,‘ described in a lecture by </w:t>
      </w:r>
      <w:proofErr w:type="spellStart"/>
      <w:r w:rsidRPr="179EDB11" w:rsidR="1A5094ED">
        <w:rPr>
          <w:rFonts w:ascii="Segoe UI" w:hAnsi="Segoe UI" w:eastAsia="Segoe UI" w:cs="Segoe UI"/>
          <w:color w:val="auto"/>
          <w:lang w:val="en-GB"/>
        </w:rPr>
        <w:t>Desoille</w:t>
      </w:r>
      <w:proofErr w:type="spellEnd"/>
      <w:r w:rsidRPr="179EDB11" w:rsidR="1A5094ED">
        <w:rPr>
          <w:rFonts w:ascii="Segoe UI" w:hAnsi="Segoe UI" w:eastAsia="Segoe UI" w:cs="Segoe UI"/>
          <w:color w:val="auto"/>
          <w:lang w:val="en-GB"/>
        </w:rPr>
        <w:t xml:space="preserve"> in 1965</w:t>
      </w:r>
      <w:r w:rsidRPr="179EDB11" w:rsidR="002E4488">
        <w:rPr>
          <w:rStyle w:val="FootnoteReference"/>
          <w:rFonts w:ascii="Segoe UI" w:hAnsi="Segoe UI" w:eastAsia="Segoe UI" w:cs="Segoe UI"/>
          <w:color w:val="auto"/>
          <w:lang w:val="en-GB"/>
        </w:rPr>
        <w:footnoteReference w:id="32"/>
      </w:r>
      <w:r w:rsidRPr="179EDB11" w:rsidR="1A5094ED">
        <w:rPr>
          <w:rFonts w:ascii="Segoe UI" w:hAnsi="Segoe UI" w:eastAsia="Segoe UI" w:cs="Segoe UI"/>
          <w:color w:val="auto"/>
          <w:lang w:val="en-GB"/>
        </w:rPr>
        <w:t xml:space="preserve"> also cited in </w:t>
      </w:r>
      <w:proofErr w:type="spellStart"/>
      <w:r w:rsidRPr="179EDB11" w:rsidR="1A5094ED">
        <w:rPr>
          <w:rFonts w:ascii="Segoe UI" w:hAnsi="Segoe UI" w:eastAsia="Segoe UI" w:cs="Segoe UI"/>
          <w:color w:val="auto"/>
          <w:lang w:val="en-GB"/>
        </w:rPr>
        <w:t>Cassar</w:t>
      </w:r>
      <w:proofErr w:type="spellEnd"/>
      <w:r w:rsidRPr="179EDB11" w:rsidR="1A5094ED">
        <w:rPr>
          <w:rFonts w:ascii="Segoe UI" w:hAnsi="Segoe UI" w:eastAsia="Segoe UI" w:cs="Segoe UI"/>
          <w:color w:val="auto"/>
          <w:lang w:val="en-GB"/>
        </w:rPr>
        <w:t>,</w:t>
      </w:r>
      <w:r w:rsidRPr="179EDB11" w:rsidR="002E4488">
        <w:rPr>
          <w:rStyle w:val="FootnoteReference"/>
          <w:rFonts w:ascii="Segoe UI" w:hAnsi="Segoe UI" w:eastAsia="Segoe UI" w:cs="Segoe UI"/>
          <w:color w:val="auto"/>
          <w:lang w:val="en-GB"/>
        </w:rPr>
        <w:footnoteReference w:id="33"/>
      </w:r>
      <w:r w:rsidRPr="179EDB11" w:rsidR="1A5094ED">
        <w:rPr>
          <w:rFonts w:ascii="Segoe UI" w:hAnsi="Segoe UI" w:eastAsia="Segoe UI" w:cs="Segoe UI"/>
          <w:color w:val="auto"/>
          <w:lang w:val="en-GB"/>
        </w:rPr>
        <w:t xml:space="preserve"> in the sense it represented Jung’s interior psychic space.</w:t>
      </w:r>
      <w:r w:rsidRPr="179EDB11" w:rsidR="002E4488">
        <w:rPr>
          <w:rStyle w:val="FootnoteReference"/>
          <w:rFonts w:ascii="Segoe UI" w:hAnsi="Segoe UI" w:eastAsia="Segoe UI" w:cs="Segoe UI"/>
          <w:color w:val="auto"/>
          <w:lang w:val="en-GB"/>
        </w:rPr>
        <w:footnoteReference w:id="34"/>
      </w:r>
      <w:r w:rsidRPr="179EDB11" w:rsidR="1A5094ED">
        <w:rPr>
          <w:rFonts w:ascii="Segoe UI" w:hAnsi="Segoe UI" w:eastAsia="Segoe UI" w:cs="Segoe UI"/>
          <w:color w:val="auto"/>
          <w:lang w:val="en-GB"/>
        </w:rPr>
        <w:t xml:space="preserve"> In Jung’s dream-like state, </w:t>
      </w:r>
      <w:r w:rsidRPr="179EDB11" w:rsidR="6CA72707">
        <w:rPr>
          <w:rFonts w:ascii="Segoe UI" w:hAnsi="Segoe UI" w:eastAsia="Segoe UI" w:cs="Segoe UI"/>
          <w:color w:val="auto"/>
          <w:lang w:val="en-GB"/>
        </w:rPr>
        <w:t>he conversed with archetypes, and called out to his</w:t>
      </w:r>
      <w:r w:rsidRPr="179EDB11" w:rsidR="6CA72707">
        <w:rPr>
          <w:rFonts w:ascii="Segoe UI" w:hAnsi="Segoe UI" w:eastAsia="Segoe UI" w:cs="Segoe UI"/>
          <w:color w:val="auto"/>
          <w:lang w:val="en-GB"/>
        </w:rPr>
        <w:t xml:space="preserve"> ’soul,‘</w:t>
      </w:r>
      <w:r w:rsidRPr="179EDB11" w:rsidR="6CA72707">
        <w:rPr>
          <w:rFonts w:ascii="Segoe UI" w:hAnsi="Segoe UI" w:eastAsia="Segoe UI" w:cs="Segoe UI"/>
          <w:color w:val="auto"/>
          <w:lang w:val="en-GB"/>
        </w:rPr>
        <w:t xml:space="preserve"> or was trying to contact his</w:t>
      </w:r>
      <w:r w:rsidRPr="179EDB11" w:rsidR="6CA72707">
        <w:rPr>
          <w:rFonts w:ascii="Segoe UI" w:hAnsi="Segoe UI" w:eastAsia="Segoe UI" w:cs="Segoe UI"/>
          <w:color w:val="auto"/>
          <w:lang w:val="en-GB"/>
        </w:rPr>
        <w:t xml:space="preserve"> ’soul’</w:t>
      </w:r>
      <w:r w:rsidRPr="179EDB11" w:rsidR="6CA72707">
        <w:rPr>
          <w:rFonts w:ascii="Segoe UI" w:hAnsi="Segoe UI" w:eastAsia="Segoe UI" w:cs="Segoe UI"/>
          <w:color w:val="auto"/>
          <w:lang w:val="en-GB"/>
        </w:rPr>
        <w:t xml:space="preserve"> – most of Jung’s dialogues in </w:t>
      </w:r>
      <w:r w:rsidRPr="179EDB11" w:rsidR="6CA72707">
        <w:rPr>
          <w:rFonts w:ascii="Segoe UI" w:hAnsi="Segoe UI" w:eastAsia="Segoe UI" w:cs="Segoe UI"/>
          <w:i w:val="1"/>
          <w:iCs w:val="1"/>
          <w:color w:val="auto"/>
          <w:lang w:val="en-GB"/>
        </w:rPr>
        <w:t>Liber Novus</w:t>
      </w:r>
      <w:r w:rsidRPr="179EDB11" w:rsidR="6CA72707">
        <w:rPr>
          <w:rFonts w:ascii="Segoe UI" w:hAnsi="Segoe UI" w:eastAsia="Segoe UI" w:cs="Segoe UI"/>
          <w:color w:val="auto"/>
          <w:lang w:val="en-GB"/>
        </w:rPr>
        <w:t xml:space="preserve"> are with his soul, Shamdasani notes.</w:t>
      </w:r>
      <w:r w:rsidRPr="179EDB11" w:rsidR="002E4488">
        <w:rPr>
          <w:rStyle w:val="FootnoteReference"/>
          <w:rFonts w:ascii="Segoe UI" w:hAnsi="Segoe UI" w:eastAsia="Segoe UI" w:cs="Segoe UI"/>
          <w:color w:val="auto"/>
          <w:lang w:val="en-GB"/>
        </w:rPr>
        <w:footnoteReference w:id="35"/>
      </w:r>
      <w:r w:rsidRPr="179EDB11" w:rsidR="6CA72707">
        <w:rPr>
          <w:rFonts w:ascii="Segoe UI" w:hAnsi="Segoe UI" w:eastAsia="Segoe UI" w:cs="Segoe UI"/>
          <w:color w:val="auto"/>
          <w:lang w:val="en-GB"/>
        </w:rPr>
        <w:t xml:space="preserve"> In contemporary psychology, the notion of ’</w:t>
      </w:r>
      <w:r w:rsidRPr="179EDB11" w:rsidR="6CA72707">
        <w:rPr>
          <w:rFonts w:ascii="Segoe UI" w:hAnsi="Segoe UI" w:eastAsia="Segoe UI" w:cs="Segoe UI"/>
          <w:color w:val="auto"/>
          <w:lang w:val="en-GB"/>
        </w:rPr>
        <w:t xml:space="preserve">soul’ </w:t>
      </w:r>
      <w:r w:rsidRPr="179EDB11" w:rsidR="6CA72707">
        <w:rPr>
          <w:rFonts w:ascii="Segoe UI" w:hAnsi="Segoe UI" w:eastAsia="Segoe UI" w:cs="Segoe UI"/>
          <w:color w:val="auto"/>
          <w:lang w:val="en-GB"/>
        </w:rPr>
        <w:t xml:space="preserve">as an entity itself was, and is viewed, somewhat differently. </w:t>
      </w:r>
      <w:r w:rsidRPr="179EDB11" w:rsidR="6CA72707">
        <w:rPr>
          <w:rFonts w:ascii="Segoe UI" w:hAnsi="Segoe UI" w:eastAsia="Segoe UI" w:cs="Segoe UI"/>
          <w:color w:val="auto"/>
          <w:lang w:val="en-GB"/>
        </w:rPr>
        <w:t>’Soul’</w:t>
      </w:r>
      <w:r w:rsidRPr="179EDB11" w:rsidR="6CA72707">
        <w:rPr>
          <w:rFonts w:ascii="Segoe UI" w:hAnsi="Segoe UI" w:eastAsia="Segoe UI" w:cs="Segoe UI"/>
          <w:color w:val="auto"/>
          <w:lang w:val="en-GB"/>
        </w:rPr>
        <w:t xml:space="preserve"> has been predominantly replaced by expressions </w:t>
      </w:r>
      <w:r w:rsidRPr="179EDB11" w:rsidR="6CA72707">
        <w:rPr>
          <w:rFonts w:ascii="Segoe UI" w:hAnsi="Segoe UI" w:eastAsia="Segoe UI" w:cs="Segoe UI"/>
          <w:color w:val="auto"/>
          <w:lang w:val="en-GB"/>
        </w:rPr>
        <w:t>’self, ’ego,’ ’identity,’</w:t>
      </w:r>
      <w:r w:rsidRPr="179EDB11" w:rsidR="6CA72707">
        <w:rPr>
          <w:rFonts w:ascii="Segoe UI" w:hAnsi="Segoe UI" w:eastAsia="Segoe UI" w:cs="Segoe UI"/>
          <w:color w:val="auto"/>
          <w:lang w:val="en-GB"/>
        </w:rPr>
        <w:t xml:space="preserve"> and </w:t>
      </w:r>
      <w:r w:rsidRPr="179EDB11" w:rsidR="6CA72707">
        <w:rPr>
          <w:rFonts w:ascii="Segoe UI" w:hAnsi="Segoe UI" w:eastAsia="Segoe UI" w:cs="Segoe UI"/>
          <w:color w:val="auto"/>
          <w:lang w:val="en-GB"/>
        </w:rPr>
        <w:t xml:space="preserve">’personality,’ </w:t>
      </w:r>
      <w:r w:rsidRPr="179EDB11" w:rsidR="6CA72707">
        <w:rPr>
          <w:rFonts w:ascii="Segoe UI" w:hAnsi="Segoe UI" w:eastAsia="Segoe UI" w:cs="Segoe UI"/>
          <w:color w:val="auto"/>
          <w:lang w:val="en-GB"/>
        </w:rPr>
        <w:t>which indicate the overall and controlling functions of the psyche, Lionel Corbett suggested.</w:t>
      </w:r>
      <w:r w:rsidRPr="179EDB11" w:rsidR="002E4488">
        <w:rPr>
          <w:rStyle w:val="FootnoteReference"/>
          <w:rFonts w:ascii="Segoe UI" w:hAnsi="Segoe UI" w:eastAsia="Segoe UI" w:cs="Segoe UI"/>
          <w:color w:val="auto"/>
          <w:lang w:val="en-GB"/>
        </w:rPr>
        <w:footnoteReference w:id="36"/>
      </w:r>
      <w:r w:rsidRPr="179EDB11" w:rsidR="6CA72707">
        <w:rPr>
          <w:rFonts w:ascii="Segoe UI" w:hAnsi="Segoe UI" w:eastAsia="Segoe UI" w:cs="Segoe UI"/>
          <w:color w:val="auto"/>
          <w:lang w:val="en-GB"/>
        </w:rPr>
        <w:t xml:space="preserve"> In Jungian Psychology, ’</w:t>
      </w:r>
      <w:r w:rsidRPr="179EDB11" w:rsidR="6CA72707">
        <w:rPr>
          <w:rFonts w:ascii="Segoe UI" w:hAnsi="Segoe UI" w:eastAsia="Segoe UI" w:cs="Segoe UI"/>
          <w:color w:val="auto"/>
          <w:lang w:val="en-GB"/>
        </w:rPr>
        <w:t xml:space="preserve">soul’ </w:t>
      </w:r>
      <w:r w:rsidRPr="179EDB11" w:rsidR="6CA72707">
        <w:rPr>
          <w:rFonts w:ascii="Segoe UI" w:hAnsi="Segoe UI" w:eastAsia="Segoe UI" w:cs="Segoe UI"/>
          <w:color w:val="auto"/>
          <w:lang w:val="en-GB"/>
        </w:rPr>
        <w:t>is just an archetype like others, just a view onto the world, not an entity itself.</w:t>
      </w:r>
      <w:r w:rsidRPr="179EDB11" w:rsidR="002E4488">
        <w:rPr>
          <w:rStyle w:val="FootnoteReference"/>
          <w:rFonts w:ascii="Segoe UI" w:hAnsi="Segoe UI" w:eastAsia="Segoe UI" w:cs="Segoe UI"/>
          <w:color w:val="auto"/>
          <w:lang w:val="en-GB"/>
        </w:rPr>
        <w:footnoteReference w:id="37"/>
      </w:r>
      <w:r w:rsidRPr="179EDB11" w:rsidR="6CA72707">
        <w:rPr>
          <w:rFonts w:ascii="Segoe UI" w:hAnsi="Segoe UI" w:eastAsia="Segoe UI" w:cs="Segoe UI"/>
          <w:color w:val="auto"/>
          <w:lang w:val="en-GB"/>
        </w:rPr>
        <w:t xml:space="preserve">  Thus, the most obvious finding to emerge from this section of the essay, is that </w:t>
      </w:r>
      <w:r w:rsidRPr="179EDB11" w:rsidR="1A5094ED">
        <w:rPr>
          <w:rFonts w:ascii="Segoe UI" w:hAnsi="Segoe UI" w:eastAsia="Segoe UI" w:cs="Segoe UI"/>
          <w:color w:val="auto"/>
          <w:lang w:val="en-GB"/>
        </w:rPr>
        <w:t xml:space="preserve">active imagination involves establishing a relationship with particular images emerging in dreams or spontaneously in waking states. </w:t>
      </w:r>
      <w:r w:rsidRPr="179EDB11" w:rsidR="1A5094ED">
        <w:rPr>
          <w:rFonts w:ascii="Segoe UI" w:hAnsi="Segoe UI" w:eastAsia="Segoe UI" w:cs="Segoe UI"/>
          <w:color w:val="auto"/>
          <w:lang w:val="en-GB"/>
        </w:rPr>
        <w:t>The images ought-to be given</w:t>
      </w:r>
      <w:r w:rsidRPr="179EDB11" w:rsidR="1A5094ED">
        <w:rPr>
          <w:rFonts w:ascii="Segoe UI" w:hAnsi="Segoe UI" w:eastAsia="Segoe UI" w:cs="Segoe UI"/>
          <w:color w:val="auto"/>
          <w:lang w:val="en-GB"/>
        </w:rPr>
        <w:t xml:space="preserve"> </w:t>
      </w:r>
      <w:r w:rsidRPr="179EDB11" w:rsidR="1A5094ED">
        <w:rPr>
          <w:rFonts w:ascii="Segoe UI" w:hAnsi="Segoe UI" w:eastAsia="Segoe UI" w:cs="Segoe UI"/>
          <w:i w:val="1"/>
          <w:iCs w:val="1"/>
          <w:color w:val="auto"/>
          <w:lang w:val="en-GB"/>
        </w:rPr>
        <w:t>free play</w:t>
      </w:r>
      <w:r w:rsidRPr="179EDB11" w:rsidR="1A5094ED">
        <w:rPr>
          <w:rFonts w:ascii="Segoe UI" w:hAnsi="Segoe UI" w:eastAsia="Segoe UI" w:cs="Segoe UI"/>
          <w:color w:val="auto"/>
          <w:lang w:val="en-GB"/>
        </w:rPr>
        <w:t xml:space="preserve"> </w:t>
      </w:r>
      <w:r w:rsidRPr="179EDB11" w:rsidR="1A5094ED">
        <w:rPr>
          <w:rFonts w:ascii="Segoe UI" w:hAnsi="Segoe UI" w:eastAsia="Segoe UI" w:cs="Segoe UI"/>
          <w:color w:val="auto"/>
          <w:lang w:val="en-GB"/>
        </w:rPr>
        <w:t xml:space="preserve">and allowed autonomy. This generates entry to the archetypal patterns of the collective psyche and can result in a character transformation. </w:t>
      </w:r>
      <w:proofErr w:type="gramStart"/>
      <w:r w:rsidRPr="179EDB11" w:rsidR="1A5094ED">
        <w:rPr>
          <w:rFonts w:ascii="Segoe UI" w:hAnsi="Segoe UI" w:eastAsia="Segoe UI" w:cs="Segoe UI"/>
          <w:color w:val="auto"/>
          <w:lang w:val="en-GB"/>
        </w:rPr>
        <w:t>The  chapter</w:t>
      </w:r>
      <w:proofErr w:type="gramEnd"/>
      <w:r w:rsidRPr="179EDB11" w:rsidR="1A5094ED">
        <w:rPr>
          <w:rFonts w:ascii="Segoe UI" w:hAnsi="Segoe UI" w:eastAsia="Segoe UI" w:cs="Segoe UI"/>
          <w:color w:val="auto"/>
          <w:lang w:val="en-GB"/>
        </w:rPr>
        <w:t xml:space="preserve"> below explores the astrological significance of </w:t>
      </w:r>
      <w:r w:rsidRPr="179EDB11" w:rsidR="1A5094ED">
        <w:rPr>
          <w:rFonts w:ascii="Segoe UI" w:hAnsi="Segoe UI" w:eastAsia="Segoe UI" w:cs="Segoe UI"/>
          <w:i w:val="1"/>
          <w:iCs w:val="1"/>
          <w:color w:val="auto"/>
          <w:lang w:val="en-GB"/>
        </w:rPr>
        <w:lastRenderedPageBreak/>
        <w:t>Liber Novus.</w:t>
      </w:r>
    </w:p>
    <w:p w:rsidR="001A6155" w:rsidP="179EDB11" w:rsidRDefault="001A6155" w14:paraId="5C7E974E" w14:textId="78049F92" w14:noSpellErr="1">
      <w:pPr>
        <w:spacing w:line="480" w:lineRule="auto"/>
        <w:jc w:val="both"/>
        <w:rPr>
          <w:rFonts w:ascii="Segoe UI" w:hAnsi="Segoe UI" w:eastAsia="Segoe UI" w:cs="Segoe UI"/>
          <w:i w:val="1"/>
          <w:iCs w:val="1"/>
          <w:color w:val="auto"/>
          <w:lang w:val="en-GB"/>
        </w:rPr>
      </w:pPr>
    </w:p>
    <w:p w:rsidR="001A6155" w:rsidP="179EDB11" w:rsidRDefault="1CDE5FFE" w14:paraId="7EB5288C" w14:textId="5ADA543B" w14:noSpellErr="1">
      <w:pPr>
        <w:spacing w:line="480" w:lineRule="auto"/>
        <w:jc w:val="both"/>
        <w:rPr>
          <w:rFonts w:ascii="Segoe UI" w:hAnsi="Segoe UI" w:eastAsia="Segoe UI" w:cs="Segoe UI"/>
          <w:b w:val="1"/>
          <w:bCs w:val="1"/>
          <w:color w:val="auto"/>
          <w:lang w:val="en-GB"/>
        </w:rPr>
      </w:pPr>
      <w:r w:rsidRPr="179EDB11" w:rsidR="39F243DA">
        <w:rPr>
          <w:rFonts w:ascii="Segoe UI" w:hAnsi="Segoe UI" w:eastAsia="Segoe UI" w:cs="Segoe UI"/>
          <w:b w:val="1"/>
          <w:bCs w:val="1"/>
          <w:color w:val="auto"/>
          <w:lang w:val="en-GB"/>
        </w:rPr>
        <w:t xml:space="preserve">Astrological Significance of </w:t>
      </w:r>
      <w:r w:rsidRPr="179EDB11" w:rsidR="39F243DA">
        <w:rPr>
          <w:rFonts w:ascii="Segoe UI" w:hAnsi="Segoe UI" w:eastAsia="Segoe UI" w:cs="Segoe UI"/>
          <w:b w:val="1"/>
          <w:bCs w:val="1"/>
          <w:i w:val="1"/>
          <w:iCs w:val="1"/>
          <w:color w:val="auto"/>
          <w:lang w:val="en-GB"/>
        </w:rPr>
        <w:t>Liber Novus</w:t>
      </w:r>
    </w:p>
    <w:p w:rsidR="001A6155" w:rsidP="179EDB11" w:rsidRDefault="1A480A0D" w14:paraId="55C627A4" w14:textId="024F60D1">
      <w:pPr>
        <w:spacing w:line="480" w:lineRule="auto"/>
        <w:jc w:val="both"/>
        <w:rPr>
          <w:rFonts w:ascii="Segoe UI" w:hAnsi="Segoe UI" w:eastAsia="Segoe UI" w:cs="Segoe UI"/>
          <w:color w:val="auto"/>
          <w:lang w:val="en-GB"/>
        </w:rPr>
      </w:pPr>
      <w:r w:rsidRPr="179EDB11" w:rsidR="4E5D8242">
        <w:rPr>
          <w:rFonts w:ascii="Segoe UI" w:hAnsi="Segoe UI" w:eastAsia="Segoe UI" w:cs="Segoe UI"/>
          <w:color w:val="auto"/>
        </w:rPr>
        <w:t>Firstly, it is important to understand Jung’s place in a historical context in terms of astrology, to do this one must firstly contextualize where in fact astrology is coming from. According to Jung himself, Western astrology, which was almost exclusively his principal concern, held its origins in Mesopotamia.</w:t>
      </w:r>
      <w:r w:rsidRPr="179EDB11" w:rsidR="002E4488">
        <w:rPr>
          <w:rStyle w:val="FootnoteReference"/>
          <w:rFonts w:ascii="Segoe UI" w:hAnsi="Segoe UI" w:eastAsia="Segoe UI" w:cs="Segoe UI"/>
          <w:color w:val="auto"/>
        </w:rPr>
        <w:footnoteReference w:id="38"/>
      </w:r>
      <w:r w:rsidRPr="179EDB11" w:rsidR="4E5D8242">
        <w:rPr>
          <w:rFonts w:ascii="Segoe UI" w:hAnsi="Segoe UI" w:eastAsia="Segoe UI" w:cs="Segoe UI"/>
          <w:color w:val="auto"/>
        </w:rPr>
        <w:t xml:space="preserve"> Henceforth, several academics remind us that astrology was then taken to Egypt, then Greece, and to Rome, where the popular Roman gods and goddesses assumed the names of planets, such as</w:t>
      </w:r>
      <w:r w:rsidRPr="179EDB11" w:rsidR="39F243DA">
        <w:rPr>
          <w:rFonts w:ascii="Segoe UI" w:hAnsi="Segoe UI" w:eastAsia="Segoe UI" w:cs="Segoe UI"/>
          <w:color w:val="auto"/>
        </w:rPr>
        <w:t xml:space="preserve"> Venus, Jupiter and Saturn.</w:t>
      </w:r>
      <w:r w:rsidRPr="179EDB11" w:rsidR="002E4488">
        <w:rPr>
          <w:rStyle w:val="FootnoteReference"/>
          <w:rFonts w:ascii="Segoe UI" w:hAnsi="Segoe UI" w:eastAsia="Segoe UI" w:cs="Segoe UI"/>
          <w:color w:val="auto"/>
        </w:rPr>
        <w:footnoteReference w:id="39"/>
      </w:r>
      <w:r w:rsidRPr="179EDB11" w:rsidR="4E5D8242">
        <w:rPr>
          <w:rFonts w:ascii="Segoe UI" w:hAnsi="Segoe UI" w:eastAsia="Segoe UI" w:cs="Segoe UI"/>
          <w:color w:val="auto"/>
        </w:rPr>
        <w:t xml:space="preserve"> Following a point of </w:t>
      </w:r>
      <w:r w:rsidRPr="179EDB11" w:rsidR="4E5D8242">
        <w:rPr>
          <w:rFonts w:ascii="Segoe UI" w:hAnsi="Segoe UI" w:eastAsia="Segoe UI" w:cs="Segoe UI"/>
          <w:color w:val="auto"/>
        </w:rPr>
        <w:t xml:space="preserve">repression by the Church, astrology experienced a reemergence or revival throughout the Dark Ages or Middle Ages, </w:t>
      </w:r>
      <w:r w:rsidRPr="179EDB11" w:rsidR="4E5D8242">
        <w:rPr>
          <w:rFonts w:ascii="Segoe UI" w:hAnsi="Segoe UI" w:eastAsia="Segoe UI" w:cs="Segoe UI"/>
          <w:color w:val="auto"/>
        </w:rPr>
        <w:t>Campion remarked.</w:t>
      </w:r>
      <w:r w:rsidRPr="179EDB11" w:rsidR="002E4488">
        <w:rPr>
          <w:rStyle w:val="FootnoteReference"/>
          <w:rFonts w:ascii="Segoe UI" w:hAnsi="Segoe UI" w:eastAsia="Segoe UI" w:cs="Segoe UI"/>
          <w:color w:val="auto"/>
        </w:rPr>
        <w:footnoteReference w:id="40"/>
      </w:r>
      <w:r w:rsidRPr="179EDB11" w:rsidR="4E5D8242">
        <w:rPr>
          <w:rFonts w:ascii="Segoe UI" w:hAnsi="Segoe UI" w:eastAsia="Segoe UI" w:cs="Segoe UI"/>
          <w:color w:val="auto"/>
        </w:rPr>
        <w:t xml:space="preserve"> Following this, it then picked up more speed and thrived throughout the Renaissance </w:t>
      </w:r>
      <w:r w:rsidRPr="179EDB11" w:rsidR="4E5D8242">
        <w:rPr>
          <w:rFonts w:ascii="Segoe UI" w:hAnsi="Segoe UI" w:eastAsia="Segoe UI" w:cs="Segoe UI"/>
          <w:color w:val="auto"/>
        </w:rPr>
        <w:t xml:space="preserve">period (the 14th century to the 17th century), as exemplified in the </w:t>
      </w:r>
      <w:r w:rsidRPr="179EDB11" w:rsidR="4E5D8242">
        <w:rPr>
          <w:rFonts w:ascii="Segoe UI" w:hAnsi="Segoe UI" w:eastAsia="Segoe UI" w:cs="Segoe UI"/>
          <w:i w:val="1"/>
          <w:iCs w:val="1"/>
          <w:color w:val="auto"/>
        </w:rPr>
        <w:t>Astrological and Renaissance Magic</w:t>
      </w:r>
      <w:r w:rsidRPr="179EDB11" w:rsidR="002E4488">
        <w:rPr>
          <w:rStyle w:val="FootnoteReference"/>
          <w:rFonts w:ascii="Segoe UI" w:hAnsi="Segoe UI" w:eastAsia="Segoe UI" w:cs="Segoe UI"/>
          <w:color w:val="auto"/>
        </w:rPr>
        <w:footnoteReference w:id="41"/>
      </w:r>
      <w:r w:rsidRPr="179EDB11" w:rsidR="4E5D8242">
        <w:rPr>
          <w:rFonts w:ascii="Segoe UI" w:hAnsi="Segoe UI" w:eastAsia="Segoe UI" w:cs="Segoe UI"/>
          <w:color w:val="auto"/>
        </w:rPr>
        <w:t xml:space="preserve"> of Marsilio</w:t>
      </w:r>
      <w:r w:rsidRPr="179EDB11" w:rsidR="4E5D8242">
        <w:rPr>
          <w:rFonts w:ascii="Segoe UI" w:hAnsi="Segoe UI" w:eastAsia="Segoe UI" w:cs="Segoe UI"/>
          <w:color w:val="auto"/>
        </w:rPr>
        <w:t xml:space="preserve"> Ficino (1433-1499),</w:t>
      </w:r>
      <w:r w:rsidRPr="179EDB11" w:rsidR="002E4488">
        <w:rPr>
          <w:rStyle w:val="FootnoteReference"/>
          <w:rFonts w:ascii="Segoe UI" w:hAnsi="Segoe UI" w:eastAsia="Segoe UI" w:cs="Segoe UI"/>
          <w:color w:val="auto"/>
        </w:rPr>
        <w:footnoteReference w:id="42"/>
      </w:r>
      <w:r w:rsidRPr="179EDB11" w:rsidR="4E5D8242">
        <w:rPr>
          <w:rFonts w:ascii="Segoe UI" w:hAnsi="Segoe UI" w:eastAsia="Segoe UI" w:cs="Segoe UI"/>
          <w:color w:val="auto"/>
        </w:rPr>
        <w:t xml:space="preserve"> whose texts availed Jung no end; Greene suggests.</w:t>
      </w:r>
      <w:r w:rsidRPr="179EDB11" w:rsidR="002E4488">
        <w:rPr>
          <w:rStyle w:val="FootnoteReference"/>
          <w:rFonts w:ascii="Segoe UI" w:hAnsi="Segoe UI" w:eastAsia="Segoe UI" w:cs="Segoe UI"/>
          <w:color w:val="auto"/>
        </w:rPr>
        <w:footnoteReference w:id="43"/>
      </w:r>
      <w:r w:rsidRPr="179EDB11" w:rsidR="4E5D8242">
        <w:rPr>
          <w:rFonts w:ascii="Segoe UI" w:hAnsi="Segoe UI" w:eastAsia="Segoe UI" w:cs="Segoe UI"/>
          <w:color w:val="auto"/>
        </w:rPr>
        <w:t xml:space="preserve"> Thus, b</w:t>
      </w:r>
      <w:r w:rsidRPr="179EDB11" w:rsidR="4E5D8242">
        <w:rPr>
          <w:rFonts w:ascii="Segoe UI" w:hAnsi="Segoe UI" w:eastAsia="Segoe UI" w:cs="Segoe UI"/>
          <w:color w:val="auto"/>
        </w:rPr>
        <w:t xml:space="preserve">efore being eliminated from conceptual ideologies following the rise of science, Rossi and Le Grice remark.</w:t>
      </w:r>
      <w:r w:rsidRPr="179EDB11" w:rsidR="002E4488">
        <w:rPr>
          <w:rStyle w:val="FootnoteReference"/>
          <w:rFonts w:ascii="Segoe UI" w:hAnsi="Segoe UI" w:eastAsia="Segoe UI" w:cs="Segoe UI"/>
          <w:color w:val="auto"/>
          <w:lang w:val="en-GB"/>
        </w:rPr>
        <w:footnoteReference w:id="44"/>
      </w:r>
      <w:r w:rsidRPr="179EDB11" w:rsidR="4E5D8242">
        <w:rPr>
          <w:rFonts w:ascii="Segoe UI" w:hAnsi="Segoe UI" w:eastAsia="Segoe UI" w:cs="Segoe UI"/>
          <w:color w:val="auto"/>
        </w:rPr>
        <w:t xml:space="preserve"> </w:t>
      </w:r>
      <w:r w:rsidRPr="179EDB11" w:rsidR="4E5D8242">
        <w:rPr>
          <w:rFonts w:ascii="Segoe UI" w:hAnsi="Segoe UI" w:eastAsia="Segoe UI" w:cs="Segoe UI"/>
          <w:color w:val="auto"/>
        </w:rPr>
        <w:t xml:space="preserve">Accordingly, </w:t>
      </w:r>
      <w:r w:rsidRPr="179EDB11" w:rsidR="4E5D8242">
        <w:rPr>
          <w:rFonts w:ascii="Segoe UI" w:hAnsi="Segoe UI" w:eastAsia="Segoe UI" w:cs="Segoe UI"/>
          <w:color w:val="auto"/>
        </w:rPr>
        <w:lastRenderedPageBreak/>
        <w:t xml:space="preserve">Greene notes that when Jung was working on </w:t>
      </w:r>
      <w:r w:rsidRPr="179EDB11" w:rsidR="4E5D8242">
        <w:rPr>
          <w:rFonts w:ascii="Segoe UI" w:hAnsi="Segoe UI" w:eastAsia="Segoe UI" w:cs="Segoe UI"/>
          <w:i w:val="1"/>
          <w:iCs w:val="1"/>
          <w:color w:val="auto"/>
        </w:rPr>
        <w:t xml:space="preserve">Liber Novus, </w:t>
      </w:r>
      <w:r w:rsidRPr="179EDB11" w:rsidR="4E5D8242">
        <w:rPr>
          <w:rFonts w:ascii="Segoe UI" w:hAnsi="Segoe UI" w:eastAsia="Segoe UI" w:cs="Segoe UI"/>
          <w:color w:val="auto"/>
        </w:rPr>
        <w:t xml:space="preserve">numerous astrological sources, Christian mysticism, Plato’s </w:t>
      </w:r>
      <w:r w:rsidRPr="179EDB11" w:rsidR="4E5D8242">
        <w:rPr>
          <w:rFonts w:ascii="Segoe UI" w:hAnsi="Segoe UI" w:eastAsia="Segoe UI" w:cs="Segoe UI"/>
          <w:i w:val="1"/>
          <w:iCs w:val="1"/>
          <w:color w:val="auto"/>
        </w:rPr>
        <w:t>Timaeus,</w:t>
      </w:r>
      <w:r w:rsidRPr="179EDB11" w:rsidR="002E4488">
        <w:rPr>
          <w:rStyle w:val="FootnoteReference"/>
          <w:rFonts w:ascii="Segoe UI" w:hAnsi="Segoe UI" w:eastAsia="Segoe UI" w:cs="Segoe UI"/>
          <w:color w:val="auto"/>
        </w:rPr>
        <w:footnoteReference w:id="45"/>
      </w:r>
      <w:r w:rsidRPr="179EDB11" w:rsidR="4E5D8242">
        <w:rPr>
          <w:rFonts w:ascii="Segoe UI" w:hAnsi="Segoe UI" w:eastAsia="Segoe UI" w:cs="Segoe UI"/>
          <w:i w:val="1"/>
          <w:iCs w:val="1"/>
          <w:color w:val="auto"/>
        </w:rPr>
        <w:t xml:space="preserve"> </w:t>
      </w:r>
      <w:r w:rsidRPr="179EDB11" w:rsidR="4E5D8242">
        <w:rPr>
          <w:rFonts w:ascii="Segoe UI" w:hAnsi="Segoe UI" w:eastAsia="Segoe UI" w:cs="Segoe UI"/>
          <w:color w:val="auto"/>
        </w:rPr>
        <w:t xml:space="preserve">spiritualism, occultist writings and the experimental research by Jung’s contemporaries, contributed significant understanding of </w:t>
      </w:r>
      <w:r w:rsidRPr="179EDB11" w:rsidR="4E5D8242">
        <w:rPr>
          <w:rFonts w:ascii="Segoe UI" w:hAnsi="Segoe UI" w:eastAsia="Segoe UI" w:cs="Segoe UI"/>
          <w:color w:val="auto"/>
        </w:rPr>
        <w:t>his ever-growing body of work, and increasingly deepening conjectures on the capabilities that surface via the imagination.</w:t>
      </w:r>
      <w:r w:rsidRPr="179EDB11" w:rsidR="002E4488">
        <w:rPr>
          <w:rStyle w:val="FootnoteReference"/>
          <w:rFonts w:ascii="Segoe UI" w:hAnsi="Segoe UI" w:eastAsia="Segoe UI" w:cs="Segoe UI"/>
          <w:color w:val="auto"/>
        </w:rPr>
        <w:footnoteReference w:id="46"/>
      </w:r>
      <w:r w:rsidRPr="179EDB11" w:rsidR="4E5D8242">
        <w:rPr>
          <w:rFonts w:ascii="Segoe UI" w:hAnsi="Segoe UI" w:eastAsia="Segoe UI" w:cs="Segoe UI"/>
          <w:color w:val="auto"/>
        </w:rPr>
        <w:t xml:space="preserve"> For example, according to Shamdasani, Jung expressed his thoughts and understanding of the </w:t>
      </w:r>
      <w:r w:rsidRPr="179EDB11" w:rsidR="4E5D8242">
        <w:rPr>
          <w:rFonts w:ascii="Segoe UI" w:hAnsi="Segoe UI" w:eastAsia="Segoe UI" w:cs="Segoe UI"/>
          <w:color w:val="auto"/>
        </w:rPr>
        <w:t>’historical transformations of Christianity,’</w:t>
      </w:r>
      <w:r w:rsidRPr="179EDB11" w:rsidR="4E5D8242">
        <w:rPr>
          <w:rFonts w:ascii="Segoe UI" w:hAnsi="Segoe UI" w:eastAsia="Segoe UI" w:cs="Segoe UI"/>
          <w:color w:val="auto"/>
        </w:rPr>
        <w:t xml:space="preserve"> which he then incorporated into his scientific study of the human psyche and into </w:t>
      </w:r>
      <w:r w:rsidRPr="179EDB11" w:rsidR="4E5D8242">
        <w:rPr>
          <w:rFonts w:ascii="Segoe UI" w:hAnsi="Segoe UI" w:eastAsia="Segoe UI" w:cs="Segoe UI"/>
          <w:i w:val="1"/>
          <w:iCs w:val="1"/>
          <w:color w:val="auto"/>
        </w:rPr>
        <w:t xml:space="preserve">Liber Novus, </w:t>
      </w:r>
      <w:r w:rsidRPr="179EDB11" w:rsidR="4E5D8242">
        <w:rPr>
          <w:rFonts w:ascii="Segoe UI" w:hAnsi="Segoe UI" w:eastAsia="Segoe UI" w:cs="Segoe UI"/>
          <w:color w:val="auto"/>
        </w:rPr>
        <w:t xml:space="preserve">and into a later book released in 1952, titled: </w:t>
      </w:r>
      <w:r w:rsidRPr="179EDB11" w:rsidR="4E5D8242">
        <w:rPr>
          <w:rFonts w:ascii="Segoe UI" w:hAnsi="Segoe UI" w:eastAsia="Segoe UI" w:cs="Segoe UI"/>
          <w:i w:val="1"/>
          <w:iCs w:val="1"/>
          <w:color w:val="auto"/>
        </w:rPr>
        <w:t>Answers to Job.</w:t>
      </w:r>
      <w:r w:rsidRPr="179EDB11" w:rsidR="002E4488">
        <w:rPr>
          <w:rStyle w:val="FootnoteReference"/>
          <w:rFonts w:ascii="Segoe UI" w:hAnsi="Segoe UI" w:eastAsia="Segoe UI" w:cs="Segoe UI"/>
          <w:color w:val="auto"/>
        </w:rPr>
        <w:footnoteReference w:id="47"/>
      </w:r>
      <w:r w:rsidRPr="179EDB11" w:rsidR="5389761D">
        <w:rPr>
          <w:rFonts w:ascii="Segoe UI" w:hAnsi="Segoe UI" w:eastAsia="Segoe UI" w:cs="Segoe UI"/>
          <w:color w:val="auto"/>
          <w:lang w:val="en-GB"/>
        </w:rPr>
        <w:t xml:space="preserve"> Accordingly, Raymond Head noted the origins of contemporary </w:t>
      </w:r>
      <w:r w:rsidRPr="179EDB11" w:rsidR="5389761D">
        <w:rPr>
          <w:rFonts w:ascii="Segoe UI" w:hAnsi="Segoe UI" w:eastAsia="Segoe UI" w:cs="Segoe UI"/>
          <w:color w:val="auto"/>
        </w:rPr>
        <w:t>Western astrology which has been traced back to Alan Leo’s (1860-1917)</w:t>
      </w:r>
      <w:r w:rsidRPr="179EDB11" w:rsidR="002E4488">
        <w:rPr>
          <w:rStyle w:val="FootnoteReference"/>
          <w:rFonts w:ascii="Segoe UI" w:hAnsi="Segoe UI" w:eastAsia="Segoe UI" w:cs="Segoe UI"/>
          <w:color w:val="auto"/>
        </w:rPr>
        <w:footnoteReference w:id="48"/>
      </w:r>
      <w:r w:rsidRPr="179EDB11" w:rsidR="5389761D">
        <w:rPr>
          <w:rFonts w:ascii="Segoe UI" w:hAnsi="Segoe UI" w:eastAsia="Segoe UI" w:cs="Segoe UI"/>
          <w:color w:val="auto"/>
        </w:rPr>
        <w:t xml:space="preserve"> work at the beginning of the twentieth century, </w:t>
      </w:r>
      <w:r w:rsidRPr="179EDB11" w:rsidR="5389761D">
        <w:rPr>
          <w:rFonts w:ascii="Segoe UI" w:hAnsi="Segoe UI" w:eastAsia="Segoe UI" w:cs="Segoe UI"/>
          <w:color w:val="auto"/>
        </w:rPr>
        <w:t>with Rossi and Le Grice suggesting Jung himself recognizing the similarities connecting the theosophical movement and that of astrology during this period.</w:t>
      </w:r>
      <w:r w:rsidRPr="179EDB11" w:rsidR="002E4488">
        <w:rPr>
          <w:rStyle w:val="FootnoteReference"/>
          <w:rFonts w:ascii="Segoe UI" w:hAnsi="Segoe UI" w:eastAsia="Segoe UI" w:cs="Segoe UI"/>
          <w:color w:val="auto"/>
        </w:rPr>
        <w:footnoteReference w:id="49"/>
      </w:r>
      <w:r w:rsidRPr="179EDB11" w:rsidR="5389761D">
        <w:rPr>
          <w:rFonts w:ascii="Segoe UI" w:hAnsi="Segoe UI" w:eastAsia="Segoe UI" w:cs="Segoe UI"/>
          <w:color w:val="auto"/>
        </w:rPr>
        <w:t xml:space="preserve"> </w:t>
      </w:r>
      <w:r w:rsidRPr="179EDB11" w:rsidR="4E5D8242">
        <w:rPr>
          <w:rFonts w:ascii="Segoe UI" w:hAnsi="Segoe UI" w:eastAsia="Segoe UI" w:cs="Segoe UI"/>
          <w:color w:val="auto"/>
          <w:lang w:val="en-GB"/>
        </w:rPr>
        <w:t>Considering this, it can be contested that Jung was an esoteric writer/thinker, in the sense he held a place in intellectual tradition that was based in Weimar Classicism (a German literary and cultural movement),</w:t>
      </w:r>
      <w:r w:rsidRPr="179EDB11">
        <w:rPr>
          <w:rStyle w:val="FootnoteReference"/>
          <w:rFonts w:ascii="Segoe UI" w:hAnsi="Segoe UI" w:eastAsia="Segoe UI" w:cs="Segoe UI"/>
          <w:color w:val="auto"/>
          <w:lang w:val="en-GB"/>
        </w:rPr>
        <w:footnoteReference w:id="11353"/>
      </w:r>
      <w:r w:rsidRPr="179EDB11" w:rsidR="4E5D8242">
        <w:rPr>
          <w:rFonts w:ascii="Segoe UI" w:hAnsi="Segoe UI" w:eastAsia="Segoe UI" w:cs="Segoe UI"/>
          <w:color w:val="auto"/>
          <w:lang w:val="en-GB"/>
        </w:rPr>
        <w:t xml:space="preserve"> Friedrich Schiller‘s (1759-1805)</w:t>
      </w:r>
      <w:r w:rsidRPr="179EDB11" w:rsidR="002E4488">
        <w:rPr>
          <w:rStyle w:val="FootnoteReference"/>
          <w:rFonts w:ascii="Segoe UI" w:hAnsi="Segoe UI" w:eastAsia="Segoe UI" w:cs="Segoe UI"/>
          <w:color w:val="auto"/>
          <w:lang w:val="en-GB"/>
        </w:rPr>
        <w:footnoteReference w:id="50"/>
      </w:r>
      <w:r w:rsidRPr="179EDB11" w:rsidR="4E5D8242">
        <w:rPr>
          <w:rFonts w:ascii="Segoe UI" w:hAnsi="Segoe UI" w:eastAsia="Segoe UI" w:cs="Segoe UI"/>
          <w:color w:val="auto"/>
          <w:lang w:val="en-GB"/>
        </w:rPr>
        <w:t xml:space="preserve"> and in Friedrich Nietzsche’s (1844-1900) philosophy and body of work,</w:t>
      </w:r>
      <w:r w:rsidRPr="179EDB11" w:rsidR="002E4488">
        <w:rPr>
          <w:rStyle w:val="FootnoteReference"/>
          <w:rFonts w:ascii="Segoe UI" w:hAnsi="Segoe UI" w:eastAsia="Segoe UI" w:cs="Segoe UI"/>
          <w:color w:val="auto"/>
        </w:rPr>
        <w:footnoteReference w:id="51"/>
      </w:r>
      <w:r w:rsidRPr="179EDB11" w:rsidR="39F243DA">
        <w:rPr>
          <w:rFonts w:ascii="Segoe UI" w:hAnsi="Segoe UI" w:eastAsia="Segoe UI" w:cs="Segoe UI"/>
          <w:color w:val="auto"/>
        </w:rPr>
        <w:t xml:space="preserve"> </w:t>
      </w:r>
      <w:r w:rsidRPr="179EDB11" w:rsidR="4E5D8242">
        <w:rPr>
          <w:rFonts w:ascii="Segoe UI" w:hAnsi="Segoe UI" w:eastAsia="Segoe UI" w:cs="Segoe UI"/>
          <w:color w:val="auto"/>
          <w:lang w:val="en-GB"/>
        </w:rPr>
        <w:t>which were scholars Jung frequently cited, Paul Bishop suggested.</w:t>
      </w:r>
      <w:r w:rsidRPr="179EDB11" w:rsidR="002E4488">
        <w:rPr>
          <w:rStyle w:val="FootnoteReference"/>
          <w:rFonts w:ascii="Segoe UI" w:hAnsi="Segoe UI" w:eastAsia="Segoe UI" w:cs="Segoe UI"/>
          <w:color w:val="auto"/>
          <w:lang w:val="en-GB"/>
        </w:rPr>
        <w:footnoteReference w:id="52"/>
      </w:r>
      <w:r w:rsidRPr="179EDB11" w:rsidR="3B43A286">
        <w:rPr>
          <w:rFonts w:ascii="Segoe UI" w:hAnsi="Segoe UI" w:eastAsia="Segoe UI" w:cs="Segoe UI"/>
          <w:color w:val="auto"/>
          <w:lang w:val="en-GB"/>
        </w:rPr>
        <w:t xml:space="preserve"> Both Schiller and Nietzsche are </w:t>
      </w:r>
      <w:r w:rsidRPr="179EDB11" w:rsidR="3B43A286">
        <w:rPr>
          <w:rFonts w:ascii="Segoe UI" w:hAnsi="Segoe UI" w:eastAsia="Segoe UI" w:cs="Segoe UI"/>
          <w:color w:val="auto"/>
          <w:lang w:val="en-GB"/>
        </w:rPr>
        <w:t xml:space="preserve">mentioned</w:t>
      </w:r>
      <w:r w:rsidRPr="179EDB11" w:rsidR="3B43A286">
        <w:rPr>
          <w:rFonts w:ascii="Segoe UI" w:hAnsi="Segoe UI" w:eastAsia="Segoe UI" w:cs="Segoe UI"/>
          <w:color w:val="auto"/>
          <w:lang w:val="en-GB"/>
        </w:rPr>
        <w:t xml:space="preserve"> in </w:t>
      </w:r>
      <w:r w:rsidRPr="179EDB11" w:rsidR="3B43A286">
        <w:rPr>
          <w:rFonts w:ascii="Segoe UI" w:hAnsi="Segoe UI" w:eastAsia="Segoe UI" w:cs="Segoe UI"/>
          <w:i w:val="1"/>
          <w:iCs w:val="1"/>
          <w:color w:val="auto"/>
          <w:lang w:val="en-GB"/>
        </w:rPr>
        <w:t xml:space="preserve">Liber Novus </w:t>
      </w:r>
      <w:r w:rsidRPr="179EDB11" w:rsidR="3B43A286">
        <w:rPr>
          <w:rFonts w:ascii="Segoe UI" w:hAnsi="Segoe UI" w:eastAsia="Segoe UI" w:cs="Segoe UI"/>
          <w:color w:val="auto"/>
          <w:lang w:val="en-GB"/>
        </w:rPr>
        <w:t>(Schiller-page 59, and Nietzsche-page 64, for example).</w:t>
      </w:r>
      <w:r w:rsidRPr="179EDB11" w:rsidR="002E4488">
        <w:rPr>
          <w:rStyle w:val="FootnoteReference"/>
          <w:rFonts w:ascii="Segoe UI" w:hAnsi="Segoe UI" w:eastAsia="Segoe UI" w:cs="Segoe UI"/>
          <w:color w:val="auto"/>
          <w:lang w:val="en-GB"/>
        </w:rPr>
        <w:footnoteReference w:id="53"/>
      </w:r>
    </w:p>
    <w:p w:rsidR="001A6155" w:rsidP="179EDB11" w:rsidRDefault="4379AF44" w14:paraId="7138BCA4" w14:textId="1C65F086">
      <w:pPr>
        <w:spacing w:line="480" w:lineRule="auto"/>
        <w:jc w:val="both"/>
        <w:rPr>
          <w:rFonts w:ascii="Segoe UI" w:hAnsi="Segoe UI" w:eastAsia="Segoe UI" w:cs="Segoe UI"/>
          <w:color w:val="auto"/>
        </w:rPr>
      </w:pPr>
      <w:r w:rsidRPr="179EDB11" w:rsidR="3B43A286">
        <w:rPr>
          <w:rFonts w:ascii="Segoe UI" w:hAnsi="Segoe UI" w:eastAsia="Segoe UI" w:cs="Segoe UI"/>
          <w:color w:val="auto"/>
          <w:lang w:val="en-GB"/>
        </w:rPr>
        <w:t xml:space="preserve">Whatever else astrology might consist of, for Jung, it </w:t>
      </w:r>
      <w:r w:rsidRPr="179EDB11" w:rsidR="3B43A286">
        <w:rPr>
          <w:rFonts w:ascii="Segoe UI" w:hAnsi="Segoe UI" w:eastAsia="Segoe UI" w:cs="Segoe UI"/>
          <w:color w:val="auto"/>
          <w:lang w:val="en-GB"/>
        </w:rPr>
        <w:t xml:space="preserve">comprised</w:t>
      </w:r>
      <w:r w:rsidRPr="179EDB11" w:rsidR="3B43A286">
        <w:rPr>
          <w:rFonts w:ascii="Segoe UI" w:hAnsi="Segoe UI" w:eastAsia="Segoe UI" w:cs="Segoe UI"/>
          <w:color w:val="auto"/>
          <w:lang w:val="en-GB"/>
        </w:rPr>
        <w:lastRenderedPageBreak/>
        <w:t xml:space="preserve"> a symbolic language of archetypes, which were </w:t>
      </w:r>
      <w:r w:rsidRPr="179EDB11" w:rsidR="3B43A286">
        <w:rPr>
          <w:rFonts w:ascii="Segoe UI" w:hAnsi="Segoe UI" w:eastAsia="Segoe UI" w:cs="Segoe UI"/>
          <w:color w:val="auto"/>
          <w:lang w:val="en-GB"/>
        </w:rPr>
        <w:t xml:space="preserve">Jung’s internal workings, that are strewn throughout </w:t>
      </w:r>
      <w:r w:rsidRPr="179EDB11" w:rsidR="3B43A286">
        <w:rPr>
          <w:rFonts w:ascii="Segoe UI" w:hAnsi="Segoe UI" w:eastAsia="Segoe UI" w:cs="Segoe UI"/>
          <w:i w:val="1"/>
          <w:iCs w:val="1"/>
          <w:color w:val="auto"/>
          <w:lang w:val="en-GB"/>
        </w:rPr>
        <w:t xml:space="preserve">Liber Novus, </w:t>
      </w:r>
      <w:r w:rsidRPr="179EDB11" w:rsidR="3B43A286">
        <w:rPr>
          <w:rFonts w:ascii="Segoe UI" w:hAnsi="Segoe UI" w:eastAsia="Segoe UI" w:cs="Segoe UI"/>
          <w:color w:val="auto"/>
          <w:lang w:val="en-GB"/>
        </w:rPr>
        <w:t xml:space="preserve">revealed as astrological </w:t>
      </w:r>
      <w:r w:rsidRPr="179EDB11" w:rsidR="3B43A286">
        <w:rPr>
          <w:rFonts w:ascii="Segoe UI" w:hAnsi="Segoe UI" w:eastAsia="Segoe UI" w:cs="Segoe UI"/>
          <w:color w:val="auto"/>
          <w:lang w:val="en-GB"/>
        </w:rPr>
        <w:t xml:space="preserve">symbolism, imagery and/or paintings. However, </w:t>
      </w:r>
      <w:r w:rsidRPr="179EDB11" w:rsidR="6CA72707">
        <w:rPr>
          <w:rFonts w:ascii="Segoe UI" w:hAnsi="Segoe UI" w:eastAsia="Segoe UI" w:cs="Segoe UI"/>
          <w:color w:val="auto"/>
          <w:lang w:val="en-GB"/>
        </w:rPr>
        <w:t xml:space="preserve">the astrology that comprises </w:t>
      </w:r>
      <w:r w:rsidRPr="179EDB11" w:rsidR="6CA72707">
        <w:rPr>
          <w:rFonts w:ascii="Segoe UI" w:hAnsi="Segoe UI" w:eastAsia="Segoe UI" w:cs="Segoe UI"/>
          <w:i w:val="1"/>
          <w:iCs w:val="1"/>
          <w:color w:val="auto"/>
          <w:lang w:val="en-GB"/>
        </w:rPr>
        <w:t>Liber Novus -</w:t>
      </w:r>
      <w:r w:rsidRPr="179EDB11" w:rsidR="6CA72707">
        <w:rPr>
          <w:rFonts w:ascii="Segoe UI" w:hAnsi="Segoe UI" w:eastAsia="Segoe UI" w:cs="Segoe UI"/>
          <w:color w:val="auto"/>
          <w:lang w:val="en-GB"/>
        </w:rPr>
        <w:t xml:space="preserve"> according to Buck, are hidden in the ‘</w:t>
      </w:r>
      <w:r w:rsidRPr="179EDB11" w:rsidR="6CA72707">
        <w:rPr>
          <w:rFonts w:ascii="Segoe UI" w:hAnsi="Segoe UI" w:eastAsia="Segoe UI" w:cs="Segoe UI"/>
          <w:color w:val="auto"/>
          <w:lang w:val="en-GB"/>
        </w:rPr>
        <w:t>subtext within the dialogue,’</w:t>
      </w:r>
      <w:r w:rsidRPr="179EDB11" w:rsidR="6CA72707">
        <w:rPr>
          <w:rFonts w:ascii="Segoe UI" w:hAnsi="Segoe UI" w:eastAsia="Segoe UI" w:cs="Segoe UI"/>
          <w:color w:val="auto"/>
          <w:lang w:val="en-GB"/>
        </w:rPr>
        <w:t xml:space="preserve"> although, are also seen in some </w:t>
      </w:r>
      <w:r w:rsidRPr="179EDB11" w:rsidR="6CA72707">
        <w:rPr>
          <w:rFonts w:ascii="Segoe UI" w:hAnsi="Segoe UI" w:eastAsia="Segoe UI" w:cs="Segoe UI"/>
          <w:color w:val="auto"/>
          <w:lang w:val="en-GB"/>
        </w:rPr>
        <w:t>‘companion paintings with the incorporation of astrological symbols.’</w:t>
      </w:r>
      <w:r w:rsidRPr="179EDB11" w:rsidR="002E4488">
        <w:rPr>
          <w:rStyle w:val="FootnoteReference"/>
          <w:rFonts w:ascii="Segoe UI" w:hAnsi="Segoe UI" w:eastAsia="Segoe UI" w:cs="Segoe UI"/>
          <w:color w:val="auto"/>
          <w:lang w:val="en-GB"/>
        </w:rPr>
        <w:footnoteReference w:id="54"/>
      </w:r>
      <w:r w:rsidRPr="179EDB11" w:rsidR="6CA72707">
        <w:rPr>
          <w:rFonts w:ascii="Segoe UI" w:hAnsi="Segoe UI" w:eastAsia="Segoe UI" w:cs="Segoe UI"/>
          <w:color w:val="auto"/>
          <w:lang w:val="en-GB"/>
        </w:rPr>
        <w:t xml:space="preserve"> In other terms, there is a </w:t>
      </w:r>
      <w:r w:rsidRPr="179EDB11" w:rsidR="6CA72707">
        <w:rPr>
          <w:rFonts w:ascii="Segoe UI" w:hAnsi="Segoe UI" w:eastAsia="Segoe UI" w:cs="Segoe UI"/>
          <w:color w:val="auto"/>
          <w:lang w:val="en-GB"/>
        </w:rPr>
        <w:t xml:space="preserve">secondary layer which Shamdasani describes as a </w:t>
      </w:r>
      <w:r w:rsidRPr="179EDB11" w:rsidR="6CA72707">
        <w:rPr>
          <w:rFonts w:ascii="Segoe UI" w:hAnsi="Segoe UI" w:eastAsia="Segoe UI" w:cs="Segoe UI"/>
          <w:color w:val="auto"/>
          <w:lang w:val="en-GB"/>
        </w:rPr>
        <w:t>‘lyrical elaboration’</w:t>
      </w:r>
      <w:r w:rsidRPr="179EDB11" w:rsidR="002E4488">
        <w:rPr>
          <w:rStyle w:val="FootnoteReference"/>
          <w:rFonts w:ascii="Segoe UI" w:hAnsi="Segoe UI" w:eastAsia="Segoe UI" w:cs="Segoe UI"/>
          <w:color w:val="auto"/>
          <w:lang w:val="en-GB"/>
        </w:rPr>
        <w:footnoteReference w:id="55"/>
      </w:r>
      <w:r w:rsidRPr="179EDB11" w:rsidR="6CA72707">
        <w:rPr>
          <w:rFonts w:ascii="Segoe UI" w:hAnsi="Segoe UI" w:eastAsia="Segoe UI" w:cs="Segoe UI"/>
          <w:color w:val="auto"/>
          <w:lang w:val="en-GB"/>
        </w:rPr>
        <w:t xml:space="preserve"> </w:t>
      </w:r>
      <w:r w:rsidRPr="179EDB11" w:rsidR="6CA72707">
        <w:rPr>
          <w:rFonts w:ascii="Segoe UI" w:hAnsi="Segoe UI" w:eastAsia="Segoe UI" w:cs="Segoe UI"/>
          <w:color w:val="auto"/>
          <w:lang w:val="en-GB"/>
        </w:rPr>
        <w:t xml:space="preserve">and it is that elaboration which is the secondary commentary trying to understand what’s happening in Jung’s visions, dream states and experiences with his unconscious, and that is what has all the astrological symbolism. </w:t>
      </w:r>
      <w:r w:rsidRPr="179EDB11" w:rsidR="3B43A286">
        <w:rPr>
          <w:rFonts w:ascii="Segoe UI" w:hAnsi="Segoe UI" w:eastAsia="Segoe UI" w:cs="Segoe UI"/>
          <w:color w:val="auto"/>
          <w:lang w:val="en-GB"/>
        </w:rPr>
        <w:t xml:space="preserve">For example, </w:t>
      </w:r>
      <w:r w:rsidRPr="179EDB11" w:rsidR="3B43A286">
        <w:rPr>
          <w:rFonts w:ascii="Segoe UI" w:hAnsi="Segoe UI" w:eastAsia="Segoe UI" w:cs="Segoe UI"/>
          <w:color w:val="auto"/>
          <w:lang w:val="en-GB"/>
        </w:rPr>
        <w:t>Safron</w:t>
      </w:r>
      <w:r w:rsidRPr="179EDB11" w:rsidR="3B43A286">
        <w:rPr>
          <w:rFonts w:ascii="Segoe UI" w:hAnsi="Segoe UI" w:eastAsia="Segoe UI" w:cs="Segoe UI"/>
          <w:color w:val="auto"/>
          <w:lang w:val="en-GB"/>
        </w:rPr>
        <w:t xml:space="preserve"> Rossi suggests that in</w:t>
      </w:r>
      <w:r w:rsidRPr="179EDB11" w:rsidR="6CA72707">
        <w:rPr>
          <w:rFonts w:ascii="Segoe UI" w:hAnsi="Segoe UI" w:eastAsia="Segoe UI" w:cs="Segoe UI"/>
          <w:color w:val="auto"/>
          <w:lang w:val="en-GB"/>
        </w:rPr>
        <w:t xml:space="preserve"> Jung’s</w:t>
      </w:r>
      <w:r w:rsidRPr="179EDB11" w:rsidR="6CA72707">
        <w:rPr>
          <w:rFonts w:ascii="Segoe UI" w:hAnsi="Segoe UI" w:eastAsia="Segoe UI" w:cs="Segoe UI"/>
          <w:color w:val="auto"/>
          <w:lang w:val="en-GB"/>
        </w:rPr>
        <w:t xml:space="preserve"> ’</w:t>
      </w:r>
      <w:r w:rsidRPr="179EDB11" w:rsidR="6CA72707">
        <w:rPr>
          <w:rFonts w:ascii="Segoe UI" w:hAnsi="Segoe UI" w:eastAsia="Segoe UI" w:cs="Segoe UI"/>
          <w:i w:val="1"/>
          <w:iCs w:val="1"/>
          <w:color w:val="auto"/>
          <w:lang w:val="en-GB"/>
        </w:rPr>
        <w:t xml:space="preserve">Liber Primus </w:t>
      </w:r>
      <w:r w:rsidRPr="179EDB11" w:rsidR="6CA72707">
        <w:rPr>
          <w:rFonts w:ascii="Segoe UI" w:hAnsi="Segoe UI" w:eastAsia="Segoe UI" w:cs="Segoe UI"/>
          <w:color w:val="auto"/>
          <w:lang w:val="en-GB"/>
        </w:rPr>
        <w:t>(the first book of</w:t>
      </w:r>
      <w:r w:rsidRPr="179EDB11" w:rsidR="3B43A286">
        <w:rPr>
          <w:rFonts w:ascii="Segoe UI" w:hAnsi="Segoe UI" w:eastAsia="Segoe UI" w:cs="Segoe UI"/>
          <w:color w:val="auto"/>
          <w:lang w:val="en-GB"/>
        </w:rPr>
        <w:t xml:space="preserve"> </w:t>
      </w:r>
      <w:r w:rsidRPr="179EDB11" w:rsidR="3B43A286">
        <w:rPr>
          <w:rFonts w:ascii="Segoe UI" w:hAnsi="Segoe UI" w:eastAsia="Segoe UI" w:cs="Segoe UI"/>
          <w:i w:val="1"/>
          <w:iCs w:val="1"/>
          <w:color w:val="auto"/>
          <w:lang w:val="en-GB"/>
        </w:rPr>
        <w:t>Liber Novus</w:t>
      </w:r>
      <w:r w:rsidRPr="179EDB11" w:rsidR="3B43A286">
        <w:rPr>
          <w:rFonts w:ascii="Segoe UI" w:hAnsi="Segoe UI" w:eastAsia="Segoe UI" w:cs="Segoe UI"/>
          <w:color w:val="auto"/>
          <w:lang w:val="en-GB"/>
        </w:rPr>
        <w:t>),’</w:t>
      </w:r>
      <w:r w:rsidRPr="179EDB11" w:rsidR="002E4488">
        <w:rPr>
          <w:rStyle w:val="FootnoteReference"/>
          <w:rFonts w:ascii="Segoe UI" w:hAnsi="Segoe UI" w:eastAsia="Segoe UI" w:cs="Segoe UI"/>
          <w:color w:val="auto"/>
          <w:lang w:val="en-GB"/>
        </w:rPr>
        <w:footnoteReference w:id="56"/>
      </w:r>
      <w:r w:rsidRPr="179EDB11" w:rsidR="3B43A286">
        <w:rPr>
          <w:rFonts w:ascii="Segoe UI" w:hAnsi="Segoe UI" w:eastAsia="Segoe UI" w:cs="Segoe UI"/>
          <w:color w:val="auto"/>
          <w:lang w:val="en-GB"/>
        </w:rPr>
        <w:t xml:space="preserve"> contains the astrological images</w:t>
      </w:r>
      <w:r w:rsidRPr="179EDB11" w:rsidR="3B43A286">
        <w:rPr>
          <w:rFonts w:ascii="Segoe UI" w:hAnsi="Segoe UI" w:eastAsia="Segoe UI" w:cs="Segoe UI"/>
          <w:color w:val="auto"/>
          <w:lang w:val="en-GB"/>
        </w:rPr>
        <w:t xml:space="preserve"> of </w:t>
      </w:r>
      <w:r w:rsidRPr="179EDB11" w:rsidR="6CA72707">
        <w:rPr>
          <w:rFonts w:ascii="Segoe UI" w:hAnsi="Segoe UI" w:eastAsia="Segoe UI" w:cs="Segoe UI"/>
          <w:color w:val="auto"/>
          <w:lang w:val="en-GB"/>
        </w:rPr>
        <w:t>Saturn.</w:t>
      </w:r>
      <w:r w:rsidRPr="179EDB11" w:rsidR="002E4488">
        <w:rPr>
          <w:rStyle w:val="FootnoteReference"/>
          <w:rFonts w:ascii="Segoe UI" w:hAnsi="Segoe UI" w:eastAsia="Segoe UI" w:cs="Segoe UI"/>
          <w:color w:val="auto"/>
        </w:rPr>
        <w:footnoteReference w:id="58"/>
      </w:r>
      <w:r w:rsidRPr="179EDB11" w:rsidR="1A0AB107">
        <w:rPr>
          <w:rFonts w:ascii="Segoe UI" w:hAnsi="Segoe UI" w:eastAsia="Segoe UI" w:cs="Segoe UI"/>
          <w:color w:val="auto"/>
        </w:rPr>
        <w:t xml:space="preserve"> </w:t>
      </w:r>
      <w:r w:rsidRPr="179EDB11" w:rsidR="1A0AB107">
        <w:rPr>
          <w:rFonts w:ascii="Segoe UI" w:hAnsi="Segoe UI" w:eastAsia="Segoe UI" w:cs="Segoe UI"/>
          <w:color w:val="auto"/>
        </w:rPr>
        <w:t xml:space="preserve">Furthermore, in the introduction to Rossi’s paper, she describes the planet Saturn as the god of </w:t>
      </w:r>
      <w:r w:rsidRPr="179EDB11" w:rsidR="1A0AB107">
        <w:rPr>
          <w:rFonts w:ascii="Segoe UI" w:hAnsi="Segoe UI" w:eastAsia="Segoe UI" w:cs="Segoe UI"/>
          <w:color w:val="auto"/>
        </w:rPr>
        <w:t>’maligned and fear,’</w:t>
      </w:r>
      <w:r w:rsidRPr="179EDB11" w:rsidR="002E4488">
        <w:rPr>
          <w:rStyle w:val="FootnoteReference"/>
          <w:rFonts w:ascii="Segoe UI" w:hAnsi="Segoe UI" w:eastAsia="Segoe UI" w:cs="Segoe UI"/>
          <w:color w:val="auto"/>
        </w:rPr>
        <w:footnoteReference w:id="59"/>
      </w:r>
      <w:r w:rsidRPr="179EDB11" w:rsidR="39F243DA">
        <w:rPr>
          <w:rFonts w:ascii="Segoe UI" w:hAnsi="Segoe UI" w:eastAsia="Segoe UI" w:cs="Segoe UI"/>
          <w:color w:val="auto"/>
        </w:rPr>
        <w:t xml:space="preserve"> </w:t>
      </w:r>
      <w:r w:rsidRPr="179EDB11" w:rsidR="39F243DA">
        <w:rPr>
          <w:rFonts w:ascii="Segoe UI" w:hAnsi="Segoe UI" w:eastAsia="Segoe UI" w:cs="Segoe UI"/>
          <w:color w:val="auto"/>
        </w:rPr>
        <w:t>or as Jung put it, ’</w:t>
      </w:r>
      <w:r w:rsidRPr="179EDB11" w:rsidR="39F243DA">
        <w:rPr>
          <w:rFonts w:ascii="Segoe UI" w:hAnsi="Segoe UI" w:eastAsia="Segoe UI" w:cs="Segoe UI"/>
          <w:color w:val="auto"/>
        </w:rPr>
        <w:t>Saturn is maleficent.’</w:t>
      </w:r>
      <w:r w:rsidRPr="179EDB11" w:rsidR="002E4488">
        <w:rPr>
          <w:rStyle w:val="FootnoteReference"/>
          <w:rFonts w:ascii="Segoe UI" w:hAnsi="Segoe UI" w:eastAsia="Segoe UI" w:cs="Segoe UI"/>
          <w:color w:val="auto"/>
        </w:rPr>
        <w:footnoteReference w:id="60"/>
      </w:r>
      <w:r w:rsidRPr="179EDB11" w:rsidR="39F243DA">
        <w:rPr>
          <w:rFonts w:ascii="Segoe UI" w:hAnsi="Segoe UI" w:eastAsia="Segoe UI" w:cs="Segoe UI"/>
          <w:color w:val="auto"/>
        </w:rPr>
        <w:t xml:space="preserve"> </w:t>
      </w:r>
      <w:r w:rsidRPr="179EDB11" w:rsidR="39F243DA">
        <w:rPr>
          <w:rFonts w:ascii="Segoe UI" w:hAnsi="Segoe UI" w:eastAsia="Segoe UI" w:cs="Segoe UI"/>
          <w:color w:val="auto"/>
        </w:rPr>
        <w:t xml:space="preserve">In simpler terms, Saturn is described as the </w:t>
      </w:r>
      <w:r w:rsidRPr="179EDB11" w:rsidR="1A0AB107">
        <w:rPr>
          <w:rFonts w:ascii="Segoe UI" w:hAnsi="Segoe UI" w:eastAsia="Segoe UI" w:cs="Segoe UI"/>
          <w:color w:val="auto"/>
        </w:rPr>
        <w:t>god of life’s most unpleasant, unpredictable changes, which corresponds to one of the distinguishing or recognized aspects of Jung’s work, the ’</w:t>
      </w:r>
      <w:r w:rsidRPr="179EDB11" w:rsidR="1A0AB107">
        <w:rPr>
          <w:rFonts w:ascii="Segoe UI" w:hAnsi="Segoe UI" w:eastAsia="Segoe UI" w:cs="Segoe UI"/>
          <w:color w:val="auto"/>
        </w:rPr>
        <w:t>Shadow.’</w:t>
      </w:r>
      <w:r w:rsidRPr="179EDB11" w:rsidR="002E4488">
        <w:rPr>
          <w:rStyle w:val="FootnoteReference"/>
          <w:rFonts w:ascii="Segoe UI" w:hAnsi="Segoe UI" w:eastAsia="Segoe UI" w:cs="Segoe UI"/>
          <w:color w:val="auto"/>
        </w:rPr>
        <w:footnoteReference w:id="61"/>
      </w:r>
      <w:r w:rsidRPr="179EDB11" w:rsidR="1A0AB107">
        <w:rPr>
          <w:rFonts w:ascii="Segoe UI" w:hAnsi="Segoe UI" w:eastAsia="Segoe UI" w:cs="Segoe UI"/>
          <w:color w:val="auto"/>
        </w:rPr>
        <w:t xml:space="preserve"> Like Saturn, the </w:t>
      </w:r>
      <w:r w:rsidRPr="179EDB11" w:rsidR="1A0AB107">
        <w:rPr>
          <w:rFonts w:ascii="Segoe UI" w:hAnsi="Segoe UI" w:eastAsia="Segoe UI" w:cs="Segoe UI"/>
          <w:i w:val="1"/>
          <w:iCs w:val="1"/>
          <w:color w:val="auto"/>
        </w:rPr>
        <w:t xml:space="preserve">S</w:t>
      </w:r>
      <w:r w:rsidRPr="179EDB11" w:rsidR="1A0AB107">
        <w:rPr>
          <w:rFonts w:ascii="Segoe UI" w:hAnsi="Segoe UI" w:eastAsia="Segoe UI" w:cs="Segoe UI"/>
          <w:i w:val="1"/>
          <w:iCs w:val="1"/>
          <w:color w:val="auto"/>
        </w:rPr>
        <w:t xml:space="preserve">hadow </w:t>
      </w:r>
      <w:r w:rsidRPr="179EDB11" w:rsidR="2FB32178">
        <w:rPr>
          <w:rFonts w:ascii="Segoe UI" w:hAnsi="Segoe UI" w:eastAsia="Segoe UI" w:cs="Segoe UI"/>
          <w:color w:val="auto"/>
        </w:rPr>
        <w:t>comprises the dark unknown aspect of the personality and is composed of those features that a person represses from themselves; Rossi and Le Grice suggest.</w:t>
      </w:r>
      <w:r w:rsidRPr="179EDB11" w:rsidR="002E4488">
        <w:rPr>
          <w:rStyle w:val="FootnoteReference"/>
          <w:rFonts w:ascii="Segoe UI" w:hAnsi="Segoe UI" w:eastAsia="Segoe UI" w:cs="Segoe UI"/>
          <w:color w:val="auto"/>
        </w:rPr>
        <w:footnoteReference w:id="62"/>
      </w:r>
      <w:r w:rsidRPr="179EDB11" w:rsidR="4E5D8242">
        <w:rPr>
          <w:rFonts w:ascii="Segoe UI" w:hAnsi="Segoe UI" w:eastAsia="Segoe UI" w:cs="Segoe UI"/>
          <w:color w:val="auto"/>
        </w:rPr>
        <w:t xml:space="preserve"> Adding to this, Carl R. Mueller, wrote that the ’</w:t>
      </w:r>
      <w:r w:rsidRPr="179EDB11" w:rsidR="4E5D8242">
        <w:rPr>
          <w:rFonts w:ascii="Segoe UI" w:hAnsi="Segoe UI" w:eastAsia="Segoe UI" w:cs="Segoe UI"/>
          <w:color w:val="auto"/>
        </w:rPr>
        <w:t xml:space="preserve">Shadow archetype’ </w:t>
      </w:r>
      <w:r w:rsidRPr="179EDB11" w:rsidR="4E5D8242">
        <w:rPr>
          <w:rFonts w:ascii="Segoe UI" w:hAnsi="Segoe UI" w:eastAsia="Segoe UI" w:cs="Segoe UI"/>
          <w:color w:val="auto"/>
        </w:rPr>
        <w:t>is of principle importance in Jungian psychology,</w:t>
      </w:r>
      <w:r w:rsidRPr="179EDB11" w:rsidR="002E4488">
        <w:rPr>
          <w:rStyle w:val="FootnoteReference"/>
          <w:rFonts w:ascii="Segoe UI" w:hAnsi="Segoe UI" w:eastAsia="Segoe UI" w:cs="Segoe UI"/>
          <w:color w:val="auto"/>
        </w:rPr>
        <w:footnoteReference w:id="63"/>
      </w:r>
      <w:r w:rsidRPr="179EDB11" w:rsidR="1A0AB107">
        <w:rPr>
          <w:rFonts w:ascii="Segoe UI" w:hAnsi="Segoe UI" w:eastAsia="Segoe UI" w:cs="Segoe UI"/>
          <w:color w:val="auto"/>
        </w:rPr>
        <w:t xml:space="preserve"> in the sense it is the bearer or repository, of all a person’s </w:t>
      </w:r>
      <w:r w:rsidRPr="179EDB11" w:rsidR="1A0AB107">
        <w:rPr>
          <w:rFonts w:ascii="Segoe UI" w:hAnsi="Segoe UI" w:eastAsia="Segoe UI" w:cs="Segoe UI"/>
          <w:color w:val="auto"/>
        </w:rPr>
        <w:lastRenderedPageBreak/>
        <w:t>suppressions.</w:t>
      </w:r>
      <w:r w:rsidRPr="179EDB11" w:rsidR="002E4488">
        <w:rPr>
          <w:rStyle w:val="FootnoteReference"/>
          <w:rFonts w:ascii="Segoe UI" w:hAnsi="Segoe UI" w:eastAsia="Segoe UI" w:cs="Segoe UI"/>
          <w:color w:val="auto"/>
        </w:rPr>
        <w:footnoteReference w:id="64"/>
      </w:r>
      <w:r w:rsidRPr="179EDB11" w:rsidR="1A0AB107">
        <w:rPr>
          <w:rFonts w:ascii="Segoe UI" w:hAnsi="Segoe UI" w:eastAsia="Segoe UI" w:cs="Segoe UI"/>
          <w:color w:val="auto"/>
        </w:rPr>
        <w:t xml:space="preserve"> Correspondingly, the </w:t>
      </w:r>
      <w:r w:rsidRPr="179EDB11" w:rsidR="1A0AB107">
        <w:rPr>
          <w:rFonts w:ascii="Segoe UI" w:hAnsi="Segoe UI" w:eastAsia="Segoe UI" w:cs="Segoe UI"/>
          <w:i w:val="1"/>
          <w:iCs w:val="1"/>
          <w:color w:val="auto"/>
        </w:rPr>
        <w:t xml:space="preserve">Shadow </w:t>
      </w:r>
      <w:r w:rsidRPr="179EDB11" w:rsidR="1A0AB107">
        <w:rPr>
          <w:rFonts w:ascii="Segoe UI" w:hAnsi="Segoe UI" w:eastAsia="Segoe UI" w:cs="Segoe UI"/>
          <w:i w:val="0"/>
          <w:iCs w:val="0"/>
          <w:color w:val="auto"/>
        </w:rPr>
        <w:t xml:space="preserve">concept and its connection </w:t>
      </w:r>
      <w:r w:rsidRPr="179EDB11" w:rsidR="1A0AB107">
        <w:rPr>
          <w:rFonts w:ascii="Segoe UI" w:hAnsi="Segoe UI" w:eastAsia="Segoe UI" w:cs="Segoe UI"/>
          <w:color w:val="auto"/>
        </w:rPr>
        <w:t xml:space="preserve">to the planet Saturn, is </w:t>
      </w:r>
      <w:r w:rsidRPr="179EDB11" w:rsidR="1A0AB107">
        <w:rPr>
          <w:rFonts w:ascii="Segoe UI" w:hAnsi="Segoe UI" w:eastAsia="Segoe UI" w:cs="Segoe UI"/>
          <w:color w:val="auto"/>
        </w:rPr>
        <w:t>a further instance through which Jungian psychology is thus integrated or ’</w:t>
      </w:r>
      <w:r w:rsidRPr="179EDB11" w:rsidR="1A0AB107">
        <w:rPr>
          <w:rFonts w:ascii="Segoe UI" w:hAnsi="Segoe UI" w:eastAsia="Segoe UI" w:cs="Segoe UI"/>
          <w:color w:val="auto"/>
        </w:rPr>
        <w:t>psycho-synthesized’</w:t>
      </w:r>
      <w:r w:rsidRPr="179EDB11" w:rsidR="1A0AB107">
        <w:rPr>
          <w:rFonts w:ascii="Segoe UI" w:hAnsi="Segoe UI" w:eastAsia="Segoe UI" w:cs="Segoe UI"/>
          <w:color w:val="auto"/>
        </w:rPr>
        <w:t xml:space="preserve"> with astrology, Rossi and Le Grice point out.</w:t>
      </w:r>
      <w:r w:rsidRPr="179EDB11" w:rsidR="002E4488">
        <w:rPr>
          <w:rStyle w:val="FootnoteReference"/>
          <w:rFonts w:ascii="Segoe UI" w:hAnsi="Segoe UI" w:eastAsia="Segoe UI" w:cs="Segoe UI"/>
          <w:color w:val="auto"/>
        </w:rPr>
        <w:footnoteReference w:id="65"/>
      </w:r>
      <w:r w:rsidRPr="179EDB11" w:rsidR="1A0AB107">
        <w:rPr>
          <w:rFonts w:ascii="Segoe UI" w:hAnsi="Segoe UI" w:eastAsia="Segoe UI" w:cs="Segoe UI"/>
          <w:color w:val="auto"/>
        </w:rPr>
        <w:t xml:space="preserve"> In slight contrast to the above, Greene offers up an explanation of the correlations between Saturn and the S</w:t>
      </w:r>
      <w:r w:rsidRPr="179EDB11" w:rsidR="1A0AB107">
        <w:rPr>
          <w:rFonts w:ascii="Segoe UI" w:hAnsi="Segoe UI" w:eastAsia="Segoe UI" w:cs="Segoe UI"/>
          <w:i w:val="1"/>
          <w:iCs w:val="1"/>
          <w:color w:val="auto"/>
        </w:rPr>
        <w:t xml:space="preserve">hadow, </w:t>
      </w:r>
      <w:r w:rsidRPr="179EDB11" w:rsidR="1A0AB107">
        <w:rPr>
          <w:rFonts w:ascii="Segoe UI" w:hAnsi="Segoe UI" w:eastAsia="Segoe UI" w:cs="Segoe UI"/>
          <w:color w:val="auto"/>
        </w:rPr>
        <w:t xml:space="preserve">which are discussed in greater depth in a 1976 publication, titled: </w:t>
      </w:r>
      <w:r w:rsidRPr="179EDB11" w:rsidR="1A0AB107">
        <w:rPr>
          <w:rFonts w:ascii="Segoe UI" w:hAnsi="Segoe UI" w:eastAsia="Segoe UI" w:cs="Segoe UI"/>
          <w:i w:val="1"/>
          <w:iCs w:val="1"/>
          <w:color w:val="auto"/>
        </w:rPr>
        <w:t>Saturn</w:t>
      </w:r>
      <w:r w:rsidRPr="179EDB11" w:rsidR="1A0AB107">
        <w:rPr>
          <w:rFonts w:ascii="Segoe UI" w:hAnsi="Segoe UI" w:eastAsia="Segoe UI" w:cs="Segoe UI"/>
          <w:color w:val="auto"/>
        </w:rPr>
        <w:t>.</w:t>
      </w:r>
      <w:r w:rsidRPr="179EDB11" w:rsidR="002E4488">
        <w:rPr>
          <w:rStyle w:val="FootnoteReference"/>
          <w:rFonts w:ascii="Segoe UI" w:hAnsi="Segoe UI" w:eastAsia="Segoe UI" w:cs="Segoe UI"/>
          <w:color w:val="auto"/>
        </w:rPr>
        <w:footnoteReference w:id="66"/>
      </w:r>
      <w:r w:rsidRPr="179EDB11" w:rsidR="1A0AB107">
        <w:rPr>
          <w:rFonts w:ascii="Segoe UI" w:hAnsi="Segoe UI" w:eastAsia="Segoe UI" w:cs="Segoe UI"/>
          <w:color w:val="auto"/>
        </w:rPr>
        <w:t xml:space="preserve">  In this book, Greene suggests that Saturn ’</w:t>
      </w:r>
      <w:r w:rsidRPr="179EDB11" w:rsidR="1A0AB107">
        <w:rPr>
          <w:rFonts w:ascii="Segoe UI" w:hAnsi="Segoe UI" w:eastAsia="Segoe UI" w:cs="Segoe UI"/>
          <w:color w:val="auto"/>
        </w:rPr>
        <w:t xml:space="preserve">may’ </w:t>
      </w:r>
      <w:r w:rsidRPr="179EDB11" w:rsidR="1A0AB107">
        <w:rPr>
          <w:rFonts w:ascii="Segoe UI" w:hAnsi="Segoe UI" w:eastAsia="Segoe UI" w:cs="Segoe UI"/>
          <w:color w:val="auto"/>
        </w:rPr>
        <w:t xml:space="preserve">parallel the Jungian concept of the </w:t>
      </w:r>
      <w:r w:rsidRPr="179EDB11" w:rsidR="1A0AB107">
        <w:rPr>
          <w:rFonts w:ascii="Segoe UI" w:hAnsi="Segoe UI" w:eastAsia="Segoe UI" w:cs="Segoe UI"/>
          <w:i w:val="1"/>
          <w:iCs w:val="1"/>
          <w:color w:val="auto"/>
        </w:rPr>
        <w:t xml:space="preserve">Shadow, </w:t>
      </w:r>
      <w:r w:rsidRPr="179EDB11" w:rsidR="1A0AB107">
        <w:rPr>
          <w:rFonts w:ascii="Segoe UI" w:hAnsi="Segoe UI" w:eastAsia="Segoe UI" w:cs="Segoe UI"/>
          <w:color w:val="auto"/>
        </w:rPr>
        <w:t xml:space="preserve">in terms of ’</w:t>
      </w:r>
      <w:r w:rsidRPr="179EDB11" w:rsidR="1A0AB107">
        <w:rPr>
          <w:rFonts w:ascii="Segoe UI" w:hAnsi="Segoe UI" w:eastAsia="Segoe UI" w:cs="Segoe UI"/>
          <w:color w:val="auto"/>
        </w:rPr>
        <w:t xml:space="preserve">the dark side of the conscious ego.’</w:t>
      </w:r>
      <w:r w:rsidRPr="179EDB11" w:rsidR="002E4488">
        <w:rPr>
          <w:rStyle w:val="FootnoteReference"/>
          <w:rFonts w:ascii="Segoe UI" w:hAnsi="Segoe UI" w:eastAsia="Segoe UI" w:cs="Segoe UI"/>
          <w:color w:val="auto"/>
        </w:rPr>
        <w:footnoteReference w:id="67"/>
      </w:r>
      <w:r w:rsidRPr="179EDB11" w:rsidR="1A0AB107">
        <w:rPr>
          <w:rFonts w:ascii="Segoe UI" w:hAnsi="Segoe UI" w:eastAsia="Segoe UI" w:cs="Segoe UI"/>
          <w:color w:val="auto"/>
        </w:rPr>
        <w:t xml:space="preserve"> </w:t>
      </w:r>
      <w:r w:rsidRPr="179EDB11" w:rsidR="1A0AB107">
        <w:rPr>
          <w:rFonts w:ascii="Segoe UI" w:hAnsi="Segoe UI" w:eastAsia="Segoe UI" w:cs="Segoe UI"/>
          <w:color w:val="auto"/>
        </w:rPr>
        <w:t xml:space="preserve">Equally, if one is to consider when Jung was born, in 1875, and the date he began writing </w:t>
      </w:r>
      <w:r w:rsidRPr="179EDB11" w:rsidR="1A0AB107">
        <w:rPr>
          <w:rFonts w:ascii="Segoe UI" w:hAnsi="Segoe UI" w:eastAsia="Segoe UI" w:cs="Segoe UI"/>
          <w:i w:val="1"/>
          <w:iCs w:val="1"/>
          <w:color w:val="auto"/>
        </w:rPr>
        <w:t xml:space="preserve">Liber Novus, </w:t>
      </w:r>
      <w:r w:rsidRPr="179EDB11" w:rsidR="1A0AB107">
        <w:rPr>
          <w:rFonts w:ascii="Segoe UI" w:hAnsi="Segoe UI" w:eastAsia="Segoe UI" w:cs="Segoe UI"/>
          <w:color w:val="auto"/>
        </w:rPr>
        <w:t xml:space="preserve">in 1913, Jung was in his 30s at this point. Interestingly, Saturn transits into an individual's astrological house in their 30s, this signifying a major astrological event at a crucial age, or in </w:t>
      </w:r>
      <w:proofErr w:type="gramStart"/>
      <w:r w:rsidRPr="179EDB11" w:rsidR="1A0AB107">
        <w:rPr>
          <w:rFonts w:ascii="Segoe UI" w:hAnsi="Segoe UI" w:eastAsia="Segoe UI" w:cs="Segoe UI"/>
          <w:color w:val="auto"/>
        </w:rPr>
        <w:t>Jung‘</w:t>
      </w:r>
      <w:proofErr w:type="gramEnd"/>
      <w:r w:rsidRPr="179EDB11" w:rsidR="1A0AB107">
        <w:rPr>
          <w:rFonts w:ascii="Segoe UI" w:hAnsi="Segoe UI" w:eastAsia="Segoe UI" w:cs="Segoe UI"/>
          <w:color w:val="auto"/>
        </w:rPr>
        <w:t>s case ’</w:t>
      </w:r>
      <w:r w:rsidRPr="179EDB11" w:rsidR="1A0AB107">
        <w:rPr>
          <w:rFonts w:ascii="Segoe UI" w:hAnsi="Segoe UI" w:eastAsia="Segoe UI" w:cs="Segoe UI"/>
          <w:color w:val="auto"/>
        </w:rPr>
        <w:t xml:space="preserve">Saturn had arrived,’ </w:t>
      </w:r>
      <w:r w:rsidRPr="179EDB11" w:rsidR="1A0AB107">
        <w:rPr>
          <w:rFonts w:ascii="Segoe UI" w:hAnsi="Segoe UI" w:eastAsia="Segoe UI" w:cs="Segoe UI"/>
          <w:color w:val="auto"/>
        </w:rPr>
        <w:t>as Wendell C. Perry put it.</w:t>
      </w:r>
      <w:r w:rsidRPr="179EDB11" w:rsidR="002E4488">
        <w:rPr>
          <w:rStyle w:val="FootnoteReference"/>
          <w:rFonts w:ascii="Segoe UI" w:hAnsi="Segoe UI" w:eastAsia="Segoe UI" w:cs="Segoe UI"/>
          <w:color w:val="auto"/>
        </w:rPr>
        <w:footnoteReference w:id="68"/>
      </w:r>
      <w:r w:rsidRPr="179EDB11" w:rsidR="3F0D8FEF">
        <w:rPr>
          <w:rFonts w:ascii="Segoe UI" w:hAnsi="Segoe UI" w:eastAsia="Segoe UI" w:cs="Segoe UI"/>
          <w:color w:val="auto"/>
        </w:rPr>
        <w:t xml:space="preserve"> It is at this crossing that Jung began analyzing his life in greater depth, to find out what he truly wanted. In other terms, </w:t>
      </w:r>
      <w:r w:rsidRPr="179EDB11" w:rsidR="3F0D8FEF">
        <w:rPr>
          <w:rFonts w:ascii="Segoe UI" w:hAnsi="Segoe UI" w:eastAsia="Segoe UI" w:cs="Segoe UI"/>
          <w:color w:val="auto"/>
        </w:rPr>
        <w:t xml:space="preserve">as Rossi put it, Jung </w:t>
      </w:r>
      <w:r w:rsidRPr="179EDB11" w:rsidR="4E5D8242">
        <w:rPr>
          <w:rFonts w:ascii="Segoe UI" w:hAnsi="Segoe UI" w:eastAsia="Segoe UI" w:cs="Segoe UI"/>
          <w:color w:val="auto"/>
        </w:rPr>
        <w:t>‘experienced a series of transits that deepen our understanding of the archetypal unfolding in his life</w:t>
      </w:r>
      <w:r w:rsidRPr="179EDB11" w:rsidR="4E5D8242">
        <w:rPr>
          <w:rFonts w:ascii="Segoe UI" w:hAnsi="Segoe UI" w:eastAsia="Segoe UI" w:cs="Segoe UI"/>
          <w:color w:val="auto"/>
        </w:rPr>
        <w:t>.’</w:t>
      </w:r>
      <w:r w:rsidRPr="179EDB11" w:rsidR="002E4488">
        <w:rPr>
          <w:rStyle w:val="FootnoteReference"/>
          <w:rFonts w:ascii="Segoe UI" w:hAnsi="Segoe UI" w:eastAsia="Segoe UI" w:cs="Segoe UI"/>
          <w:color w:val="auto"/>
        </w:rPr>
        <w:footnoteReference w:id="69"/>
      </w:r>
      <w:r w:rsidRPr="179EDB11" w:rsidR="4E5D8242">
        <w:rPr>
          <w:rFonts w:ascii="Segoe UI" w:hAnsi="Segoe UI" w:eastAsia="Segoe UI" w:cs="Segoe UI"/>
          <w:color w:val="auto"/>
        </w:rPr>
        <w:t xml:space="preserve"> Thus, </w:t>
      </w:r>
      <w:r w:rsidRPr="179EDB11" w:rsidR="4E5D8242">
        <w:rPr>
          <w:rFonts w:ascii="Segoe UI" w:hAnsi="Segoe UI" w:eastAsia="Segoe UI" w:cs="Segoe UI"/>
          <w:color w:val="auto"/>
        </w:rPr>
        <w:t>Jung was clearly crossing a threshold in his understanding of the unconscious.</w:t>
      </w:r>
    </w:p>
    <w:p w:rsidR="001A6155" w:rsidP="179EDB11" w:rsidRDefault="55F0D9A6" w14:paraId="545E2609" w14:textId="0D4531E0">
      <w:pPr>
        <w:spacing w:line="480" w:lineRule="auto"/>
        <w:jc w:val="both"/>
        <w:rPr>
          <w:rFonts w:ascii="Segoe UI" w:hAnsi="Segoe UI" w:eastAsia="Segoe UI" w:cs="Segoe UI"/>
          <w:color w:val="auto"/>
          <w:lang w:val="en-GB"/>
        </w:rPr>
      </w:pPr>
      <w:r w:rsidRPr="179EDB11" w:rsidR="6CA72707">
        <w:rPr>
          <w:rFonts w:ascii="Segoe UI" w:hAnsi="Segoe UI" w:eastAsia="Segoe UI" w:cs="Segoe UI"/>
          <w:color w:val="auto"/>
          <w:lang w:val="en-GB"/>
        </w:rPr>
        <w:t xml:space="preserve">Moving forward, Jung’s interest in astrological matters resumed into later life, largely seen through symposiums in the 1920s and 1930s, </w:t>
      </w:r>
      <w:r w:rsidRPr="179EDB11" w:rsidR="6CA72707">
        <w:rPr>
          <w:rFonts w:ascii="Segoe UI" w:hAnsi="Segoe UI" w:eastAsia="Segoe UI" w:cs="Segoe UI"/>
          <w:color w:val="auto"/>
          <w:lang w:val="en-GB"/>
        </w:rPr>
        <w:t>Rossi and Le Grice suggest,</w:t>
      </w:r>
      <w:r w:rsidRPr="179EDB11" w:rsidR="002E4488">
        <w:rPr>
          <w:rStyle w:val="FootnoteReference"/>
          <w:rFonts w:ascii="Segoe UI" w:hAnsi="Segoe UI" w:eastAsia="Segoe UI" w:cs="Segoe UI"/>
          <w:color w:val="auto"/>
          <w:lang w:val="en-GB"/>
        </w:rPr>
        <w:footnoteReference w:id="70"/>
      </w:r>
      <w:r w:rsidRPr="179EDB11" w:rsidR="6CA72707">
        <w:rPr>
          <w:rFonts w:ascii="Segoe UI" w:hAnsi="Segoe UI" w:eastAsia="Segoe UI" w:cs="Segoe UI"/>
          <w:color w:val="auto"/>
          <w:lang w:val="en-GB"/>
        </w:rPr>
        <w:t xml:space="preserve"> along with Jung’s correspondence with Ramen in 1947.</w:t>
      </w:r>
      <w:r w:rsidRPr="179EDB11" w:rsidR="002E4488">
        <w:rPr>
          <w:rStyle w:val="FootnoteReference"/>
          <w:rFonts w:ascii="Segoe UI" w:hAnsi="Segoe UI" w:eastAsia="Segoe UI" w:cs="Segoe UI"/>
          <w:color w:val="auto"/>
          <w:lang w:val="en-GB"/>
        </w:rPr>
        <w:footnoteReference w:id="71"/>
      </w:r>
      <w:r w:rsidRPr="179EDB11" w:rsidR="6CA72707">
        <w:rPr>
          <w:rFonts w:ascii="Segoe UI" w:hAnsi="Segoe UI" w:eastAsia="Segoe UI" w:cs="Segoe UI"/>
          <w:color w:val="auto"/>
          <w:lang w:val="en-GB"/>
        </w:rPr>
        <w:t xml:space="preserve"> It is also seen in a written essay by Jung from 1952</w:t>
      </w:r>
      <w:r w:rsidRPr="179EDB11" w:rsidR="002E4488">
        <w:rPr>
          <w:rStyle w:val="FootnoteReference"/>
          <w:rFonts w:ascii="Segoe UI" w:hAnsi="Segoe UI" w:eastAsia="Segoe UI" w:cs="Segoe UI"/>
          <w:color w:val="auto"/>
          <w:lang w:val="en-GB"/>
        </w:rPr>
        <w:footnoteReference w:id="72"/>
      </w:r>
      <w:r w:rsidRPr="179EDB11" w:rsidR="6CA72707">
        <w:rPr>
          <w:rFonts w:ascii="Segoe UI" w:hAnsi="Segoe UI" w:eastAsia="Segoe UI" w:cs="Segoe UI"/>
          <w:color w:val="auto"/>
          <w:lang w:val="en-GB"/>
        </w:rPr>
        <w:t xml:space="preserve"> in association to </w:t>
      </w:r>
      <w:r w:rsidRPr="179EDB11" w:rsidR="6CA72707">
        <w:rPr>
          <w:rFonts w:ascii="Segoe UI" w:hAnsi="Segoe UI" w:eastAsia="Segoe UI" w:cs="Segoe UI"/>
          <w:color w:val="auto"/>
          <w:lang w:val="en-GB"/>
        </w:rPr>
        <w:lastRenderedPageBreak/>
        <w:t>’</w:t>
      </w:r>
      <w:r w:rsidRPr="179EDB11" w:rsidR="6CA72707">
        <w:rPr>
          <w:rFonts w:ascii="Segoe UI" w:hAnsi="Segoe UI" w:eastAsia="Segoe UI" w:cs="Segoe UI"/>
          <w:color w:val="auto"/>
          <w:lang w:val="en-GB"/>
        </w:rPr>
        <w:t>synchronicity,’</w:t>
      </w:r>
      <w:r w:rsidRPr="179EDB11" w:rsidR="002E4488">
        <w:rPr>
          <w:rStyle w:val="FootnoteReference"/>
          <w:rFonts w:ascii="Segoe UI" w:hAnsi="Segoe UI" w:eastAsia="Segoe UI" w:cs="Segoe UI"/>
          <w:color w:val="auto"/>
          <w:lang w:val="en-GB"/>
        </w:rPr>
        <w:footnoteReference w:id="73"/>
      </w:r>
      <w:r w:rsidRPr="179EDB11" w:rsidR="39F243DA">
        <w:rPr>
          <w:rFonts w:ascii="Segoe UI" w:hAnsi="Segoe UI" w:eastAsia="Segoe UI" w:cs="Segoe UI"/>
          <w:color w:val="auto"/>
          <w:lang w:val="en-GB"/>
        </w:rPr>
        <w:t xml:space="preserve"> described by Shamdasani, as a</w:t>
      </w:r>
      <w:r w:rsidRPr="179EDB11" w:rsidR="6CA72707">
        <w:rPr>
          <w:rFonts w:ascii="Segoe UI" w:hAnsi="Segoe UI" w:eastAsia="Segoe UI" w:cs="Segoe UI"/>
          <w:color w:val="auto"/>
          <w:lang w:val="en-GB"/>
        </w:rPr>
        <w:t xml:space="preserve"> ’</w:t>
      </w:r>
      <w:r w:rsidRPr="179EDB11" w:rsidR="6CA72707">
        <w:rPr>
          <w:rFonts w:ascii="Segoe UI" w:hAnsi="Segoe UI" w:eastAsia="Segoe UI" w:cs="Segoe UI"/>
          <w:color w:val="auto"/>
          <w:lang w:val="en-GB"/>
        </w:rPr>
        <w:t>meaningful coincidence,’</w:t>
      </w:r>
      <w:r w:rsidRPr="179EDB11" w:rsidR="002E4488">
        <w:rPr>
          <w:rStyle w:val="FootnoteReference"/>
          <w:rFonts w:ascii="Segoe UI" w:hAnsi="Segoe UI" w:eastAsia="Segoe UI" w:cs="Segoe UI"/>
          <w:color w:val="auto"/>
          <w:lang w:val="en-GB"/>
        </w:rPr>
        <w:footnoteReference w:id="74"/>
      </w:r>
      <w:r w:rsidRPr="179EDB11" w:rsidR="6CA72707">
        <w:rPr>
          <w:rFonts w:ascii="Segoe UI" w:hAnsi="Segoe UI" w:eastAsia="Segoe UI" w:cs="Segoe UI"/>
          <w:color w:val="auto"/>
          <w:lang w:val="en-GB"/>
        </w:rPr>
        <w:t xml:space="preserve"> or the mind-matter connection, as Joseph </w:t>
      </w:r>
      <w:r w:rsidRPr="179EDB11" w:rsidR="6CA72707">
        <w:rPr>
          <w:rFonts w:ascii="Segoe UI" w:hAnsi="Segoe UI" w:eastAsia="Segoe UI" w:cs="Segoe UI"/>
          <w:color w:val="auto"/>
          <w:lang w:val="en-GB"/>
        </w:rPr>
        <w:t>Cambray</w:t>
      </w:r>
      <w:r w:rsidRPr="179EDB11" w:rsidR="6CA72707">
        <w:rPr>
          <w:rFonts w:ascii="Segoe UI" w:hAnsi="Segoe UI" w:eastAsia="Segoe UI" w:cs="Segoe UI"/>
          <w:color w:val="auto"/>
          <w:lang w:val="en-GB"/>
        </w:rPr>
        <w:t xml:space="preserve"> put it.</w:t>
      </w:r>
      <w:r w:rsidRPr="179EDB11" w:rsidR="002E4488">
        <w:rPr>
          <w:rStyle w:val="FootnoteReference"/>
          <w:rFonts w:ascii="Segoe UI" w:hAnsi="Segoe UI" w:eastAsia="Segoe UI" w:cs="Segoe UI"/>
          <w:color w:val="auto"/>
          <w:lang w:val="en-GB"/>
        </w:rPr>
        <w:footnoteReference w:id="75"/>
      </w:r>
      <w:r w:rsidRPr="179EDB11" w:rsidR="6CA72707">
        <w:rPr>
          <w:rFonts w:ascii="Segoe UI" w:hAnsi="Segoe UI" w:eastAsia="Segoe UI" w:cs="Segoe UI"/>
          <w:color w:val="auto"/>
          <w:lang w:val="en-GB"/>
        </w:rPr>
        <w:t xml:space="preserve"> Astrology occupied Jung’s thoughts for 5 decades, despite this, Jung never dedicated astrology with its own volume. However, there have been considerable works on astrology which have taken Jungian concepts and worked them into their own ideas. For example, Dane </w:t>
      </w:r>
      <w:r w:rsidRPr="179EDB11" w:rsidR="34855B07">
        <w:rPr>
          <w:rFonts w:ascii="Segoe UI" w:hAnsi="Segoe UI" w:eastAsia="Segoe UI" w:cs="Segoe UI"/>
          <w:color w:val="auto"/>
          <w:lang w:val="en-GB"/>
        </w:rPr>
        <w:t>Rudhyar</w:t>
      </w:r>
      <w:r w:rsidRPr="179EDB11" w:rsidR="34855B07">
        <w:rPr>
          <w:rFonts w:ascii="Segoe UI" w:hAnsi="Segoe UI" w:eastAsia="Segoe UI" w:cs="Segoe UI"/>
          <w:color w:val="auto"/>
          <w:lang w:val="en-GB"/>
        </w:rPr>
        <w:t xml:space="preserve"> (1895-1985), who, in Campion’s perspective </w:t>
      </w:r>
      <w:r w:rsidRPr="179EDB11" w:rsidR="34855B07">
        <w:rPr>
          <w:rFonts w:ascii="Segoe UI" w:hAnsi="Segoe UI" w:eastAsia="Segoe UI" w:cs="Segoe UI"/>
          <w:color w:val="auto"/>
        </w:rPr>
        <w:t>merged ’</w:t>
      </w:r>
      <w:r w:rsidRPr="179EDB11" w:rsidR="34855B07">
        <w:rPr>
          <w:rFonts w:ascii="Segoe UI" w:hAnsi="Segoe UI" w:eastAsia="Segoe UI" w:cs="Segoe UI"/>
          <w:color w:val="auto"/>
        </w:rPr>
        <w:t xml:space="preserve">nineteenth-century theosophy’ </w:t>
      </w:r>
      <w:r w:rsidRPr="179EDB11" w:rsidR="34855B07">
        <w:rPr>
          <w:rFonts w:ascii="Segoe UI" w:hAnsi="Segoe UI" w:eastAsia="Segoe UI" w:cs="Segoe UI"/>
          <w:color w:val="auto"/>
        </w:rPr>
        <w:t>with ’</w:t>
      </w:r>
      <w:r w:rsidRPr="179EDB11" w:rsidR="34855B07">
        <w:rPr>
          <w:rFonts w:ascii="Segoe UI" w:hAnsi="Segoe UI" w:eastAsia="Segoe UI" w:cs="Segoe UI"/>
          <w:color w:val="auto"/>
        </w:rPr>
        <w:t xml:space="preserve">twentieth-century psychology’ </w:t>
      </w:r>
      <w:r w:rsidRPr="179EDB11" w:rsidR="34855B07">
        <w:rPr>
          <w:rFonts w:ascii="Segoe UI" w:hAnsi="Segoe UI" w:eastAsia="Segoe UI" w:cs="Segoe UI"/>
          <w:color w:val="auto"/>
        </w:rPr>
        <w:t xml:space="preserve">and thus contrived something that has never observed - </w:t>
      </w:r>
      <w:r w:rsidRPr="179EDB11" w:rsidR="34855B07">
        <w:rPr>
          <w:rFonts w:ascii="Segoe UI" w:hAnsi="Segoe UI" w:eastAsia="Segoe UI" w:cs="Segoe UI"/>
          <w:color w:val="auto"/>
        </w:rPr>
        <w:t xml:space="preserve">in terms of an English audience or readership, by </w:t>
      </w:r>
      <w:r w:rsidRPr="179EDB11" w:rsidR="34855B07">
        <w:rPr>
          <w:rFonts w:ascii="Segoe UI" w:hAnsi="Segoe UI" w:eastAsia="Segoe UI" w:cs="Segoe UI"/>
          <w:color w:val="auto"/>
        </w:rPr>
        <w:t xml:space="preserve">successfully applying depth psychology or p</w:t>
      </w:r>
      <w:r w:rsidRPr="179EDB11" w:rsidR="34855B07">
        <w:rPr>
          <w:rFonts w:ascii="Segoe UI" w:hAnsi="Segoe UI" w:eastAsia="Segoe UI" w:cs="Segoe UI"/>
          <w:color w:val="auto"/>
        </w:rPr>
        <w:t xml:space="preserve">sychoanalysis with astrology.</w:t>
      </w:r>
      <w:r w:rsidRPr="179EDB11" w:rsidR="002E4488">
        <w:rPr>
          <w:rStyle w:val="FootnoteReference"/>
          <w:rFonts w:ascii="Segoe UI" w:hAnsi="Segoe UI" w:eastAsia="Segoe UI" w:cs="Segoe UI"/>
          <w:color w:val="auto"/>
        </w:rPr>
        <w:footnoteReference w:id="76"/>
      </w:r>
      <w:r w:rsidRPr="179EDB11" w:rsidR="34855B07">
        <w:rPr>
          <w:rFonts w:ascii="Segoe UI" w:hAnsi="Segoe UI" w:eastAsia="Segoe UI" w:cs="Segoe UI"/>
          <w:color w:val="auto"/>
        </w:rPr>
        <w:t xml:space="preserve"> D</w:t>
      </w:r>
      <w:r w:rsidRPr="179EDB11" w:rsidR="34855B07">
        <w:rPr>
          <w:rFonts w:ascii="Segoe UI" w:hAnsi="Segoe UI" w:eastAsia="Segoe UI" w:cs="Segoe UI"/>
          <w:color w:val="auto"/>
        </w:rPr>
        <w:t xml:space="preserve">espite Jung leaning towards astrology, much less is known regarding his actual thoughts on the matter, as he kept it </w:t>
      </w:r>
      <w:r w:rsidRPr="179EDB11" w:rsidR="34855B07">
        <w:rPr>
          <w:rFonts w:ascii="Segoe UI" w:hAnsi="Segoe UI" w:eastAsia="Segoe UI" w:cs="Segoe UI"/>
          <w:color w:val="auto"/>
          <w:lang w:val="en-GB"/>
        </w:rPr>
        <w:t>relatively concealed. According to Greene, Jung felt uncomfortable with any</w:t>
      </w:r>
      <w:r w:rsidRPr="179EDB11" w:rsidR="34855B07">
        <w:rPr>
          <w:rFonts w:ascii="Segoe UI" w:hAnsi="Segoe UI" w:eastAsia="Segoe UI" w:cs="Segoe UI"/>
          <w:color w:val="auto"/>
          <w:lang w:val="en-GB"/>
        </w:rPr>
        <w:t xml:space="preserve"> </w:t>
      </w:r>
      <w:r w:rsidRPr="179EDB11" w:rsidR="1A5094ED">
        <w:rPr>
          <w:rFonts w:ascii="Segoe UI" w:hAnsi="Segoe UI" w:eastAsia="Segoe UI" w:cs="Segoe UI"/>
          <w:color w:val="auto"/>
          <w:lang w:val="en-GB"/>
        </w:rPr>
        <w:t>publicizing of his astrological study,</w:t>
      </w:r>
      <w:r w:rsidRPr="179EDB11" w:rsidR="002E4488">
        <w:rPr>
          <w:rStyle w:val="FootnoteReference"/>
          <w:rFonts w:ascii="Segoe UI" w:hAnsi="Segoe UI" w:eastAsia="Segoe UI" w:cs="Segoe UI"/>
          <w:color w:val="auto"/>
          <w:lang w:val="en-GB"/>
        </w:rPr>
        <w:footnoteReference w:id="77"/>
      </w:r>
      <w:r w:rsidRPr="179EDB11" w:rsidR="34855B07">
        <w:rPr>
          <w:rFonts w:ascii="Segoe UI" w:hAnsi="Segoe UI" w:eastAsia="Segoe UI" w:cs="Segoe UI"/>
          <w:color w:val="auto"/>
          <w:lang w:val="en-GB"/>
        </w:rPr>
        <w:t xml:space="preserve"> as he feared had it been widely known, would cause his psychological theorie</w:t>
      </w:r>
      <w:r w:rsidRPr="179EDB11" w:rsidR="34855B07">
        <w:rPr>
          <w:rFonts w:ascii="Segoe UI" w:hAnsi="Segoe UI" w:eastAsia="Segoe UI" w:cs="Segoe UI"/>
          <w:color w:val="auto"/>
          <w:lang w:val="en-GB"/>
        </w:rPr>
        <w:t xml:space="preserve">s to become </w:t>
      </w:r>
      <w:r w:rsidRPr="179EDB11" w:rsidR="481DADFF">
        <w:rPr>
          <w:rFonts w:ascii="Segoe UI" w:hAnsi="Segoe UI" w:eastAsia="Segoe UI" w:cs="Segoe UI"/>
          <w:color w:val="auto"/>
          <w:lang w:val="en-GB"/>
        </w:rPr>
        <w:t>‘suspect</w:t>
      </w:r>
      <w:r w:rsidRPr="179EDB11" w:rsidR="481DADFF">
        <w:rPr>
          <w:rFonts w:ascii="Segoe UI" w:hAnsi="Segoe UI" w:eastAsia="Segoe UI" w:cs="Segoe UI"/>
          <w:color w:val="auto"/>
          <w:lang w:val="en-GB"/>
        </w:rPr>
        <w:t>’</w:t>
      </w:r>
      <w:r w:rsidRPr="179EDB11" w:rsidR="002E4488">
        <w:rPr>
          <w:rStyle w:val="FootnoteReference"/>
          <w:rFonts w:ascii="Segoe UI" w:hAnsi="Segoe UI" w:eastAsia="Segoe UI" w:cs="Segoe UI"/>
          <w:color w:val="auto"/>
          <w:lang w:val="en-GB"/>
        </w:rPr>
        <w:footnoteReference w:id="78"/>
      </w:r>
      <w:r w:rsidRPr="179EDB11" w:rsidR="481DADFF">
        <w:rPr>
          <w:rFonts w:ascii="Segoe UI" w:hAnsi="Segoe UI" w:eastAsia="Segoe UI" w:cs="Segoe UI"/>
          <w:color w:val="auto"/>
          <w:lang w:val="en-GB"/>
        </w:rPr>
        <w:t xml:space="preserve"> and might reveal the full extent of his astrological explorations.</w:t>
      </w:r>
      <w:r w:rsidRPr="179EDB11" w:rsidR="002E4488">
        <w:rPr>
          <w:rStyle w:val="FootnoteReference"/>
          <w:rFonts w:ascii="Segoe UI" w:hAnsi="Segoe UI" w:eastAsia="Segoe UI" w:cs="Segoe UI"/>
          <w:color w:val="auto"/>
          <w:lang w:val="en-GB"/>
        </w:rPr>
        <w:footnoteReference w:id="79"/>
      </w:r>
      <w:r w:rsidRPr="179EDB11" w:rsidR="1A5094ED">
        <w:rPr>
          <w:rFonts w:ascii="Segoe UI" w:hAnsi="Segoe UI" w:eastAsia="Segoe UI" w:cs="Segoe UI"/>
          <w:color w:val="auto"/>
          <w:lang w:val="en-GB"/>
        </w:rPr>
        <w:t xml:space="preserve"> Finally, the fact of the matter is, </w:t>
      </w:r>
      <w:r w:rsidRPr="179EDB11" w:rsidR="3F0D8FEF">
        <w:rPr>
          <w:rFonts w:ascii="Segoe UI" w:hAnsi="Segoe UI" w:eastAsia="Segoe UI" w:cs="Segoe UI"/>
          <w:color w:val="auto"/>
          <w:lang w:val="en-GB"/>
        </w:rPr>
        <w:t>Jung had a continuing struggle with attempting to reconcile his need for</w:t>
      </w:r>
      <w:r w:rsidRPr="179EDB11" w:rsidR="3F0D8FEF">
        <w:rPr>
          <w:rFonts w:ascii="Segoe UI" w:hAnsi="Segoe UI" w:eastAsia="Segoe UI" w:cs="Segoe UI"/>
          <w:color w:val="auto"/>
          <w:lang w:val="en-GB"/>
        </w:rPr>
        <w:t xml:space="preserve"> ’scientific respectability,’</w:t>
      </w:r>
      <w:r w:rsidRPr="179EDB11" w:rsidR="002E4488">
        <w:rPr>
          <w:rStyle w:val="FootnoteReference"/>
          <w:rFonts w:ascii="Segoe UI" w:hAnsi="Segoe UI" w:eastAsia="Segoe UI" w:cs="Segoe UI"/>
          <w:color w:val="auto"/>
          <w:lang w:val="en-GB"/>
        </w:rPr>
        <w:footnoteReference w:id="80"/>
      </w:r>
      <w:r w:rsidRPr="179EDB11" w:rsidR="3F0D8FEF">
        <w:rPr>
          <w:rFonts w:ascii="Segoe UI" w:hAnsi="Segoe UI" w:eastAsia="Segoe UI" w:cs="Segoe UI"/>
          <w:color w:val="auto"/>
          <w:lang w:val="en-GB"/>
        </w:rPr>
        <w:t xml:space="preserve"> and despite his serious exploration of astrology, Greene wrote,</w:t>
      </w:r>
      <w:r w:rsidRPr="179EDB11" w:rsidR="002E4488">
        <w:rPr>
          <w:rStyle w:val="FootnoteReference"/>
          <w:rFonts w:ascii="Segoe UI" w:hAnsi="Segoe UI" w:eastAsia="Segoe UI" w:cs="Segoe UI"/>
          <w:color w:val="auto"/>
          <w:lang w:val="en-GB"/>
        </w:rPr>
        <w:footnoteReference w:id="81"/>
      </w:r>
      <w:r w:rsidRPr="179EDB11" w:rsidR="3F0D8FEF">
        <w:rPr>
          <w:rFonts w:ascii="Segoe UI" w:hAnsi="Segoe UI" w:eastAsia="Segoe UI" w:cs="Segoe UI"/>
          <w:color w:val="auto"/>
          <w:lang w:val="en-GB"/>
        </w:rPr>
        <w:t xml:space="preserve"> along with his may years of devotion to the </w:t>
      </w:r>
      <w:proofErr w:type="spellStart"/>
      <w:r w:rsidRPr="179EDB11" w:rsidR="3F0D8FEF">
        <w:rPr>
          <w:rFonts w:ascii="Segoe UI" w:hAnsi="Segoe UI" w:eastAsia="Segoe UI" w:cs="Segoe UI"/>
          <w:color w:val="auto"/>
          <w:lang w:val="en-GB"/>
        </w:rPr>
        <w:t>human</w:t>
      </w:r>
      <w:proofErr w:type="spellEnd"/>
      <w:r w:rsidRPr="179EDB11" w:rsidR="3F0D8FEF">
        <w:rPr>
          <w:rFonts w:ascii="Segoe UI" w:hAnsi="Segoe UI" w:eastAsia="Segoe UI" w:cs="Segoe UI"/>
          <w:color w:val="auto"/>
          <w:lang w:val="en-GB"/>
        </w:rPr>
        <w:t xml:space="preserve"> psyche, M. Esther Harding wrote</w:t>
      </w:r>
      <w:r w:rsidRPr="179EDB11" w:rsidR="002E4488">
        <w:rPr>
          <w:rStyle w:val="FootnoteReference"/>
          <w:rFonts w:ascii="Segoe UI" w:hAnsi="Segoe UI" w:eastAsia="Segoe UI" w:cs="Segoe UI"/>
          <w:color w:val="auto"/>
          <w:lang w:val="en-GB"/>
        </w:rPr>
        <w:footnoteReference w:id="82"/>
      </w:r>
      <w:r w:rsidRPr="179EDB11" w:rsidR="3F0D8FEF">
        <w:rPr>
          <w:rFonts w:ascii="Segoe UI" w:hAnsi="Segoe UI" w:eastAsia="Segoe UI" w:cs="Segoe UI"/>
          <w:color w:val="auto"/>
          <w:lang w:val="en-GB"/>
        </w:rPr>
        <w:t xml:space="preserve"> in combination with </w:t>
      </w:r>
      <w:r w:rsidRPr="179EDB11" w:rsidR="3F0D8FEF">
        <w:rPr>
          <w:rFonts w:ascii="Segoe UI" w:hAnsi="Segoe UI" w:eastAsia="Segoe UI" w:cs="Segoe UI"/>
          <w:color w:val="auto"/>
          <w:lang w:val="en-GB"/>
        </w:rPr>
        <w:lastRenderedPageBreak/>
        <w:t>astrology, his views on the discipline have had limited acknowledgement from the from depth psychologists, Greene remarks.</w:t>
      </w:r>
      <w:r w:rsidRPr="179EDB11" w:rsidR="002E4488">
        <w:rPr>
          <w:rStyle w:val="FootnoteReference"/>
          <w:rFonts w:ascii="Segoe UI" w:hAnsi="Segoe UI" w:eastAsia="Segoe UI" w:cs="Segoe UI"/>
          <w:color w:val="auto" w:themeColor="text1"/>
          <w:lang w:val="en-GB"/>
        </w:rPr>
        <w:footnoteReference w:id="83"/>
      </w:r>
      <w:r w:rsidRPr="179EDB11" w:rsidR="179EDB11">
        <w:rPr>
          <w:rFonts w:ascii="Segoe UI" w:hAnsi="Segoe UI" w:eastAsia="Segoe UI" w:cs="Segoe UI"/>
          <w:color w:val="auto"/>
          <w:lang w:val="en-GB"/>
        </w:rPr>
        <w:t xml:space="preserve"> The chapter below concludes this essay.</w:t>
      </w:r>
    </w:p>
    <w:p w:rsidR="001A6155" w:rsidP="179EDB11" w:rsidRDefault="001A6155" w14:paraId="05749432" w14:textId="1F714856" w14:noSpellErr="1">
      <w:pPr>
        <w:spacing w:line="480" w:lineRule="auto"/>
        <w:jc w:val="both"/>
        <w:rPr>
          <w:rFonts w:ascii="Segoe UI" w:hAnsi="Segoe UI" w:eastAsia="Segoe UI" w:cs="Segoe UI"/>
          <w:b w:val="1"/>
          <w:bCs w:val="1"/>
          <w:color w:val="auto"/>
        </w:rPr>
      </w:pPr>
    </w:p>
    <w:p w:rsidR="001A6155" w:rsidP="179EDB11" w:rsidRDefault="12AE13EF" w14:paraId="2878CD62" w14:textId="71FC38BE">
      <w:pPr>
        <w:pStyle w:val="Normal"/>
        <w:spacing w:line="480" w:lineRule="auto"/>
        <w:jc w:val="both"/>
        <w:rPr>
          <w:rFonts w:ascii="Segoe UI" w:hAnsi="Segoe UI" w:eastAsia="Segoe UI" w:cs="Segoe UI"/>
          <w:b w:val="1"/>
          <w:bCs w:val="1"/>
          <w:color w:val="auto"/>
        </w:rPr>
      </w:pPr>
    </w:p>
    <w:p w:rsidR="001A6155" w:rsidP="179EDB11" w:rsidRDefault="12AE13EF" w14:paraId="46948982" w14:textId="3F4DD0DF">
      <w:pPr>
        <w:pStyle w:val="Normal"/>
        <w:spacing w:line="480" w:lineRule="auto"/>
        <w:jc w:val="both"/>
        <w:rPr>
          <w:rFonts w:ascii="Segoe UI" w:hAnsi="Segoe UI" w:eastAsia="Segoe UI" w:cs="Segoe UI"/>
          <w:b w:val="1"/>
          <w:bCs w:val="1"/>
          <w:color w:val="auto"/>
        </w:rPr>
      </w:pPr>
    </w:p>
    <w:p w:rsidR="001A6155" w:rsidP="179EDB11" w:rsidRDefault="12AE13EF" w14:paraId="6D4DF5F4" w14:textId="139EA7C7">
      <w:pPr>
        <w:pStyle w:val="Normal"/>
        <w:spacing w:line="480" w:lineRule="auto"/>
        <w:jc w:val="both"/>
        <w:rPr>
          <w:rFonts w:ascii="Segoe UI" w:hAnsi="Segoe UI" w:eastAsia="Segoe UI" w:cs="Segoe UI"/>
          <w:b w:val="1"/>
          <w:bCs w:val="1"/>
          <w:color w:val="auto"/>
        </w:rPr>
      </w:pPr>
    </w:p>
    <w:p w:rsidR="001A6155" w:rsidP="179EDB11" w:rsidRDefault="12AE13EF" w14:paraId="1A562D2D" w14:textId="1D28C53F">
      <w:pPr>
        <w:pStyle w:val="Normal"/>
        <w:spacing w:line="480" w:lineRule="auto"/>
        <w:jc w:val="both"/>
        <w:rPr>
          <w:rFonts w:ascii="Segoe UI" w:hAnsi="Segoe UI" w:eastAsia="Segoe UI" w:cs="Segoe UI"/>
          <w:b w:val="1"/>
          <w:bCs w:val="1"/>
          <w:color w:val="auto"/>
        </w:rPr>
      </w:pPr>
      <w:r w:rsidRPr="179EDB11" w:rsidR="3F0D8FEF">
        <w:rPr>
          <w:rFonts w:ascii="Segoe UI" w:hAnsi="Segoe UI" w:eastAsia="Segoe UI" w:cs="Segoe UI"/>
          <w:b w:val="1"/>
          <w:bCs w:val="1"/>
          <w:color w:val="auto"/>
        </w:rPr>
        <w:t>Conclusion</w:t>
      </w:r>
    </w:p>
    <w:p w:rsidR="001A6155" w:rsidP="179EDB11" w:rsidRDefault="12AE13EF" w14:paraId="5F3DC907" w14:textId="6B6F88F6">
      <w:pPr>
        <w:spacing w:line="480" w:lineRule="auto"/>
        <w:jc w:val="both"/>
        <w:rPr>
          <w:rFonts w:ascii="Segoe UI" w:hAnsi="Segoe UI" w:eastAsia="Segoe UI" w:cs="Segoe UI"/>
          <w:color w:val="auto"/>
        </w:rPr>
      </w:pPr>
      <w:r w:rsidRPr="179EDB11" w:rsidR="3F0D8FEF">
        <w:rPr>
          <w:rFonts w:ascii="Segoe UI" w:hAnsi="Segoe UI" w:eastAsia="Segoe UI" w:cs="Segoe UI"/>
          <w:color w:val="auto"/>
        </w:rPr>
        <w:t xml:space="preserve">This essay investigated the nature of Jung’s relationship in terms of astrology. More specifically, its aim was to explore the astrological significance of </w:t>
      </w:r>
      <w:r w:rsidRPr="179EDB11" w:rsidR="3F0D8FEF">
        <w:rPr>
          <w:rFonts w:ascii="Segoe UI" w:hAnsi="Segoe UI" w:eastAsia="Segoe UI" w:cs="Segoe UI"/>
          <w:i w:val="1"/>
          <w:iCs w:val="1"/>
          <w:color w:val="auto"/>
        </w:rPr>
        <w:t xml:space="preserve">Liber Novus </w:t>
      </w:r>
      <w:r w:rsidRPr="179EDB11" w:rsidR="3F0D8FEF">
        <w:rPr>
          <w:rFonts w:ascii="Segoe UI" w:hAnsi="Segoe UI" w:eastAsia="Segoe UI" w:cs="Segoe UI"/>
          <w:color w:val="auto"/>
        </w:rPr>
        <w:t xml:space="preserve">and to contextualize Jung’s work historically. Firstly, this essay has shown that the nature of Jung’s relationship with astrology was understatedly strong, evident from at least 1910 onwards. However, he did keep it largely concealed due to fear of ridicule. Secondly, simply put, it was Jung’s split with Freud that led to Jung’s confrontation with his unconscious, which led to his technique of active imagination, in turn </w:t>
      </w:r>
      <w:r w:rsidRPr="179EDB11" w:rsidR="3F0D8FEF">
        <w:rPr>
          <w:rFonts w:ascii="Segoe UI" w:hAnsi="Segoe UI" w:eastAsia="Segoe UI" w:cs="Segoe UI"/>
          <w:color w:val="auto"/>
        </w:rPr>
        <w:t xml:space="preserve">leading to </w:t>
      </w:r>
      <w:r w:rsidRPr="179EDB11" w:rsidR="3F0D8FEF">
        <w:rPr>
          <w:rFonts w:ascii="Segoe UI" w:hAnsi="Segoe UI" w:eastAsia="Segoe UI" w:cs="Segoe UI"/>
          <w:i w:val="1"/>
          <w:iCs w:val="1"/>
          <w:color w:val="auto"/>
        </w:rPr>
        <w:t xml:space="preserve">Liber Novus. </w:t>
      </w:r>
      <w:r w:rsidRPr="179EDB11" w:rsidR="3F0D8FEF">
        <w:rPr>
          <w:rFonts w:ascii="Segoe UI" w:hAnsi="Segoe UI" w:eastAsia="Segoe UI" w:cs="Segoe UI"/>
          <w:color w:val="auto"/>
        </w:rPr>
        <w:t xml:space="preserve">Next, was the astrological significant of </w:t>
      </w:r>
      <w:r w:rsidRPr="179EDB11" w:rsidR="3F0D8FEF">
        <w:rPr>
          <w:rFonts w:ascii="Segoe UI" w:hAnsi="Segoe UI" w:eastAsia="Segoe UI" w:cs="Segoe UI"/>
          <w:i w:val="1"/>
          <w:iCs w:val="1"/>
          <w:color w:val="auto"/>
        </w:rPr>
        <w:t xml:space="preserve">Liber Novus, </w:t>
      </w:r>
      <w:r w:rsidRPr="179EDB11" w:rsidR="3F0D8FEF">
        <w:rPr>
          <w:rFonts w:ascii="Segoe UI" w:hAnsi="Segoe UI" w:eastAsia="Segoe UI" w:cs="Segoe UI"/>
          <w:color w:val="auto"/>
        </w:rPr>
        <w:t xml:space="preserve">which is hidden in the subtext or underlying as a second commentary or dialogue described as a </w:t>
      </w:r>
      <w:r w:rsidRPr="179EDB11" w:rsidR="3F0D8FEF">
        <w:rPr>
          <w:rFonts w:ascii="Segoe UI" w:hAnsi="Segoe UI" w:eastAsia="Segoe UI" w:cs="Segoe UI"/>
          <w:i w:val="1"/>
          <w:iCs w:val="1"/>
          <w:color w:val="auto"/>
        </w:rPr>
        <w:t xml:space="preserve">lyrical elaboration, </w:t>
      </w:r>
      <w:r w:rsidRPr="179EDB11" w:rsidR="3F0D8FEF">
        <w:rPr>
          <w:rFonts w:ascii="Segoe UI" w:hAnsi="Segoe UI" w:eastAsia="Segoe UI" w:cs="Segoe UI"/>
          <w:i w:val="0"/>
          <w:iCs w:val="0"/>
          <w:color w:val="auto"/>
        </w:rPr>
        <w:t xml:space="preserve">by Shamdasani, </w:t>
      </w:r>
      <w:r w:rsidRPr="179EDB11" w:rsidR="3F0D8FEF">
        <w:rPr>
          <w:rFonts w:ascii="Segoe UI" w:hAnsi="Segoe UI" w:eastAsia="Segoe UI" w:cs="Segoe UI"/>
          <w:color w:val="auto"/>
        </w:rPr>
        <w:t xml:space="preserve">which can also made clear with a quiet potency in the astrological paintings, scattered throughout Jung’s manuscript. </w:t>
      </w:r>
      <w:r w:rsidRPr="179EDB11" w:rsidR="3F0D8FEF">
        <w:rPr>
          <w:rFonts w:ascii="Segoe UI" w:hAnsi="Segoe UI" w:eastAsia="Segoe UI" w:cs="Segoe UI"/>
          <w:i w:val="1"/>
          <w:iCs w:val="1"/>
          <w:color w:val="auto"/>
        </w:rPr>
        <w:t xml:space="preserve">Liber Novus </w:t>
      </w:r>
      <w:r w:rsidRPr="179EDB11" w:rsidR="3F0D8FEF">
        <w:rPr>
          <w:rFonts w:ascii="Segoe UI" w:hAnsi="Segoe UI" w:eastAsia="Segoe UI" w:cs="Segoe UI"/>
          <w:color w:val="auto"/>
        </w:rPr>
        <w:t xml:space="preserve">reveals something far deeper consuming Jung, perhaps in terms of the knowledge he received from his experiences with his unconscious. It was as if Jung was trying to have an empirical understanding of the psyche’s contents and somehow relate this to astrology and to the collective unconscious. This is what motived Jung to learn about the core ideals of astrology. For all the apparent </w:t>
      </w:r>
      <w:r w:rsidRPr="179EDB11" w:rsidR="3F0D8FEF">
        <w:rPr>
          <w:rFonts w:ascii="Segoe UI" w:hAnsi="Segoe UI" w:eastAsia="Segoe UI" w:cs="Segoe UI"/>
          <w:color w:val="auto"/>
        </w:rPr>
        <w:t xml:space="preserve">‘mumbo-jumbo’ </w:t>
      </w:r>
      <w:r w:rsidRPr="179EDB11" w:rsidR="3F0D8FEF">
        <w:rPr>
          <w:rFonts w:ascii="Segoe UI" w:hAnsi="Segoe UI" w:eastAsia="Segoe UI" w:cs="Segoe UI"/>
          <w:color w:val="auto"/>
        </w:rPr>
        <w:t xml:space="preserve">or </w:t>
      </w:r>
      <w:r w:rsidRPr="179EDB11" w:rsidR="3F0D8FEF">
        <w:rPr>
          <w:rFonts w:ascii="Segoe UI" w:hAnsi="Segoe UI" w:eastAsia="Segoe UI" w:cs="Segoe UI"/>
          <w:color w:val="auto"/>
        </w:rPr>
        <w:t xml:space="preserve">‘pseudo-science’ </w:t>
      </w:r>
      <w:r w:rsidRPr="179EDB11" w:rsidR="3F0D8FEF">
        <w:rPr>
          <w:rFonts w:ascii="Segoe UI" w:hAnsi="Segoe UI" w:eastAsia="Segoe UI" w:cs="Segoe UI"/>
          <w:color w:val="auto"/>
        </w:rPr>
        <w:t>that surrounds astrology,</w:t>
      </w:r>
      <w:r w:rsidRPr="179EDB11" w:rsidR="3F0D8FEF">
        <w:rPr>
          <w:rFonts w:ascii="Segoe UI" w:hAnsi="Segoe UI" w:eastAsia="Segoe UI" w:cs="Segoe UI"/>
          <w:color w:val="auto"/>
        </w:rPr>
        <w:t xml:space="preserve"> Jung acknowledged it to be of significant merit, as in Jung’s view, however astrology may eventually be explained and conceptualized, in some such way actually works, in the sense it reveals, in a symbolic heavenly language, details and perceptions regarding the psychological astrology, and </w:t>
      </w:r>
      <w:r w:rsidRPr="179EDB11" w:rsidR="3F0D8FEF">
        <w:rPr>
          <w:rFonts w:ascii="Segoe UI" w:hAnsi="Segoe UI" w:eastAsia="Segoe UI" w:cs="Segoe UI"/>
          <w:color w:val="auto"/>
        </w:rPr>
        <w:t xml:space="preserve">therefore humankind’s </w:t>
      </w:r>
      <w:r w:rsidRPr="179EDB11" w:rsidR="3F0D8FEF">
        <w:rPr>
          <w:rFonts w:ascii="Segoe UI" w:hAnsi="Segoe UI" w:eastAsia="Segoe UI" w:cs="Segoe UI"/>
          <w:i w:val="1"/>
          <w:iCs w:val="1"/>
          <w:color w:val="auto"/>
          <w:lang w:val="en-GB"/>
        </w:rPr>
        <w:t>fate</w:t>
      </w:r>
      <w:r w:rsidRPr="179EDB11" w:rsidR="3F0D8FEF">
        <w:rPr>
          <w:rFonts w:ascii="Segoe UI" w:hAnsi="Segoe UI" w:eastAsia="Segoe UI" w:cs="Segoe UI"/>
          <w:color w:val="auto"/>
          <w:lang w:val="en-GB"/>
        </w:rPr>
        <w:t xml:space="preserve">. </w:t>
      </w:r>
      <w:r w:rsidRPr="179EDB11" w:rsidR="3F0D8FEF">
        <w:rPr>
          <w:rFonts w:ascii="Segoe UI" w:hAnsi="Segoe UI" w:eastAsia="Segoe UI" w:cs="Segoe UI"/>
          <w:color w:val="auto"/>
        </w:rPr>
        <w:t>Finally, it is anticipated this essay will indeed permit the audience to observe C. G. Jung’s undulating captivation with astrology and to witness first-hand his contemplations or reflections regarding the compelling subject of astrology, in order to assess astrology’s importance inside the wider collection of Jung’s writings and evaluate the contemporary possible applicability of it.</w:t>
      </w:r>
    </w:p>
    <w:p w:rsidR="68C12C30" w:rsidP="1CDE5FFE" w:rsidRDefault="68C12C30" w14:paraId="6D78E556" w14:textId="19BFDE6E">
      <w:pPr>
        <w:spacing w:line="480" w:lineRule="auto"/>
        <w:jc w:val="both"/>
        <w:rPr>
          <w:rFonts w:ascii="Segoe UI" w:hAnsi="Segoe UI" w:eastAsia="Segoe UI" w:cs="Segoe UI"/>
          <w:color w:val="201F1E"/>
          <w:lang w:val="en-GB"/>
        </w:rPr>
      </w:pPr>
    </w:p>
    <w:p w:rsidR="1CDE5FFE" w:rsidP="1CDE5FFE" w:rsidRDefault="1CDE5FFE" w14:paraId="6B9D761C" w14:textId="1132D9E0">
      <w:pPr>
        <w:spacing w:line="480" w:lineRule="auto"/>
        <w:jc w:val="both"/>
        <w:rPr>
          <w:rFonts w:ascii="Segoe UI" w:hAnsi="Segoe UI" w:eastAsia="Segoe UI" w:cs="Segoe UI"/>
          <w:color w:val="201F1E"/>
          <w:lang w:val="en-GB"/>
        </w:rPr>
      </w:pPr>
    </w:p>
    <w:p w:rsidR="1CDE5FFE" w:rsidP="1CDE5FFE" w:rsidRDefault="1CDE5FFE" w14:paraId="332A920E" w14:textId="0534DF9B" w14:noSpellErr="1">
      <w:pPr>
        <w:spacing w:line="480" w:lineRule="auto"/>
        <w:jc w:val="both"/>
        <w:rPr>
          <w:rFonts w:ascii="Segoe UI" w:hAnsi="Segoe UI" w:eastAsia="Segoe UI" w:cs="Segoe UI"/>
          <w:color w:val="201F1E"/>
          <w:lang w:val="en-GB"/>
        </w:rPr>
      </w:pPr>
    </w:p>
    <w:p w:rsidR="179EDB11" w:rsidP="179EDB11" w:rsidRDefault="179EDB11" w14:paraId="621492B5" w14:textId="536CB0BF">
      <w:pPr>
        <w:pStyle w:val="Normal"/>
        <w:spacing w:line="480" w:lineRule="auto"/>
        <w:jc w:val="both"/>
        <w:rPr>
          <w:rFonts w:ascii="Segoe UI" w:hAnsi="Segoe UI" w:eastAsia="Segoe UI" w:cs="Segoe UI"/>
          <w:color w:val="201F1E"/>
          <w:lang w:val="en-GB"/>
        </w:rPr>
      </w:pPr>
    </w:p>
    <w:p w:rsidR="179EDB11" w:rsidP="179EDB11" w:rsidRDefault="179EDB11" w14:paraId="6661ECFA" w14:textId="313762D0">
      <w:pPr>
        <w:pStyle w:val="Normal"/>
        <w:spacing w:line="480" w:lineRule="auto"/>
        <w:jc w:val="both"/>
        <w:rPr>
          <w:rFonts w:ascii="Segoe UI" w:hAnsi="Segoe UI" w:eastAsia="Segoe UI" w:cs="Segoe UI"/>
          <w:color w:val="201F1E"/>
          <w:lang w:val="en-GB"/>
        </w:rPr>
      </w:pPr>
    </w:p>
    <w:p w:rsidR="179EDB11" w:rsidP="179EDB11" w:rsidRDefault="179EDB11" w14:paraId="237398FB" w14:textId="2B6DF714">
      <w:pPr>
        <w:pStyle w:val="Normal"/>
        <w:spacing w:line="480" w:lineRule="auto"/>
        <w:jc w:val="both"/>
        <w:rPr>
          <w:rFonts w:ascii="Segoe UI" w:hAnsi="Segoe UI" w:eastAsia="Segoe UI" w:cs="Segoe UI"/>
          <w:color w:val="201F1E"/>
          <w:lang w:val="en-GB"/>
        </w:rPr>
      </w:pPr>
    </w:p>
    <w:p w:rsidR="179EDB11" w:rsidP="179EDB11" w:rsidRDefault="179EDB11" w14:paraId="7D43EB65" w14:textId="54B99825">
      <w:pPr>
        <w:pStyle w:val="Normal"/>
        <w:spacing w:line="480" w:lineRule="auto"/>
        <w:jc w:val="both"/>
        <w:rPr>
          <w:rFonts w:ascii="Segoe UI" w:hAnsi="Segoe UI" w:eastAsia="Segoe UI" w:cs="Segoe UI"/>
          <w:color w:val="201F1E"/>
          <w:lang w:val="en-GB"/>
        </w:rPr>
      </w:pPr>
    </w:p>
    <w:p w:rsidR="179EDB11" w:rsidP="179EDB11" w:rsidRDefault="179EDB11" w14:paraId="7AEF0862" w14:textId="530E1188">
      <w:pPr>
        <w:pStyle w:val="Normal"/>
        <w:spacing w:line="480" w:lineRule="auto"/>
        <w:jc w:val="both"/>
        <w:rPr>
          <w:rFonts w:ascii="Segoe UI" w:hAnsi="Segoe UI" w:eastAsia="Segoe UI" w:cs="Segoe UI"/>
          <w:color w:val="201F1E"/>
          <w:lang w:val="en-GB"/>
        </w:rPr>
      </w:pPr>
    </w:p>
    <w:p w:rsidR="179EDB11" w:rsidP="179EDB11" w:rsidRDefault="179EDB11" w14:paraId="171B75C1" w14:textId="78AAC63E">
      <w:pPr>
        <w:pStyle w:val="Normal"/>
        <w:spacing w:line="480" w:lineRule="auto"/>
        <w:jc w:val="both"/>
        <w:rPr>
          <w:rFonts w:ascii="Segoe UI" w:hAnsi="Segoe UI" w:eastAsia="Segoe UI" w:cs="Segoe UI"/>
          <w:color w:val="201F1E"/>
          <w:lang w:val="en-GB"/>
        </w:rPr>
      </w:pPr>
    </w:p>
    <w:p w:rsidR="179EDB11" w:rsidP="179EDB11" w:rsidRDefault="179EDB11" w14:paraId="6E3EF091" w14:textId="41958236">
      <w:pPr>
        <w:pStyle w:val="Normal"/>
        <w:spacing w:line="480" w:lineRule="auto"/>
        <w:jc w:val="both"/>
        <w:rPr>
          <w:rFonts w:ascii="Segoe UI" w:hAnsi="Segoe UI" w:eastAsia="Segoe UI" w:cs="Segoe UI"/>
          <w:color w:val="201F1E"/>
          <w:lang w:val="en-GB"/>
        </w:rPr>
      </w:pPr>
    </w:p>
    <w:p w:rsidR="179EDB11" w:rsidP="179EDB11" w:rsidRDefault="179EDB11" w14:paraId="7C96C90A" w14:textId="5674AA1E">
      <w:pPr>
        <w:pStyle w:val="Normal"/>
        <w:spacing w:line="480" w:lineRule="auto"/>
        <w:jc w:val="both"/>
        <w:rPr>
          <w:rFonts w:ascii="Segoe UI" w:hAnsi="Segoe UI" w:eastAsia="Segoe UI" w:cs="Segoe UI"/>
          <w:color w:val="201F1E"/>
          <w:lang w:val="en-GB"/>
        </w:rPr>
      </w:pPr>
    </w:p>
    <w:p w:rsidR="179EDB11" w:rsidP="179EDB11" w:rsidRDefault="179EDB11" w14:paraId="26116BC0" w14:textId="01491BCC">
      <w:pPr>
        <w:pStyle w:val="Normal"/>
        <w:spacing w:line="480" w:lineRule="auto"/>
        <w:jc w:val="both"/>
        <w:rPr>
          <w:rFonts w:ascii="Segoe UI" w:hAnsi="Segoe UI" w:eastAsia="Segoe UI" w:cs="Segoe UI"/>
          <w:color w:val="201F1E"/>
          <w:lang w:val="en-GB"/>
        </w:rPr>
      </w:pPr>
    </w:p>
    <w:p w:rsidR="179EDB11" w:rsidP="179EDB11" w:rsidRDefault="179EDB11" w14:paraId="0413E883" w14:textId="3599E0AE">
      <w:pPr>
        <w:pStyle w:val="Normal"/>
        <w:spacing w:line="480" w:lineRule="auto"/>
        <w:jc w:val="both"/>
        <w:rPr>
          <w:rFonts w:ascii="Segoe UI" w:hAnsi="Segoe UI" w:eastAsia="Segoe UI" w:cs="Segoe UI"/>
          <w:color w:val="201F1E"/>
          <w:lang w:val="en-GB"/>
        </w:rPr>
      </w:pPr>
    </w:p>
    <w:p w:rsidR="179EDB11" w:rsidP="179EDB11" w:rsidRDefault="179EDB11" w14:paraId="27BFA4A8" w14:textId="7D417CA1">
      <w:pPr>
        <w:pStyle w:val="Normal"/>
        <w:spacing w:line="480" w:lineRule="auto"/>
        <w:jc w:val="both"/>
        <w:rPr>
          <w:rFonts w:ascii="Segoe UI" w:hAnsi="Segoe UI" w:eastAsia="Segoe UI" w:cs="Segoe UI"/>
          <w:color w:val="201F1E"/>
          <w:lang w:val="en-GB"/>
        </w:rPr>
      </w:pPr>
    </w:p>
    <w:p w:rsidR="179EDB11" w:rsidP="179EDB11" w:rsidRDefault="179EDB11" w14:paraId="3A5EC888" w14:textId="28D18328">
      <w:pPr>
        <w:pStyle w:val="Normal"/>
        <w:spacing w:line="480" w:lineRule="auto"/>
        <w:jc w:val="both"/>
        <w:rPr>
          <w:rFonts w:ascii="Segoe UI" w:hAnsi="Segoe UI" w:eastAsia="Segoe UI" w:cs="Segoe UI"/>
          <w:color w:val="201F1E"/>
          <w:lang w:val="en-GB"/>
        </w:rPr>
      </w:pPr>
    </w:p>
    <w:p w:rsidR="179EDB11" w:rsidP="179EDB11" w:rsidRDefault="179EDB11" w14:paraId="31938866" w14:textId="103DE192">
      <w:pPr>
        <w:pStyle w:val="Normal"/>
        <w:spacing w:line="480" w:lineRule="auto"/>
        <w:jc w:val="both"/>
        <w:rPr>
          <w:rFonts w:ascii="Segoe UI" w:hAnsi="Segoe UI" w:eastAsia="Segoe UI" w:cs="Segoe UI"/>
          <w:b w:val="1"/>
          <w:bCs w:val="1"/>
        </w:rPr>
      </w:pPr>
    </w:p>
    <w:p w:rsidR="00E878A4" w:rsidP="179EDB11" w:rsidRDefault="00E878A4" w14:paraId="395F43C6" w14:textId="015166FA">
      <w:pPr>
        <w:pStyle w:val="Normal"/>
        <w:spacing w:line="480" w:lineRule="auto"/>
        <w:jc w:val="both"/>
        <w:rPr>
          <w:rFonts w:ascii="Segoe UI" w:hAnsi="Segoe UI" w:eastAsia="Segoe UI" w:cs="Segoe UI"/>
          <w:b w:val="1"/>
          <w:bCs w:val="1"/>
        </w:rPr>
      </w:pPr>
      <w:r w:rsidRPr="179EDB11" w:rsidR="35743D4A">
        <w:rPr>
          <w:rFonts w:ascii="Segoe UI" w:hAnsi="Segoe UI" w:eastAsia="Segoe UI" w:cs="Segoe UI"/>
          <w:b w:val="1"/>
          <w:bCs w:val="1"/>
        </w:rPr>
        <w:t>Bibliography</w:t>
      </w:r>
    </w:p>
    <w:p w:rsidR="00E878A4" w:rsidP="12AE13EF" w:rsidRDefault="00E878A4" w14:paraId="16B7C9F7" w14:textId="77777777">
      <w:pPr>
        <w:spacing w:line="257" w:lineRule="auto"/>
        <w:jc w:val="both"/>
        <w:rPr>
          <w:rFonts w:ascii="Calibri" w:hAnsi="Calibri" w:eastAsia="Calibri" w:cs="Calibri"/>
          <w:color w:val="000000" w:themeColor="text1"/>
        </w:rPr>
      </w:pPr>
      <w:r w:rsidRPr="12AE13EF">
        <w:rPr>
          <w:rFonts w:ascii="Calibri" w:hAnsi="Calibri" w:eastAsia="Calibri" w:cs="Calibri"/>
          <w:color w:val="000000" w:themeColor="text1"/>
        </w:rPr>
        <w:t xml:space="preserve">Barton, Tamsyn. </w:t>
      </w:r>
      <w:r w:rsidRPr="12AE13EF">
        <w:rPr>
          <w:rFonts w:ascii="Calibri" w:hAnsi="Calibri" w:eastAsia="Calibri" w:cs="Calibri"/>
          <w:i/>
          <w:iCs/>
          <w:color w:val="000000" w:themeColor="text1"/>
        </w:rPr>
        <w:t xml:space="preserve">Ancient Astrology. </w:t>
      </w:r>
      <w:r w:rsidRPr="12AE13EF">
        <w:rPr>
          <w:rFonts w:ascii="Calibri" w:hAnsi="Calibri" w:eastAsia="Calibri" w:cs="Calibri"/>
          <w:color w:val="000000" w:themeColor="text1"/>
        </w:rPr>
        <w:t>(London: Routledge, 1995), pp. 1-8.</w:t>
      </w:r>
    </w:p>
    <w:p w:rsidR="00E878A4" w:rsidP="12AE13EF" w:rsidRDefault="00E878A4" w14:paraId="23CBC3B3" w14:textId="77777777">
      <w:pPr>
        <w:spacing w:line="257" w:lineRule="auto"/>
        <w:jc w:val="both"/>
        <w:rPr>
          <w:rFonts w:ascii="Calibri" w:hAnsi="Calibri" w:eastAsia="Calibri" w:cs="Calibri"/>
        </w:rPr>
      </w:pPr>
      <w:r w:rsidRPr="12AE13EF">
        <w:rPr>
          <w:rFonts w:ascii="Calibri" w:hAnsi="Calibri" w:eastAsia="Calibri" w:cs="Calibri"/>
        </w:rPr>
        <w:t xml:space="preserve">Baumann-Jung, </w:t>
      </w:r>
      <w:proofErr w:type="spellStart"/>
      <w:r w:rsidRPr="12AE13EF">
        <w:rPr>
          <w:rFonts w:ascii="Calibri" w:hAnsi="Calibri" w:eastAsia="Calibri" w:cs="Calibri"/>
        </w:rPr>
        <w:t>Gret</w:t>
      </w:r>
      <w:proofErr w:type="spellEnd"/>
      <w:r w:rsidRPr="12AE13EF">
        <w:rPr>
          <w:rFonts w:ascii="Calibri" w:hAnsi="Calibri" w:eastAsia="Calibri" w:cs="Calibri"/>
        </w:rPr>
        <w:t xml:space="preserve">, ‘Some Reflection on the Horoscope of C. G. Jung. </w:t>
      </w:r>
      <w:r w:rsidRPr="12AE13EF">
        <w:rPr>
          <w:rFonts w:ascii="Calibri" w:hAnsi="Calibri" w:eastAsia="Calibri" w:cs="Calibri"/>
          <w:i/>
          <w:iCs/>
        </w:rPr>
        <w:t xml:space="preserve">Spring Journal, </w:t>
      </w:r>
      <w:r w:rsidRPr="12AE13EF">
        <w:rPr>
          <w:rFonts w:ascii="Calibri" w:hAnsi="Calibri" w:eastAsia="Calibri" w:cs="Calibri"/>
        </w:rPr>
        <w:t>(1975), pp 35-55.</w:t>
      </w:r>
    </w:p>
    <w:p w:rsidR="00E878A4" w:rsidP="12AE13EF" w:rsidRDefault="00E878A4" w14:paraId="5B1F81FE" w14:textId="77777777">
      <w:pPr>
        <w:spacing w:line="257" w:lineRule="auto"/>
        <w:jc w:val="both"/>
        <w:rPr>
          <w:rFonts w:ascii="Calibri" w:hAnsi="Calibri" w:eastAsia="Calibri" w:cs="Calibri"/>
        </w:rPr>
      </w:pPr>
      <w:r w:rsidRPr="12AE13EF">
        <w:rPr>
          <w:rFonts w:ascii="Calibri" w:hAnsi="Calibri" w:eastAsia="Calibri" w:cs="Calibri"/>
        </w:rPr>
        <w:t xml:space="preserve">Baumann-Jung, </w:t>
      </w:r>
      <w:proofErr w:type="spellStart"/>
      <w:r w:rsidRPr="12AE13EF">
        <w:rPr>
          <w:rFonts w:ascii="Calibri" w:hAnsi="Calibri" w:eastAsia="Calibri" w:cs="Calibri"/>
        </w:rPr>
        <w:t>Gret</w:t>
      </w:r>
      <w:proofErr w:type="spellEnd"/>
      <w:r w:rsidRPr="12AE13EF">
        <w:rPr>
          <w:rFonts w:ascii="Calibri" w:hAnsi="Calibri" w:eastAsia="Calibri" w:cs="Calibri"/>
        </w:rPr>
        <w:t xml:space="preserve">, </w:t>
      </w:r>
      <w:r w:rsidRPr="12AE13EF">
        <w:rPr>
          <w:rFonts w:ascii="Calibri" w:hAnsi="Calibri" w:eastAsia="Calibri" w:cs="Calibri"/>
          <w:i/>
          <w:iCs/>
        </w:rPr>
        <w:t>‘Some reflections on the horoscope of C.G. Jung’</w:t>
      </w:r>
      <w:r w:rsidRPr="12AE13EF">
        <w:rPr>
          <w:rFonts w:ascii="Calibri" w:hAnsi="Calibri" w:eastAsia="Calibri" w:cs="Calibri"/>
        </w:rPr>
        <w:t xml:space="preserve">, trans. F.J. </w:t>
      </w:r>
      <w:proofErr w:type="spellStart"/>
      <w:r w:rsidRPr="12AE13EF">
        <w:rPr>
          <w:rFonts w:ascii="Calibri" w:hAnsi="Calibri" w:eastAsia="Calibri" w:cs="Calibri"/>
        </w:rPr>
        <w:t>Hopman</w:t>
      </w:r>
      <w:proofErr w:type="spellEnd"/>
      <w:r w:rsidRPr="12AE13EF">
        <w:rPr>
          <w:rFonts w:ascii="Calibri" w:hAnsi="Calibri" w:eastAsia="Calibri" w:cs="Calibri"/>
        </w:rPr>
        <w:t>. Spring: An Annual of Archetypal Psychology and Jungian Thought. (1975), p. 55.</w:t>
      </w:r>
    </w:p>
    <w:p w:rsidR="00E878A4" w:rsidP="12AE13EF" w:rsidRDefault="00E878A4" w14:paraId="62CAD08D" w14:textId="77777777">
      <w:pPr>
        <w:spacing w:line="257" w:lineRule="auto"/>
        <w:jc w:val="both"/>
        <w:rPr>
          <w:rFonts w:ascii="Calibri" w:hAnsi="Calibri" w:eastAsia="Calibri" w:cs="Calibri"/>
        </w:rPr>
      </w:pPr>
      <w:r w:rsidRPr="12AE13EF">
        <w:rPr>
          <w:rFonts w:ascii="Calibri" w:hAnsi="Calibri" w:eastAsia="Calibri" w:cs="Calibri"/>
        </w:rPr>
        <w:t xml:space="preserve">Baumann-Jung, </w:t>
      </w:r>
      <w:proofErr w:type="spellStart"/>
      <w:r w:rsidRPr="12AE13EF">
        <w:rPr>
          <w:rFonts w:ascii="Calibri" w:hAnsi="Calibri" w:eastAsia="Calibri" w:cs="Calibri"/>
        </w:rPr>
        <w:t>Gret</w:t>
      </w:r>
      <w:proofErr w:type="spellEnd"/>
      <w:r w:rsidRPr="12AE13EF">
        <w:rPr>
          <w:rFonts w:ascii="Calibri" w:hAnsi="Calibri" w:eastAsia="Calibri" w:cs="Calibri"/>
        </w:rPr>
        <w:t xml:space="preserve">, ’In </w:t>
      </w:r>
      <w:proofErr w:type="spellStart"/>
      <w:r w:rsidRPr="12AE13EF">
        <w:rPr>
          <w:rFonts w:ascii="Calibri" w:hAnsi="Calibri" w:eastAsia="Calibri" w:cs="Calibri"/>
        </w:rPr>
        <w:t>Memorium</w:t>
      </w:r>
      <w:proofErr w:type="spellEnd"/>
      <w:r w:rsidRPr="12AE13EF">
        <w:rPr>
          <w:rFonts w:ascii="Calibri" w:hAnsi="Calibri" w:eastAsia="Calibri" w:cs="Calibri"/>
        </w:rPr>
        <w:t xml:space="preserve">, </w:t>
      </w:r>
      <w:r w:rsidRPr="12AE13EF">
        <w:rPr>
          <w:rFonts w:ascii="Calibri" w:hAnsi="Calibri" w:eastAsia="Calibri" w:cs="Calibri"/>
          <w:i/>
          <w:iCs/>
        </w:rPr>
        <w:t xml:space="preserve">Psychological </w:t>
      </w:r>
      <w:proofErr w:type="gramStart"/>
      <w:r w:rsidRPr="12AE13EF">
        <w:rPr>
          <w:rFonts w:ascii="Calibri" w:hAnsi="Calibri" w:eastAsia="Calibri" w:cs="Calibri"/>
          <w:i/>
          <w:iCs/>
        </w:rPr>
        <w:t>Perspectives,‘</w:t>
      </w:r>
      <w:proofErr w:type="gramEnd"/>
      <w:r w:rsidRPr="12AE13EF">
        <w:rPr>
          <w:rFonts w:ascii="Calibri" w:hAnsi="Calibri" w:eastAsia="Calibri" w:cs="Calibri"/>
          <w:i/>
          <w:iCs/>
        </w:rPr>
        <w:t xml:space="preserve"> </w:t>
      </w:r>
      <w:r w:rsidRPr="12AE13EF">
        <w:rPr>
          <w:rFonts w:ascii="Calibri" w:hAnsi="Calibri" w:eastAsia="Calibri" w:cs="Calibri"/>
        </w:rPr>
        <w:t>Issue. 34:1 (1996), pp. 9-11.</w:t>
      </w:r>
    </w:p>
    <w:p w:rsidR="00E878A4" w:rsidP="12AE13EF" w:rsidRDefault="00E878A4" w14:paraId="19AFA4EA" w14:textId="77777777">
      <w:pPr>
        <w:spacing w:line="257" w:lineRule="auto"/>
        <w:jc w:val="both"/>
        <w:rPr>
          <w:rFonts w:ascii="Calibri" w:hAnsi="Calibri" w:eastAsia="Calibri" w:cs="Calibri"/>
        </w:rPr>
      </w:pPr>
      <w:r w:rsidRPr="12AE13EF">
        <w:rPr>
          <w:rFonts w:ascii="Calibri" w:hAnsi="Calibri" w:eastAsia="Calibri" w:cs="Calibri"/>
        </w:rPr>
        <w:t xml:space="preserve">Bishop, Paul, ’The Birth of Analytical Psychology from the Spirit of Weimer </w:t>
      </w:r>
      <w:proofErr w:type="spellStart"/>
      <w:r w:rsidRPr="12AE13EF">
        <w:rPr>
          <w:rFonts w:ascii="Calibri" w:hAnsi="Calibri" w:eastAsia="Calibri" w:cs="Calibri"/>
        </w:rPr>
        <w:t>Classasicm</w:t>
      </w:r>
      <w:proofErr w:type="spellEnd"/>
      <w:r w:rsidRPr="12AE13EF">
        <w:rPr>
          <w:rFonts w:ascii="Calibri" w:hAnsi="Calibri" w:eastAsia="Calibri" w:cs="Calibri"/>
        </w:rPr>
        <w:t xml:space="preserve">,’ </w:t>
      </w:r>
      <w:r w:rsidRPr="12AE13EF">
        <w:rPr>
          <w:rFonts w:ascii="Calibri" w:hAnsi="Calibri" w:eastAsia="Calibri" w:cs="Calibri"/>
          <w:i/>
          <w:iCs/>
        </w:rPr>
        <w:t xml:space="preserve">Journal of European Studies, </w:t>
      </w:r>
      <w:r w:rsidRPr="12AE13EF">
        <w:rPr>
          <w:rFonts w:ascii="Calibri" w:hAnsi="Calibri" w:eastAsia="Calibri" w:cs="Calibri"/>
        </w:rPr>
        <w:t>no. 29 (116) (1999), pp. 417-440.</w:t>
      </w:r>
    </w:p>
    <w:p w:rsidR="00E878A4" w:rsidP="12AE13EF" w:rsidRDefault="00E878A4" w14:paraId="025669DF" w14:textId="77777777">
      <w:pPr>
        <w:spacing w:line="257" w:lineRule="auto"/>
        <w:jc w:val="both"/>
        <w:rPr>
          <w:rFonts w:ascii="Calibri" w:hAnsi="Calibri" w:eastAsia="Calibri" w:cs="Calibri"/>
          <w:color w:val="000000" w:themeColor="text1"/>
        </w:rPr>
      </w:pPr>
      <w:r w:rsidRPr="12AE13EF">
        <w:rPr>
          <w:rFonts w:ascii="Calibri" w:hAnsi="Calibri" w:eastAsia="Calibri" w:cs="Calibri"/>
          <w:color w:val="000000" w:themeColor="text1"/>
        </w:rPr>
        <w:t xml:space="preserve">Bobrick, Benson. </w:t>
      </w:r>
      <w:r w:rsidRPr="12AE13EF">
        <w:rPr>
          <w:rFonts w:ascii="Calibri" w:hAnsi="Calibri" w:eastAsia="Calibri" w:cs="Calibri"/>
          <w:i/>
          <w:iCs/>
          <w:color w:val="000000" w:themeColor="text1"/>
        </w:rPr>
        <w:t xml:space="preserve">The Fated Sky: Astrology in History. </w:t>
      </w:r>
      <w:r w:rsidRPr="12AE13EF">
        <w:rPr>
          <w:rFonts w:ascii="Calibri" w:hAnsi="Calibri" w:eastAsia="Calibri" w:cs="Calibri"/>
          <w:color w:val="000000" w:themeColor="text1"/>
        </w:rPr>
        <w:t>(United Kingdom: Simon &amp; Schuster, 2006), pp. 3-334.</w:t>
      </w:r>
    </w:p>
    <w:p w:rsidR="00E878A4" w:rsidP="12AE13EF" w:rsidRDefault="00E878A4" w14:paraId="482840B7" w14:textId="77777777">
      <w:pPr>
        <w:spacing w:line="257" w:lineRule="auto"/>
        <w:jc w:val="both"/>
        <w:rPr>
          <w:rFonts w:ascii="Calibri" w:hAnsi="Calibri" w:eastAsia="Calibri" w:cs="Calibri"/>
        </w:rPr>
      </w:pPr>
      <w:proofErr w:type="spellStart"/>
      <w:r w:rsidRPr="12AE13EF">
        <w:rPr>
          <w:rFonts w:ascii="Calibri" w:hAnsi="Calibri" w:eastAsia="Calibri" w:cs="Calibri"/>
        </w:rPr>
        <w:t>Bolkosky</w:t>
      </w:r>
      <w:proofErr w:type="spellEnd"/>
      <w:r w:rsidRPr="12AE13EF">
        <w:rPr>
          <w:rFonts w:ascii="Calibri" w:hAnsi="Calibri" w:eastAsia="Calibri" w:cs="Calibri"/>
        </w:rPr>
        <w:t xml:space="preserve">, M. Sidney. </w:t>
      </w:r>
      <w:proofErr w:type="spellStart"/>
      <w:r w:rsidRPr="12AE13EF">
        <w:rPr>
          <w:rFonts w:ascii="Calibri" w:hAnsi="Calibri" w:eastAsia="Calibri" w:cs="Calibri"/>
        </w:rPr>
        <w:t>Bolkosky</w:t>
      </w:r>
      <w:proofErr w:type="spellEnd"/>
      <w:r w:rsidRPr="12AE13EF">
        <w:rPr>
          <w:rFonts w:ascii="Calibri" w:hAnsi="Calibri" w:eastAsia="Calibri" w:cs="Calibri"/>
        </w:rPr>
        <w:t xml:space="preserve">, The Freud/Jung Letters: The Correspondence between Sigmund Feud and C. G. Jung, </w:t>
      </w:r>
      <w:r w:rsidRPr="12AE13EF">
        <w:rPr>
          <w:rFonts w:ascii="Calibri" w:hAnsi="Calibri" w:eastAsia="Calibri" w:cs="Calibri"/>
          <w:i/>
          <w:iCs/>
        </w:rPr>
        <w:t xml:space="preserve">History: Reviews of new Books, </w:t>
      </w:r>
      <w:r w:rsidRPr="12AE13EF">
        <w:rPr>
          <w:rFonts w:ascii="Calibri" w:hAnsi="Calibri" w:eastAsia="Calibri" w:cs="Calibri"/>
        </w:rPr>
        <w:t xml:space="preserve">Vol 3, Issue. 2 (1974), pp 23-24 (p. 183). </w:t>
      </w:r>
      <w:r w:rsidRPr="12AE13EF">
        <w:rPr>
          <w:rFonts w:ascii="Calibri" w:hAnsi="Calibri" w:eastAsia="Calibri" w:cs="Calibri"/>
          <w:color w:val="333333"/>
        </w:rPr>
        <w:t xml:space="preserve">DOI: </w:t>
      </w:r>
      <w:hyperlink r:id="rId8">
        <w:r w:rsidRPr="12AE13EF">
          <w:rPr>
            <w:rStyle w:val="Hyperlink"/>
            <w:rFonts w:ascii="Calibri" w:hAnsi="Calibri" w:eastAsia="Calibri" w:cs="Calibri"/>
          </w:rPr>
          <w:t>10.1080/03612759.1974.9946639.</w:t>
        </w:r>
      </w:hyperlink>
      <w:r w:rsidRPr="12AE13EF">
        <w:rPr>
          <w:rFonts w:ascii="Calibri" w:hAnsi="Calibri" w:eastAsia="Calibri" w:cs="Calibri"/>
        </w:rPr>
        <w:t xml:space="preserve"> </w:t>
      </w:r>
    </w:p>
    <w:p w:rsidR="00E878A4" w:rsidP="12AE13EF" w:rsidRDefault="00E878A4" w14:paraId="4B4788DE" w14:textId="77777777">
      <w:pPr>
        <w:spacing w:line="257" w:lineRule="auto"/>
        <w:jc w:val="both"/>
        <w:rPr>
          <w:rFonts w:ascii="Calibri" w:hAnsi="Calibri" w:eastAsia="Calibri" w:cs="Calibri"/>
        </w:rPr>
      </w:pPr>
      <w:r w:rsidRPr="12AE13EF">
        <w:rPr>
          <w:rFonts w:ascii="Calibri" w:hAnsi="Calibri" w:eastAsia="Calibri" w:cs="Calibri"/>
        </w:rPr>
        <w:t xml:space="preserve">Buck, Stephanie, ’Hiding in Plain Sight: Jung, Astrology, and the Psychology of the </w:t>
      </w:r>
      <w:proofErr w:type="gramStart"/>
      <w:r w:rsidRPr="12AE13EF">
        <w:rPr>
          <w:rFonts w:ascii="Calibri" w:hAnsi="Calibri" w:eastAsia="Calibri" w:cs="Calibri"/>
        </w:rPr>
        <w:t>Unconscious,‘</w:t>
      </w:r>
      <w:proofErr w:type="gramEnd"/>
      <w:r w:rsidRPr="12AE13EF">
        <w:rPr>
          <w:rFonts w:ascii="Calibri" w:hAnsi="Calibri" w:eastAsia="Calibri" w:cs="Calibri"/>
        </w:rPr>
        <w:t xml:space="preserve"> </w:t>
      </w:r>
      <w:r w:rsidRPr="12AE13EF">
        <w:rPr>
          <w:rFonts w:ascii="Calibri" w:hAnsi="Calibri" w:eastAsia="Calibri" w:cs="Calibri"/>
          <w:i/>
          <w:iCs/>
        </w:rPr>
        <w:t xml:space="preserve">Journal of Analytical Psychology, </w:t>
      </w:r>
      <w:r w:rsidRPr="12AE13EF">
        <w:rPr>
          <w:rFonts w:ascii="Calibri" w:hAnsi="Calibri" w:eastAsia="Calibri" w:cs="Calibri"/>
        </w:rPr>
        <w:t>no. 63 (2) (2018) 207-27 (p. 201).</w:t>
      </w:r>
    </w:p>
    <w:p w:rsidR="00E878A4" w:rsidP="12AE13EF" w:rsidRDefault="00E878A4" w14:paraId="125A9C12" w14:textId="77777777">
      <w:pPr>
        <w:spacing w:line="257" w:lineRule="auto"/>
        <w:jc w:val="both"/>
        <w:rPr>
          <w:rFonts w:ascii="Calibri" w:hAnsi="Calibri" w:eastAsia="Calibri" w:cs="Calibri"/>
        </w:rPr>
      </w:pPr>
      <w:proofErr w:type="spellStart"/>
      <w:r w:rsidRPr="12AE13EF">
        <w:rPr>
          <w:rFonts w:ascii="Calibri" w:hAnsi="Calibri" w:eastAsia="Calibri" w:cs="Calibri"/>
        </w:rPr>
        <w:t>Cambray</w:t>
      </w:r>
      <w:proofErr w:type="spellEnd"/>
      <w:r w:rsidRPr="12AE13EF">
        <w:rPr>
          <w:rFonts w:ascii="Calibri" w:hAnsi="Calibri" w:eastAsia="Calibri" w:cs="Calibri"/>
        </w:rPr>
        <w:t xml:space="preserve">, Joseph ’Synchronicity and Emergence,’ </w:t>
      </w:r>
      <w:r w:rsidRPr="12AE13EF">
        <w:rPr>
          <w:rFonts w:ascii="Calibri" w:hAnsi="Calibri" w:eastAsia="Calibri" w:cs="Calibri"/>
          <w:i/>
          <w:iCs/>
        </w:rPr>
        <w:t xml:space="preserve">American Imago 59, </w:t>
      </w:r>
      <w:r w:rsidRPr="12AE13EF">
        <w:rPr>
          <w:rFonts w:ascii="Calibri" w:hAnsi="Calibri" w:eastAsia="Calibri" w:cs="Calibri"/>
        </w:rPr>
        <w:t xml:space="preserve">no. 4 (2002), pp. 409-34. </w:t>
      </w:r>
      <w:hyperlink r:id="rId9">
        <w:r w:rsidRPr="12AE13EF">
          <w:rPr>
            <w:rStyle w:val="Hyperlink"/>
            <w:rFonts w:ascii="Calibri" w:hAnsi="Calibri" w:eastAsia="Calibri" w:cs="Calibri"/>
          </w:rPr>
          <w:t>http://www.jstor.org/stable/26304846</w:t>
        </w:r>
      </w:hyperlink>
      <w:r w:rsidRPr="12AE13EF">
        <w:rPr>
          <w:rFonts w:ascii="Calibri" w:hAnsi="Calibri" w:eastAsia="Calibri" w:cs="Calibri"/>
        </w:rPr>
        <w:t>.</w:t>
      </w:r>
    </w:p>
    <w:p w:rsidR="00E878A4" w:rsidP="12AE13EF" w:rsidRDefault="00E878A4" w14:paraId="392215D6" w14:textId="77777777">
      <w:pPr>
        <w:spacing w:line="257" w:lineRule="auto"/>
        <w:jc w:val="both"/>
        <w:rPr>
          <w:rFonts w:ascii="Calibri" w:hAnsi="Calibri" w:eastAsia="Calibri" w:cs="Calibri"/>
        </w:rPr>
      </w:pPr>
      <w:r w:rsidRPr="12AE13EF">
        <w:rPr>
          <w:rFonts w:ascii="Calibri" w:hAnsi="Calibri" w:eastAsia="Calibri" w:cs="Calibri"/>
        </w:rPr>
        <w:lastRenderedPageBreak/>
        <w:t xml:space="preserve">Campion, Nicholas. </w:t>
      </w:r>
      <w:r w:rsidRPr="12AE13EF">
        <w:rPr>
          <w:rFonts w:ascii="Calibri" w:hAnsi="Calibri" w:eastAsia="Calibri" w:cs="Calibri"/>
          <w:i/>
          <w:iCs/>
        </w:rPr>
        <w:t xml:space="preserve">A History of Western Astrology: The Medieval and Modern Worlds. </w:t>
      </w:r>
      <w:r w:rsidRPr="12AE13EF">
        <w:rPr>
          <w:rFonts w:ascii="Calibri" w:hAnsi="Calibri" w:eastAsia="Calibri" w:cs="Calibri"/>
        </w:rPr>
        <w:t>History of Western Astrology, Volume 2 (London Continuum, 2009), p. 248.</w:t>
      </w:r>
    </w:p>
    <w:p w:rsidR="00E878A4" w:rsidP="12AE13EF" w:rsidRDefault="00E878A4" w14:paraId="6BAC8E87" w14:textId="77777777">
      <w:pPr>
        <w:jc w:val="both"/>
        <w:rPr>
          <w:rFonts w:ascii="Calibri" w:hAnsi="Calibri" w:eastAsia="Calibri" w:cs="Calibri"/>
        </w:rPr>
      </w:pPr>
      <w:r w:rsidRPr="12AE13EF">
        <w:rPr>
          <w:rFonts w:ascii="Calibri" w:hAnsi="Calibri" w:eastAsia="Calibri" w:cs="Calibri"/>
        </w:rPr>
        <w:t xml:space="preserve">Campion, Nicholas. </w:t>
      </w:r>
      <w:r w:rsidRPr="12AE13EF">
        <w:rPr>
          <w:rFonts w:ascii="Calibri" w:hAnsi="Calibri" w:eastAsia="Calibri" w:cs="Calibri"/>
          <w:i/>
          <w:iCs/>
        </w:rPr>
        <w:t xml:space="preserve">Astrology and Cosmology in the World’s Religions. </w:t>
      </w:r>
      <w:r w:rsidRPr="12AE13EF">
        <w:rPr>
          <w:rFonts w:ascii="Calibri" w:hAnsi="Calibri" w:eastAsia="Calibri" w:cs="Calibri"/>
        </w:rPr>
        <w:t xml:space="preserve">(United </w:t>
      </w:r>
      <w:proofErr w:type="spellStart"/>
      <w:r w:rsidRPr="12AE13EF">
        <w:rPr>
          <w:rFonts w:ascii="Calibri" w:hAnsi="Calibri" w:eastAsia="Calibri" w:cs="Calibri"/>
        </w:rPr>
        <w:t>Kingdon</w:t>
      </w:r>
      <w:proofErr w:type="spellEnd"/>
      <w:r w:rsidRPr="12AE13EF">
        <w:rPr>
          <w:rFonts w:ascii="Calibri" w:hAnsi="Calibri" w:eastAsia="Calibri" w:cs="Calibri"/>
        </w:rPr>
        <w:t>: NYU Press, 2012), p. 18.</w:t>
      </w:r>
    </w:p>
    <w:p w:rsidR="00E878A4" w:rsidP="179EDB11" w:rsidRDefault="00E878A4" w14:paraId="55E4BE70" w14:textId="77777777" w14:noSpellErr="1">
      <w:pPr>
        <w:spacing w:line="257" w:lineRule="auto"/>
        <w:jc w:val="both"/>
        <w:rPr>
          <w:rFonts w:ascii="Calibri" w:hAnsi="Calibri" w:eastAsia="Calibri" w:cs="Calibri"/>
          <w:color w:val="auto"/>
        </w:rPr>
      </w:pPr>
      <w:r w:rsidRPr="179EDB11" w:rsidR="35743D4A">
        <w:rPr>
          <w:rFonts w:ascii="Calibri" w:hAnsi="Calibri" w:eastAsia="Calibri" w:cs="Calibri"/>
          <w:color w:val="auto"/>
        </w:rPr>
        <w:t xml:space="preserve">Campion, Nicholas. </w:t>
      </w:r>
      <w:r w:rsidRPr="179EDB11" w:rsidR="35743D4A">
        <w:rPr>
          <w:rFonts w:ascii="Calibri" w:hAnsi="Calibri" w:eastAsia="Calibri" w:cs="Calibri"/>
          <w:i w:val="1"/>
          <w:iCs w:val="1"/>
          <w:color w:val="auto"/>
        </w:rPr>
        <w:t xml:space="preserve">The Extent and nature of Contemporary Belief in Astrology. </w:t>
      </w:r>
      <w:r w:rsidRPr="179EDB11" w:rsidR="35743D4A">
        <w:rPr>
          <w:rFonts w:ascii="Calibri" w:hAnsi="Calibri" w:eastAsia="Calibri" w:cs="Calibri"/>
          <w:color w:val="auto"/>
        </w:rPr>
        <w:t>(PhD diss, University of the West of England, 2004), pp. 120-121.</w:t>
      </w:r>
    </w:p>
    <w:p w:rsidR="00E878A4" w:rsidP="12AE13EF" w:rsidRDefault="00E878A4" w14:paraId="436AB005" w14:textId="77777777">
      <w:pPr>
        <w:spacing w:line="257" w:lineRule="auto"/>
        <w:jc w:val="both"/>
        <w:rPr>
          <w:rFonts w:ascii="Calibri" w:hAnsi="Calibri" w:eastAsia="Calibri" w:cs="Calibri"/>
        </w:rPr>
      </w:pPr>
      <w:proofErr w:type="spellStart"/>
      <w:r w:rsidRPr="12AE13EF">
        <w:rPr>
          <w:rFonts w:ascii="Calibri" w:hAnsi="Calibri" w:eastAsia="Calibri" w:cs="Calibri"/>
        </w:rPr>
        <w:t>Carus</w:t>
      </w:r>
      <w:proofErr w:type="spellEnd"/>
      <w:r w:rsidRPr="12AE13EF">
        <w:rPr>
          <w:rFonts w:ascii="Calibri" w:hAnsi="Calibri" w:eastAsia="Calibri" w:cs="Calibri"/>
        </w:rPr>
        <w:t xml:space="preserve">, Paul, ’Friedrich </w:t>
      </w:r>
      <w:proofErr w:type="gramStart"/>
      <w:r w:rsidRPr="12AE13EF">
        <w:rPr>
          <w:rFonts w:ascii="Calibri" w:hAnsi="Calibri" w:eastAsia="Calibri" w:cs="Calibri"/>
        </w:rPr>
        <w:t>Nietzsche,‘</w:t>
      </w:r>
      <w:proofErr w:type="gramEnd"/>
      <w:r w:rsidRPr="12AE13EF">
        <w:rPr>
          <w:rFonts w:ascii="Calibri" w:hAnsi="Calibri" w:eastAsia="Calibri" w:cs="Calibri"/>
        </w:rPr>
        <w:t xml:space="preserve"> </w:t>
      </w:r>
      <w:r w:rsidRPr="12AE13EF">
        <w:rPr>
          <w:rFonts w:ascii="Calibri" w:hAnsi="Calibri" w:eastAsia="Calibri" w:cs="Calibri"/>
          <w:i/>
          <w:iCs/>
        </w:rPr>
        <w:t xml:space="preserve">The Monist 17, </w:t>
      </w:r>
      <w:r w:rsidRPr="12AE13EF">
        <w:rPr>
          <w:rFonts w:ascii="Calibri" w:hAnsi="Calibri" w:eastAsia="Calibri" w:cs="Calibri"/>
        </w:rPr>
        <w:t xml:space="preserve">no. 2 (1907), pp. 230-51. </w:t>
      </w:r>
      <w:hyperlink r:id="rId10">
        <w:r w:rsidRPr="12AE13EF">
          <w:rPr>
            <w:rStyle w:val="Hyperlink"/>
            <w:rFonts w:ascii="Calibri" w:hAnsi="Calibri" w:eastAsia="Calibri" w:cs="Calibri"/>
          </w:rPr>
          <w:t>http://www.jstor.org/stable/27900036</w:t>
        </w:r>
      </w:hyperlink>
      <w:r w:rsidRPr="12AE13EF">
        <w:rPr>
          <w:rFonts w:ascii="Calibri" w:hAnsi="Calibri" w:eastAsia="Calibri" w:cs="Calibri"/>
        </w:rPr>
        <w:t>.</w:t>
      </w:r>
    </w:p>
    <w:p w:rsidR="00E878A4" w:rsidP="12AE13EF" w:rsidRDefault="00E878A4" w14:paraId="6EEF87C8" w14:textId="77777777">
      <w:pPr>
        <w:spacing w:line="257" w:lineRule="auto"/>
        <w:jc w:val="both"/>
        <w:rPr>
          <w:rFonts w:ascii="Calibri" w:hAnsi="Calibri" w:eastAsia="Calibri" w:cs="Calibri"/>
        </w:rPr>
      </w:pPr>
      <w:proofErr w:type="spellStart"/>
      <w:r w:rsidRPr="12AE13EF">
        <w:rPr>
          <w:rFonts w:ascii="Calibri" w:hAnsi="Calibri" w:eastAsia="Calibri" w:cs="Calibri"/>
        </w:rPr>
        <w:t>Cassar</w:t>
      </w:r>
      <w:proofErr w:type="spellEnd"/>
      <w:r w:rsidRPr="12AE13EF">
        <w:rPr>
          <w:rFonts w:ascii="Calibri" w:hAnsi="Calibri" w:eastAsia="Calibri" w:cs="Calibri"/>
        </w:rPr>
        <w:t xml:space="preserve">, </w:t>
      </w:r>
      <w:proofErr w:type="spellStart"/>
      <w:r w:rsidRPr="12AE13EF">
        <w:rPr>
          <w:rFonts w:ascii="Calibri" w:hAnsi="Calibri" w:eastAsia="Calibri" w:cs="Calibri"/>
        </w:rPr>
        <w:t>Laner</w:t>
      </w:r>
      <w:proofErr w:type="spellEnd"/>
      <w:r w:rsidRPr="12AE13EF">
        <w:rPr>
          <w:rFonts w:ascii="Calibri" w:hAnsi="Calibri" w:eastAsia="Calibri" w:cs="Calibri"/>
        </w:rPr>
        <w:t xml:space="preserve">. </w:t>
      </w:r>
      <w:r w:rsidRPr="12AE13EF">
        <w:rPr>
          <w:rFonts w:ascii="Calibri" w:hAnsi="Calibri" w:eastAsia="Calibri" w:cs="Calibri"/>
          <w:i/>
          <w:iCs/>
        </w:rPr>
        <w:t xml:space="preserve">Jung’s Technique of Active Imagination and </w:t>
      </w:r>
      <w:proofErr w:type="spellStart"/>
      <w:r w:rsidRPr="12AE13EF">
        <w:rPr>
          <w:rFonts w:ascii="Calibri" w:hAnsi="Calibri" w:eastAsia="Calibri" w:cs="Calibri"/>
          <w:i/>
          <w:iCs/>
        </w:rPr>
        <w:t>Desoille’s</w:t>
      </w:r>
      <w:proofErr w:type="spellEnd"/>
      <w:r w:rsidRPr="12AE13EF">
        <w:rPr>
          <w:rFonts w:ascii="Calibri" w:hAnsi="Calibri" w:eastAsia="Calibri" w:cs="Calibri"/>
          <w:i/>
          <w:iCs/>
        </w:rPr>
        <w:t xml:space="preserve"> Directed Waking Dream Method: Bridging the Divide, </w:t>
      </w:r>
      <w:r w:rsidRPr="12AE13EF">
        <w:rPr>
          <w:rFonts w:ascii="Calibri" w:hAnsi="Calibri" w:eastAsia="Calibri" w:cs="Calibri"/>
        </w:rPr>
        <w:t>1st ed, (Routledge, 2020), p. 2.</w:t>
      </w:r>
    </w:p>
    <w:p w:rsidR="00E878A4" w:rsidP="12AE13EF" w:rsidRDefault="00E878A4" w14:paraId="7638E6EF" w14:textId="77777777">
      <w:pPr>
        <w:spacing w:line="257" w:lineRule="auto"/>
        <w:jc w:val="both"/>
      </w:pPr>
      <w:proofErr w:type="spellStart"/>
      <w:r w:rsidRPr="12AE13EF">
        <w:rPr>
          <w:rFonts w:ascii="Calibri" w:hAnsi="Calibri" w:eastAsia="Calibri" w:cs="Calibri"/>
        </w:rPr>
        <w:t>Celenza</w:t>
      </w:r>
      <w:proofErr w:type="spellEnd"/>
      <w:r w:rsidRPr="12AE13EF">
        <w:rPr>
          <w:rFonts w:ascii="Calibri" w:hAnsi="Calibri" w:eastAsia="Calibri" w:cs="Calibri"/>
        </w:rPr>
        <w:t xml:space="preserve">, S. Christopher, ‘Pythagoras in the Renaissance: The Case of </w:t>
      </w:r>
      <w:proofErr w:type="spellStart"/>
      <w:r w:rsidRPr="12AE13EF">
        <w:rPr>
          <w:rFonts w:ascii="Calibri" w:hAnsi="Calibri" w:eastAsia="Calibri" w:cs="Calibri"/>
        </w:rPr>
        <w:t>Marsilio</w:t>
      </w:r>
      <w:proofErr w:type="spellEnd"/>
      <w:r w:rsidRPr="12AE13EF">
        <w:rPr>
          <w:rFonts w:ascii="Calibri" w:hAnsi="Calibri" w:eastAsia="Calibri" w:cs="Calibri"/>
        </w:rPr>
        <w:t xml:space="preserve"> Ficino,’ </w:t>
      </w:r>
      <w:r w:rsidRPr="12AE13EF">
        <w:rPr>
          <w:rFonts w:ascii="Calibri" w:hAnsi="Calibri" w:eastAsia="Calibri" w:cs="Calibri"/>
          <w:i/>
          <w:iCs/>
        </w:rPr>
        <w:t xml:space="preserve">Renaissance Quarterly 52, </w:t>
      </w:r>
      <w:r w:rsidRPr="12AE13EF">
        <w:rPr>
          <w:rFonts w:ascii="Calibri" w:hAnsi="Calibri" w:eastAsia="Calibri" w:cs="Calibri"/>
        </w:rPr>
        <w:t xml:space="preserve">no. 3 (1999), pp 667-711. </w:t>
      </w:r>
      <w:hyperlink r:id="rId11">
        <w:r w:rsidRPr="12AE13EF">
          <w:rPr>
            <w:rStyle w:val="Hyperlink"/>
            <w:rFonts w:ascii="Calibri" w:hAnsi="Calibri" w:eastAsia="Calibri" w:cs="Calibri"/>
          </w:rPr>
          <w:t>https://doi.org/10.2307/2901915.</w:t>
        </w:r>
      </w:hyperlink>
    </w:p>
    <w:p w:rsidR="00E878A4" w:rsidP="12AE13EF" w:rsidRDefault="00E878A4" w14:paraId="00005298" w14:textId="77777777">
      <w:pPr>
        <w:spacing w:line="257" w:lineRule="auto"/>
        <w:jc w:val="both"/>
        <w:rPr>
          <w:rFonts w:ascii="Calibri" w:hAnsi="Calibri" w:eastAsia="Calibri" w:cs="Calibri"/>
        </w:rPr>
      </w:pPr>
      <w:r w:rsidRPr="12AE13EF">
        <w:rPr>
          <w:rFonts w:ascii="Calibri" w:hAnsi="Calibri" w:eastAsia="Calibri" w:cs="Calibri"/>
        </w:rPr>
        <w:t>Clark, Brian. ’Jung’s Contribution to astrology.</w:t>
      </w:r>
      <w:r w:rsidRPr="12AE13EF">
        <w:rPr>
          <w:rFonts w:ascii="Calibri" w:hAnsi="Calibri" w:eastAsia="Calibri" w:cs="Calibri"/>
          <w:i/>
          <w:iCs/>
        </w:rPr>
        <w:t xml:space="preserve"> </w:t>
      </w:r>
      <w:r w:rsidRPr="12AE13EF">
        <w:rPr>
          <w:rFonts w:ascii="Calibri" w:hAnsi="Calibri" w:eastAsia="Calibri" w:cs="Calibri"/>
        </w:rPr>
        <w:t xml:space="preserve">(2017). P. 2. Available at:  </w:t>
      </w:r>
      <w:hyperlink r:id="rId12">
        <w:r w:rsidRPr="12AE13EF">
          <w:rPr>
            <w:rStyle w:val="Hyperlink"/>
            <w:rFonts w:ascii="Calibri" w:hAnsi="Calibri" w:eastAsia="Calibri" w:cs="Calibri"/>
          </w:rPr>
          <w:t>https://www.astrosynthesis.com.au/wp-content/uploads/2017/11/jung-contribution-to-astrology-brian-clark.pdf</w:t>
        </w:r>
      </w:hyperlink>
      <w:r w:rsidRPr="12AE13EF">
        <w:rPr>
          <w:rFonts w:ascii="Calibri" w:hAnsi="Calibri" w:eastAsia="Calibri" w:cs="Calibri"/>
        </w:rPr>
        <w:t>.</w:t>
      </w:r>
    </w:p>
    <w:p w:rsidR="00E878A4" w:rsidP="12AE13EF" w:rsidRDefault="00E878A4" w14:paraId="276D36C2" w14:textId="77777777">
      <w:pPr>
        <w:spacing w:line="257" w:lineRule="auto"/>
        <w:jc w:val="both"/>
        <w:rPr>
          <w:rFonts w:ascii="Calibri" w:hAnsi="Calibri" w:eastAsia="Calibri" w:cs="Calibri"/>
        </w:rPr>
      </w:pPr>
      <w:r w:rsidRPr="12AE13EF">
        <w:rPr>
          <w:rFonts w:ascii="Calibri" w:hAnsi="Calibri" w:eastAsia="Calibri" w:cs="Calibri"/>
        </w:rPr>
        <w:t xml:space="preserve">Corbett, Lionel, ’Jung’s The Red Book Dialogues with the Soul: Herald of a new </w:t>
      </w:r>
      <w:proofErr w:type="gramStart"/>
      <w:r w:rsidRPr="12AE13EF">
        <w:rPr>
          <w:rFonts w:ascii="Calibri" w:hAnsi="Calibri" w:eastAsia="Calibri" w:cs="Calibri"/>
        </w:rPr>
        <w:t>Religion?‘</w:t>
      </w:r>
      <w:proofErr w:type="gramEnd"/>
      <w:r w:rsidRPr="12AE13EF">
        <w:rPr>
          <w:rFonts w:ascii="Calibri" w:hAnsi="Calibri" w:eastAsia="Calibri" w:cs="Calibri"/>
          <w:i/>
          <w:iCs/>
        </w:rPr>
        <w:t xml:space="preserve"> Jung Journal,</w:t>
      </w:r>
      <w:r w:rsidRPr="12AE13EF">
        <w:rPr>
          <w:rFonts w:ascii="Calibri" w:hAnsi="Calibri" w:eastAsia="Calibri" w:cs="Calibri"/>
        </w:rPr>
        <w:t xml:space="preserve"> Vol 5, no 3 (2011), pp. 63 – 77. </w:t>
      </w:r>
      <w:hyperlink r:id="rId13">
        <w:r w:rsidRPr="12AE13EF">
          <w:rPr>
            <w:rStyle w:val="Hyperlink"/>
            <w:rFonts w:ascii="Calibri" w:hAnsi="Calibri" w:eastAsia="Calibri" w:cs="Calibri"/>
          </w:rPr>
          <w:t>https://doi.org/10.1525/jung.2011.5.3.63</w:t>
        </w:r>
      </w:hyperlink>
      <w:r w:rsidRPr="12AE13EF">
        <w:rPr>
          <w:rFonts w:ascii="Calibri" w:hAnsi="Calibri" w:eastAsia="Calibri" w:cs="Calibri"/>
        </w:rPr>
        <w:t>.</w:t>
      </w:r>
    </w:p>
    <w:p w:rsidR="00E878A4" w:rsidP="12AE13EF" w:rsidRDefault="00E878A4" w14:paraId="23DA8A65" w14:textId="77777777">
      <w:pPr>
        <w:spacing w:line="257" w:lineRule="auto"/>
        <w:jc w:val="both"/>
        <w:rPr>
          <w:rFonts w:ascii="Calibri" w:hAnsi="Calibri" w:eastAsia="Calibri" w:cs="Calibri"/>
        </w:rPr>
      </w:pPr>
      <w:r w:rsidRPr="12AE13EF">
        <w:rPr>
          <w:rFonts w:ascii="Calibri" w:hAnsi="Calibri" w:eastAsia="Calibri" w:cs="Calibri"/>
        </w:rPr>
        <w:t xml:space="preserve">Curry, Patrick, </w:t>
      </w:r>
      <w:r w:rsidRPr="12AE13EF">
        <w:rPr>
          <w:rFonts w:ascii="Calibri" w:hAnsi="Calibri" w:eastAsia="Calibri" w:cs="Calibri"/>
          <w:i/>
          <w:iCs/>
        </w:rPr>
        <w:t xml:space="preserve">‘Astrology,’ in the Encyclopedia of Historians Writings,’ </w:t>
      </w:r>
      <w:r w:rsidRPr="12AE13EF">
        <w:rPr>
          <w:rFonts w:ascii="Calibri" w:hAnsi="Calibri" w:eastAsia="Calibri" w:cs="Calibri"/>
        </w:rPr>
        <w:t>ed. Kelly Bond, Volume l (London: Fitzroy Dearborn, 1999), p, 55.</w:t>
      </w:r>
    </w:p>
    <w:p w:rsidR="00E878A4" w:rsidP="12AE13EF" w:rsidRDefault="00E878A4" w14:paraId="11FC04C2" w14:textId="77777777">
      <w:pPr>
        <w:spacing w:line="257" w:lineRule="auto"/>
        <w:jc w:val="both"/>
        <w:rPr>
          <w:rFonts w:ascii="Calibri" w:hAnsi="Calibri" w:eastAsia="Calibri" w:cs="Calibri"/>
        </w:rPr>
      </w:pPr>
      <w:proofErr w:type="spellStart"/>
      <w:r w:rsidRPr="12AE13EF">
        <w:rPr>
          <w:rFonts w:ascii="Calibri" w:hAnsi="Calibri" w:eastAsia="Calibri" w:cs="Calibri"/>
        </w:rPr>
        <w:t>Desoille</w:t>
      </w:r>
      <w:proofErr w:type="spellEnd"/>
      <w:r w:rsidRPr="12AE13EF">
        <w:rPr>
          <w:rFonts w:ascii="Calibri" w:hAnsi="Calibri" w:eastAsia="Calibri" w:cs="Calibri"/>
        </w:rPr>
        <w:t xml:space="preserve">, Robert. </w:t>
      </w:r>
      <w:r w:rsidRPr="12AE13EF">
        <w:rPr>
          <w:rFonts w:ascii="Calibri" w:hAnsi="Calibri" w:eastAsia="Calibri" w:cs="Calibri"/>
          <w:i/>
          <w:iCs/>
        </w:rPr>
        <w:t xml:space="preserve">The Directed Daydream. First lecture. </w:t>
      </w:r>
      <w:r w:rsidRPr="12AE13EF">
        <w:rPr>
          <w:rFonts w:ascii="Calibri" w:hAnsi="Calibri" w:eastAsia="Calibri" w:cs="Calibri"/>
        </w:rPr>
        <w:t xml:space="preserve">(1965), pp. 1-23. Available at:  </w:t>
      </w:r>
      <w:hyperlink r:id="rId14">
        <w:r w:rsidRPr="12AE13EF">
          <w:rPr>
            <w:rStyle w:val="Hyperlink"/>
            <w:rFonts w:ascii="Calibri" w:hAnsi="Calibri" w:eastAsia="Calibri" w:cs="Calibri"/>
          </w:rPr>
          <w:t>https://psychosynthesisresources.com/NieuweBestanden/directed_daydream.pdf</w:t>
        </w:r>
      </w:hyperlink>
      <w:r w:rsidRPr="12AE13EF">
        <w:rPr>
          <w:rFonts w:ascii="Calibri" w:hAnsi="Calibri" w:eastAsia="Calibri" w:cs="Calibri"/>
        </w:rPr>
        <w:t>.</w:t>
      </w:r>
    </w:p>
    <w:p w:rsidR="00E878A4" w:rsidP="12AE13EF" w:rsidRDefault="00E878A4" w14:paraId="0C4F4592" w14:textId="77777777">
      <w:pPr>
        <w:spacing w:line="257" w:lineRule="auto"/>
        <w:jc w:val="both"/>
      </w:pPr>
      <w:r w:rsidRPr="12AE13EF">
        <w:rPr>
          <w:rFonts w:ascii="Calibri" w:hAnsi="Calibri" w:eastAsia="Calibri" w:cs="Calibri"/>
          <w:color w:val="333333"/>
        </w:rPr>
        <w:t xml:space="preserve">Gerald A. Weiner, A. Gerald. (2020). Dark Religion: Fundamentalism from the Perspective of Jungian Psychology. (2018). By Vladislav </w:t>
      </w:r>
      <w:proofErr w:type="spellStart"/>
      <w:r w:rsidRPr="12AE13EF">
        <w:rPr>
          <w:rFonts w:ascii="Calibri" w:hAnsi="Calibri" w:eastAsia="Calibri" w:cs="Calibri"/>
          <w:color w:val="333333"/>
        </w:rPr>
        <w:t>Solc</w:t>
      </w:r>
      <w:proofErr w:type="spellEnd"/>
      <w:r w:rsidRPr="12AE13EF">
        <w:rPr>
          <w:rFonts w:ascii="Calibri" w:hAnsi="Calibri" w:eastAsia="Calibri" w:cs="Calibri"/>
          <w:color w:val="333333"/>
        </w:rPr>
        <w:t xml:space="preserve"> and George J. Didier. Chiron Publications, Psychological Perspectives, A Quarterly Journal of Jungian Thought 63:2, pp. 304-306 </w:t>
      </w:r>
      <w:r w:rsidRPr="12AE13EF">
        <w:rPr>
          <w:rFonts w:ascii="Open Sans" w:hAnsi="Open Sans" w:eastAsia="Open Sans" w:cs="Open Sans"/>
          <w:color w:val="333333"/>
        </w:rPr>
        <w:t xml:space="preserve">DOI: </w:t>
      </w:r>
      <w:hyperlink r:id="rId15">
        <w:r w:rsidRPr="12AE13EF">
          <w:rPr>
            <w:rStyle w:val="Hyperlink"/>
            <w:rFonts w:ascii="Open Sans" w:hAnsi="Open Sans" w:eastAsia="Open Sans" w:cs="Open Sans"/>
          </w:rPr>
          <w:t>10.1080/00332925.2020.1773169.</w:t>
        </w:r>
      </w:hyperlink>
    </w:p>
    <w:p w:rsidR="00E878A4" w:rsidP="12AE13EF" w:rsidRDefault="00E878A4" w14:paraId="582CA344" w14:textId="77777777">
      <w:pPr>
        <w:spacing w:line="257" w:lineRule="auto"/>
        <w:jc w:val="both"/>
        <w:rPr>
          <w:rFonts w:ascii="Calibri" w:hAnsi="Calibri" w:eastAsia="Calibri" w:cs="Calibri"/>
        </w:rPr>
      </w:pPr>
      <w:r w:rsidRPr="12AE13EF">
        <w:rPr>
          <w:rFonts w:ascii="Calibri" w:hAnsi="Calibri" w:eastAsia="Calibri" w:cs="Calibri"/>
        </w:rPr>
        <w:t xml:space="preserve">Greene, Liz. </w:t>
      </w:r>
      <w:r w:rsidRPr="12AE13EF">
        <w:rPr>
          <w:rFonts w:ascii="Calibri" w:hAnsi="Calibri" w:eastAsia="Calibri" w:cs="Calibri"/>
          <w:i/>
          <w:iCs/>
        </w:rPr>
        <w:t xml:space="preserve">Jung’s Studies in Astrology: Prophecy, Magic, and the Qualities of Time. </w:t>
      </w:r>
      <w:r w:rsidRPr="12AE13EF">
        <w:rPr>
          <w:rFonts w:ascii="Calibri" w:hAnsi="Calibri" w:eastAsia="Calibri" w:cs="Calibri"/>
        </w:rPr>
        <w:t>(New York: Routledge, 2018), p. 19.</w:t>
      </w:r>
    </w:p>
    <w:p w:rsidR="00E878A4" w:rsidP="12AE13EF" w:rsidRDefault="00E878A4" w14:paraId="43804E81" w14:textId="77777777">
      <w:pPr>
        <w:spacing w:line="257" w:lineRule="auto"/>
        <w:jc w:val="both"/>
        <w:rPr>
          <w:rFonts w:ascii="Calibri" w:hAnsi="Calibri" w:eastAsia="Calibri" w:cs="Calibri"/>
        </w:rPr>
      </w:pPr>
      <w:r w:rsidRPr="12AE13EF">
        <w:rPr>
          <w:rFonts w:ascii="Calibri" w:hAnsi="Calibri" w:eastAsia="Calibri" w:cs="Calibri"/>
        </w:rPr>
        <w:t>Greene, Liz.</w:t>
      </w:r>
      <w:r w:rsidRPr="12AE13EF">
        <w:rPr>
          <w:rFonts w:ascii="Calibri" w:hAnsi="Calibri" w:eastAsia="Calibri" w:cs="Calibri"/>
          <w:i/>
          <w:iCs/>
        </w:rPr>
        <w:t xml:space="preserve"> Saturn: A New Look at an Old Devil.</w:t>
      </w:r>
      <w:r w:rsidRPr="12AE13EF">
        <w:rPr>
          <w:rFonts w:ascii="Calibri" w:hAnsi="Calibri" w:eastAsia="Calibri" w:cs="Calibri"/>
        </w:rPr>
        <w:t xml:space="preserve"> (United States: Red Wheel Weiser, 2021), p. 193.</w:t>
      </w:r>
    </w:p>
    <w:p w:rsidR="00E878A4" w:rsidP="12AE13EF" w:rsidRDefault="00E878A4" w14:paraId="2C508CCC" w14:textId="77777777">
      <w:pPr>
        <w:spacing w:line="257" w:lineRule="auto"/>
        <w:jc w:val="both"/>
        <w:rPr>
          <w:rFonts w:ascii="Calibri" w:hAnsi="Calibri" w:eastAsia="Calibri" w:cs="Calibri"/>
        </w:rPr>
      </w:pPr>
      <w:r w:rsidRPr="12AE13EF">
        <w:rPr>
          <w:rFonts w:ascii="Calibri" w:hAnsi="Calibri" w:eastAsia="Calibri" w:cs="Calibri"/>
        </w:rPr>
        <w:t xml:space="preserve">Gustav Jung, Carl. </w:t>
      </w:r>
      <w:proofErr w:type="spellStart"/>
      <w:r w:rsidRPr="12AE13EF">
        <w:rPr>
          <w:rFonts w:ascii="Calibri" w:hAnsi="Calibri" w:eastAsia="Calibri" w:cs="Calibri"/>
          <w:i/>
          <w:iCs/>
        </w:rPr>
        <w:t>Aion</w:t>
      </w:r>
      <w:proofErr w:type="spellEnd"/>
      <w:r w:rsidRPr="12AE13EF">
        <w:rPr>
          <w:rFonts w:ascii="Calibri" w:hAnsi="Calibri" w:eastAsia="Calibri" w:cs="Calibri"/>
          <w:i/>
          <w:iCs/>
        </w:rPr>
        <w:t xml:space="preserve">: Researches into the Phenomenology of the Self. </w:t>
      </w:r>
      <w:r w:rsidRPr="12AE13EF">
        <w:rPr>
          <w:rFonts w:ascii="Calibri" w:hAnsi="Calibri" w:eastAsia="Calibri" w:cs="Calibri"/>
        </w:rPr>
        <w:t>(United Kingdom: Taylor &amp; Francis Group, 2015), p. 93.</w:t>
      </w:r>
    </w:p>
    <w:p w:rsidR="00E878A4" w:rsidP="12AE13EF" w:rsidRDefault="00E878A4" w14:paraId="29363119" w14:textId="77777777">
      <w:pPr>
        <w:spacing w:line="257" w:lineRule="auto"/>
        <w:jc w:val="both"/>
        <w:rPr>
          <w:rFonts w:ascii="Calibri" w:hAnsi="Calibri" w:eastAsia="Calibri" w:cs="Calibri"/>
        </w:rPr>
      </w:pPr>
      <w:r w:rsidRPr="12AE13EF">
        <w:rPr>
          <w:rFonts w:ascii="Calibri" w:hAnsi="Calibri" w:eastAsia="Calibri" w:cs="Calibri"/>
        </w:rPr>
        <w:t xml:space="preserve">Gustav Jung, Carl. </w:t>
      </w:r>
      <w:r w:rsidRPr="12AE13EF">
        <w:rPr>
          <w:rFonts w:ascii="Calibri" w:hAnsi="Calibri" w:eastAsia="Calibri" w:cs="Calibri"/>
          <w:i/>
          <w:iCs/>
        </w:rPr>
        <w:t xml:space="preserve">Answer to Job </w:t>
      </w:r>
      <w:r w:rsidRPr="12AE13EF">
        <w:rPr>
          <w:rFonts w:ascii="Calibri" w:hAnsi="Calibri" w:eastAsia="Calibri" w:cs="Calibri"/>
        </w:rPr>
        <w:t>(From Vol. 11 of the Collected Works of C. G Jung). (United Kingdom: Princeton University Press, 2012).</w:t>
      </w:r>
    </w:p>
    <w:p w:rsidR="00E878A4" w:rsidP="12AE13EF" w:rsidRDefault="00E878A4" w14:paraId="1F064E65" w14:textId="77777777">
      <w:pPr>
        <w:spacing w:line="257" w:lineRule="auto"/>
        <w:jc w:val="both"/>
        <w:rPr>
          <w:rFonts w:ascii="Calibri" w:hAnsi="Calibri" w:eastAsia="Calibri" w:cs="Calibri"/>
        </w:rPr>
      </w:pPr>
      <w:r w:rsidRPr="12AE13EF">
        <w:rPr>
          <w:rFonts w:ascii="Calibri" w:hAnsi="Calibri" w:eastAsia="Calibri" w:cs="Calibri"/>
        </w:rPr>
        <w:t xml:space="preserve">Gustav Jung, Carl. </w:t>
      </w:r>
      <w:r w:rsidRPr="12AE13EF">
        <w:rPr>
          <w:rFonts w:ascii="Calibri" w:hAnsi="Calibri" w:eastAsia="Calibri" w:cs="Calibri"/>
          <w:i/>
          <w:iCs/>
        </w:rPr>
        <w:t xml:space="preserve">Introduction to Jungian Psychology: Notes of the Seminar on Analytical Psychology Given in 1925. </w:t>
      </w:r>
      <w:r w:rsidRPr="12AE13EF">
        <w:rPr>
          <w:rFonts w:ascii="Calibri" w:hAnsi="Calibri" w:eastAsia="Calibri" w:cs="Calibri"/>
        </w:rPr>
        <w:t>(United States: Princeton University Press, 2012), p. 27.</w:t>
      </w:r>
    </w:p>
    <w:p w:rsidR="00E878A4" w:rsidP="12AE13EF" w:rsidRDefault="00E878A4" w14:paraId="4FFA4904" w14:textId="77777777">
      <w:pPr>
        <w:spacing w:line="257" w:lineRule="auto"/>
        <w:jc w:val="both"/>
        <w:rPr>
          <w:rFonts w:ascii="Calibri" w:hAnsi="Calibri" w:eastAsia="Calibri" w:cs="Calibri"/>
        </w:rPr>
      </w:pPr>
      <w:r w:rsidRPr="12AE13EF">
        <w:rPr>
          <w:rFonts w:ascii="Calibri" w:hAnsi="Calibri" w:eastAsia="Calibri" w:cs="Calibri"/>
        </w:rPr>
        <w:t xml:space="preserve">Gustav Jung, Carl. </w:t>
      </w:r>
      <w:r w:rsidRPr="12AE13EF">
        <w:rPr>
          <w:rFonts w:ascii="Calibri" w:hAnsi="Calibri" w:eastAsia="Calibri" w:cs="Calibri"/>
          <w:i/>
          <w:iCs/>
        </w:rPr>
        <w:t>Letters of C. G. Jung</w:t>
      </w:r>
      <w:r w:rsidRPr="12AE13EF">
        <w:rPr>
          <w:rFonts w:ascii="Calibri" w:hAnsi="Calibri" w:eastAsia="Calibri" w:cs="Calibri"/>
        </w:rPr>
        <w:t>: Volume 1-1906-150 (G Alder, &amp; A. Jaffe, Eds) (1</w:t>
      </w:r>
      <w:r w:rsidRPr="12AE13EF">
        <w:rPr>
          <w:rFonts w:ascii="Calibri" w:hAnsi="Calibri" w:eastAsia="Calibri" w:cs="Calibri"/>
          <w:vertAlign w:val="superscript"/>
        </w:rPr>
        <w:t>st</w:t>
      </w:r>
      <w:r w:rsidRPr="12AE13EF">
        <w:rPr>
          <w:rFonts w:ascii="Calibri" w:hAnsi="Calibri" w:eastAsia="Calibri" w:cs="Calibri"/>
        </w:rPr>
        <w:t xml:space="preserve"> ed). (London: Routledge, 1973), p xxii </w:t>
      </w:r>
      <w:hyperlink r:id="rId16">
        <w:r w:rsidRPr="12AE13EF">
          <w:rPr>
            <w:rStyle w:val="Hyperlink"/>
            <w:rFonts w:ascii="Calibri" w:hAnsi="Calibri" w:eastAsia="Calibri" w:cs="Calibri"/>
          </w:rPr>
          <w:t>https://doi.org/10.4324/9781315723945</w:t>
        </w:r>
      </w:hyperlink>
      <w:r w:rsidRPr="12AE13EF">
        <w:rPr>
          <w:rFonts w:ascii="Calibri" w:hAnsi="Calibri" w:eastAsia="Calibri" w:cs="Calibri"/>
        </w:rPr>
        <w:t xml:space="preserve">. </w:t>
      </w:r>
    </w:p>
    <w:p w:rsidR="00E878A4" w:rsidP="12AE13EF" w:rsidRDefault="00E878A4" w14:paraId="4FCFED80" w14:textId="77777777">
      <w:pPr>
        <w:spacing w:line="257" w:lineRule="auto"/>
        <w:jc w:val="both"/>
        <w:rPr>
          <w:rFonts w:ascii="Calibri" w:hAnsi="Calibri" w:eastAsia="Calibri" w:cs="Calibri"/>
        </w:rPr>
      </w:pPr>
      <w:r w:rsidRPr="12AE13EF">
        <w:rPr>
          <w:rFonts w:ascii="Calibri" w:hAnsi="Calibri" w:eastAsia="Calibri" w:cs="Calibri"/>
        </w:rPr>
        <w:lastRenderedPageBreak/>
        <w:t xml:space="preserve">Gustav Jung, Carl. </w:t>
      </w:r>
      <w:r w:rsidRPr="12AE13EF">
        <w:rPr>
          <w:rFonts w:ascii="Calibri" w:hAnsi="Calibri" w:eastAsia="Calibri" w:cs="Calibri"/>
          <w:i/>
          <w:iCs/>
        </w:rPr>
        <w:t>Psychology and the Occult.</w:t>
      </w:r>
      <w:r w:rsidRPr="12AE13EF">
        <w:rPr>
          <w:rFonts w:ascii="Calibri" w:hAnsi="Calibri" w:eastAsia="Calibri" w:cs="Calibri"/>
        </w:rPr>
        <w:t xml:space="preserve"> (United Kingdom: Taylor &amp; Francis, 2015), p. ix.</w:t>
      </w:r>
    </w:p>
    <w:p w:rsidR="00E878A4" w:rsidP="12AE13EF" w:rsidRDefault="00E878A4" w14:paraId="76D7398A" w14:textId="77777777">
      <w:pPr>
        <w:spacing w:line="257" w:lineRule="auto"/>
        <w:jc w:val="both"/>
        <w:rPr>
          <w:rFonts w:ascii="Calibri" w:hAnsi="Calibri" w:eastAsia="Calibri" w:cs="Calibri"/>
        </w:rPr>
      </w:pPr>
      <w:r w:rsidRPr="12AE13EF">
        <w:rPr>
          <w:rFonts w:ascii="Calibri" w:hAnsi="Calibri" w:eastAsia="Calibri" w:cs="Calibri"/>
        </w:rPr>
        <w:t xml:space="preserve">Gustav Jung, Carl. </w:t>
      </w:r>
      <w:r w:rsidRPr="12AE13EF">
        <w:rPr>
          <w:rFonts w:ascii="Calibri" w:hAnsi="Calibri" w:eastAsia="Calibri" w:cs="Calibri"/>
          <w:i/>
          <w:iCs/>
        </w:rPr>
        <w:t xml:space="preserve">Speaking: Interviews and Encounters, </w:t>
      </w:r>
      <w:r w:rsidRPr="12AE13EF">
        <w:rPr>
          <w:rFonts w:ascii="Calibri" w:hAnsi="Calibri" w:eastAsia="Calibri" w:cs="Calibri"/>
        </w:rPr>
        <w:t>edited by</w:t>
      </w:r>
      <w:r w:rsidRPr="12AE13EF">
        <w:rPr>
          <w:rFonts w:ascii="Calibri" w:hAnsi="Calibri" w:eastAsia="Calibri" w:cs="Calibri"/>
          <w:i/>
          <w:iCs/>
        </w:rPr>
        <w:t xml:space="preserve"> </w:t>
      </w:r>
      <w:r w:rsidRPr="12AE13EF">
        <w:rPr>
          <w:rFonts w:ascii="Calibri" w:hAnsi="Calibri" w:eastAsia="Calibri" w:cs="Calibri"/>
        </w:rPr>
        <w:t>William McGuire and R.F.C. Hull (</w:t>
      </w:r>
      <w:proofErr w:type="spellStart"/>
      <w:r w:rsidRPr="12AE13EF">
        <w:rPr>
          <w:rFonts w:ascii="Calibri" w:hAnsi="Calibri" w:eastAsia="Calibri" w:cs="Calibri"/>
        </w:rPr>
        <w:t>Bollingen</w:t>
      </w:r>
      <w:proofErr w:type="spellEnd"/>
      <w:r w:rsidRPr="12AE13EF">
        <w:rPr>
          <w:rFonts w:ascii="Calibri" w:hAnsi="Calibri" w:eastAsia="Calibri" w:cs="Calibri"/>
        </w:rPr>
        <w:t xml:space="preserve"> Series, Princeton: Princeton University Press, 1977), p. 234.</w:t>
      </w:r>
    </w:p>
    <w:p w:rsidR="00E878A4" w:rsidP="12AE13EF" w:rsidRDefault="00E878A4" w14:paraId="39C74E81" w14:textId="77777777">
      <w:pPr>
        <w:spacing w:line="257" w:lineRule="auto"/>
        <w:jc w:val="both"/>
      </w:pPr>
      <w:r w:rsidRPr="12AE13EF">
        <w:rPr>
          <w:rFonts w:ascii="Calibri" w:hAnsi="Calibri" w:eastAsia="Calibri" w:cs="Calibri"/>
        </w:rPr>
        <w:t xml:space="preserve">Gustav, Jung, Carl, ‘Archetypes of the Collective Unconscious.’ In Collected Works of C. G, Jung, Volume 9 (part 1), </w:t>
      </w:r>
      <w:r w:rsidRPr="12AE13EF">
        <w:rPr>
          <w:rFonts w:ascii="Calibri" w:hAnsi="Calibri" w:eastAsia="Calibri" w:cs="Calibri"/>
          <w:i/>
          <w:iCs/>
        </w:rPr>
        <w:t xml:space="preserve">Archetypes and the Collective Unconscious, </w:t>
      </w:r>
      <w:r w:rsidRPr="12AE13EF">
        <w:rPr>
          <w:rFonts w:ascii="Calibri" w:hAnsi="Calibri" w:eastAsia="Calibri" w:cs="Calibri"/>
        </w:rPr>
        <w:t xml:space="preserve">edited by Gerhard Alder and R. F. C. Hull, Princeton University Press (1969), pp. 3-41. </w:t>
      </w:r>
      <w:hyperlink r:id="rId17">
        <w:r w:rsidRPr="12AE13EF">
          <w:rPr>
            <w:rStyle w:val="Hyperlink"/>
            <w:rFonts w:ascii="Calibri" w:hAnsi="Calibri" w:eastAsia="Calibri" w:cs="Calibri"/>
          </w:rPr>
          <w:t>http://www.jstor.org/stable/j.ctt5hhrnk.6.</w:t>
        </w:r>
      </w:hyperlink>
    </w:p>
    <w:p w:rsidR="00E878A4" w:rsidP="12AE13EF" w:rsidRDefault="00E878A4" w14:paraId="2E1B8FF1" w14:textId="77777777">
      <w:pPr>
        <w:spacing w:line="257" w:lineRule="auto"/>
        <w:jc w:val="both"/>
        <w:rPr>
          <w:rFonts w:ascii="Calibri" w:hAnsi="Calibri" w:eastAsia="Calibri" w:cs="Calibri"/>
        </w:rPr>
      </w:pPr>
      <w:r w:rsidRPr="12AE13EF">
        <w:rPr>
          <w:rFonts w:ascii="Calibri" w:hAnsi="Calibri" w:eastAsia="Calibri" w:cs="Calibri"/>
        </w:rPr>
        <w:t xml:space="preserve">Gustav, Jung, Carl, ’The Role of the Unconscious.’ </w:t>
      </w:r>
      <w:r w:rsidRPr="12AE13EF">
        <w:rPr>
          <w:rFonts w:ascii="Calibri" w:hAnsi="Calibri" w:eastAsia="Calibri" w:cs="Calibri"/>
          <w:i/>
          <w:iCs/>
        </w:rPr>
        <w:t xml:space="preserve">In Collected Works of C. G. Jung, Volume 10: Civilization in Transition, </w:t>
      </w:r>
      <w:r w:rsidRPr="12AE13EF">
        <w:rPr>
          <w:rFonts w:ascii="Calibri" w:hAnsi="Calibri" w:eastAsia="Calibri" w:cs="Calibri"/>
        </w:rPr>
        <w:t>edited by Gerhard Alder and R. F. C. Hull Volume 10 (1970). Princeton Press University, pp. 3-28.</w:t>
      </w:r>
      <w:r w:rsidRPr="12AE13EF">
        <w:rPr>
          <w:rFonts w:ascii="Calibri" w:hAnsi="Calibri" w:eastAsia="Calibri" w:cs="Calibri"/>
          <w:i/>
          <w:iCs/>
        </w:rPr>
        <w:t xml:space="preserve"> </w:t>
      </w:r>
      <w:hyperlink r:id="rId18">
        <w:r w:rsidRPr="12AE13EF">
          <w:rPr>
            <w:rStyle w:val="Hyperlink"/>
            <w:rFonts w:ascii="Calibri" w:hAnsi="Calibri" w:eastAsia="Calibri" w:cs="Calibri"/>
          </w:rPr>
          <w:t>http://www.jstor.org/stable/j.ctt5hhs4s.5</w:t>
        </w:r>
      </w:hyperlink>
      <w:r w:rsidRPr="12AE13EF">
        <w:rPr>
          <w:rFonts w:ascii="Calibri" w:hAnsi="Calibri" w:eastAsia="Calibri" w:cs="Calibri"/>
        </w:rPr>
        <w:t>.</w:t>
      </w:r>
    </w:p>
    <w:p w:rsidR="00E878A4" w:rsidP="12AE13EF" w:rsidRDefault="00E878A4" w14:paraId="726DEBA9" w14:textId="77777777">
      <w:pPr>
        <w:spacing w:line="257" w:lineRule="auto"/>
        <w:jc w:val="both"/>
        <w:rPr>
          <w:rFonts w:ascii="Calibri" w:hAnsi="Calibri" w:eastAsia="Calibri" w:cs="Calibri"/>
        </w:rPr>
      </w:pPr>
      <w:r w:rsidRPr="12AE13EF">
        <w:rPr>
          <w:rFonts w:ascii="Calibri" w:hAnsi="Calibri" w:eastAsia="Calibri" w:cs="Calibri"/>
        </w:rPr>
        <w:t xml:space="preserve">Gustav, Jung, Carl. </w:t>
      </w:r>
      <w:r w:rsidRPr="12AE13EF">
        <w:rPr>
          <w:rFonts w:ascii="Calibri" w:hAnsi="Calibri" w:eastAsia="Calibri" w:cs="Calibri"/>
          <w:i/>
          <w:iCs/>
        </w:rPr>
        <w:t xml:space="preserve">Answer to Job. </w:t>
      </w:r>
      <w:r w:rsidRPr="12AE13EF">
        <w:rPr>
          <w:rFonts w:ascii="Calibri" w:hAnsi="Calibri" w:eastAsia="Calibri" w:cs="Calibri"/>
        </w:rPr>
        <w:t>(Hodder and Stoughton, 1965).</w:t>
      </w:r>
    </w:p>
    <w:p w:rsidR="00E878A4" w:rsidP="12AE13EF" w:rsidRDefault="00E878A4" w14:paraId="7DF6ADCC" w14:textId="77777777">
      <w:pPr>
        <w:spacing w:line="257" w:lineRule="auto"/>
        <w:jc w:val="both"/>
        <w:rPr>
          <w:rFonts w:ascii="Calibri" w:hAnsi="Calibri" w:eastAsia="Calibri" w:cs="Calibri"/>
        </w:rPr>
      </w:pPr>
      <w:r w:rsidRPr="12AE13EF">
        <w:rPr>
          <w:rFonts w:ascii="Calibri" w:hAnsi="Calibri" w:eastAsia="Calibri" w:cs="Calibri"/>
        </w:rPr>
        <w:t xml:space="preserve">Gustav, Jung, Carl. </w:t>
      </w:r>
      <w:r w:rsidRPr="12AE13EF">
        <w:rPr>
          <w:rFonts w:ascii="Calibri" w:hAnsi="Calibri" w:eastAsia="Calibri" w:cs="Calibri"/>
          <w:i/>
          <w:iCs/>
        </w:rPr>
        <w:t xml:space="preserve">Jung on Synchronicity and the Paranormal. </w:t>
      </w:r>
      <w:r w:rsidRPr="12AE13EF">
        <w:rPr>
          <w:rFonts w:ascii="Calibri" w:hAnsi="Calibri" w:eastAsia="Calibri" w:cs="Calibri"/>
        </w:rPr>
        <w:t>(United Kingdom: Routledge: 1997), p. 11.</w:t>
      </w:r>
    </w:p>
    <w:p w:rsidR="00E878A4" w:rsidP="12AE13EF" w:rsidRDefault="00E878A4" w14:paraId="7B76719A" w14:textId="77777777">
      <w:pPr>
        <w:spacing w:line="257" w:lineRule="auto"/>
        <w:jc w:val="both"/>
        <w:rPr>
          <w:rFonts w:ascii="Calibri" w:hAnsi="Calibri" w:eastAsia="Calibri" w:cs="Calibri"/>
        </w:rPr>
      </w:pPr>
      <w:r w:rsidRPr="12AE13EF">
        <w:rPr>
          <w:rFonts w:ascii="Calibri" w:hAnsi="Calibri" w:eastAsia="Calibri" w:cs="Calibri"/>
        </w:rPr>
        <w:t xml:space="preserve">Gustav, Jung, Carl. </w:t>
      </w:r>
      <w:r w:rsidRPr="12AE13EF">
        <w:rPr>
          <w:rFonts w:ascii="Calibri" w:hAnsi="Calibri" w:eastAsia="Calibri" w:cs="Calibri"/>
          <w:i/>
          <w:iCs/>
        </w:rPr>
        <w:t xml:space="preserve">Jung Speaking: Interviews and Encounters. </w:t>
      </w:r>
      <w:r w:rsidRPr="12AE13EF">
        <w:rPr>
          <w:rFonts w:ascii="Calibri" w:hAnsi="Calibri" w:eastAsia="Calibri" w:cs="Calibri"/>
        </w:rPr>
        <w:t>(United States: Princeton University Press, 2020), p. 160.</w:t>
      </w:r>
    </w:p>
    <w:p w:rsidR="00E878A4" w:rsidP="12AE13EF" w:rsidRDefault="00E878A4" w14:paraId="09F122F3" w14:textId="77777777">
      <w:pPr>
        <w:spacing w:line="257" w:lineRule="auto"/>
        <w:jc w:val="both"/>
        <w:rPr>
          <w:rFonts w:ascii="Calibri" w:hAnsi="Calibri" w:eastAsia="Calibri" w:cs="Calibri"/>
        </w:rPr>
      </w:pPr>
      <w:r w:rsidRPr="12AE13EF">
        <w:rPr>
          <w:rFonts w:ascii="Calibri" w:hAnsi="Calibri" w:eastAsia="Calibri" w:cs="Calibri"/>
        </w:rPr>
        <w:t xml:space="preserve">Harding, M. Ester, ’Jung’s Influence on Contemporary Though.’ </w:t>
      </w:r>
      <w:r w:rsidRPr="12AE13EF">
        <w:rPr>
          <w:rFonts w:ascii="Calibri" w:hAnsi="Calibri" w:eastAsia="Calibri" w:cs="Calibri"/>
          <w:i/>
          <w:iCs/>
        </w:rPr>
        <w:t xml:space="preserve">Journal of Religion and Health 1, </w:t>
      </w:r>
      <w:r w:rsidRPr="12AE13EF">
        <w:rPr>
          <w:rFonts w:ascii="Calibri" w:hAnsi="Calibri" w:eastAsia="Calibri" w:cs="Calibri"/>
        </w:rPr>
        <w:t xml:space="preserve">no. 3 (1962), 247-59 (p. 247). </w:t>
      </w:r>
      <w:hyperlink r:id="rId19">
        <w:r w:rsidRPr="12AE13EF">
          <w:rPr>
            <w:rStyle w:val="Hyperlink"/>
            <w:rFonts w:ascii="Calibri" w:hAnsi="Calibri" w:eastAsia="Calibri" w:cs="Calibri"/>
          </w:rPr>
          <w:t>http://www.jstor.org/stable/27504500</w:t>
        </w:r>
      </w:hyperlink>
      <w:r w:rsidRPr="12AE13EF">
        <w:rPr>
          <w:rFonts w:ascii="Calibri" w:hAnsi="Calibri" w:eastAsia="Calibri" w:cs="Calibri"/>
        </w:rPr>
        <w:t>.</w:t>
      </w:r>
    </w:p>
    <w:p w:rsidR="00E878A4" w:rsidP="12AE13EF" w:rsidRDefault="00E878A4" w14:paraId="02D67D74" w14:textId="77777777">
      <w:pPr>
        <w:spacing w:line="257" w:lineRule="auto"/>
        <w:jc w:val="both"/>
      </w:pPr>
      <w:r w:rsidRPr="12AE13EF">
        <w:rPr>
          <w:rFonts w:ascii="Calibri" w:hAnsi="Calibri" w:eastAsia="Calibri" w:cs="Calibri"/>
        </w:rPr>
        <w:t xml:space="preserve">Head, Raymond, ‘Holst - Astrology and Modernism in ’The Planets,’ </w:t>
      </w:r>
      <w:r w:rsidRPr="12AE13EF">
        <w:rPr>
          <w:rFonts w:ascii="Calibri" w:hAnsi="Calibri" w:eastAsia="Calibri" w:cs="Calibri"/>
          <w:i/>
          <w:iCs/>
        </w:rPr>
        <w:t xml:space="preserve">Tempo, </w:t>
      </w:r>
      <w:r w:rsidRPr="12AE13EF">
        <w:rPr>
          <w:rFonts w:ascii="Calibri" w:hAnsi="Calibri" w:eastAsia="Calibri" w:cs="Calibri"/>
        </w:rPr>
        <w:t xml:space="preserve">no. 187 (1993), 15-22 (pp. 17-21). </w:t>
      </w:r>
      <w:hyperlink r:id="rId20">
        <w:r w:rsidRPr="12AE13EF">
          <w:rPr>
            <w:rStyle w:val="Hyperlink"/>
            <w:rFonts w:ascii="Calibri" w:hAnsi="Calibri" w:eastAsia="Calibri" w:cs="Calibri"/>
          </w:rPr>
          <w:t>http://www.jstor.org/stable/945181.</w:t>
        </w:r>
      </w:hyperlink>
    </w:p>
    <w:p w:rsidR="00E878A4" w:rsidP="12AE13EF" w:rsidRDefault="00E878A4" w14:paraId="79976EF4" w14:textId="77777777">
      <w:pPr>
        <w:spacing w:line="257" w:lineRule="auto"/>
        <w:jc w:val="both"/>
        <w:rPr>
          <w:rFonts w:ascii="Calibri" w:hAnsi="Calibri" w:eastAsia="Calibri" w:cs="Calibri"/>
        </w:rPr>
      </w:pPr>
      <w:r w:rsidRPr="12AE13EF">
        <w:rPr>
          <w:rFonts w:ascii="Calibri" w:hAnsi="Calibri" w:eastAsia="Calibri" w:cs="Calibri"/>
        </w:rPr>
        <w:t xml:space="preserve">Healy, Savage, Nan. </w:t>
      </w:r>
      <w:r w:rsidRPr="12AE13EF">
        <w:rPr>
          <w:rFonts w:ascii="Calibri" w:hAnsi="Calibri" w:eastAsia="Calibri" w:cs="Calibri"/>
          <w:i/>
          <w:iCs/>
        </w:rPr>
        <w:t xml:space="preserve">Toni Wolff &amp; C. G. Jung - A Collaboration. </w:t>
      </w:r>
      <w:r w:rsidRPr="12AE13EF">
        <w:rPr>
          <w:rFonts w:ascii="Calibri" w:hAnsi="Calibri" w:eastAsia="Calibri" w:cs="Calibri"/>
        </w:rPr>
        <w:t>(Tiberius Press, 2017), p. 5.</w:t>
      </w:r>
    </w:p>
    <w:p w:rsidR="00E878A4" w:rsidP="12AE13EF" w:rsidRDefault="00E878A4" w14:paraId="4188801A" w14:textId="77777777">
      <w:pPr>
        <w:spacing w:line="257" w:lineRule="auto"/>
        <w:jc w:val="both"/>
        <w:rPr>
          <w:rFonts w:ascii="Calibri" w:hAnsi="Calibri" w:eastAsia="Calibri" w:cs="Calibri"/>
        </w:rPr>
      </w:pPr>
      <w:r w:rsidRPr="12AE13EF">
        <w:rPr>
          <w:rFonts w:ascii="Calibri" w:hAnsi="Calibri" w:eastAsia="Calibri" w:cs="Calibri"/>
        </w:rPr>
        <w:t xml:space="preserve">Kirsch, B. Thomas. Toni Wolff-James Kirsch correspondence. </w:t>
      </w:r>
      <w:r w:rsidRPr="12AE13EF">
        <w:rPr>
          <w:rFonts w:ascii="Calibri" w:hAnsi="Calibri" w:eastAsia="Calibri" w:cs="Calibri"/>
          <w:i/>
          <w:iCs/>
        </w:rPr>
        <w:t xml:space="preserve">Journal of Analytical Psychology, </w:t>
      </w:r>
      <w:r w:rsidRPr="12AE13EF">
        <w:rPr>
          <w:rFonts w:ascii="Calibri" w:hAnsi="Calibri" w:eastAsia="Calibri" w:cs="Calibri"/>
        </w:rPr>
        <w:t>(2003)</w:t>
      </w:r>
      <w:r w:rsidRPr="12AE13EF">
        <w:rPr>
          <w:rFonts w:ascii="Calibri" w:hAnsi="Calibri" w:eastAsia="Calibri" w:cs="Calibri"/>
          <w:i/>
          <w:iCs/>
        </w:rPr>
        <w:t xml:space="preserve"> </w:t>
      </w:r>
      <w:r w:rsidRPr="12AE13EF">
        <w:rPr>
          <w:rFonts w:ascii="Calibri" w:hAnsi="Calibri" w:eastAsia="Calibri" w:cs="Calibri"/>
        </w:rPr>
        <w:t xml:space="preserve">48(4), pp. 499-506 (p. 499) </w:t>
      </w:r>
      <w:hyperlink r:id="rId21">
        <w:r w:rsidRPr="12AE13EF">
          <w:rPr>
            <w:rStyle w:val="Hyperlink"/>
            <w:rFonts w:ascii="Calibri" w:hAnsi="Calibri" w:eastAsia="Calibri" w:cs="Calibri"/>
          </w:rPr>
          <w:t>https://doi.org/10.1111/1465-5922.00412</w:t>
        </w:r>
      </w:hyperlink>
      <w:r w:rsidRPr="12AE13EF">
        <w:rPr>
          <w:rFonts w:ascii="Calibri" w:hAnsi="Calibri" w:eastAsia="Calibri" w:cs="Calibri"/>
        </w:rPr>
        <w:t>.</w:t>
      </w:r>
    </w:p>
    <w:p w:rsidR="00E878A4" w:rsidP="12AE13EF" w:rsidRDefault="00E878A4" w14:paraId="2CA740C9" w14:textId="77777777">
      <w:pPr>
        <w:spacing w:line="257" w:lineRule="auto"/>
        <w:jc w:val="both"/>
        <w:rPr>
          <w:rFonts w:ascii="Calibri" w:hAnsi="Calibri" w:eastAsia="Calibri" w:cs="Calibri"/>
        </w:rPr>
      </w:pPr>
      <w:proofErr w:type="spellStart"/>
      <w:r w:rsidRPr="12AE13EF">
        <w:rPr>
          <w:rFonts w:ascii="Calibri" w:hAnsi="Calibri" w:eastAsia="Calibri" w:cs="Calibri"/>
        </w:rPr>
        <w:t>Liebscher</w:t>
      </w:r>
      <w:proofErr w:type="spellEnd"/>
      <w:r w:rsidRPr="12AE13EF">
        <w:rPr>
          <w:rFonts w:ascii="Calibri" w:hAnsi="Calibri" w:eastAsia="Calibri" w:cs="Calibri"/>
        </w:rPr>
        <w:t>, Martin</w:t>
      </w:r>
      <w:proofErr w:type="gramStart"/>
      <w:r w:rsidRPr="12AE13EF">
        <w:rPr>
          <w:rFonts w:ascii="Calibri" w:hAnsi="Calibri" w:eastAsia="Calibri" w:cs="Calibri"/>
        </w:rPr>
        <w:t>, ’</w:t>
      </w:r>
      <w:proofErr w:type="gramEnd"/>
      <w:r w:rsidRPr="12AE13EF">
        <w:rPr>
          <w:rFonts w:ascii="Calibri" w:hAnsi="Calibri" w:eastAsia="Calibri" w:cs="Calibri"/>
        </w:rPr>
        <w:t xml:space="preserve">C. G. Jung and the </w:t>
      </w:r>
      <w:proofErr w:type="spellStart"/>
      <w:r w:rsidRPr="12AE13EF">
        <w:rPr>
          <w:rFonts w:ascii="Calibri" w:hAnsi="Calibri" w:eastAsia="Calibri" w:cs="Calibri"/>
        </w:rPr>
        <w:t>Berneuchen</w:t>
      </w:r>
      <w:proofErr w:type="spellEnd"/>
      <w:r w:rsidRPr="12AE13EF">
        <w:rPr>
          <w:rFonts w:ascii="Calibri" w:hAnsi="Calibri" w:eastAsia="Calibri" w:cs="Calibri"/>
        </w:rPr>
        <w:t xml:space="preserve"> Movement: Meditation and Active Imagination in Jungian Psychotherapy and Protestant Spiritual practice in the 1930s,’ </w:t>
      </w:r>
      <w:r w:rsidRPr="12AE13EF">
        <w:rPr>
          <w:rFonts w:ascii="Calibri" w:hAnsi="Calibri" w:eastAsia="Calibri" w:cs="Calibri"/>
          <w:i/>
          <w:iCs/>
        </w:rPr>
        <w:t xml:space="preserve">In Medical Humanity and Inhumanity in the German-Speaking World, </w:t>
      </w:r>
      <w:r w:rsidRPr="12AE13EF">
        <w:rPr>
          <w:rFonts w:ascii="Calibri" w:hAnsi="Calibri" w:eastAsia="Calibri" w:cs="Calibri"/>
        </w:rPr>
        <w:t xml:space="preserve">edited by </w:t>
      </w:r>
      <w:proofErr w:type="spellStart"/>
      <w:r w:rsidRPr="12AE13EF">
        <w:rPr>
          <w:rFonts w:ascii="Calibri" w:hAnsi="Calibri" w:eastAsia="Calibri" w:cs="Calibri"/>
        </w:rPr>
        <w:t>Mererid</w:t>
      </w:r>
      <w:proofErr w:type="spellEnd"/>
      <w:r w:rsidRPr="12AE13EF">
        <w:rPr>
          <w:rFonts w:ascii="Calibri" w:hAnsi="Calibri" w:eastAsia="Calibri" w:cs="Calibri"/>
        </w:rPr>
        <w:t xml:space="preserve"> </w:t>
      </w:r>
      <w:proofErr w:type="spellStart"/>
      <w:r w:rsidRPr="12AE13EF">
        <w:rPr>
          <w:rFonts w:ascii="Calibri" w:hAnsi="Calibri" w:eastAsia="Calibri" w:cs="Calibri"/>
        </w:rPr>
        <w:t>Puw</w:t>
      </w:r>
      <w:proofErr w:type="spellEnd"/>
      <w:r w:rsidRPr="12AE13EF">
        <w:rPr>
          <w:rFonts w:ascii="Calibri" w:hAnsi="Calibri" w:eastAsia="Calibri" w:cs="Calibri"/>
        </w:rPr>
        <w:t xml:space="preserve"> Davies and </w:t>
      </w:r>
      <w:proofErr w:type="spellStart"/>
      <w:r w:rsidRPr="12AE13EF">
        <w:rPr>
          <w:rFonts w:ascii="Calibri" w:hAnsi="Calibri" w:eastAsia="Calibri" w:cs="Calibri"/>
        </w:rPr>
        <w:t>Sonu</w:t>
      </w:r>
      <w:proofErr w:type="spellEnd"/>
      <w:r w:rsidRPr="12AE13EF">
        <w:rPr>
          <w:rFonts w:ascii="Calibri" w:hAnsi="Calibri" w:eastAsia="Calibri" w:cs="Calibri"/>
        </w:rPr>
        <w:t xml:space="preserve"> Shamdasani, UCL Press (2020), 85-113 (p. 87).</w:t>
      </w:r>
    </w:p>
    <w:p w:rsidR="00E878A4" w:rsidP="12AE13EF" w:rsidRDefault="00E878A4" w14:paraId="276D229B" w14:textId="77777777">
      <w:pPr>
        <w:spacing w:line="257" w:lineRule="auto"/>
        <w:jc w:val="both"/>
      </w:pPr>
      <w:r w:rsidRPr="12AE13EF">
        <w:rPr>
          <w:rFonts w:ascii="Calibri" w:hAnsi="Calibri" w:eastAsia="Calibri" w:cs="Calibri"/>
        </w:rPr>
        <w:t xml:space="preserve">Main, Roderick, ‘Synchronicity and Analysis: Jung and After, </w:t>
      </w:r>
      <w:r w:rsidRPr="12AE13EF">
        <w:rPr>
          <w:rFonts w:ascii="Calibri" w:hAnsi="Calibri" w:eastAsia="Calibri" w:cs="Calibri"/>
          <w:i/>
          <w:iCs/>
        </w:rPr>
        <w:t xml:space="preserve">European Journal of Psychology &amp; Counselling, </w:t>
      </w:r>
      <w:r w:rsidRPr="12AE13EF">
        <w:rPr>
          <w:rFonts w:ascii="Calibri" w:hAnsi="Calibri" w:eastAsia="Calibri" w:cs="Calibri"/>
        </w:rPr>
        <w:t xml:space="preserve">9:4 (2007), pp. 359-371, </w:t>
      </w:r>
      <w:r w:rsidRPr="12AE13EF">
        <w:rPr>
          <w:rFonts w:ascii="Open Sans" w:hAnsi="Open Sans" w:eastAsia="Open Sans" w:cs="Open Sans"/>
          <w:color w:val="333333"/>
        </w:rPr>
        <w:t xml:space="preserve">DOI: </w:t>
      </w:r>
      <w:hyperlink r:id="rId22">
        <w:r w:rsidRPr="12AE13EF">
          <w:rPr>
            <w:rStyle w:val="Hyperlink"/>
            <w:rFonts w:ascii="Open Sans" w:hAnsi="Open Sans" w:eastAsia="Open Sans" w:cs="Open Sans"/>
          </w:rPr>
          <w:t>10.1080/13642530701725924.</w:t>
        </w:r>
      </w:hyperlink>
    </w:p>
    <w:p w:rsidR="00E878A4" w:rsidP="12AE13EF" w:rsidRDefault="00E878A4" w14:paraId="20D56801" w14:textId="77777777">
      <w:pPr>
        <w:spacing w:line="257" w:lineRule="auto"/>
        <w:jc w:val="both"/>
        <w:rPr>
          <w:rFonts w:ascii="Calibri" w:hAnsi="Calibri" w:eastAsia="Calibri" w:cs="Calibri"/>
        </w:rPr>
      </w:pPr>
      <w:r w:rsidRPr="12AE13EF">
        <w:rPr>
          <w:rFonts w:ascii="Calibri" w:hAnsi="Calibri" w:eastAsia="Calibri" w:cs="Calibri"/>
        </w:rPr>
        <w:t xml:space="preserve">Martinson, D. Steven, ’A Companion to the Works of Friedrich </w:t>
      </w:r>
      <w:proofErr w:type="gramStart"/>
      <w:r w:rsidRPr="12AE13EF">
        <w:rPr>
          <w:rFonts w:ascii="Calibri" w:hAnsi="Calibri" w:eastAsia="Calibri" w:cs="Calibri"/>
        </w:rPr>
        <w:t>Schiller,‘</w:t>
      </w:r>
      <w:proofErr w:type="gramEnd"/>
      <w:r w:rsidRPr="12AE13EF">
        <w:rPr>
          <w:rFonts w:ascii="Calibri" w:hAnsi="Calibri" w:eastAsia="Calibri" w:cs="Calibri"/>
          <w:i/>
          <w:iCs/>
        </w:rPr>
        <w:t xml:space="preserve"> </w:t>
      </w:r>
      <w:r w:rsidRPr="12AE13EF">
        <w:rPr>
          <w:rFonts w:ascii="Calibri" w:hAnsi="Calibri" w:eastAsia="Calibri" w:cs="Calibri"/>
        </w:rPr>
        <w:t xml:space="preserve">NED-New edition. </w:t>
      </w:r>
      <w:r w:rsidRPr="12AE13EF">
        <w:rPr>
          <w:rFonts w:ascii="Calibri" w:hAnsi="Calibri" w:eastAsia="Calibri" w:cs="Calibri"/>
          <w:i/>
          <w:iCs/>
        </w:rPr>
        <w:t>Boydell &amp; Brewer,</w:t>
      </w:r>
      <w:r w:rsidRPr="12AE13EF">
        <w:rPr>
          <w:rFonts w:ascii="Calibri" w:hAnsi="Calibri" w:eastAsia="Calibri" w:cs="Calibri"/>
        </w:rPr>
        <w:t xml:space="preserve"> 2005, pp. 27-46.</w:t>
      </w:r>
    </w:p>
    <w:p w:rsidR="00E878A4" w:rsidP="12AE13EF" w:rsidRDefault="00E878A4" w14:paraId="3603C415" w14:textId="77777777">
      <w:pPr>
        <w:spacing w:line="257" w:lineRule="auto"/>
        <w:jc w:val="both"/>
        <w:rPr>
          <w:rFonts w:ascii="Calibri" w:hAnsi="Calibri" w:eastAsia="Calibri" w:cs="Calibri"/>
        </w:rPr>
      </w:pPr>
      <w:r w:rsidRPr="12AE13EF">
        <w:rPr>
          <w:rFonts w:ascii="Calibri" w:hAnsi="Calibri" w:eastAsia="Calibri" w:cs="Calibri"/>
        </w:rPr>
        <w:t xml:space="preserve">Mueller, R. Carl, ’Jungian Analysis,’ </w:t>
      </w:r>
      <w:r w:rsidRPr="12AE13EF">
        <w:rPr>
          <w:rFonts w:ascii="Calibri" w:hAnsi="Calibri" w:eastAsia="Calibri" w:cs="Calibri"/>
          <w:i/>
          <w:iCs/>
        </w:rPr>
        <w:t xml:space="preserve">The Drama Review: </w:t>
      </w:r>
      <w:r w:rsidRPr="12AE13EF">
        <w:rPr>
          <w:rFonts w:ascii="Calibri" w:hAnsi="Calibri" w:eastAsia="Calibri" w:cs="Calibri"/>
        </w:rPr>
        <w:t xml:space="preserve">TDR 22, no 3 (1978), pp 73-86 (p. 76). </w:t>
      </w:r>
      <w:hyperlink r:id="rId23">
        <w:r w:rsidRPr="12AE13EF">
          <w:rPr>
            <w:rStyle w:val="Hyperlink"/>
            <w:rFonts w:ascii="Calibri" w:hAnsi="Calibri" w:eastAsia="Calibri" w:cs="Calibri"/>
          </w:rPr>
          <w:t>https://doi.org/10.2307/1145189</w:t>
        </w:r>
      </w:hyperlink>
      <w:r w:rsidRPr="12AE13EF">
        <w:rPr>
          <w:rFonts w:ascii="Calibri" w:hAnsi="Calibri" w:eastAsia="Calibri" w:cs="Calibri"/>
        </w:rPr>
        <w:t>.</w:t>
      </w:r>
    </w:p>
    <w:p w:rsidR="00E878A4" w:rsidP="12AE13EF" w:rsidRDefault="00E878A4" w14:paraId="49862BAD" w14:textId="77777777">
      <w:pPr>
        <w:spacing w:line="257" w:lineRule="auto"/>
        <w:jc w:val="both"/>
        <w:rPr>
          <w:rFonts w:ascii="Calibri" w:hAnsi="Calibri" w:eastAsia="Calibri" w:cs="Calibri"/>
        </w:rPr>
      </w:pPr>
      <w:r w:rsidRPr="12AE13EF">
        <w:rPr>
          <w:rFonts w:ascii="Calibri" w:hAnsi="Calibri" w:eastAsia="Calibri" w:cs="Calibri"/>
        </w:rPr>
        <w:t xml:space="preserve">Perry, C. Wendell C. </w:t>
      </w:r>
      <w:r w:rsidRPr="12AE13EF">
        <w:rPr>
          <w:rFonts w:ascii="Calibri" w:hAnsi="Calibri" w:eastAsia="Calibri" w:cs="Calibri"/>
          <w:i/>
          <w:iCs/>
        </w:rPr>
        <w:t xml:space="preserve">Saturn Cycles: Mapping Changes in Your Life. </w:t>
      </w:r>
      <w:r w:rsidRPr="12AE13EF">
        <w:rPr>
          <w:rFonts w:ascii="Calibri" w:hAnsi="Calibri" w:eastAsia="Calibri" w:cs="Calibri"/>
        </w:rPr>
        <w:t>(United States: Llewellyn Publications, 2009), p. 124.</w:t>
      </w:r>
    </w:p>
    <w:p w:rsidR="00E878A4" w:rsidP="12AE13EF" w:rsidRDefault="00E878A4" w14:paraId="3B4661B7" w14:textId="77777777">
      <w:pPr>
        <w:spacing w:line="257" w:lineRule="auto"/>
        <w:jc w:val="both"/>
        <w:rPr>
          <w:rFonts w:ascii="Calibri" w:hAnsi="Calibri" w:eastAsia="Calibri" w:cs="Calibri"/>
          <w:color w:val="333333"/>
        </w:rPr>
      </w:pPr>
      <w:r w:rsidRPr="12AE13EF">
        <w:rPr>
          <w:rFonts w:ascii="Calibri" w:hAnsi="Calibri" w:eastAsia="Calibri" w:cs="Calibri"/>
          <w:color w:val="333333"/>
        </w:rPr>
        <w:t xml:space="preserve">Plato. </w:t>
      </w:r>
      <w:r w:rsidRPr="12AE13EF">
        <w:rPr>
          <w:rFonts w:ascii="Calibri" w:hAnsi="Calibri" w:eastAsia="Calibri" w:cs="Calibri"/>
          <w:i/>
          <w:iCs/>
          <w:color w:val="333333"/>
        </w:rPr>
        <w:t xml:space="preserve">Timaeus. </w:t>
      </w:r>
      <w:proofErr w:type="spellStart"/>
      <w:r w:rsidRPr="12AE13EF">
        <w:rPr>
          <w:rFonts w:ascii="Calibri" w:hAnsi="Calibri" w:eastAsia="Calibri" w:cs="Calibri"/>
          <w:i/>
          <w:iCs/>
          <w:color w:val="333333"/>
        </w:rPr>
        <w:t>Critias</w:t>
      </w:r>
      <w:proofErr w:type="spellEnd"/>
      <w:r w:rsidRPr="12AE13EF">
        <w:rPr>
          <w:rFonts w:ascii="Calibri" w:hAnsi="Calibri" w:eastAsia="Calibri" w:cs="Calibri"/>
          <w:i/>
          <w:iCs/>
          <w:color w:val="333333"/>
        </w:rPr>
        <w:t xml:space="preserve">. </w:t>
      </w:r>
      <w:proofErr w:type="spellStart"/>
      <w:r w:rsidRPr="12AE13EF">
        <w:rPr>
          <w:rFonts w:ascii="Calibri" w:hAnsi="Calibri" w:eastAsia="Calibri" w:cs="Calibri"/>
          <w:i/>
          <w:iCs/>
          <w:color w:val="333333"/>
        </w:rPr>
        <w:t>Cleitophon</w:t>
      </w:r>
      <w:proofErr w:type="spellEnd"/>
      <w:r w:rsidRPr="12AE13EF">
        <w:rPr>
          <w:rFonts w:ascii="Calibri" w:hAnsi="Calibri" w:eastAsia="Calibri" w:cs="Calibri"/>
          <w:i/>
          <w:iCs/>
          <w:color w:val="333333"/>
        </w:rPr>
        <w:t xml:space="preserve">. </w:t>
      </w:r>
      <w:proofErr w:type="spellStart"/>
      <w:r w:rsidRPr="12AE13EF">
        <w:rPr>
          <w:rFonts w:ascii="Calibri" w:hAnsi="Calibri" w:eastAsia="Calibri" w:cs="Calibri"/>
          <w:i/>
          <w:iCs/>
          <w:color w:val="333333"/>
        </w:rPr>
        <w:t>Menexenus</w:t>
      </w:r>
      <w:proofErr w:type="spellEnd"/>
      <w:r w:rsidRPr="12AE13EF">
        <w:rPr>
          <w:rFonts w:ascii="Calibri" w:hAnsi="Calibri" w:eastAsia="Calibri" w:cs="Calibri"/>
          <w:i/>
          <w:iCs/>
          <w:color w:val="333333"/>
        </w:rPr>
        <w:t xml:space="preserve">. Epistles. </w:t>
      </w:r>
      <w:r w:rsidRPr="12AE13EF">
        <w:rPr>
          <w:rFonts w:ascii="Calibri" w:hAnsi="Calibri" w:eastAsia="Calibri" w:cs="Calibri"/>
          <w:color w:val="333333"/>
        </w:rPr>
        <w:t>Translated by R. G. Bury. Loeb Classical Library 234. (Cambridge, MA: Harvard University Press, 1929), pp. 46-100.</w:t>
      </w:r>
    </w:p>
    <w:p w:rsidR="00E878A4" w:rsidP="12AE13EF" w:rsidRDefault="00E878A4" w14:paraId="161F8977" w14:textId="77777777">
      <w:pPr>
        <w:spacing w:line="257" w:lineRule="auto"/>
        <w:jc w:val="both"/>
        <w:rPr>
          <w:rFonts w:ascii="Calibri" w:hAnsi="Calibri" w:eastAsia="Calibri" w:cs="Calibri"/>
          <w:color w:val="000000" w:themeColor="text1"/>
        </w:rPr>
      </w:pPr>
      <w:r w:rsidRPr="12AE13EF">
        <w:rPr>
          <w:rFonts w:ascii="Calibri" w:hAnsi="Calibri" w:eastAsia="Calibri" w:cs="Calibri"/>
        </w:rPr>
        <w:lastRenderedPageBreak/>
        <w:t xml:space="preserve">Rossi, </w:t>
      </w:r>
      <w:proofErr w:type="spellStart"/>
      <w:r w:rsidRPr="12AE13EF">
        <w:rPr>
          <w:rFonts w:ascii="Calibri" w:hAnsi="Calibri" w:eastAsia="Calibri" w:cs="Calibri"/>
        </w:rPr>
        <w:t>Safron</w:t>
      </w:r>
      <w:proofErr w:type="spellEnd"/>
      <w:r w:rsidRPr="12AE13EF">
        <w:rPr>
          <w:rFonts w:ascii="Calibri" w:hAnsi="Calibri" w:eastAsia="Calibri" w:cs="Calibri"/>
        </w:rPr>
        <w:t xml:space="preserve"> Rossi and Le Grice, Keiron. </w:t>
      </w:r>
      <w:r w:rsidRPr="12AE13EF">
        <w:rPr>
          <w:rFonts w:ascii="Calibri" w:hAnsi="Calibri" w:eastAsia="Calibri" w:cs="Calibri"/>
          <w:i/>
          <w:iCs/>
        </w:rPr>
        <w:t xml:space="preserve">Jung on Astrology. </w:t>
      </w:r>
      <w:r w:rsidRPr="12AE13EF">
        <w:rPr>
          <w:rFonts w:ascii="Calibri" w:hAnsi="Calibri" w:eastAsia="Calibri" w:cs="Calibri"/>
          <w:color w:val="222222"/>
        </w:rPr>
        <w:t>(Routledge, 2017), p</w:t>
      </w:r>
      <w:r w:rsidRPr="12AE13EF">
        <w:rPr>
          <w:rFonts w:ascii="Calibri" w:hAnsi="Calibri" w:eastAsia="Calibri" w:cs="Calibri"/>
        </w:rPr>
        <w:t>. 4: also see Tester</w:t>
      </w:r>
      <w:r w:rsidRPr="12AE13EF">
        <w:rPr>
          <w:rFonts w:ascii="Calibri" w:hAnsi="Calibri" w:eastAsia="Calibri" w:cs="Calibri"/>
          <w:color w:val="000000" w:themeColor="text1"/>
        </w:rPr>
        <w:t xml:space="preserve">. </w:t>
      </w:r>
      <w:r w:rsidRPr="12AE13EF">
        <w:rPr>
          <w:rFonts w:ascii="Calibri" w:hAnsi="Calibri" w:eastAsia="Calibri" w:cs="Calibri"/>
          <w:i/>
          <w:iCs/>
          <w:color w:val="000000" w:themeColor="text1"/>
        </w:rPr>
        <w:t xml:space="preserve">A History of Western Astrology. </w:t>
      </w:r>
      <w:r w:rsidRPr="12AE13EF">
        <w:rPr>
          <w:rFonts w:ascii="Calibri" w:hAnsi="Calibri" w:eastAsia="Calibri" w:cs="Calibri"/>
          <w:color w:val="000000" w:themeColor="text1"/>
        </w:rPr>
        <w:t>(Kiribati: Boydell Press, 1990), pp. 1-23.</w:t>
      </w:r>
    </w:p>
    <w:p w:rsidR="00E878A4" w:rsidP="12AE13EF" w:rsidRDefault="00E878A4" w14:paraId="52E967DB" w14:textId="77777777">
      <w:pPr>
        <w:spacing w:line="257" w:lineRule="auto"/>
        <w:jc w:val="both"/>
        <w:rPr>
          <w:rFonts w:ascii="Calibri" w:hAnsi="Calibri" w:eastAsia="Calibri" w:cs="Calibri"/>
        </w:rPr>
      </w:pPr>
      <w:r w:rsidRPr="179EDB11" w:rsidR="35743D4A">
        <w:rPr>
          <w:rFonts w:ascii="Calibri" w:hAnsi="Calibri" w:eastAsia="Calibri" w:cs="Calibri"/>
        </w:rPr>
        <w:t xml:space="preserve">Rossi, </w:t>
      </w:r>
      <w:r w:rsidRPr="179EDB11" w:rsidR="35743D4A">
        <w:rPr>
          <w:rFonts w:ascii="Calibri" w:hAnsi="Calibri" w:eastAsia="Calibri" w:cs="Calibri"/>
        </w:rPr>
        <w:t>Safron</w:t>
      </w:r>
      <w:r w:rsidRPr="179EDB11" w:rsidR="35743D4A">
        <w:rPr>
          <w:rFonts w:ascii="Calibri" w:hAnsi="Calibri" w:eastAsia="Calibri" w:cs="Calibri"/>
        </w:rPr>
        <w:t>. Saturn in C. G. Jung’s Liber Primus, As an Astrological Meditation.</w:t>
      </w:r>
      <w:r w:rsidRPr="179EDB11" w:rsidR="35743D4A">
        <w:rPr>
          <w:rFonts w:ascii="Calibri" w:hAnsi="Calibri" w:eastAsia="Calibri" w:cs="Calibri"/>
          <w:i w:val="1"/>
          <w:iCs w:val="1"/>
        </w:rPr>
        <w:t xml:space="preserve"> Jung Journal Culture and </w:t>
      </w:r>
      <w:proofErr w:type="gramStart"/>
      <w:r w:rsidRPr="179EDB11" w:rsidR="35743D4A">
        <w:rPr>
          <w:rFonts w:ascii="Calibri" w:hAnsi="Calibri" w:eastAsia="Calibri" w:cs="Calibri"/>
          <w:i w:val="1"/>
          <w:iCs w:val="1"/>
        </w:rPr>
        <w:t>Psyche,‘</w:t>
      </w:r>
      <w:proofErr w:type="gramEnd"/>
      <w:r w:rsidRPr="179EDB11" w:rsidR="35743D4A">
        <w:rPr>
          <w:rFonts w:ascii="Calibri" w:hAnsi="Calibri" w:eastAsia="Calibri" w:cs="Calibri"/>
        </w:rPr>
        <w:t xml:space="preserve"> Vol 9, no 4 (2015), pp. 38-57.</w:t>
      </w:r>
    </w:p>
    <w:p w:rsidR="179EDB11" w:rsidP="179EDB11" w:rsidRDefault="179EDB11" w14:paraId="6A4214ED" w14:textId="4E00792E">
      <w:pPr>
        <w:spacing w:line="257" w:lineRule="auto"/>
        <w:jc w:val="both"/>
        <w:rPr>
          <w:rFonts w:ascii="Calibri" w:hAnsi="Calibri" w:eastAsia="Calibri" w:cs="Calibri"/>
          <w:noProof w:val="0"/>
          <w:sz w:val="22"/>
          <w:szCs w:val="22"/>
          <w:lang w:val="en-US"/>
        </w:rPr>
      </w:pPr>
      <w:r w:rsidRPr="179EDB11" w:rsidR="179EDB11">
        <w:rPr>
          <w:sz w:val="22"/>
          <w:szCs w:val="22"/>
        </w:rPr>
        <w:t xml:space="preserve">Richter, Simon, ’Introduction,’ </w:t>
      </w:r>
      <w:r w:rsidRPr="179EDB11" w:rsidR="179EDB11">
        <w:rPr>
          <w:i w:val="1"/>
          <w:iCs w:val="1"/>
          <w:sz w:val="22"/>
          <w:szCs w:val="22"/>
        </w:rPr>
        <w:t xml:space="preserve">The Literature of Weimer Classicism, </w:t>
      </w:r>
      <w:r w:rsidRPr="179EDB11" w:rsidR="179EDB11">
        <w:rPr>
          <w:i w:val="0"/>
          <w:iCs w:val="0"/>
          <w:sz w:val="22"/>
          <w:szCs w:val="22"/>
        </w:rPr>
        <w:t>edited by Simon Richter, 7:3-44. Boydell &amp; Brewer, 2005, pp 3-44.</w:t>
      </w:r>
      <w:hyperlink r:id="R4867184dfb7b4091">
        <w:r w:rsidRPr="179EDB11" w:rsidR="179EDB11">
          <w:rPr>
            <w:rStyle w:val="Hyperlink"/>
            <w:rFonts w:ascii="Calibri" w:hAnsi="Calibri" w:eastAsia="Calibri" w:cs="Calibri"/>
            <w:noProof w:val="0"/>
            <w:sz w:val="22"/>
            <w:szCs w:val="22"/>
            <w:lang w:val="en-US"/>
          </w:rPr>
          <w:t>http://www.jstor.org/stable/10.7722/j.ctt820qv.6</w:t>
        </w:r>
      </w:hyperlink>
      <w:r w:rsidRPr="179EDB11" w:rsidR="179EDB11">
        <w:rPr>
          <w:rFonts w:ascii="Calibri" w:hAnsi="Calibri" w:eastAsia="Calibri" w:cs="Calibri"/>
          <w:noProof w:val="0"/>
          <w:sz w:val="22"/>
          <w:szCs w:val="22"/>
          <w:lang w:val="en-US"/>
        </w:rPr>
        <w:t>.</w:t>
      </w:r>
    </w:p>
    <w:p w:rsidR="35743D4A" w:rsidP="179EDB11" w:rsidRDefault="35743D4A" w14:paraId="4DEE3332" w14:textId="1D2646DA">
      <w:pPr>
        <w:spacing w:line="257" w:lineRule="auto"/>
        <w:jc w:val="both"/>
        <w:rPr>
          <w:rFonts w:ascii="Calibri" w:hAnsi="Calibri" w:eastAsia="Calibri" w:cs="Calibri"/>
          <w:noProof w:val="0"/>
          <w:sz w:val="22"/>
          <w:szCs w:val="22"/>
          <w:lang w:val="en-US"/>
        </w:rPr>
      </w:pPr>
      <w:r w:rsidRPr="179EDB11" w:rsidR="35743D4A">
        <w:rPr>
          <w:rFonts w:ascii="Calibri" w:hAnsi="Calibri" w:eastAsia="Calibri" w:cs="Calibri"/>
        </w:rPr>
        <w:t xml:space="preserve">Shamdasani, </w:t>
      </w:r>
      <w:r w:rsidRPr="179EDB11" w:rsidR="35743D4A">
        <w:rPr>
          <w:rFonts w:ascii="Calibri" w:hAnsi="Calibri" w:eastAsia="Calibri" w:cs="Calibri"/>
        </w:rPr>
        <w:t>Sonu</w:t>
      </w:r>
      <w:r w:rsidRPr="179EDB11" w:rsidR="35743D4A">
        <w:rPr>
          <w:rFonts w:ascii="Calibri" w:hAnsi="Calibri" w:eastAsia="Calibri" w:cs="Calibri"/>
        </w:rPr>
        <w:t xml:space="preserve"> and others. </w:t>
      </w:r>
      <w:r w:rsidRPr="179EDB11" w:rsidR="35743D4A">
        <w:rPr>
          <w:rFonts w:ascii="Calibri" w:hAnsi="Calibri" w:eastAsia="Calibri" w:cs="Calibri"/>
          <w:i w:val="1"/>
          <w:iCs w:val="1"/>
        </w:rPr>
        <w:t xml:space="preserve">The Red Book = Liber Novus: </w:t>
      </w:r>
      <w:r w:rsidRPr="179EDB11" w:rsidR="35743D4A">
        <w:rPr>
          <w:rFonts w:ascii="Calibri" w:hAnsi="Calibri" w:eastAsia="Calibri" w:cs="Calibri"/>
        </w:rPr>
        <w:t>a reader’s edition (Reader’s edition. W. W. Norton, 2009).</w:t>
      </w:r>
    </w:p>
    <w:p w:rsidR="00E878A4" w:rsidP="12AE13EF" w:rsidRDefault="00E878A4" w14:paraId="066A8CD5" w14:textId="77777777">
      <w:pPr>
        <w:spacing w:line="257" w:lineRule="auto"/>
        <w:jc w:val="both"/>
        <w:rPr>
          <w:rFonts w:ascii="Calibri" w:hAnsi="Calibri" w:eastAsia="Calibri" w:cs="Calibri"/>
        </w:rPr>
      </w:pPr>
      <w:proofErr w:type="spellStart"/>
      <w:r w:rsidRPr="12AE13EF">
        <w:rPr>
          <w:rFonts w:ascii="Calibri" w:hAnsi="Calibri" w:eastAsia="Calibri" w:cs="Calibri"/>
        </w:rPr>
        <w:t>Vose</w:t>
      </w:r>
      <w:proofErr w:type="spellEnd"/>
      <w:r w:rsidRPr="12AE13EF">
        <w:rPr>
          <w:rFonts w:ascii="Calibri" w:hAnsi="Calibri" w:eastAsia="Calibri" w:cs="Calibri"/>
        </w:rPr>
        <w:t xml:space="preserve">, Angela. </w:t>
      </w:r>
      <w:r w:rsidRPr="12AE13EF">
        <w:rPr>
          <w:rFonts w:ascii="Calibri" w:hAnsi="Calibri" w:eastAsia="Calibri" w:cs="Calibri"/>
          <w:i/>
          <w:iCs/>
        </w:rPr>
        <w:t xml:space="preserve">The Natural Magic of </w:t>
      </w:r>
      <w:proofErr w:type="spellStart"/>
      <w:r w:rsidRPr="12AE13EF">
        <w:rPr>
          <w:rFonts w:ascii="Calibri" w:hAnsi="Calibri" w:eastAsia="Calibri" w:cs="Calibri"/>
          <w:i/>
          <w:iCs/>
        </w:rPr>
        <w:t>Marsilio</w:t>
      </w:r>
      <w:proofErr w:type="spellEnd"/>
      <w:r w:rsidRPr="12AE13EF">
        <w:rPr>
          <w:rFonts w:ascii="Calibri" w:hAnsi="Calibri" w:eastAsia="Calibri" w:cs="Calibri"/>
          <w:i/>
          <w:iCs/>
        </w:rPr>
        <w:t xml:space="preserve"> Ficino. Historical Dance, </w:t>
      </w:r>
      <w:r w:rsidRPr="12AE13EF">
        <w:rPr>
          <w:rFonts w:ascii="Calibri" w:hAnsi="Calibri" w:eastAsia="Calibri" w:cs="Calibri"/>
        </w:rPr>
        <w:t xml:space="preserve">Volume 3, Number 1 (1992), pp. 25-30. Available at: </w:t>
      </w:r>
      <w:hyperlink r:id="rId24">
        <w:r w:rsidRPr="12AE13EF">
          <w:rPr>
            <w:rStyle w:val="Hyperlink"/>
            <w:rFonts w:ascii="Calibri" w:hAnsi="Calibri" w:eastAsia="Calibri" w:cs="Calibri"/>
          </w:rPr>
          <w:t xml:space="preserve">https://historicaldance.org.uk/wp-content/uploads/2020/09/hd3n1p25.pdf; also see Angela Voss, The Music of Spheres: Marsilio Ficino and Renaissances </w:t>
        </w:r>
        <w:r w:rsidRPr="12AE13EF">
          <w:rPr>
            <w:rStyle w:val="Hyperlink"/>
            <w:rFonts w:ascii="Calibri" w:hAnsi="Calibri" w:eastAsia="Calibri" w:cs="Calibri"/>
            <w:i/>
            <w:iCs/>
          </w:rPr>
          <w:t xml:space="preserve">harmonia,’ Culture and Cosmos, </w:t>
        </w:r>
        <w:r w:rsidRPr="12AE13EF">
          <w:rPr>
            <w:rStyle w:val="Hyperlink"/>
            <w:rFonts w:ascii="Calibri" w:hAnsi="Calibri" w:eastAsia="Calibri" w:cs="Calibri"/>
          </w:rPr>
          <w:t xml:space="preserve">Volume 2, No 2. (1998) pp. 16-38. Available at: </w:t>
        </w:r>
      </w:hyperlink>
      <w:hyperlink r:id="rId25">
        <w:r w:rsidRPr="12AE13EF">
          <w:rPr>
            <w:rStyle w:val="Hyperlink"/>
            <w:rFonts w:ascii="Calibri" w:hAnsi="Calibri" w:eastAsia="Calibri" w:cs="Calibri"/>
          </w:rPr>
          <w:t>http://www.cultureandcosmos.org/pdfs/2-2/Voss_Music_Spheres.pdf</w:t>
        </w:r>
      </w:hyperlink>
      <w:r w:rsidRPr="12AE13EF">
        <w:rPr>
          <w:rFonts w:ascii="Calibri" w:hAnsi="Calibri" w:eastAsia="Calibri" w:cs="Calibri"/>
        </w:rPr>
        <w:t>.</w:t>
      </w:r>
    </w:p>
    <w:sectPr w:rsidR="00E878A4" w:rsidSect="00E878A4">
      <w:footerReference w:type="default" r:id="rId26"/>
      <w:headerReference w:type="first" r:id="rId27"/>
      <w:footerReference w:type="first" r:id="rId28"/>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14364" w:rsidRDefault="002E4488" w14:paraId="4026C997" w14:textId="77777777">
      <w:pPr>
        <w:spacing w:after="0" w:line="240" w:lineRule="auto"/>
      </w:pPr>
      <w:r>
        <w:separator/>
      </w:r>
    </w:p>
  </w:endnote>
  <w:endnote w:type="continuationSeparator" w:id="0">
    <w:p w:rsidR="00714364" w:rsidRDefault="002E4488" w14:paraId="66D74D5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Open Sans">
    <w:altName w:val="Segoe UI"/>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3306533"/>
      <w:docPartObj>
        <w:docPartGallery w:val="Page Numbers (Bottom of Page)"/>
        <w:docPartUnique/>
      </w:docPartObj>
    </w:sdtPr>
    <w:sdtEndPr>
      <w:rPr>
        <w:noProof/>
      </w:rPr>
    </w:sdtEndPr>
    <w:sdtContent>
      <w:p w:rsidR="00E878A4" w:rsidRDefault="00E878A4" w14:paraId="0322C8D6" w14:textId="7A76FB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2E0A7BD9" w:rsidP="2E0A7BD9" w:rsidRDefault="2E0A7BD9" w14:paraId="23FD9233" w14:textId="4ECE14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4488" w:rsidP="00E878A4" w:rsidRDefault="002E4488" w14:paraId="68B2DD97" w14:textId="32DEA470">
    <w:pPr>
      <w:pStyle w:val="Footer"/>
    </w:pPr>
  </w:p>
  <w:p w:rsidR="1CDE5FFE" w:rsidP="002E4488" w:rsidRDefault="00E878A4" w14:paraId="7D2C2FAF" w14:textId="73D042ED">
    <w:pPr>
      <w:pStyle w:val="Footer"/>
      <w:jc w:val="cen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29391962" w:rsidRDefault="29391962" w14:paraId="100047B9" w14:textId="37D2D4BF">
      <w:pPr>
        <w:spacing w:after="0" w:line="240" w:lineRule="auto"/>
      </w:pPr>
      <w:r>
        <w:separator/>
      </w:r>
    </w:p>
  </w:footnote>
  <w:footnote w:type="continuationSeparator" w:id="0">
    <w:p w:rsidR="29391962" w:rsidRDefault="29391962" w14:paraId="038B982C" w14:textId="1BC25DB4">
      <w:pPr>
        <w:spacing w:after="0" w:line="240" w:lineRule="auto"/>
      </w:pPr>
      <w:r>
        <w:continuationSeparator/>
      </w:r>
    </w:p>
  </w:footnote>
  <w:footnote w:id="1">
    <w:p w:rsidR="086C046A" w:rsidP="086C046A" w:rsidRDefault="086C046A" w14:paraId="4D47FF3F" w14:textId="372E0451">
      <w:pPr>
        <w:pStyle w:val="FootnoteText"/>
        <w:rPr>
          <w:rFonts w:ascii="Calibri" w:hAnsi="Calibri" w:eastAsia="Calibri" w:cs="Calibri"/>
          <w:sz w:val="16"/>
          <w:szCs w:val="16"/>
        </w:rPr>
      </w:pPr>
      <w:r w:rsidRPr="086C046A">
        <w:rPr>
          <w:rStyle w:val="FootnoteReference"/>
          <w:sz w:val="16"/>
          <w:szCs w:val="16"/>
        </w:rPr>
        <w:footnoteRef/>
      </w:r>
      <w:r w:rsidRPr="086C046A">
        <w:rPr>
          <w:sz w:val="16"/>
          <w:szCs w:val="16"/>
        </w:rPr>
        <w:t xml:space="preserve"> Nicholas Campion. </w:t>
      </w:r>
      <w:r w:rsidRPr="45708CAD">
        <w:rPr>
          <w:i/>
          <w:iCs/>
          <w:sz w:val="16"/>
          <w:szCs w:val="16"/>
        </w:rPr>
        <w:t xml:space="preserve">Astrology and Cosmology in the World’s Religions. </w:t>
      </w:r>
      <w:r w:rsidRPr="45708CAD">
        <w:rPr>
          <w:sz w:val="16"/>
          <w:szCs w:val="16"/>
        </w:rPr>
        <w:t xml:space="preserve">(United </w:t>
      </w:r>
      <w:proofErr w:type="spellStart"/>
      <w:r w:rsidRPr="45708CAD">
        <w:rPr>
          <w:sz w:val="16"/>
          <w:szCs w:val="16"/>
        </w:rPr>
        <w:t>Kingdon</w:t>
      </w:r>
      <w:proofErr w:type="spellEnd"/>
      <w:r w:rsidRPr="45708CAD">
        <w:rPr>
          <w:sz w:val="16"/>
          <w:szCs w:val="16"/>
        </w:rPr>
        <w:t>: NYU Press, 2012), p. 18.</w:t>
      </w:r>
    </w:p>
  </w:footnote>
  <w:footnote w:id="2">
    <w:p w:rsidR="086C046A" w:rsidP="1A480A0D" w:rsidRDefault="086C046A" w14:paraId="163BA83B" w14:textId="25D6E869">
      <w:pPr>
        <w:pStyle w:val="FootnoteText"/>
        <w:rPr>
          <w:color w:val="FF0000"/>
          <w:sz w:val="16"/>
          <w:szCs w:val="16"/>
        </w:rPr>
      </w:pPr>
      <w:r w:rsidRPr="1A480A0D">
        <w:rPr>
          <w:rStyle w:val="FootnoteReference"/>
          <w:sz w:val="16"/>
          <w:szCs w:val="16"/>
        </w:rPr>
        <w:footnoteRef/>
      </w:r>
      <w:r w:rsidRPr="1A480A0D" w:rsidR="7FF51E87">
        <w:rPr>
          <w:sz w:val="16"/>
          <w:szCs w:val="16"/>
        </w:rPr>
        <w:t xml:space="preserve"> </w:t>
      </w:r>
      <w:proofErr w:type="spellStart"/>
      <w:r w:rsidRPr="1A480A0D" w:rsidR="7FF51E87">
        <w:rPr>
          <w:sz w:val="16"/>
          <w:szCs w:val="16"/>
        </w:rPr>
        <w:t>Sonu</w:t>
      </w:r>
      <w:proofErr w:type="spellEnd"/>
      <w:r w:rsidRPr="1A480A0D" w:rsidR="7FF51E87">
        <w:rPr>
          <w:sz w:val="16"/>
          <w:szCs w:val="16"/>
        </w:rPr>
        <w:t xml:space="preserve"> Shamdasani and others. </w:t>
      </w:r>
      <w:r w:rsidRPr="1A480A0D" w:rsidR="7FF51E87">
        <w:rPr>
          <w:i/>
          <w:iCs/>
          <w:sz w:val="16"/>
          <w:szCs w:val="16"/>
        </w:rPr>
        <w:t xml:space="preserve">The Red Book = Liber Novus: </w:t>
      </w:r>
      <w:r w:rsidRPr="1A480A0D" w:rsidR="7FF51E87">
        <w:rPr>
          <w:sz w:val="16"/>
          <w:szCs w:val="16"/>
        </w:rPr>
        <w:t>a reader’s edition (Reader’s edition. W. W. Norton, 2009).</w:t>
      </w:r>
    </w:p>
  </w:footnote>
  <w:footnote w:id="3">
    <w:p w:rsidR="3CED188A" w:rsidP="12AE13EF" w:rsidRDefault="3CED188A" w14:paraId="7319EB94" w14:textId="1FACCDB9">
      <w:pPr>
        <w:pStyle w:val="FootnoteText"/>
        <w:rPr>
          <w:sz w:val="16"/>
          <w:szCs w:val="16"/>
        </w:rPr>
      </w:pPr>
      <w:r w:rsidRPr="3CED188A">
        <w:rPr>
          <w:rStyle w:val="FootnoteReference"/>
          <w:sz w:val="16"/>
          <w:szCs w:val="16"/>
        </w:rPr>
        <w:footnoteRef/>
      </w:r>
      <w:r w:rsidRPr="3CED188A">
        <w:rPr>
          <w:sz w:val="16"/>
          <w:szCs w:val="16"/>
        </w:rPr>
        <w:t xml:space="preserve"> </w:t>
      </w:r>
      <w:r w:rsidRPr="45708CAD">
        <w:rPr>
          <w:sz w:val="16"/>
          <w:szCs w:val="16"/>
        </w:rPr>
        <w:t xml:space="preserve">Patrick Curry, </w:t>
      </w:r>
      <w:r w:rsidRPr="12AE13EF">
        <w:rPr>
          <w:i/>
          <w:iCs/>
          <w:sz w:val="16"/>
          <w:szCs w:val="16"/>
        </w:rPr>
        <w:t xml:space="preserve">‘Astrology,’ in the Encyclopedia of Historians Writings,’ </w:t>
      </w:r>
      <w:r w:rsidRPr="12AE13EF">
        <w:rPr>
          <w:sz w:val="16"/>
          <w:szCs w:val="16"/>
        </w:rPr>
        <w:t>ed. Kelly Bond, Volume l (London: Fitzroy Dearborn, 1999), p, 55.</w:t>
      </w:r>
    </w:p>
  </w:footnote>
  <w:footnote w:id="4">
    <w:p w:rsidR="55F0D9A6" w:rsidP="1A480A0D" w:rsidRDefault="55F0D9A6" w14:paraId="1FE655A1" w14:textId="425F6C4C">
      <w:pPr>
        <w:pStyle w:val="FootnoteText"/>
        <w:rPr>
          <w:sz w:val="16"/>
          <w:szCs w:val="16"/>
          <w:highlight w:val="yellow"/>
        </w:rPr>
      </w:pPr>
      <w:r w:rsidRPr="45708CAD">
        <w:rPr>
          <w:rStyle w:val="FootnoteReference"/>
          <w:sz w:val="16"/>
          <w:szCs w:val="16"/>
        </w:rPr>
        <w:footnoteRef/>
      </w:r>
      <w:r w:rsidRPr="45708CAD">
        <w:rPr>
          <w:sz w:val="16"/>
          <w:szCs w:val="16"/>
        </w:rPr>
        <w:t xml:space="preserve"> </w:t>
      </w:r>
      <w:r w:rsidRPr="1A480A0D" w:rsidR="1A480A0D">
        <w:rPr>
          <w:sz w:val="16"/>
          <w:szCs w:val="16"/>
        </w:rPr>
        <w:t xml:space="preserve">Liz Greene. </w:t>
      </w:r>
      <w:r w:rsidRPr="1A480A0D" w:rsidR="1A480A0D">
        <w:rPr>
          <w:i/>
          <w:iCs/>
          <w:sz w:val="16"/>
          <w:szCs w:val="16"/>
        </w:rPr>
        <w:t xml:space="preserve">Jung’s Studies in Astrology: Prophecy, Magic, and the Qualities of Time. </w:t>
      </w:r>
      <w:r w:rsidRPr="1A480A0D" w:rsidR="1A480A0D">
        <w:rPr>
          <w:sz w:val="16"/>
          <w:szCs w:val="16"/>
        </w:rPr>
        <w:t>(New York: Routledge, 2018), p. 19.</w:t>
      </w:r>
    </w:p>
  </w:footnote>
  <w:footnote w:id="5">
    <w:p w:rsidR="12AE13EF" w:rsidP="12AE13EF" w:rsidRDefault="12AE13EF" w14:paraId="324020E6" w14:textId="16E8C10E">
      <w:pPr>
        <w:pStyle w:val="FootnoteText"/>
        <w:rPr>
          <w:sz w:val="16"/>
          <w:szCs w:val="16"/>
        </w:rPr>
      </w:pPr>
      <w:r w:rsidRPr="12AE13EF">
        <w:rPr>
          <w:rStyle w:val="FootnoteReference"/>
          <w:sz w:val="16"/>
          <w:szCs w:val="16"/>
        </w:rPr>
        <w:footnoteRef/>
      </w:r>
      <w:r w:rsidRPr="12AE13EF">
        <w:rPr>
          <w:sz w:val="16"/>
          <w:szCs w:val="16"/>
        </w:rPr>
        <w:t xml:space="preserve"> Nan Savage Healy, ‘</w:t>
      </w:r>
      <w:r w:rsidRPr="12AE13EF">
        <w:rPr>
          <w:i/>
          <w:iCs/>
          <w:sz w:val="16"/>
          <w:szCs w:val="16"/>
        </w:rPr>
        <w:t xml:space="preserve">Toni Wolff &amp; C. G. Jung - A Collaboration.’ </w:t>
      </w:r>
      <w:r w:rsidRPr="12AE13EF">
        <w:rPr>
          <w:sz w:val="16"/>
          <w:szCs w:val="16"/>
        </w:rPr>
        <w:t xml:space="preserve">(Tiberius Press, 2017), p. 5; also see Thomas B. Kirsch. Toni Wolff-James Kirsch correspondence. </w:t>
      </w:r>
      <w:r w:rsidRPr="12AE13EF">
        <w:rPr>
          <w:i/>
          <w:iCs/>
          <w:sz w:val="16"/>
          <w:szCs w:val="16"/>
        </w:rPr>
        <w:t xml:space="preserve">Journal of Analytical Psychology, </w:t>
      </w:r>
      <w:r w:rsidRPr="12AE13EF">
        <w:rPr>
          <w:sz w:val="16"/>
          <w:szCs w:val="16"/>
        </w:rPr>
        <w:t>(2003)</w:t>
      </w:r>
      <w:r w:rsidRPr="12AE13EF">
        <w:rPr>
          <w:i/>
          <w:iCs/>
          <w:sz w:val="16"/>
          <w:szCs w:val="16"/>
        </w:rPr>
        <w:t xml:space="preserve"> </w:t>
      </w:r>
      <w:r w:rsidRPr="12AE13EF">
        <w:rPr>
          <w:sz w:val="16"/>
          <w:szCs w:val="16"/>
        </w:rPr>
        <w:t xml:space="preserve">48(4), pp. 499-506 (p. 499) </w:t>
      </w:r>
      <w:hyperlink r:id="rId1">
        <w:r w:rsidRPr="12AE13EF">
          <w:rPr>
            <w:rStyle w:val="Hyperlink"/>
            <w:sz w:val="16"/>
            <w:szCs w:val="16"/>
          </w:rPr>
          <w:t>https://doi.org/10.1111/1465-5922.00412</w:t>
        </w:r>
      </w:hyperlink>
      <w:r w:rsidRPr="12AE13EF">
        <w:rPr>
          <w:sz w:val="16"/>
          <w:szCs w:val="16"/>
        </w:rPr>
        <w:t>.</w:t>
      </w:r>
    </w:p>
  </w:footnote>
  <w:footnote w:id="6">
    <w:p w:rsidR="1A480A0D" w:rsidP="1A480A0D" w:rsidRDefault="1A480A0D" w14:paraId="5488B1A5" w14:textId="5EF3E8FF">
      <w:pPr>
        <w:pStyle w:val="FootnoteText"/>
        <w:rPr>
          <w:sz w:val="16"/>
          <w:szCs w:val="16"/>
        </w:rPr>
      </w:pPr>
      <w:r w:rsidRPr="1A480A0D">
        <w:rPr>
          <w:rStyle w:val="FootnoteReference"/>
          <w:sz w:val="16"/>
          <w:szCs w:val="16"/>
        </w:rPr>
        <w:footnoteRef/>
      </w:r>
      <w:r w:rsidRPr="1A480A0D">
        <w:rPr>
          <w:sz w:val="16"/>
          <w:szCs w:val="16"/>
        </w:rPr>
        <w:t xml:space="preserve"> Shamdasani, </w:t>
      </w:r>
      <w:r w:rsidRPr="1A480A0D">
        <w:rPr>
          <w:i/>
          <w:iCs/>
          <w:sz w:val="16"/>
          <w:szCs w:val="16"/>
        </w:rPr>
        <w:t xml:space="preserve">The Red Book, </w:t>
      </w:r>
      <w:r w:rsidRPr="1A480A0D">
        <w:rPr>
          <w:sz w:val="16"/>
          <w:szCs w:val="16"/>
        </w:rPr>
        <w:t>p. 495.</w:t>
      </w:r>
    </w:p>
  </w:footnote>
  <w:footnote w:id="7">
    <w:p w:rsidR="4379AF44" w:rsidP="45708CAD" w:rsidRDefault="4379AF44" w14:paraId="485C174C" w14:textId="0A9FEECC">
      <w:pPr>
        <w:pStyle w:val="FootnoteText"/>
        <w:rPr>
          <w:color w:val="FF0000"/>
          <w:sz w:val="16"/>
          <w:szCs w:val="16"/>
        </w:rPr>
      </w:pPr>
      <w:r w:rsidRPr="45708CAD">
        <w:rPr>
          <w:rStyle w:val="FootnoteReference"/>
          <w:sz w:val="16"/>
          <w:szCs w:val="16"/>
        </w:rPr>
        <w:footnoteRef/>
      </w:r>
      <w:r w:rsidRPr="45708CAD">
        <w:rPr>
          <w:sz w:val="16"/>
          <w:szCs w:val="16"/>
        </w:rPr>
        <w:t xml:space="preserve"> Shamdasani, </w:t>
      </w:r>
      <w:r w:rsidRPr="45708CAD">
        <w:rPr>
          <w:i/>
          <w:iCs/>
          <w:sz w:val="16"/>
          <w:szCs w:val="16"/>
        </w:rPr>
        <w:t xml:space="preserve">The Red Book, </w:t>
      </w:r>
      <w:r w:rsidRPr="45708CAD">
        <w:rPr>
          <w:sz w:val="16"/>
          <w:szCs w:val="16"/>
        </w:rPr>
        <w:t>pp. 19-21.</w:t>
      </w:r>
    </w:p>
  </w:footnote>
  <w:footnote w:id="8">
    <w:p w:rsidR="4379AF44" w:rsidP="12AE13EF" w:rsidRDefault="4379AF44" w14:paraId="544A9804" w14:textId="006550D2">
      <w:pPr>
        <w:pStyle w:val="FootnoteText"/>
        <w:rPr>
          <w:rFonts w:eastAsiaTheme="minorEastAsia"/>
          <w:sz w:val="16"/>
          <w:szCs w:val="16"/>
        </w:rPr>
      </w:pPr>
      <w:r w:rsidRPr="12AE13EF">
        <w:rPr>
          <w:rStyle w:val="FootnoteReference"/>
          <w:sz w:val="16"/>
          <w:szCs w:val="16"/>
        </w:rPr>
        <w:footnoteRef/>
      </w:r>
      <w:r w:rsidRPr="12AE13EF">
        <w:rPr>
          <w:sz w:val="16"/>
          <w:szCs w:val="16"/>
        </w:rPr>
        <w:t xml:space="preserve"> </w:t>
      </w:r>
      <w:r w:rsidRPr="12AE13EF" w:rsidR="45708CAD">
        <w:rPr>
          <w:rFonts w:eastAsiaTheme="minorEastAsia"/>
          <w:sz w:val="16"/>
          <w:szCs w:val="16"/>
        </w:rPr>
        <w:t xml:space="preserve">Sidney M. </w:t>
      </w:r>
      <w:proofErr w:type="spellStart"/>
      <w:r w:rsidRPr="12AE13EF" w:rsidR="45708CAD">
        <w:rPr>
          <w:rFonts w:eastAsiaTheme="minorEastAsia"/>
          <w:sz w:val="16"/>
          <w:szCs w:val="16"/>
        </w:rPr>
        <w:t>Bolkosky</w:t>
      </w:r>
      <w:proofErr w:type="spellEnd"/>
      <w:r w:rsidRPr="12AE13EF" w:rsidR="45708CAD">
        <w:rPr>
          <w:rFonts w:eastAsiaTheme="minorEastAsia"/>
          <w:sz w:val="16"/>
          <w:szCs w:val="16"/>
        </w:rPr>
        <w:t xml:space="preserve">, The Freud/Jung Letters: The Correspondence between Sigmund Feud and C. G. Jung, </w:t>
      </w:r>
      <w:r w:rsidRPr="12AE13EF" w:rsidR="45708CAD">
        <w:rPr>
          <w:rFonts w:eastAsiaTheme="minorEastAsia"/>
          <w:i/>
          <w:iCs/>
          <w:sz w:val="16"/>
          <w:szCs w:val="16"/>
        </w:rPr>
        <w:t xml:space="preserve">History: Reviews of new Books, </w:t>
      </w:r>
      <w:r w:rsidRPr="12AE13EF" w:rsidR="45708CAD">
        <w:rPr>
          <w:rFonts w:eastAsiaTheme="minorEastAsia"/>
          <w:sz w:val="16"/>
          <w:szCs w:val="16"/>
        </w:rPr>
        <w:t xml:space="preserve">Vol 3, Issue. 2 (1974), pp 23-24 (p. 183). </w:t>
      </w:r>
      <w:r w:rsidRPr="12AE13EF" w:rsidR="45708CAD">
        <w:rPr>
          <w:rFonts w:eastAsiaTheme="minorEastAsia"/>
          <w:color w:val="333333"/>
          <w:sz w:val="16"/>
          <w:szCs w:val="16"/>
        </w:rPr>
        <w:t xml:space="preserve">DOI: </w:t>
      </w:r>
      <w:hyperlink r:id="rId2">
        <w:r w:rsidRPr="12AE13EF" w:rsidR="45708CAD">
          <w:rPr>
            <w:rStyle w:val="Hyperlink"/>
            <w:rFonts w:eastAsiaTheme="minorEastAsia"/>
            <w:sz w:val="16"/>
            <w:szCs w:val="16"/>
          </w:rPr>
          <w:t>10.1080/03612759.1974.9946639.</w:t>
        </w:r>
      </w:hyperlink>
      <w:r w:rsidRPr="12AE13EF" w:rsidR="45708CAD">
        <w:rPr>
          <w:rFonts w:eastAsiaTheme="minorEastAsia"/>
          <w:sz w:val="16"/>
          <w:szCs w:val="16"/>
        </w:rPr>
        <w:t xml:space="preserve"> </w:t>
      </w:r>
    </w:p>
  </w:footnote>
  <w:footnote w:id="9">
    <w:p w:rsidR="4379AF44" w:rsidP="722478AC" w:rsidRDefault="4379AF44" w14:paraId="3CEB68B8" w14:textId="21618538">
      <w:pPr>
        <w:pStyle w:val="FootnoteText"/>
        <w:rPr>
          <w:sz w:val="16"/>
          <w:szCs w:val="16"/>
        </w:rPr>
      </w:pPr>
      <w:r w:rsidRPr="45708CAD">
        <w:rPr>
          <w:rStyle w:val="FootnoteReference"/>
          <w:sz w:val="16"/>
          <w:szCs w:val="16"/>
        </w:rPr>
        <w:footnoteRef/>
      </w:r>
      <w:r w:rsidRPr="1A480A0D" w:rsidR="1A480A0D">
        <w:rPr>
          <w:sz w:val="16"/>
          <w:szCs w:val="16"/>
        </w:rPr>
        <w:t xml:space="preserve"> Carl Gustav Jung. </w:t>
      </w:r>
      <w:r w:rsidRPr="722478AC" w:rsidR="1A480A0D">
        <w:rPr>
          <w:i/>
          <w:iCs/>
          <w:sz w:val="16"/>
          <w:szCs w:val="16"/>
        </w:rPr>
        <w:t xml:space="preserve">Jung on Synchronicity and the Paranormal. </w:t>
      </w:r>
      <w:r w:rsidRPr="722478AC" w:rsidR="1A480A0D">
        <w:rPr>
          <w:sz w:val="16"/>
          <w:szCs w:val="16"/>
        </w:rPr>
        <w:t>(United Kingdom: Routledge: 1997), p. 11.</w:t>
      </w:r>
    </w:p>
  </w:footnote>
  <w:footnote w:id="10">
    <w:p w:rsidR="722478AC" w:rsidP="722478AC" w:rsidRDefault="722478AC" w14:paraId="5CAA0B1F" w14:textId="2155CE0B">
      <w:pPr>
        <w:pStyle w:val="FootnoteText"/>
        <w:rPr>
          <w:sz w:val="16"/>
          <w:szCs w:val="16"/>
        </w:rPr>
      </w:pPr>
      <w:r w:rsidRPr="722478AC">
        <w:rPr>
          <w:rStyle w:val="FootnoteReference"/>
          <w:sz w:val="16"/>
          <w:szCs w:val="16"/>
        </w:rPr>
        <w:footnoteRef/>
      </w:r>
      <w:r w:rsidRPr="722478AC">
        <w:rPr>
          <w:sz w:val="16"/>
          <w:szCs w:val="16"/>
        </w:rPr>
        <w:t xml:space="preserve"> Carl Gustav Jung. </w:t>
      </w:r>
      <w:r w:rsidRPr="722478AC">
        <w:rPr>
          <w:i/>
          <w:iCs/>
          <w:sz w:val="16"/>
          <w:szCs w:val="16"/>
        </w:rPr>
        <w:t>Psychology and the Occult.</w:t>
      </w:r>
      <w:r w:rsidRPr="722478AC">
        <w:rPr>
          <w:sz w:val="16"/>
          <w:szCs w:val="16"/>
        </w:rPr>
        <w:t xml:space="preserve"> (United Kingdom: Taylor &amp; Francis, 2015), p. ix.</w:t>
      </w:r>
    </w:p>
  </w:footnote>
  <w:footnote w:id="11">
    <w:p w:rsidR="55F0D9A6" w:rsidP="45708CAD" w:rsidRDefault="55F0D9A6" w14:paraId="08B25809" w14:textId="0BBFBEE3">
      <w:pPr>
        <w:pStyle w:val="FootnoteText"/>
        <w:rPr>
          <w:sz w:val="16"/>
          <w:szCs w:val="16"/>
        </w:rPr>
      </w:pPr>
      <w:r w:rsidRPr="45708CAD">
        <w:rPr>
          <w:rStyle w:val="FootnoteReference"/>
          <w:sz w:val="16"/>
          <w:szCs w:val="16"/>
        </w:rPr>
        <w:footnoteRef/>
      </w:r>
      <w:r w:rsidRPr="1A480A0D" w:rsidR="1A480A0D">
        <w:rPr>
          <w:sz w:val="16"/>
          <w:szCs w:val="16"/>
        </w:rPr>
        <w:t xml:space="preserve"> Shamdasani, </w:t>
      </w:r>
      <w:r w:rsidRPr="1A480A0D" w:rsidR="1A480A0D">
        <w:rPr>
          <w:i/>
          <w:iCs/>
          <w:sz w:val="16"/>
          <w:szCs w:val="16"/>
        </w:rPr>
        <w:t xml:space="preserve">The Red Book, </w:t>
      </w:r>
      <w:r w:rsidRPr="1A480A0D" w:rsidR="1A480A0D">
        <w:rPr>
          <w:sz w:val="16"/>
          <w:szCs w:val="16"/>
        </w:rPr>
        <w:t>p. 20.</w:t>
      </w:r>
    </w:p>
  </w:footnote>
  <w:footnote w:id="12">
    <w:p w:rsidR="1A480A0D" w:rsidP="12AE13EF" w:rsidRDefault="1A480A0D" w14:paraId="49C2AB71" w14:textId="1D835926">
      <w:pPr>
        <w:pStyle w:val="FootnoteText"/>
        <w:rPr>
          <w:rFonts w:eastAsiaTheme="minorEastAsia"/>
          <w:color w:val="222222"/>
          <w:sz w:val="16"/>
          <w:szCs w:val="16"/>
        </w:rPr>
      </w:pPr>
      <w:r w:rsidRPr="1A480A0D">
        <w:rPr>
          <w:rStyle w:val="FootnoteReference"/>
          <w:rFonts w:eastAsiaTheme="minorEastAsia"/>
          <w:sz w:val="16"/>
          <w:szCs w:val="16"/>
        </w:rPr>
        <w:footnoteRef/>
      </w:r>
      <w:r w:rsidRPr="1A480A0D">
        <w:rPr>
          <w:rFonts w:eastAsiaTheme="minorEastAsia"/>
          <w:sz w:val="16"/>
          <w:szCs w:val="16"/>
        </w:rPr>
        <w:t xml:space="preserve"> Carl Gustav Jung. </w:t>
      </w:r>
      <w:r w:rsidRPr="12AE13EF">
        <w:rPr>
          <w:rFonts w:eastAsiaTheme="minorEastAsia"/>
          <w:i/>
          <w:iCs/>
          <w:sz w:val="16"/>
          <w:szCs w:val="16"/>
        </w:rPr>
        <w:t>Letters of C. G. Jung</w:t>
      </w:r>
      <w:r w:rsidRPr="12AE13EF">
        <w:rPr>
          <w:rFonts w:eastAsiaTheme="minorEastAsia"/>
          <w:sz w:val="16"/>
          <w:szCs w:val="16"/>
        </w:rPr>
        <w:t>: Volume 1-1906-150 (G Alder, &amp; A. Jaffe, Eds) (1</w:t>
      </w:r>
      <w:r w:rsidRPr="12AE13EF">
        <w:rPr>
          <w:rFonts w:eastAsiaTheme="minorEastAsia"/>
          <w:sz w:val="16"/>
          <w:szCs w:val="16"/>
          <w:vertAlign w:val="superscript"/>
        </w:rPr>
        <w:t>st</w:t>
      </w:r>
      <w:r w:rsidRPr="12AE13EF">
        <w:rPr>
          <w:rFonts w:eastAsiaTheme="minorEastAsia"/>
          <w:sz w:val="16"/>
          <w:szCs w:val="16"/>
        </w:rPr>
        <w:t xml:space="preserve"> ed). (London: Routledge, 1973), p xxii </w:t>
      </w:r>
      <w:hyperlink r:id="rId3">
        <w:r w:rsidRPr="1CDE5FFE" w:rsidR="1CDE5FFE">
          <w:rPr>
            <w:rStyle w:val="Hyperlink"/>
            <w:rFonts w:eastAsiaTheme="minorEastAsia"/>
            <w:sz w:val="16"/>
            <w:szCs w:val="16"/>
          </w:rPr>
          <w:t>https://doi.org/10.4324/9781315723945</w:t>
        </w:r>
      </w:hyperlink>
      <w:r w:rsidRPr="1CDE5FFE" w:rsidR="1CDE5FFE">
        <w:rPr>
          <w:rFonts w:eastAsiaTheme="minorEastAsia"/>
          <w:sz w:val="16"/>
          <w:szCs w:val="16"/>
        </w:rPr>
        <w:t xml:space="preserve">. </w:t>
      </w:r>
    </w:p>
  </w:footnote>
  <w:footnote w:id="13">
    <w:p w:rsidR="55F0D9A6" w:rsidP="1CDE5FFE" w:rsidRDefault="55F0D9A6" w14:paraId="3596A56E" w14:textId="3CC28B2E">
      <w:pPr>
        <w:pStyle w:val="FootnoteText"/>
        <w:rPr>
          <w:sz w:val="16"/>
          <w:szCs w:val="16"/>
        </w:rPr>
      </w:pPr>
      <w:r w:rsidRPr="45708CAD">
        <w:rPr>
          <w:rStyle w:val="FootnoteReference"/>
          <w:sz w:val="16"/>
          <w:szCs w:val="16"/>
        </w:rPr>
        <w:footnoteRef/>
      </w:r>
      <w:r w:rsidRPr="45708CAD">
        <w:rPr>
          <w:sz w:val="16"/>
          <w:szCs w:val="16"/>
        </w:rPr>
        <w:t xml:space="preserve"> Carl Gustav Jung. </w:t>
      </w:r>
      <w:r w:rsidRPr="1CDE5FFE">
        <w:rPr>
          <w:i/>
          <w:iCs/>
          <w:sz w:val="16"/>
          <w:szCs w:val="16"/>
        </w:rPr>
        <w:t xml:space="preserve">Introduction to Jungian Psychology: Notes of the Seminar on Analytical Psychology Given in 1925. </w:t>
      </w:r>
      <w:r w:rsidRPr="1CDE5FFE">
        <w:rPr>
          <w:sz w:val="16"/>
          <w:szCs w:val="16"/>
        </w:rPr>
        <w:t>(United States: Princeton University Press, 2012), p. 27.</w:t>
      </w:r>
    </w:p>
  </w:footnote>
  <w:footnote w:id="14">
    <w:p w:rsidR="68C12C30" w:rsidP="1A480A0D" w:rsidRDefault="68C12C30" w14:paraId="524721E9" w14:textId="31E42E85">
      <w:pPr>
        <w:pStyle w:val="FootnoteText"/>
        <w:rPr>
          <w:sz w:val="16"/>
          <w:szCs w:val="16"/>
        </w:rPr>
      </w:pPr>
      <w:r w:rsidRPr="45708CAD">
        <w:rPr>
          <w:rStyle w:val="FootnoteReference"/>
          <w:sz w:val="16"/>
          <w:szCs w:val="16"/>
        </w:rPr>
        <w:footnoteRef/>
      </w:r>
      <w:r w:rsidRPr="1A480A0D" w:rsidR="45708CAD">
        <w:rPr>
          <w:sz w:val="16"/>
          <w:szCs w:val="16"/>
        </w:rPr>
        <w:t xml:space="preserve"> Stephanie Buck, ’Hiding in Plain Sight: Jung, Astrology, and the Psychology of the </w:t>
      </w:r>
      <w:proofErr w:type="gramStart"/>
      <w:r w:rsidRPr="1A480A0D" w:rsidR="45708CAD">
        <w:rPr>
          <w:sz w:val="16"/>
          <w:szCs w:val="16"/>
        </w:rPr>
        <w:t>Unconscious,‘</w:t>
      </w:r>
      <w:proofErr w:type="gramEnd"/>
      <w:r w:rsidRPr="1A480A0D" w:rsidR="45708CAD">
        <w:rPr>
          <w:sz w:val="16"/>
          <w:szCs w:val="16"/>
        </w:rPr>
        <w:t xml:space="preserve"> </w:t>
      </w:r>
      <w:r w:rsidRPr="1A480A0D" w:rsidR="45708CAD">
        <w:rPr>
          <w:i/>
          <w:iCs/>
          <w:sz w:val="16"/>
          <w:szCs w:val="16"/>
        </w:rPr>
        <w:t xml:space="preserve">Journal of Analytical Psychology, </w:t>
      </w:r>
      <w:r w:rsidRPr="1A480A0D" w:rsidR="45708CAD">
        <w:rPr>
          <w:sz w:val="16"/>
          <w:szCs w:val="16"/>
        </w:rPr>
        <w:t>no. 63 (2) (2018) 207-27 (p. 201).</w:t>
      </w:r>
    </w:p>
  </w:footnote>
  <w:footnote w:id="15">
    <w:p w:rsidR="68C12C30" w:rsidP="1A480A0D" w:rsidRDefault="68C12C30" w14:paraId="0D2412C1" w14:textId="1DC05A43">
      <w:pPr>
        <w:pStyle w:val="FootnoteText"/>
        <w:rPr>
          <w:rFonts w:eastAsiaTheme="minorEastAsia"/>
          <w:color w:val="222222"/>
          <w:sz w:val="16"/>
          <w:szCs w:val="16"/>
        </w:rPr>
      </w:pPr>
      <w:r w:rsidRPr="1A480A0D">
        <w:rPr>
          <w:rStyle w:val="FootnoteReference"/>
          <w:rFonts w:eastAsiaTheme="minorEastAsia"/>
          <w:sz w:val="16"/>
          <w:szCs w:val="16"/>
        </w:rPr>
        <w:footnoteRef/>
      </w:r>
      <w:r w:rsidRPr="1A480A0D">
        <w:rPr>
          <w:rFonts w:eastAsiaTheme="minorEastAsia"/>
          <w:sz w:val="16"/>
          <w:szCs w:val="16"/>
        </w:rPr>
        <w:t xml:space="preserve"> Jung, </w:t>
      </w:r>
      <w:r w:rsidRPr="1A480A0D">
        <w:rPr>
          <w:rFonts w:eastAsiaTheme="minorEastAsia"/>
          <w:i/>
          <w:iCs/>
          <w:sz w:val="16"/>
          <w:szCs w:val="16"/>
        </w:rPr>
        <w:t xml:space="preserve">Letters of C. G. Jung, </w:t>
      </w:r>
      <w:r w:rsidRPr="1A480A0D">
        <w:rPr>
          <w:rFonts w:eastAsiaTheme="minorEastAsia"/>
          <w:sz w:val="16"/>
          <w:szCs w:val="16"/>
        </w:rPr>
        <w:t>pp. 475-476.</w:t>
      </w:r>
    </w:p>
  </w:footnote>
  <w:footnote w:id="16">
    <w:p w:rsidR="68C12C30" w:rsidP="1A480A0D" w:rsidRDefault="68C12C30" w14:paraId="4A7F0E5E" w14:textId="56F09B92">
      <w:pPr>
        <w:pStyle w:val="FootnoteText"/>
        <w:rPr>
          <w:color w:val="FF0000"/>
          <w:sz w:val="16"/>
          <w:szCs w:val="16"/>
        </w:rPr>
      </w:pPr>
      <w:r w:rsidRPr="45708CAD">
        <w:rPr>
          <w:rStyle w:val="FootnoteReference"/>
          <w:sz w:val="16"/>
          <w:szCs w:val="16"/>
        </w:rPr>
        <w:footnoteRef/>
      </w:r>
      <w:r w:rsidRPr="45708CAD">
        <w:rPr>
          <w:sz w:val="16"/>
          <w:szCs w:val="16"/>
        </w:rPr>
        <w:t xml:space="preserve"> </w:t>
      </w:r>
      <w:proofErr w:type="spellStart"/>
      <w:r w:rsidRPr="45708CAD">
        <w:rPr>
          <w:sz w:val="16"/>
          <w:szCs w:val="16"/>
        </w:rPr>
        <w:t>Gret</w:t>
      </w:r>
      <w:proofErr w:type="spellEnd"/>
      <w:r w:rsidRPr="45708CAD">
        <w:rPr>
          <w:sz w:val="16"/>
          <w:szCs w:val="16"/>
        </w:rPr>
        <w:t xml:space="preserve"> Baumann-Jung, ’In </w:t>
      </w:r>
      <w:proofErr w:type="spellStart"/>
      <w:r w:rsidRPr="45708CAD">
        <w:rPr>
          <w:sz w:val="16"/>
          <w:szCs w:val="16"/>
        </w:rPr>
        <w:t>Memorium</w:t>
      </w:r>
      <w:proofErr w:type="spellEnd"/>
      <w:r w:rsidRPr="45708CAD">
        <w:rPr>
          <w:sz w:val="16"/>
          <w:szCs w:val="16"/>
        </w:rPr>
        <w:t xml:space="preserve">, </w:t>
      </w:r>
      <w:r w:rsidRPr="1A480A0D">
        <w:rPr>
          <w:i/>
          <w:iCs/>
          <w:sz w:val="16"/>
          <w:szCs w:val="16"/>
        </w:rPr>
        <w:t xml:space="preserve">Psychological </w:t>
      </w:r>
      <w:proofErr w:type="gramStart"/>
      <w:r w:rsidRPr="1A480A0D">
        <w:rPr>
          <w:i/>
          <w:iCs/>
          <w:sz w:val="16"/>
          <w:szCs w:val="16"/>
        </w:rPr>
        <w:t>Perspectives,‘</w:t>
      </w:r>
      <w:proofErr w:type="gramEnd"/>
      <w:r w:rsidRPr="1A480A0D">
        <w:rPr>
          <w:i/>
          <w:iCs/>
          <w:sz w:val="16"/>
          <w:szCs w:val="16"/>
        </w:rPr>
        <w:t xml:space="preserve"> </w:t>
      </w:r>
      <w:r w:rsidRPr="1A480A0D">
        <w:rPr>
          <w:sz w:val="16"/>
          <w:szCs w:val="16"/>
        </w:rPr>
        <w:t>Issue. 34:1 (1996), pp. 9-11.</w:t>
      </w:r>
    </w:p>
  </w:footnote>
  <w:footnote w:id="17">
    <w:p w:rsidR="68C12C30" w:rsidP="1A480A0D" w:rsidRDefault="68C12C30" w14:paraId="52636B06" w14:textId="1987172B">
      <w:pPr>
        <w:pStyle w:val="FootnoteText"/>
        <w:rPr>
          <w:color w:val="FF0000"/>
          <w:highlight w:val="yellow"/>
        </w:rPr>
      </w:pPr>
      <w:r w:rsidRPr="45708CAD">
        <w:rPr>
          <w:rStyle w:val="FootnoteReference"/>
          <w:sz w:val="16"/>
          <w:szCs w:val="16"/>
        </w:rPr>
        <w:footnoteRef/>
      </w:r>
      <w:r w:rsidRPr="45708CAD">
        <w:rPr>
          <w:sz w:val="16"/>
          <w:szCs w:val="16"/>
        </w:rPr>
        <w:t xml:space="preserve"> Baumann-Jung, ‘</w:t>
      </w:r>
      <w:r w:rsidRPr="1A480A0D">
        <w:rPr>
          <w:i/>
          <w:iCs/>
          <w:sz w:val="16"/>
          <w:szCs w:val="16"/>
        </w:rPr>
        <w:t xml:space="preserve">In </w:t>
      </w:r>
      <w:proofErr w:type="spellStart"/>
      <w:proofErr w:type="gramStart"/>
      <w:r w:rsidRPr="1A480A0D">
        <w:rPr>
          <w:i/>
          <w:iCs/>
          <w:sz w:val="16"/>
          <w:szCs w:val="16"/>
        </w:rPr>
        <w:t>Memorium</w:t>
      </w:r>
      <w:proofErr w:type="spellEnd"/>
      <w:r w:rsidRPr="1A480A0D">
        <w:rPr>
          <w:i/>
          <w:iCs/>
          <w:sz w:val="16"/>
          <w:szCs w:val="16"/>
        </w:rPr>
        <w:t>,‘</w:t>
      </w:r>
      <w:proofErr w:type="gramEnd"/>
      <w:r w:rsidRPr="1A480A0D">
        <w:rPr>
          <w:i/>
          <w:iCs/>
          <w:sz w:val="16"/>
          <w:szCs w:val="16"/>
        </w:rPr>
        <w:t xml:space="preserve"> </w:t>
      </w:r>
      <w:r w:rsidRPr="1A480A0D">
        <w:rPr>
          <w:sz w:val="16"/>
          <w:szCs w:val="16"/>
        </w:rPr>
        <w:t>pp. 9-11.</w:t>
      </w:r>
    </w:p>
  </w:footnote>
  <w:footnote w:id="18">
    <w:p w:rsidR="68C12C30" w:rsidP="1CDE5FFE" w:rsidRDefault="68C12C30" w14:paraId="1AC371DF" w14:textId="7769DC03">
      <w:pPr>
        <w:pStyle w:val="FootnoteText"/>
        <w:rPr>
          <w:sz w:val="16"/>
          <w:szCs w:val="16"/>
        </w:rPr>
      </w:pPr>
      <w:r w:rsidRPr="1A480A0D">
        <w:rPr>
          <w:rStyle w:val="FootnoteReference"/>
          <w:sz w:val="16"/>
          <w:szCs w:val="16"/>
        </w:rPr>
        <w:footnoteRef/>
      </w:r>
      <w:r w:rsidRPr="1A480A0D">
        <w:rPr>
          <w:sz w:val="16"/>
          <w:szCs w:val="16"/>
        </w:rPr>
        <w:t xml:space="preserve"> Brian Clark. ’</w:t>
      </w:r>
      <w:r w:rsidRPr="1CDE5FFE">
        <w:rPr>
          <w:sz w:val="16"/>
          <w:szCs w:val="16"/>
        </w:rPr>
        <w:t>Jung’s Contribution to astrology.</w:t>
      </w:r>
      <w:r w:rsidRPr="1CDE5FFE">
        <w:rPr>
          <w:i/>
          <w:iCs/>
          <w:sz w:val="16"/>
          <w:szCs w:val="16"/>
        </w:rPr>
        <w:t xml:space="preserve"> </w:t>
      </w:r>
      <w:r w:rsidRPr="1CDE5FFE">
        <w:rPr>
          <w:sz w:val="16"/>
          <w:szCs w:val="16"/>
        </w:rPr>
        <w:t xml:space="preserve">(2017). P. 2. Available at:  </w:t>
      </w:r>
      <w:hyperlink r:id="rId4">
        <w:r w:rsidRPr="1CDE5FFE" w:rsidR="1CDE5FFE">
          <w:rPr>
            <w:rStyle w:val="Hyperlink"/>
            <w:sz w:val="16"/>
            <w:szCs w:val="16"/>
          </w:rPr>
          <w:t>https://www.astrosynthesis.com.au/wp-content/uploads/2017/11/jung-contribution-to-astrology-brian-clark.pdf</w:t>
        </w:r>
      </w:hyperlink>
      <w:r w:rsidRPr="1CDE5FFE">
        <w:rPr>
          <w:sz w:val="16"/>
          <w:szCs w:val="16"/>
        </w:rPr>
        <w:t>.</w:t>
      </w:r>
    </w:p>
  </w:footnote>
  <w:footnote w:id="19">
    <w:p w:rsidR="1CDE5FFE" w:rsidP="1CDE5FFE" w:rsidRDefault="1CDE5FFE" w14:paraId="78D5E101" w14:textId="123CB99C">
      <w:pPr>
        <w:pStyle w:val="FootnoteText"/>
        <w:rPr>
          <w:sz w:val="16"/>
          <w:szCs w:val="16"/>
        </w:rPr>
      </w:pPr>
      <w:r w:rsidRPr="1CDE5FFE">
        <w:rPr>
          <w:rStyle w:val="FootnoteReference"/>
          <w:sz w:val="16"/>
          <w:szCs w:val="16"/>
        </w:rPr>
        <w:footnoteRef/>
      </w:r>
      <w:r w:rsidRPr="1CDE5FFE">
        <w:rPr>
          <w:sz w:val="16"/>
          <w:szCs w:val="16"/>
        </w:rPr>
        <w:t xml:space="preserve"> </w:t>
      </w:r>
      <w:proofErr w:type="spellStart"/>
      <w:r w:rsidRPr="1CDE5FFE">
        <w:rPr>
          <w:sz w:val="16"/>
          <w:szCs w:val="16"/>
        </w:rPr>
        <w:t>Gret</w:t>
      </w:r>
      <w:proofErr w:type="spellEnd"/>
      <w:r w:rsidRPr="1CDE5FFE">
        <w:rPr>
          <w:sz w:val="16"/>
          <w:szCs w:val="16"/>
        </w:rPr>
        <w:t xml:space="preserve"> Baumann-Jung. Some Reflection on the Horoscope of C. G. Jung. </w:t>
      </w:r>
      <w:r w:rsidRPr="1CDE5FFE">
        <w:rPr>
          <w:i/>
          <w:iCs/>
          <w:sz w:val="16"/>
          <w:szCs w:val="16"/>
        </w:rPr>
        <w:t xml:space="preserve">Spring Journal, </w:t>
      </w:r>
      <w:r w:rsidRPr="1CDE5FFE">
        <w:rPr>
          <w:sz w:val="16"/>
          <w:szCs w:val="16"/>
        </w:rPr>
        <w:t>(1975), pp 35-55.</w:t>
      </w:r>
    </w:p>
  </w:footnote>
  <w:footnote w:id="20">
    <w:p w:rsidR="24B488DD" w:rsidP="1A480A0D" w:rsidRDefault="24B488DD" w14:paraId="62195BEB" w14:textId="19C5485F">
      <w:pPr>
        <w:pStyle w:val="FootnoteText"/>
        <w:rPr>
          <w:sz w:val="16"/>
          <w:szCs w:val="16"/>
        </w:rPr>
      </w:pPr>
      <w:r w:rsidRPr="1A480A0D">
        <w:rPr>
          <w:rStyle w:val="FootnoteReference"/>
          <w:sz w:val="16"/>
          <w:szCs w:val="16"/>
        </w:rPr>
        <w:footnoteRef/>
      </w:r>
      <w:r w:rsidRPr="1A480A0D">
        <w:rPr>
          <w:sz w:val="16"/>
          <w:szCs w:val="16"/>
        </w:rPr>
        <w:t xml:space="preserve"> </w:t>
      </w:r>
      <w:proofErr w:type="spellStart"/>
      <w:r w:rsidRPr="1A480A0D">
        <w:rPr>
          <w:sz w:val="16"/>
          <w:szCs w:val="16"/>
        </w:rPr>
        <w:t>Gret</w:t>
      </w:r>
      <w:proofErr w:type="spellEnd"/>
      <w:r w:rsidRPr="1A480A0D">
        <w:rPr>
          <w:sz w:val="16"/>
          <w:szCs w:val="16"/>
        </w:rPr>
        <w:t xml:space="preserve"> Baumann-Jung, </w:t>
      </w:r>
      <w:r w:rsidRPr="1CDE5FFE">
        <w:rPr>
          <w:i/>
          <w:iCs/>
          <w:sz w:val="16"/>
          <w:szCs w:val="16"/>
        </w:rPr>
        <w:t>‘Some reflections on the horoscope of C.G. Jung’</w:t>
      </w:r>
      <w:r w:rsidRPr="1A480A0D">
        <w:rPr>
          <w:sz w:val="16"/>
          <w:szCs w:val="16"/>
        </w:rPr>
        <w:t xml:space="preserve">, trans. F.J. </w:t>
      </w:r>
      <w:proofErr w:type="spellStart"/>
      <w:r w:rsidRPr="1A480A0D">
        <w:rPr>
          <w:sz w:val="16"/>
          <w:szCs w:val="16"/>
        </w:rPr>
        <w:t>Hopman</w:t>
      </w:r>
      <w:proofErr w:type="spellEnd"/>
      <w:r w:rsidRPr="1A480A0D">
        <w:rPr>
          <w:sz w:val="16"/>
          <w:szCs w:val="16"/>
        </w:rPr>
        <w:t>. Spring: An Annual of Archetypal Psychology and Jungian Thought. (1975), p. 55.</w:t>
      </w:r>
    </w:p>
  </w:footnote>
  <w:footnote w:id="21">
    <w:p w:rsidR="1CDE5FFE" w:rsidP="1CDE5FFE" w:rsidRDefault="1CDE5FFE" w14:paraId="02C1663C" w14:textId="12F44196">
      <w:pPr>
        <w:pStyle w:val="FootnoteText"/>
        <w:rPr>
          <w:i/>
          <w:iCs/>
          <w:sz w:val="16"/>
          <w:szCs w:val="16"/>
        </w:rPr>
      </w:pPr>
      <w:r w:rsidRPr="1CDE5FFE">
        <w:rPr>
          <w:rStyle w:val="FootnoteReference"/>
          <w:sz w:val="16"/>
          <w:szCs w:val="16"/>
        </w:rPr>
        <w:footnoteRef/>
      </w:r>
      <w:r w:rsidRPr="1CDE5FFE">
        <w:rPr>
          <w:sz w:val="16"/>
          <w:szCs w:val="16"/>
        </w:rPr>
        <w:t xml:space="preserve"> Nicholas Campion. </w:t>
      </w:r>
      <w:r w:rsidRPr="1CDE5FFE">
        <w:rPr>
          <w:i/>
          <w:iCs/>
          <w:sz w:val="16"/>
          <w:szCs w:val="16"/>
        </w:rPr>
        <w:t xml:space="preserve">A History of Western Astrology: The Medieval and Modern Worlds. </w:t>
      </w:r>
      <w:r w:rsidRPr="1CDE5FFE">
        <w:rPr>
          <w:sz w:val="16"/>
          <w:szCs w:val="16"/>
        </w:rPr>
        <w:t>History of Western Astrology, Volume 2 (London Continuum, 2009), p. 248.</w:t>
      </w:r>
    </w:p>
  </w:footnote>
  <w:footnote w:id="22">
    <w:p w:rsidR="68C12C30" w:rsidP="1A480A0D" w:rsidRDefault="68C12C30" w14:paraId="28A70B8D" w14:textId="15C45549">
      <w:pPr>
        <w:pStyle w:val="FootnoteText"/>
        <w:rPr>
          <w:rFonts w:ascii="Open Sans" w:hAnsi="Open Sans" w:eastAsia="Open Sans" w:cs="Open Sans"/>
          <w:sz w:val="16"/>
          <w:szCs w:val="16"/>
        </w:rPr>
      </w:pPr>
      <w:r w:rsidRPr="1A480A0D">
        <w:rPr>
          <w:rStyle w:val="FootnoteReference"/>
          <w:rFonts w:eastAsiaTheme="minorEastAsia"/>
          <w:sz w:val="16"/>
          <w:szCs w:val="16"/>
        </w:rPr>
        <w:footnoteRef/>
      </w:r>
      <w:r w:rsidRPr="1A480A0D">
        <w:rPr>
          <w:rFonts w:eastAsiaTheme="minorEastAsia"/>
          <w:color w:val="333333"/>
          <w:sz w:val="16"/>
          <w:szCs w:val="16"/>
        </w:rPr>
        <w:t xml:space="preserve"> Gerald A. Weiner. (2020). Dark Religion: Fundamentalism from the Perspective of Jungian Psychology. (2018). By Vladislav </w:t>
      </w:r>
      <w:proofErr w:type="spellStart"/>
      <w:r w:rsidRPr="1A480A0D">
        <w:rPr>
          <w:rFonts w:eastAsiaTheme="minorEastAsia"/>
          <w:color w:val="333333"/>
          <w:sz w:val="16"/>
          <w:szCs w:val="16"/>
        </w:rPr>
        <w:t>Solc</w:t>
      </w:r>
      <w:proofErr w:type="spellEnd"/>
      <w:r w:rsidRPr="1A480A0D">
        <w:rPr>
          <w:rFonts w:eastAsiaTheme="minorEastAsia"/>
          <w:color w:val="333333"/>
          <w:sz w:val="16"/>
          <w:szCs w:val="16"/>
        </w:rPr>
        <w:t xml:space="preserve"> and George J. Didier. Chiron Publications, Psychological Perspectives, A Quarterly Journal of Jungian Thought 63:2, pp. 304-306 </w:t>
      </w:r>
      <w:r w:rsidRPr="1A480A0D" w:rsidR="1A480A0D">
        <w:rPr>
          <w:rFonts w:ascii="Open Sans" w:hAnsi="Open Sans" w:eastAsia="Open Sans" w:cs="Open Sans"/>
          <w:color w:val="333333"/>
          <w:sz w:val="16"/>
          <w:szCs w:val="16"/>
        </w:rPr>
        <w:t xml:space="preserve">DOI: </w:t>
      </w:r>
      <w:hyperlink r:id="rId5">
        <w:r w:rsidRPr="1A480A0D" w:rsidR="1A480A0D">
          <w:rPr>
            <w:rStyle w:val="Hyperlink"/>
            <w:rFonts w:ascii="Open Sans" w:hAnsi="Open Sans" w:eastAsia="Open Sans" w:cs="Open Sans"/>
            <w:sz w:val="16"/>
            <w:szCs w:val="16"/>
          </w:rPr>
          <w:t>10.1080/00332925.2020.1773169.</w:t>
        </w:r>
      </w:hyperlink>
    </w:p>
  </w:footnote>
  <w:footnote w:id="23">
    <w:p w:rsidR="68C12C30" w:rsidP="45708CAD" w:rsidRDefault="68C12C30" w14:paraId="3F8C7667" w14:textId="24CB91CD">
      <w:pPr>
        <w:pStyle w:val="FootnoteText"/>
        <w:rPr>
          <w:rFonts w:ascii="Helvetica" w:hAnsi="Helvetica" w:eastAsia="Helvetica" w:cs="Helvetica"/>
          <w:sz w:val="16"/>
          <w:szCs w:val="16"/>
        </w:rPr>
      </w:pPr>
      <w:r w:rsidRPr="45708CAD">
        <w:rPr>
          <w:rStyle w:val="FootnoteReference"/>
          <w:sz w:val="16"/>
          <w:szCs w:val="16"/>
        </w:rPr>
        <w:footnoteRef/>
      </w:r>
      <w:r w:rsidRPr="45708CAD">
        <w:rPr>
          <w:sz w:val="16"/>
          <w:szCs w:val="16"/>
        </w:rPr>
        <w:t xml:space="preserve"> Greene, </w:t>
      </w:r>
      <w:r w:rsidRPr="45708CAD">
        <w:rPr>
          <w:i/>
          <w:iCs/>
          <w:sz w:val="16"/>
          <w:szCs w:val="16"/>
        </w:rPr>
        <w:t xml:space="preserve">Jung’s Studies in Astrology, </w:t>
      </w:r>
      <w:r w:rsidRPr="45708CAD">
        <w:rPr>
          <w:sz w:val="16"/>
          <w:szCs w:val="16"/>
        </w:rPr>
        <w:t>p. 10.</w:t>
      </w:r>
    </w:p>
  </w:footnote>
  <w:footnote w:id="24">
    <w:p w:rsidR="1CDE5FFE" w:rsidP="1CDE5FFE" w:rsidRDefault="1CDE5FFE" w14:paraId="6FE2E9C1" w14:textId="20C6FA50">
      <w:pPr>
        <w:pStyle w:val="FootnoteText"/>
        <w:rPr>
          <w:sz w:val="16"/>
          <w:szCs w:val="16"/>
        </w:rPr>
      </w:pPr>
      <w:r w:rsidRPr="1CDE5FFE">
        <w:rPr>
          <w:rStyle w:val="FootnoteReference"/>
          <w:sz w:val="16"/>
          <w:szCs w:val="16"/>
        </w:rPr>
        <w:footnoteRef/>
      </w:r>
      <w:r w:rsidRPr="1CDE5FFE">
        <w:rPr>
          <w:sz w:val="16"/>
          <w:szCs w:val="16"/>
        </w:rPr>
        <w:t xml:space="preserve"> Shamdasani,</w:t>
      </w:r>
      <w:r w:rsidRPr="1CDE5FFE">
        <w:rPr>
          <w:i/>
          <w:iCs/>
          <w:sz w:val="16"/>
          <w:szCs w:val="16"/>
        </w:rPr>
        <w:t xml:space="preserve"> The Red Book,</w:t>
      </w:r>
      <w:r w:rsidRPr="1CDE5FFE">
        <w:rPr>
          <w:sz w:val="16"/>
          <w:szCs w:val="16"/>
        </w:rPr>
        <w:t xml:space="preserve"> p. 59.</w:t>
      </w:r>
    </w:p>
  </w:footnote>
  <w:footnote w:id="25">
    <w:p w:rsidR="12AE13EF" w:rsidP="12AE13EF" w:rsidRDefault="12AE13EF" w14:paraId="3B8B6473" w14:textId="401F3D9F">
      <w:pPr>
        <w:pStyle w:val="FootnoteText"/>
        <w:rPr>
          <w:rFonts w:ascii="Calibri" w:hAnsi="Calibri" w:eastAsia="Calibri" w:cs="Calibri"/>
          <w:sz w:val="16"/>
          <w:szCs w:val="16"/>
        </w:rPr>
      </w:pPr>
      <w:r w:rsidRPr="12AE13EF">
        <w:rPr>
          <w:rStyle w:val="FootnoteReference"/>
          <w:sz w:val="16"/>
          <w:szCs w:val="16"/>
        </w:rPr>
        <w:footnoteRef/>
      </w:r>
      <w:r w:rsidRPr="12AE13EF">
        <w:rPr>
          <w:sz w:val="16"/>
          <w:szCs w:val="16"/>
        </w:rPr>
        <w:t xml:space="preserve"> Carl Gustav Jung. Archetypes of the Collective Unconscious. In Collected Works of C. G, Jung, Volume 9 (part 1), </w:t>
      </w:r>
      <w:r w:rsidRPr="12AE13EF">
        <w:rPr>
          <w:i/>
          <w:iCs/>
          <w:sz w:val="16"/>
          <w:szCs w:val="16"/>
        </w:rPr>
        <w:t xml:space="preserve">Archetypes and the Collective Unconscious, </w:t>
      </w:r>
      <w:r w:rsidRPr="12AE13EF">
        <w:rPr>
          <w:sz w:val="16"/>
          <w:szCs w:val="16"/>
        </w:rPr>
        <w:t xml:space="preserve">edited by Gerhard Alder and R. F. C. Hull, Princeton University Press (1969), pp. 3-41. </w:t>
      </w:r>
      <w:hyperlink r:id="rId6">
        <w:r w:rsidRPr="12AE13EF">
          <w:rPr>
            <w:rStyle w:val="Hyperlink"/>
            <w:rFonts w:ascii="Calibri" w:hAnsi="Calibri" w:eastAsia="Calibri" w:cs="Calibri"/>
            <w:sz w:val="16"/>
            <w:szCs w:val="16"/>
          </w:rPr>
          <w:t>http://www.jstor.org/stable/j.ctt5hhrnk.6.</w:t>
        </w:r>
      </w:hyperlink>
    </w:p>
  </w:footnote>
  <w:footnote w:id="26">
    <w:p w:rsidR="1CDE5FFE" w:rsidP="12AE13EF" w:rsidRDefault="1CDE5FFE" w14:paraId="2FC9FE3F" w14:textId="567D8681">
      <w:pPr>
        <w:pStyle w:val="FootnoteText"/>
        <w:rPr>
          <w:sz w:val="16"/>
          <w:szCs w:val="16"/>
        </w:rPr>
      </w:pPr>
      <w:r w:rsidRPr="12AE13EF">
        <w:rPr>
          <w:rStyle w:val="FootnoteReference"/>
          <w:sz w:val="16"/>
          <w:szCs w:val="16"/>
        </w:rPr>
        <w:footnoteRef/>
      </w:r>
      <w:r w:rsidRPr="12AE13EF">
        <w:rPr>
          <w:sz w:val="16"/>
          <w:szCs w:val="16"/>
        </w:rPr>
        <w:t xml:space="preserve"> </w:t>
      </w:r>
      <w:r w:rsidRPr="1CDE5FFE">
        <w:rPr>
          <w:sz w:val="16"/>
          <w:szCs w:val="16"/>
        </w:rPr>
        <w:t xml:space="preserve">Shamdasani, </w:t>
      </w:r>
      <w:r w:rsidRPr="12AE13EF">
        <w:rPr>
          <w:i/>
          <w:iCs/>
          <w:sz w:val="16"/>
          <w:szCs w:val="16"/>
        </w:rPr>
        <w:t xml:space="preserve">The Red Book, </w:t>
      </w:r>
      <w:r w:rsidRPr="1CDE5FFE">
        <w:rPr>
          <w:sz w:val="16"/>
          <w:szCs w:val="16"/>
        </w:rPr>
        <w:t>p. 60.</w:t>
      </w:r>
    </w:p>
  </w:footnote>
  <w:footnote w:id="27">
    <w:p w:rsidR="1A480A0D" w:rsidP="1A480A0D" w:rsidRDefault="1A480A0D" w14:paraId="2FFECADF" w14:textId="69218570">
      <w:pPr>
        <w:pStyle w:val="FootnoteText"/>
        <w:rPr>
          <w:sz w:val="16"/>
          <w:szCs w:val="16"/>
        </w:rPr>
      </w:pPr>
      <w:r w:rsidRPr="1A480A0D">
        <w:rPr>
          <w:rStyle w:val="FootnoteReference"/>
          <w:sz w:val="16"/>
          <w:szCs w:val="16"/>
        </w:rPr>
        <w:footnoteRef/>
      </w:r>
      <w:r w:rsidRPr="1A480A0D">
        <w:rPr>
          <w:sz w:val="16"/>
          <w:szCs w:val="16"/>
        </w:rPr>
        <w:t xml:space="preserve"> Shamdasani, </w:t>
      </w:r>
      <w:r w:rsidRPr="12AE13EF">
        <w:rPr>
          <w:i/>
          <w:iCs/>
          <w:sz w:val="16"/>
          <w:szCs w:val="16"/>
        </w:rPr>
        <w:t>The Red Book</w:t>
      </w:r>
      <w:r w:rsidRPr="1A480A0D">
        <w:rPr>
          <w:sz w:val="16"/>
          <w:szCs w:val="16"/>
        </w:rPr>
        <w:t>, pp. 55-56.</w:t>
      </w:r>
    </w:p>
  </w:footnote>
  <w:footnote w:id="28">
    <w:p w:rsidR="1A480A0D" w:rsidP="1A480A0D" w:rsidRDefault="1A480A0D" w14:paraId="0A840DD4" w14:textId="0CC44000">
      <w:pPr>
        <w:pStyle w:val="FootnoteText"/>
        <w:rPr>
          <w:sz w:val="16"/>
          <w:szCs w:val="16"/>
        </w:rPr>
      </w:pPr>
      <w:r w:rsidRPr="1A480A0D">
        <w:rPr>
          <w:rStyle w:val="FootnoteReference"/>
          <w:sz w:val="16"/>
          <w:szCs w:val="16"/>
        </w:rPr>
        <w:footnoteRef/>
      </w:r>
      <w:r w:rsidRPr="1A480A0D">
        <w:rPr>
          <w:sz w:val="16"/>
          <w:szCs w:val="16"/>
        </w:rPr>
        <w:t xml:space="preserve"> </w:t>
      </w:r>
      <w:proofErr w:type="spellStart"/>
      <w:r w:rsidRPr="1A480A0D">
        <w:rPr>
          <w:sz w:val="16"/>
          <w:szCs w:val="16"/>
        </w:rPr>
        <w:t>Laner</w:t>
      </w:r>
      <w:proofErr w:type="spellEnd"/>
      <w:r w:rsidRPr="1A480A0D">
        <w:rPr>
          <w:sz w:val="16"/>
          <w:szCs w:val="16"/>
        </w:rPr>
        <w:t xml:space="preserve"> </w:t>
      </w:r>
      <w:proofErr w:type="spellStart"/>
      <w:r w:rsidRPr="1A480A0D">
        <w:rPr>
          <w:sz w:val="16"/>
          <w:szCs w:val="16"/>
        </w:rPr>
        <w:t>Cassar</w:t>
      </w:r>
      <w:proofErr w:type="spellEnd"/>
      <w:r w:rsidRPr="1A480A0D">
        <w:rPr>
          <w:sz w:val="16"/>
          <w:szCs w:val="16"/>
        </w:rPr>
        <w:t xml:space="preserve">. </w:t>
      </w:r>
      <w:r w:rsidRPr="12AE13EF">
        <w:rPr>
          <w:i/>
          <w:iCs/>
          <w:sz w:val="16"/>
          <w:szCs w:val="16"/>
        </w:rPr>
        <w:t xml:space="preserve">Jung’s Technique of Active Imagination and </w:t>
      </w:r>
      <w:proofErr w:type="spellStart"/>
      <w:r w:rsidRPr="12AE13EF">
        <w:rPr>
          <w:i/>
          <w:iCs/>
          <w:sz w:val="16"/>
          <w:szCs w:val="16"/>
        </w:rPr>
        <w:t>Desoille’s</w:t>
      </w:r>
      <w:proofErr w:type="spellEnd"/>
      <w:r w:rsidRPr="12AE13EF">
        <w:rPr>
          <w:i/>
          <w:iCs/>
          <w:sz w:val="16"/>
          <w:szCs w:val="16"/>
        </w:rPr>
        <w:t xml:space="preserve"> Directed Waking Dream Method: Bridging the Divide, </w:t>
      </w:r>
      <w:r w:rsidRPr="1A480A0D">
        <w:rPr>
          <w:sz w:val="16"/>
          <w:szCs w:val="16"/>
        </w:rPr>
        <w:t>1st ed, (Routledge, 2020), p. 2.</w:t>
      </w:r>
    </w:p>
  </w:footnote>
  <w:footnote w:id="29">
    <w:p w:rsidR="1A480A0D" w:rsidP="1A480A0D" w:rsidRDefault="1A480A0D" w14:paraId="3102CF99" w14:textId="174EF04A">
      <w:pPr>
        <w:pStyle w:val="FootnoteText"/>
        <w:rPr>
          <w:sz w:val="16"/>
          <w:szCs w:val="16"/>
        </w:rPr>
      </w:pPr>
      <w:r w:rsidRPr="1A480A0D">
        <w:rPr>
          <w:rStyle w:val="FootnoteReference"/>
          <w:sz w:val="16"/>
          <w:szCs w:val="16"/>
        </w:rPr>
        <w:footnoteRef/>
      </w:r>
      <w:r w:rsidRPr="1A480A0D">
        <w:rPr>
          <w:sz w:val="16"/>
          <w:szCs w:val="16"/>
        </w:rPr>
        <w:t xml:space="preserve"> Shamdasani, </w:t>
      </w:r>
      <w:r w:rsidRPr="1A480A0D">
        <w:rPr>
          <w:i/>
          <w:iCs/>
          <w:sz w:val="16"/>
          <w:szCs w:val="16"/>
        </w:rPr>
        <w:t xml:space="preserve">The Red Book, </w:t>
      </w:r>
      <w:r w:rsidRPr="1A480A0D">
        <w:rPr>
          <w:sz w:val="16"/>
          <w:szCs w:val="16"/>
        </w:rPr>
        <w:t>pp. 87-88.</w:t>
      </w:r>
    </w:p>
  </w:footnote>
  <w:footnote w:id="30">
    <w:p w:rsidR="12AE13EF" w:rsidP="12AE13EF" w:rsidRDefault="12AE13EF" w14:paraId="7F965F63" w14:textId="395ABCF0">
      <w:pPr>
        <w:pStyle w:val="FootnoteText"/>
        <w:rPr>
          <w:sz w:val="16"/>
          <w:szCs w:val="16"/>
        </w:rPr>
      </w:pPr>
      <w:r w:rsidRPr="12AE13EF">
        <w:rPr>
          <w:rStyle w:val="FootnoteReference"/>
          <w:sz w:val="16"/>
          <w:szCs w:val="16"/>
        </w:rPr>
        <w:footnoteRef/>
      </w:r>
      <w:r w:rsidRPr="12AE13EF">
        <w:rPr>
          <w:sz w:val="16"/>
          <w:szCs w:val="16"/>
        </w:rPr>
        <w:t xml:space="preserve"> Martin </w:t>
      </w:r>
      <w:proofErr w:type="spellStart"/>
      <w:r w:rsidRPr="12AE13EF">
        <w:rPr>
          <w:sz w:val="16"/>
          <w:szCs w:val="16"/>
        </w:rPr>
        <w:t>Liebscher</w:t>
      </w:r>
      <w:proofErr w:type="spellEnd"/>
      <w:proofErr w:type="gramStart"/>
      <w:r w:rsidRPr="12AE13EF">
        <w:rPr>
          <w:sz w:val="16"/>
          <w:szCs w:val="16"/>
        </w:rPr>
        <w:t>, ’</w:t>
      </w:r>
      <w:proofErr w:type="gramEnd"/>
      <w:r w:rsidRPr="12AE13EF">
        <w:rPr>
          <w:sz w:val="16"/>
          <w:szCs w:val="16"/>
        </w:rPr>
        <w:t xml:space="preserve">C. G. Jung and the </w:t>
      </w:r>
      <w:proofErr w:type="spellStart"/>
      <w:r w:rsidRPr="12AE13EF">
        <w:rPr>
          <w:sz w:val="16"/>
          <w:szCs w:val="16"/>
        </w:rPr>
        <w:t>Berneuchen</w:t>
      </w:r>
      <w:proofErr w:type="spellEnd"/>
      <w:r w:rsidRPr="12AE13EF">
        <w:rPr>
          <w:sz w:val="16"/>
          <w:szCs w:val="16"/>
        </w:rPr>
        <w:t xml:space="preserve"> Movement: Meditation and Active Imagination in Jungian Psychotherapy and Protestant Spiritual practice in the 1930s,’ </w:t>
      </w:r>
      <w:r w:rsidRPr="12AE13EF">
        <w:rPr>
          <w:i/>
          <w:iCs/>
          <w:sz w:val="16"/>
          <w:szCs w:val="16"/>
        </w:rPr>
        <w:t xml:space="preserve">In Medical Humanity and Inhumanity in the German-Speaking World, </w:t>
      </w:r>
      <w:r w:rsidRPr="12AE13EF">
        <w:rPr>
          <w:sz w:val="16"/>
          <w:szCs w:val="16"/>
        </w:rPr>
        <w:t xml:space="preserve">edited by </w:t>
      </w:r>
      <w:proofErr w:type="spellStart"/>
      <w:r w:rsidRPr="12AE13EF">
        <w:rPr>
          <w:sz w:val="16"/>
          <w:szCs w:val="16"/>
        </w:rPr>
        <w:t>Mererid</w:t>
      </w:r>
      <w:proofErr w:type="spellEnd"/>
      <w:r w:rsidRPr="12AE13EF">
        <w:rPr>
          <w:sz w:val="16"/>
          <w:szCs w:val="16"/>
        </w:rPr>
        <w:t xml:space="preserve"> </w:t>
      </w:r>
      <w:proofErr w:type="spellStart"/>
      <w:r w:rsidRPr="12AE13EF">
        <w:rPr>
          <w:sz w:val="16"/>
          <w:szCs w:val="16"/>
        </w:rPr>
        <w:t>Puw</w:t>
      </w:r>
      <w:proofErr w:type="spellEnd"/>
      <w:r w:rsidRPr="12AE13EF">
        <w:rPr>
          <w:sz w:val="16"/>
          <w:szCs w:val="16"/>
        </w:rPr>
        <w:t xml:space="preserve"> Davies and </w:t>
      </w:r>
      <w:proofErr w:type="spellStart"/>
      <w:r w:rsidRPr="12AE13EF">
        <w:rPr>
          <w:sz w:val="16"/>
          <w:szCs w:val="16"/>
        </w:rPr>
        <w:t>Sonu</w:t>
      </w:r>
      <w:proofErr w:type="spellEnd"/>
      <w:r w:rsidRPr="12AE13EF">
        <w:rPr>
          <w:sz w:val="16"/>
          <w:szCs w:val="16"/>
        </w:rPr>
        <w:t xml:space="preserve"> Shamdasani, UCL Press (2020), 85-113 (p. 87).</w:t>
      </w:r>
    </w:p>
  </w:footnote>
  <w:footnote w:id="31">
    <w:p w:rsidR="68C12C30" w:rsidP="1A480A0D" w:rsidRDefault="68C12C30" w14:paraId="01CBE745" w14:textId="28BEC751">
      <w:pPr>
        <w:pStyle w:val="FootnoteText"/>
        <w:rPr>
          <w:sz w:val="16"/>
          <w:szCs w:val="16"/>
        </w:rPr>
      </w:pPr>
      <w:r w:rsidRPr="1A480A0D">
        <w:rPr>
          <w:rStyle w:val="FootnoteReference"/>
          <w:sz w:val="16"/>
          <w:szCs w:val="16"/>
        </w:rPr>
        <w:footnoteRef/>
      </w:r>
      <w:r w:rsidRPr="1A480A0D">
        <w:rPr>
          <w:sz w:val="16"/>
          <w:szCs w:val="16"/>
        </w:rPr>
        <w:t xml:space="preserve"> Carl Gustav Jung. </w:t>
      </w:r>
      <w:r w:rsidRPr="1A480A0D">
        <w:rPr>
          <w:i/>
          <w:iCs/>
          <w:sz w:val="16"/>
          <w:szCs w:val="16"/>
        </w:rPr>
        <w:t xml:space="preserve">Speaking: Interviews and Encounters, </w:t>
      </w:r>
      <w:r w:rsidRPr="1A480A0D">
        <w:rPr>
          <w:sz w:val="16"/>
          <w:szCs w:val="16"/>
        </w:rPr>
        <w:t>edited by</w:t>
      </w:r>
      <w:r w:rsidRPr="1A480A0D">
        <w:rPr>
          <w:i/>
          <w:iCs/>
          <w:sz w:val="16"/>
          <w:szCs w:val="16"/>
        </w:rPr>
        <w:t xml:space="preserve"> </w:t>
      </w:r>
      <w:r w:rsidRPr="1A480A0D">
        <w:rPr>
          <w:sz w:val="16"/>
          <w:szCs w:val="16"/>
        </w:rPr>
        <w:t>William McGuire and R.F.C. Hull (</w:t>
      </w:r>
      <w:proofErr w:type="spellStart"/>
      <w:r w:rsidRPr="1A480A0D">
        <w:rPr>
          <w:sz w:val="16"/>
          <w:szCs w:val="16"/>
        </w:rPr>
        <w:t>Bollingen</w:t>
      </w:r>
      <w:proofErr w:type="spellEnd"/>
      <w:r w:rsidRPr="1A480A0D">
        <w:rPr>
          <w:sz w:val="16"/>
          <w:szCs w:val="16"/>
        </w:rPr>
        <w:t xml:space="preserve"> Series, Princeton: Princeton University Press, 1977), p. 234.</w:t>
      </w:r>
    </w:p>
  </w:footnote>
  <w:footnote w:id="32">
    <w:p w:rsidR="1CDE5FFE" w:rsidP="12AE13EF" w:rsidRDefault="1CDE5FFE" w14:paraId="3A929AB3" w14:textId="3A8CE6C4">
      <w:pPr>
        <w:pStyle w:val="FootnoteText"/>
        <w:rPr>
          <w:sz w:val="16"/>
          <w:szCs w:val="16"/>
        </w:rPr>
      </w:pPr>
      <w:r w:rsidRPr="12AE13EF">
        <w:rPr>
          <w:rStyle w:val="FootnoteReference"/>
          <w:sz w:val="16"/>
          <w:szCs w:val="16"/>
        </w:rPr>
        <w:footnoteRef/>
      </w:r>
      <w:r w:rsidRPr="12AE13EF">
        <w:rPr>
          <w:sz w:val="16"/>
          <w:szCs w:val="16"/>
        </w:rPr>
        <w:t xml:space="preserve"> </w:t>
      </w:r>
      <w:proofErr w:type="spellStart"/>
      <w:r w:rsidRPr="1CDE5FFE">
        <w:rPr>
          <w:sz w:val="16"/>
          <w:szCs w:val="16"/>
        </w:rPr>
        <w:t>Cassar</w:t>
      </w:r>
      <w:proofErr w:type="spellEnd"/>
      <w:r w:rsidRPr="1CDE5FFE">
        <w:rPr>
          <w:sz w:val="16"/>
          <w:szCs w:val="16"/>
        </w:rPr>
        <w:t xml:space="preserve">, </w:t>
      </w:r>
      <w:r w:rsidRPr="12AE13EF">
        <w:rPr>
          <w:i/>
          <w:iCs/>
          <w:sz w:val="16"/>
          <w:szCs w:val="16"/>
        </w:rPr>
        <w:t xml:space="preserve">Jung’s Technique of Active Imagination, </w:t>
      </w:r>
      <w:r w:rsidRPr="12AE13EF">
        <w:rPr>
          <w:sz w:val="16"/>
          <w:szCs w:val="16"/>
        </w:rPr>
        <w:t xml:space="preserve">p. 4-9; also see Robert </w:t>
      </w:r>
      <w:proofErr w:type="spellStart"/>
      <w:r w:rsidRPr="12AE13EF">
        <w:rPr>
          <w:sz w:val="16"/>
          <w:szCs w:val="16"/>
        </w:rPr>
        <w:t>Desoille</w:t>
      </w:r>
      <w:proofErr w:type="spellEnd"/>
      <w:r w:rsidRPr="12AE13EF">
        <w:rPr>
          <w:sz w:val="16"/>
          <w:szCs w:val="16"/>
        </w:rPr>
        <w:t xml:space="preserve">. </w:t>
      </w:r>
      <w:r w:rsidRPr="12AE13EF">
        <w:rPr>
          <w:i/>
          <w:iCs/>
          <w:sz w:val="16"/>
          <w:szCs w:val="16"/>
        </w:rPr>
        <w:t xml:space="preserve">The Directed Daydream. First </w:t>
      </w:r>
      <w:proofErr w:type="gramStart"/>
      <w:r w:rsidRPr="12AE13EF">
        <w:rPr>
          <w:i/>
          <w:iCs/>
          <w:sz w:val="16"/>
          <w:szCs w:val="16"/>
        </w:rPr>
        <w:t>lecture.</w:t>
      </w:r>
      <w:r w:rsidRPr="12AE13EF">
        <w:rPr>
          <w:sz w:val="16"/>
          <w:szCs w:val="16"/>
        </w:rPr>
        <w:t>(</w:t>
      </w:r>
      <w:proofErr w:type="gramEnd"/>
      <w:r w:rsidRPr="12AE13EF">
        <w:rPr>
          <w:sz w:val="16"/>
          <w:szCs w:val="16"/>
        </w:rPr>
        <w:t xml:space="preserve">1965), pp. 1-23. Available at:  </w:t>
      </w:r>
      <w:hyperlink r:id="rId7">
        <w:r w:rsidRPr="12AE13EF" w:rsidR="12AE13EF">
          <w:rPr>
            <w:rStyle w:val="Hyperlink"/>
            <w:sz w:val="16"/>
            <w:szCs w:val="16"/>
          </w:rPr>
          <w:t>https://psychosynthesisresources.com/NieuweBestanden/directed_daydream.pdf</w:t>
        </w:r>
      </w:hyperlink>
      <w:r w:rsidRPr="12AE13EF" w:rsidR="12AE13EF">
        <w:rPr>
          <w:sz w:val="16"/>
          <w:szCs w:val="16"/>
        </w:rPr>
        <w:t>.</w:t>
      </w:r>
    </w:p>
  </w:footnote>
  <w:footnote w:id="33">
    <w:p w:rsidR="68C12C30" w:rsidP="1CDE5FFE" w:rsidRDefault="68C12C30" w14:paraId="18C4F712" w14:textId="4AB9DCAF">
      <w:pPr>
        <w:pStyle w:val="FootnoteText"/>
        <w:rPr>
          <w:sz w:val="16"/>
          <w:szCs w:val="16"/>
        </w:rPr>
      </w:pPr>
      <w:r w:rsidRPr="1A480A0D">
        <w:rPr>
          <w:rStyle w:val="FootnoteReference"/>
          <w:sz w:val="16"/>
          <w:szCs w:val="16"/>
        </w:rPr>
        <w:footnoteRef/>
      </w:r>
      <w:r w:rsidRPr="1A480A0D">
        <w:rPr>
          <w:sz w:val="16"/>
          <w:szCs w:val="16"/>
        </w:rPr>
        <w:t xml:space="preserve"> </w:t>
      </w:r>
      <w:proofErr w:type="spellStart"/>
      <w:r w:rsidRPr="1A480A0D">
        <w:rPr>
          <w:sz w:val="16"/>
          <w:szCs w:val="16"/>
        </w:rPr>
        <w:t>Cassar</w:t>
      </w:r>
      <w:proofErr w:type="spellEnd"/>
      <w:r w:rsidRPr="1A480A0D">
        <w:rPr>
          <w:sz w:val="16"/>
          <w:szCs w:val="16"/>
        </w:rPr>
        <w:t xml:space="preserve">, </w:t>
      </w:r>
      <w:r w:rsidRPr="1CDE5FFE">
        <w:rPr>
          <w:i/>
          <w:iCs/>
          <w:sz w:val="16"/>
          <w:szCs w:val="16"/>
        </w:rPr>
        <w:t xml:space="preserve">Jung’s Technique of Active Imagination, </w:t>
      </w:r>
      <w:r w:rsidRPr="1CDE5FFE">
        <w:rPr>
          <w:sz w:val="16"/>
          <w:szCs w:val="16"/>
        </w:rPr>
        <w:t>p. 4-9.</w:t>
      </w:r>
    </w:p>
  </w:footnote>
  <w:footnote w:id="34">
    <w:p w:rsidR="68C12C30" w:rsidP="1A480A0D" w:rsidRDefault="68C12C30" w14:paraId="028ADD80" w14:textId="4AC2DB8A">
      <w:pPr>
        <w:pStyle w:val="FootnoteText"/>
        <w:rPr>
          <w:sz w:val="16"/>
          <w:szCs w:val="16"/>
        </w:rPr>
      </w:pPr>
      <w:r w:rsidRPr="1A480A0D">
        <w:rPr>
          <w:rStyle w:val="FootnoteReference"/>
          <w:sz w:val="16"/>
          <w:szCs w:val="16"/>
        </w:rPr>
        <w:footnoteRef/>
      </w:r>
      <w:r w:rsidRPr="1A480A0D">
        <w:rPr>
          <w:sz w:val="16"/>
          <w:szCs w:val="16"/>
        </w:rPr>
        <w:t xml:space="preserve"> </w:t>
      </w:r>
      <w:proofErr w:type="spellStart"/>
      <w:r w:rsidRPr="1A480A0D">
        <w:rPr>
          <w:sz w:val="16"/>
          <w:szCs w:val="16"/>
        </w:rPr>
        <w:t>Cassar</w:t>
      </w:r>
      <w:proofErr w:type="spellEnd"/>
      <w:r w:rsidRPr="1A480A0D">
        <w:rPr>
          <w:sz w:val="16"/>
          <w:szCs w:val="16"/>
        </w:rPr>
        <w:t xml:space="preserve">, </w:t>
      </w:r>
      <w:r w:rsidRPr="1CDE5FFE">
        <w:rPr>
          <w:i/>
          <w:iCs/>
          <w:sz w:val="16"/>
          <w:szCs w:val="16"/>
        </w:rPr>
        <w:t xml:space="preserve">Jung’s Technique of Active Imagination, </w:t>
      </w:r>
      <w:r w:rsidRPr="1CDE5FFE">
        <w:rPr>
          <w:sz w:val="16"/>
          <w:szCs w:val="16"/>
        </w:rPr>
        <w:t>p. 7.</w:t>
      </w:r>
    </w:p>
  </w:footnote>
  <w:footnote w:id="35">
    <w:p w:rsidR="55F0D9A6" w:rsidP="45708CAD" w:rsidRDefault="55F0D9A6" w14:paraId="77B4E734" w14:textId="3AB302AF">
      <w:pPr>
        <w:pStyle w:val="FootnoteText"/>
        <w:rPr>
          <w:sz w:val="16"/>
          <w:szCs w:val="16"/>
        </w:rPr>
      </w:pPr>
      <w:r w:rsidRPr="45708CAD">
        <w:rPr>
          <w:rStyle w:val="FootnoteReference"/>
          <w:sz w:val="16"/>
          <w:szCs w:val="16"/>
        </w:rPr>
        <w:footnoteRef/>
      </w:r>
      <w:r w:rsidRPr="45708CAD">
        <w:rPr>
          <w:sz w:val="16"/>
          <w:szCs w:val="16"/>
        </w:rPr>
        <w:t xml:space="preserve"> Shamdasani, </w:t>
      </w:r>
      <w:r w:rsidRPr="45708CAD">
        <w:rPr>
          <w:i/>
          <w:iCs/>
          <w:sz w:val="16"/>
          <w:szCs w:val="16"/>
        </w:rPr>
        <w:t xml:space="preserve">The Red Book, </w:t>
      </w:r>
      <w:r w:rsidRPr="45708CAD">
        <w:rPr>
          <w:sz w:val="16"/>
          <w:szCs w:val="16"/>
        </w:rPr>
        <w:t>pp. 128-129.</w:t>
      </w:r>
    </w:p>
  </w:footnote>
  <w:footnote w:id="36">
    <w:p w:rsidR="68C12C30" w:rsidP="45708CAD" w:rsidRDefault="68C12C30" w14:paraId="46ED0698" w14:textId="55E50049">
      <w:pPr>
        <w:pStyle w:val="FootnoteText"/>
        <w:rPr>
          <w:sz w:val="16"/>
          <w:szCs w:val="16"/>
        </w:rPr>
      </w:pPr>
      <w:r w:rsidRPr="45708CAD">
        <w:rPr>
          <w:rStyle w:val="FootnoteReference"/>
          <w:sz w:val="16"/>
          <w:szCs w:val="16"/>
        </w:rPr>
        <w:footnoteRef/>
      </w:r>
      <w:r w:rsidRPr="45708CAD">
        <w:rPr>
          <w:sz w:val="16"/>
          <w:szCs w:val="16"/>
        </w:rPr>
        <w:t xml:space="preserve"> Lionel Corbett, ’</w:t>
      </w:r>
      <w:r w:rsidRPr="1A480A0D">
        <w:rPr>
          <w:sz w:val="16"/>
          <w:szCs w:val="16"/>
        </w:rPr>
        <w:t xml:space="preserve">Jung’s The Red Book Dialogues with the Soul: Herald of a new </w:t>
      </w:r>
      <w:proofErr w:type="gramStart"/>
      <w:r w:rsidRPr="1A480A0D">
        <w:rPr>
          <w:sz w:val="16"/>
          <w:szCs w:val="16"/>
        </w:rPr>
        <w:t>Religion?‘</w:t>
      </w:r>
      <w:proofErr w:type="gramEnd"/>
      <w:r w:rsidRPr="1A480A0D">
        <w:rPr>
          <w:i/>
          <w:iCs/>
          <w:sz w:val="16"/>
          <w:szCs w:val="16"/>
        </w:rPr>
        <w:t xml:space="preserve"> Jung Journal,</w:t>
      </w:r>
      <w:r w:rsidRPr="1A480A0D">
        <w:rPr>
          <w:sz w:val="16"/>
          <w:szCs w:val="16"/>
        </w:rPr>
        <w:t xml:space="preserve"> Vol 5, no 3 (2011), pp. 63 – 77.</w:t>
      </w:r>
      <w:r w:rsidRPr="45708CAD" w:rsidR="45708CAD">
        <w:rPr>
          <w:sz w:val="16"/>
          <w:szCs w:val="16"/>
        </w:rPr>
        <w:t xml:space="preserve"> </w:t>
      </w:r>
      <w:hyperlink r:id="rId8">
        <w:r w:rsidRPr="45708CAD" w:rsidR="45708CAD">
          <w:rPr>
            <w:rStyle w:val="Hyperlink"/>
            <w:sz w:val="16"/>
            <w:szCs w:val="16"/>
          </w:rPr>
          <w:t>https://doi.org/10.1525/jung.2011.5.3.63</w:t>
        </w:r>
      </w:hyperlink>
      <w:r w:rsidRPr="45708CAD" w:rsidR="45708CAD">
        <w:rPr>
          <w:sz w:val="16"/>
          <w:szCs w:val="16"/>
        </w:rPr>
        <w:t>.</w:t>
      </w:r>
    </w:p>
  </w:footnote>
  <w:footnote w:id="37">
    <w:p w:rsidR="4D588943" w:rsidP="45708CAD" w:rsidRDefault="4D588943" w14:paraId="6B172583" w14:textId="571D0D70">
      <w:pPr>
        <w:pStyle w:val="FootnoteText"/>
        <w:rPr>
          <w:sz w:val="16"/>
          <w:szCs w:val="16"/>
        </w:rPr>
      </w:pPr>
      <w:r w:rsidRPr="45708CAD">
        <w:rPr>
          <w:rStyle w:val="FootnoteReference"/>
          <w:sz w:val="16"/>
          <w:szCs w:val="16"/>
        </w:rPr>
        <w:footnoteRef/>
      </w:r>
      <w:r w:rsidRPr="45708CAD">
        <w:rPr>
          <w:sz w:val="16"/>
          <w:szCs w:val="16"/>
        </w:rPr>
        <w:t xml:space="preserve"> Corbett, ’</w:t>
      </w:r>
      <w:r w:rsidRPr="45708CAD">
        <w:rPr>
          <w:i/>
          <w:iCs/>
          <w:sz w:val="16"/>
          <w:szCs w:val="16"/>
        </w:rPr>
        <w:t xml:space="preserve">Jung’s The Red Book Dialogues,’ </w:t>
      </w:r>
      <w:r w:rsidRPr="45708CAD">
        <w:rPr>
          <w:sz w:val="16"/>
          <w:szCs w:val="16"/>
        </w:rPr>
        <w:t>pp. 63 – 77.</w:t>
      </w:r>
    </w:p>
  </w:footnote>
  <w:footnote w:id="38">
    <w:p w:rsidR="1A480A0D" w:rsidP="1CDE5FFE" w:rsidRDefault="1A480A0D" w14:paraId="40921BC1" w14:textId="5C9A299B">
      <w:pPr>
        <w:pStyle w:val="FootnoteText"/>
        <w:rPr>
          <w:sz w:val="16"/>
          <w:szCs w:val="16"/>
        </w:rPr>
      </w:pPr>
      <w:r w:rsidRPr="1CDE5FFE">
        <w:rPr>
          <w:rStyle w:val="FootnoteReference"/>
          <w:sz w:val="16"/>
          <w:szCs w:val="16"/>
        </w:rPr>
        <w:footnoteRef/>
      </w:r>
      <w:r w:rsidRPr="1CDE5FFE">
        <w:rPr>
          <w:sz w:val="16"/>
          <w:szCs w:val="16"/>
        </w:rPr>
        <w:t xml:space="preserve"> </w:t>
      </w:r>
      <w:r w:rsidRPr="1A480A0D">
        <w:rPr>
          <w:sz w:val="16"/>
          <w:szCs w:val="16"/>
        </w:rPr>
        <w:t xml:space="preserve">Carl Gustav Jung. </w:t>
      </w:r>
      <w:proofErr w:type="spellStart"/>
      <w:r w:rsidRPr="1CDE5FFE">
        <w:rPr>
          <w:i/>
          <w:iCs/>
          <w:sz w:val="16"/>
          <w:szCs w:val="16"/>
        </w:rPr>
        <w:t>Aion</w:t>
      </w:r>
      <w:proofErr w:type="spellEnd"/>
      <w:r w:rsidRPr="1CDE5FFE">
        <w:rPr>
          <w:i/>
          <w:iCs/>
          <w:sz w:val="16"/>
          <w:szCs w:val="16"/>
        </w:rPr>
        <w:t xml:space="preserve">: Researches into the Phenomenology of the Self. </w:t>
      </w:r>
      <w:r w:rsidRPr="1CDE5FFE">
        <w:rPr>
          <w:sz w:val="16"/>
          <w:szCs w:val="16"/>
        </w:rPr>
        <w:t>(United Kingdom: Taylor &amp; Francis Group, 2015), p. 93.</w:t>
      </w:r>
    </w:p>
  </w:footnote>
  <w:footnote w:id="39">
    <w:p w:rsidR="12AE13EF" w:rsidP="12AE13EF" w:rsidRDefault="12AE13EF" w14:paraId="63947035" w14:textId="4BEF0CA5">
      <w:pPr>
        <w:pStyle w:val="FootnoteText"/>
        <w:rPr>
          <w:rFonts w:ascii="Calibri" w:hAnsi="Calibri" w:eastAsia="Calibri" w:cs="Calibri"/>
          <w:color w:val="000000" w:themeColor="text1"/>
          <w:sz w:val="16"/>
          <w:szCs w:val="16"/>
        </w:rPr>
      </w:pPr>
      <w:r w:rsidRPr="12AE13EF">
        <w:rPr>
          <w:rStyle w:val="FootnoteReference"/>
          <w:sz w:val="16"/>
          <w:szCs w:val="16"/>
        </w:rPr>
        <w:footnoteRef/>
      </w:r>
      <w:r w:rsidRPr="12AE13EF">
        <w:rPr>
          <w:sz w:val="16"/>
          <w:szCs w:val="16"/>
        </w:rPr>
        <w:t xml:space="preserve"> </w:t>
      </w:r>
      <w:proofErr w:type="spellStart"/>
      <w:r w:rsidRPr="12AE13EF">
        <w:rPr>
          <w:rFonts w:eastAsiaTheme="minorEastAsia"/>
          <w:sz w:val="16"/>
          <w:szCs w:val="16"/>
        </w:rPr>
        <w:t>Safron</w:t>
      </w:r>
      <w:proofErr w:type="spellEnd"/>
      <w:r w:rsidRPr="12AE13EF">
        <w:rPr>
          <w:rFonts w:eastAsiaTheme="minorEastAsia"/>
          <w:sz w:val="16"/>
          <w:szCs w:val="16"/>
        </w:rPr>
        <w:t xml:space="preserve"> Rossi and Keiron Le Grice. </w:t>
      </w:r>
      <w:r w:rsidRPr="12AE13EF">
        <w:rPr>
          <w:rFonts w:eastAsiaTheme="minorEastAsia"/>
          <w:i/>
          <w:iCs/>
          <w:sz w:val="16"/>
          <w:szCs w:val="16"/>
        </w:rPr>
        <w:t xml:space="preserve">Jung on Astrology. </w:t>
      </w:r>
      <w:r w:rsidRPr="12AE13EF">
        <w:rPr>
          <w:rFonts w:eastAsiaTheme="minorEastAsia"/>
          <w:color w:val="222222"/>
          <w:sz w:val="16"/>
          <w:szCs w:val="16"/>
        </w:rPr>
        <w:t>(Routledge, 2017), p</w:t>
      </w:r>
      <w:r w:rsidRPr="12AE13EF">
        <w:rPr>
          <w:rFonts w:eastAsiaTheme="minorEastAsia"/>
          <w:sz w:val="16"/>
          <w:szCs w:val="16"/>
        </w:rPr>
        <w:t>. 4: also see Tester</w:t>
      </w:r>
      <w:r w:rsidRPr="12AE13EF">
        <w:rPr>
          <w:rFonts w:ascii="Calibri" w:hAnsi="Calibri" w:eastAsia="Calibri" w:cs="Calibri"/>
          <w:color w:val="000000" w:themeColor="text1"/>
          <w:sz w:val="16"/>
          <w:szCs w:val="16"/>
        </w:rPr>
        <w:t xml:space="preserve">. </w:t>
      </w:r>
      <w:r w:rsidRPr="12AE13EF">
        <w:rPr>
          <w:rFonts w:ascii="Calibri" w:hAnsi="Calibri" w:eastAsia="Calibri" w:cs="Calibri"/>
          <w:i/>
          <w:iCs/>
          <w:color w:val="000000" w:themeColor="text1"/>
          <w:sz w:val="16"/>
          <w:szCs w:val="16"/>
        </w:rPr>
        <w:t xml:space="preserve">A History of Western Astrology. </w:t>
      </w:r>
      <w:r w:rsidRPr="12AE13EF">
        <w:rPr>
          <w:rFonts w:ascii="Calibri" w:hAnsi="Calibri" w:eastAsia="Calibri" w:cs="Calibri"/>
          <w:color w:val="000000" w:themeColor="text1"/>
          <w:sz w:val="16"/>
          <w:szCs w:val="16"/>
        </w:rPr>
        <w:t xml:space="preserve">(Kiribati: Boydell Press, 1990), pp. 1-23; also see Tamsyn Barton. </w:t>
      </w:r>
      <w:r w:rsidRPr="12AE13EF">
        <w:rPr>
          <w:rFonts w:ascii="Calibri" w:hAnsi="Calibri" w:eastAsia="Calibri" w:cs="Calibri"/>
          <w:i/>
          <w:iCs/>
          <w:color w:val="000000" w:themeColor="text1"/>
          <w:sz w:val="16"/>
          <w:szCs w:val="16"/>
        </w:rPr>
        <w:t xml:space="preserve">Ancient Astrology. </w:t>
      </w:r>
      <w:r w:rsidRPr="12AE13EF">
        <w:rPr>
          <w:rFonts w:ascii="Calibri" w:hAnsi="Calibri" w:eastAsia="Calibri" w:cs="Calibri"/>
          <w:color w:val="000000" w:themeColor="text1"/>
          <w:sz w:val="16"/>
          <w:szCs w:val="16"/>
        </w:rPr>
        <w:t xml:space="preserve">(London: Routledge, 1995), pp. 1-8; also see Benson Bobrick. </w:t>
      </w:r>
      <w:r w:rsidRPr="12AE13EF">
        <w:rPr>
          <w:rFonts w:ascii="Calibri" w:hAnsi="Calibri" w:eastAsia="Calibri" w:cs="Calibri"/>
          <w:i/>
          <w:iCs/>
          <w:color w:val="000000" w:themeColor="text1"/>
          <w:sz w:val="16"/>
          <w:szCs w:val="16"/>
        </w:rPr>
        <w:t xml:space="preserve">The Fated Sky: Astrology in History. </w:t>
      </w:r>
      <w:r w:rsidRPr="12AE13EF">
        <w:rPr>
          <w:rFonts w:ascii="Calibri" w:hAnsi="Calibri" w:eastAsia="Calibri" w:cs="Calibri"/>
          <w:color w:val="000000" w:themeColor="text1"/>
          <w:sz w:val="16"/>
          <w:szCs w:val="16"/>
        </w:rPr>
        <w:t>(United Kingdom: Simon &amp; Schuster, 2006), pp. 3-334.</w:t>
      </w:r>
    </w:p>
  </w:footnote>
  <w:footnote w:id="40">
    <w:p w:rsidR="1A480A0D" w:rsidP="1A480A0D" w:rsidRDefault="1A480A0D" w14:paraId="1D63B729" w14:textId="4A7563FF">
      <w:pPr>
        <w:pStyle w:val="FootnoteText"/>
        <w:rPr>
          <w:i/>
          <w:iCs/>
          <w:sz w:val="16"/>
          <w:szCs w:val="16"/>
        </w:rPr>
      </w:pPr>
      <w:r w:rsidRPr="1A480A0D">
        <w:rPr>
          <w:rStyle w:val="FootnoteReference"/>
          <w:sz w:val="16"/>
          <w:szCs w:val="16"/>
        </w:rPr>
        <w:footnoteRef/>
      </w:r>
      <w:r w:rsidRPr="1A480A0D">
        <w:rPr>
          <w:sz w:val="16"/>
          <w:szCs w:val="16"/>
        </w:rPr>
        <w:t xml:space="preserve"> Campion, </w:t>
      </w:r>
      <w:r w:rsidRPr="1A480A0D">
        <w:rPr>
          <w:i/>
          <w:iCs/>
          <w:sz w:val="16"/>
          <w:szCs w:val="16"/>
        </w:rPr>
        <w:t xml:space="preserve">A History of Western Astrology, </w:t>
      </w:r>
      <w:r w:rsidRPr="1A480A0D">
        <w:rPr>
          <w:sz w:val="16"/>
          <w:szCs w:val="16"/>
        </w:rPr>
        <w:t>p. xiii.</w:t>
      </w:r>
    </w:p>
  </w:footnote>
  <w:footnote w:id="41">
    <w:p w:rsidR="1A480A0D" w:rsidP="1CDE5FFE" w:rsidRDefault="1A480A0D" w14:paraId="1BB43745" w14:textId="38FA3DF2">
      <w:pPr>
        <w:pStyle w:val="FootnoteText"/>
        <w:rPr>
          <w:sz w:val="16"/>
          <w:szCs w:val="16"/>
        </w:rPr>
      </w:pPr>
      <w:r w:rsidRPr="1A480A0D">
        <w:rPr>
          <w:rStyle w:val="FootnoteReference"/>
          <w:sz w:val="16"/>
          <w:szCs w:val="16"/>
        </w:rPr>
        <w:footnoteRef/>
      </w:r>
      <w:r w:rsidRPr="1A480A0D">
        <w:rPr>
          <w:sz w:val="16"/>
          <w:szCs w:val="16"/>
        </w:rPr>
        <w:t xml:space="preserve"> Angela </w:t>
      </w:r>
      <w:proofErr w:type="spellStart"/>
      <w:r w:rsidRPr="1A480A0D">
        <w:rPr>
          <w:sz w:val="16"/>
          <w:szCs w:val="16"/>
        </w:rPr>
        <w:t>Vose</w:t>
      </w:r>
      <w:proofErr w:type="spellEnd"/>
      <w:r w:rsidRPr="1A480A0D">
        <w:rPr>
          <w:sz w:val="16"/>
          <w:szCs w:val="16"/>
        </w:rPr>
        <w:t xml:space="preserve">. </w:t>
      </w:r>
      <w:r w:rsidRPr="1CDE5FFE">
        <w:rPr>
          <w:i/>
          <w:iCs/>
          <w:sz w:val="16"/>
          <w:szCs w:val="16"/>
        </w:rPr>
        <w:t xml:space="preserve">The Natural Magic of </w:t>
      </w:r>
      <w:proofErr w:type="spellStart"/>
      <w:r w:rsidRPr="1CDE5FFE">
        <w:rPr>
          <w:i/>
          <w:iCs/>
          <w:sz w:val="16"/>
          <w:szCs w:val="16"/>
        </w:rPr>
        <w:t>Marsilio</w:t>
      </w:r>
      <w:proofErr w:type="spellEnd"/>
      <w:r w:rsidRPr="1CDE5FFE">
        <w:rPr>
          <w:i/>
          <w:iCs/>
          <w:sz w:val="16"/>
          <w:szCs w:val="16"/>
        </w:rPr>
        <w:t xml:space="preserve"> Ficino. Historical Dance, </w:t>
      </w:r>
      <w:r w:rsidRPr="1CDE5FFE">
        <w:rPr>
          <w:sz w:val="16"/>
          <w:szCs w:val="16"/>
        </w:rPr>
        <w:t xml:space="preserve">Volume 3, Number 1 (1992), pp. 25-30. Available at: </w:t>
      </w:r>
      <w:hyperlink r:id="rId9">
        <w:r w:rsidRPr="1CDE5FFE">
          <w:rPr>
            <w:rStyle w:val="Hyperlink"/>
            <w:sz w:val="16"/>
            <w:szCs w:val="16"/>
          </w:rPr>
          <w:t>https://historicaldance.org.uk/wp-content/uploads/2020/09/hd3n1p25.pdf;</w:t>
        </w:r>
        <w:r w:rsidRPr="1CDE5FFE">
          <w:rPr>
            <w:sz w:val="16"/>
            <w:szCs w:val="16"/>
          </w:rPr>
          <w:t xml:space="preserve"> also see Angela Voss, The Music of Spheres: Marsilio Ficino and Renaissances </w:t>
        </w:r>
        <w:r w:rsidRPr="1CDE5FFE">
          <w:rPr>
            <w:i/>
            <w:iCs/>
            <w:sz w:val="16"/>
            <w:szCs w:val="16"/>
          </w:rPr>
          <w:t xml:space="preserve">harmonia,’ Culture and Cosmos, </w:t>
        </w:r>
        <w:r w:rsidRPr="1CDE5FFE">
          <w:rPr>
            <w:sz w:val="16"/>
            <w:szCs w:val="16"/>
          </w:rPr>
          <w:t xml:space="preserve">Volume 2, No 2. (1998) pp. 16-38. Available at: </w:t>
        </w:r>
      </w:hyperlink>
      <w:hyperlink r:id="rId10">
        <w:r w:rsidRPr="1CDE5FFE" w:rsidR="1CDE5FFE">
          <w:rPr>
            <w:rStyle w:val="Hyperlink"/>
            <w:sz w:val="16"/>
            <w:szCs w:val="16"/>
          </w:rPr>
          <w:t>http://www.cultureandcosmos.org/pdfs/2-2/Voss_Music_Spheres.pdf</w:t>
        </w:r>
      </w:hyperlink>
      <w:r w:rsidRPr="1CDE5FFE" w:rsidR="1CDE5FFE">
        <w:rPr>
          <w:sz w:val="16"/>
          <w:szCs w:val="16"/>
        </w:rPr>
        <w:t>.</w:t>
      </w:r>
    </w:p>
  </w:footnote>
  <w:footnote w:id="42">
    <w:p w:rsidR="12AE13EF" w:rsidP="12AE13EF" w:rsidRDefault="12AE13EF" w14:paraId="01141ED8" w14:textId="32F0F3FF">
      <w:pPr>
        <w:pStyle w:val="FootnoteText"/>
        <w:rPr>
          <w:rFonts w:ascii="Calibri" w:hAnsi="Calibri" w:eastAsia="Calibri" w:cs="Calibri"/>
          <w:sz w:val="16"/>
          <w:szCs w:val="16"/>
        </w:rPr>
      </w:pPr>
      <w:r w:rsidRPr="12AE13EF">
        <w:rPr>
          <w:rStyle w:val="FootnoteReference"/>
          <w:sz w:val="16"/>
          <w:szCs w:val="16"/>
        </w:rPr>
        <w:footnoteRef/>
      </w:r>
      <w:r w:rsidRPr="12AE13EF">
        <w:rPr>
          <w:sz w:val="16"/>
          <w:szCs w:val="16"/>
        </w:rPr>
        <w:t xml:space="preserve"> </w:t>
      </w:r>
      <w:r w:rsidRPr="12AE13EF">
        <w:rPr>
          <w:rFonts w:ascii="Calibri" w:hAnsi="Calibri" w:eastAsia="Calibri" w:cs="Calibri"/>
          <w:sz w:val="16"/>
          <w:szCs w:val="16"/>
        </w:rPr>
        <w:t xml:space="preserve">Christopher S. </w:t>
      </w:r>
      <w:proofErr w:type="spellStart"/>
      <w:r w:rsidRPr="12AE13EF">
        <w:rPr>
          <w:rFonts w:ascii="Calibri" w:hAnsi="Calibri" w:eastAsia="Calibri" w:cs="Calibri"/>
          <w:sz w:val="16"/>
          <w:szCs w:val="16"/>
        </w:rPr>
        <w:t>Celenza</w:t>
      </w:r>
      <w:proofErr w:type="spellEnd"/>
      <w:r w:rsidRPr="12AE13EF">
        <w:rPr>
          <w:rFonts w:ascii="Calibri" w:hAnsi="Calibri" w:eastAsia="Calibri" w:cs="Calibri"/>
          <w:sz w:val="16"/>
          <w:szCs w:val="16"/>
        </w:rPr>
        <w:t xml:space="preserve">. ‘Pythagoras in the Renaissance: The Case of </w:t>
      </w:r>
      <w:proofErr w:type="spellStart"/>
      <w:r w:rsidRPr="12AE13EF">
        <w:rPr>
          <w:rFonts w:ascii="Calibri" w:hAnsi="Calibri" w:eastAsia="Calibri" w:cs="Calibri"/>
          <w:sz w:val="16"/>
          <w:szCs w:val="16"/>
        </w:rPr>
        <w:t>Marsilio</w:t>
      </w:r>
      <w:proofErr w:type="spellEnd"/>
      <w:r w:rsidRPr="12AE13EF">
        <w:rPr>
          <w:rFonts w:ascii="Calibri" w:hAnsi="Calibri" w:eastAsia="Calibri" w:cs="Calibri"/>
          <w:sz w:val="16"/>
          <w:szCs w:val="16"/>
        </w:rPr>
        <w:t xml:space="preserve"> Ficino,’ </w:t>
      </w:r>
      <w:r w:rsidRPr="12AE13EF">
        <w:rPr>
          <w:rFonts w:ascii="Calibri" w:hAnsi="Calibri" w:eastAsia="Calibri" w:cs="Calibri"/>
          <w:i/>
          <w:iCs/>
          <w:sz w:val="16"/>
          <w:szCs w:val="16"/>
        </w:rPr>
        <w:t xml:space="preserve">Renaissance Quarterly 52, </w:t>
      </w:r>
      <w:r w:rsidRPr="12AE13EF">
        <w:rPr>
          <w:rFonts w:ascii="Calibri" w:hAnsi="Calibri" w:eastAsia="Calibri" w:cs="Calibri"/>
          <w:sz w:val="16"/>
          <w:szCs w:val="16"/>
        </w:rPr>
        <w:t xml:space="preserve">no. 3 (1999), pp 667-711. </w:t>
      </w:r>
      <w:hyperlink r:id="rId11">
        <w:r w:rsidRPr="12AE13EF">
          <w:rPr>
            <w:rStyle w:val="Hyperlink"/>
            <w:rFonts w:ascii="Calibri" w:hAnsi="Calibri" w:eastAsia="Calibri" w:cs="Calibri"/>
            <w:sz w:val="16"/>
            <w:szCs w:val="16"/>
          </w:rPr>
          <w:t>https://doi.org/10.2307/2901915.</w:t>
        </w:r>
      </w:hyperlink>
    </w:p>
  </w:footnote>
  <w:footnote w:id="43">
    <w:p w:rsidR="1A480A0D" w:rsidP="1A480A0D" w:rsidRDefault="1A480A0D" w14:paraId="03D28D2F" w14:textId="2053CA5D">
      <w:pPr>
        <w:pStyle w:val="FootnoteText"/>
        <w:rPr>
          <w:sz w:val="16"/>
          <w:szCs w:val="16"/>
        </w:rPr>
      </w:pPr>
      <w:r w:rsidRPr="1A480A0D">
        <w:rPr>
          <w:rStyle w:val="FootnoteReference"/>
          <w:sz w:val="16"/>
          <w:szCs w:val="16"/>
        </w:rPr>
        <w:footnoteRef/>
      </w:r>
      <w:r w:rsidRPr="1A480A0D">
        <w:rPr>
          <w:sz w:val="16"/>
          <w:szCs w:val="16"/>
        </w:rPr>
        <w:t xml:space="preserve"> Greene, </w:t>
      </w:r>
      <w:r w:rsidRPr="1A480A0D">
        <w:rPr>
          <w:i/>
          <w:iCs/>
          <w:sz w:val="16"/>
          <w:szCs w:val="16"/>
        </w:rPr>
        <w:t xml:space="preserve">Jung’s Studies in Astrology, </w:t>
      </w:r>
      <w:r w:rsidRPr="1A480A0D">
        <w:rPr>
          <w:sz w:val="16"/>
          <w:szCs w:val="16"/>
        </w:rPr>
        <w:t>pp. 89-90.</w:t>
      </w:r>
    </w:p>
  </w:footnote>
  <w:footnote w:id="44">
    <w:p w:rsidR="1A480A0D" w:rsidP="1A480A0D" w:rsidRDefault="1A480A0D" w14:paraId="574F5621" w14:textId="6914B1A2">
      <w:pPr>
        <w:pStyle w:val="FootnoteText"/>
        <w:rPr>
          <w:rFonts w:eastAsiaTheme="minorEastAsia"/>
          <w:color w:val="222222"/>
          <w:sz w:val="16"/>
          <w:szCs w:val="16"/>
        </w:rPr>
      </w:pPr>
      <w:r w:rsidRPr="1A480A0D">
        <w:rPr>
          <w:rStyle w:val="FootnoteReference"/>
          <w:rFonts w:eastAsiaTheme="minorEastAsia"/>
          <w:sz w:val="16"/>
          <w:szCs w:val="16"/>
        </w:rPr>
        <w:footnoteRef/>
      </w:r>
      <w:r w:rsidRPr="1A480A0D">
        <w:rPr>
          <w:rFonts w:eastAsiaTheme="minorEastAsia"/>
          <w:color w:val="222222"/>
          <w:sz w:val="16"/>
          <w:szCs w:val="16"/>
        </w:rPr>
        <w:t xml:space="preserve"> Rossi and Le Grice. </w:t>
      </w:r>
      <w:r w:rsidRPr="1A480A0D">
        <w:rPr>
          <w:rFonts w:eastAsiaTheme="minorEastAsia"/>
          <w:i/>
          <w:iCs/>
          <w:color w:val="222222"/>
          <w:sz w:val="16"/>
          <w:szCs w:val="16"/>
        </w:rPr>
        <w:t xml:space="preserve">Jung on Astrology, </w:t>
      </w:r>
      <w:r w:rsidRPr="1A480A0D">
        <w:rPr>
          <w:rFonts w:eastAsiaTheme="minorEastAsia"/>
          <w:color w:val="222222"/>
          <w:sz w:val="16"/>
          <w:szCs w:val="16"/>
        </w:rPr>
        <w:t>p. 4.</w:t>
      </w:r>
    </w:p>
  </w:footnote>
  <w:footnote w:id="45">
    <w:p w:rsidR="1A480A0D" w:rsidP="1A480A0D" w:rsidRDefault="1A480A0D" w14:paraId="7BF23720" w14:textId="6CE57A0E">
      <w:pPr>
        <w:pStyle w:val="FootnoteText"/>
        <w:rPr>
          <w:rFonts w:eastAsiaTheme="minorEastAsia"/>
          <w:color w:val="333333"/>
          <w:sz w:val="16"/>
          <w:szCs w:val="16"/>
        </w:rPr>
      </w:pPr>
      <w:r w:rsidRPr="1A480A0D">
        <w:rPr>
          <w:rStyle w:val="FootnoteReference"/>
          <w:rFonts w:eastAsiaTheme="minorEastAsia"/>
          <w:sz w:val="16"/>
          <w:szCs w:val="16"/>
        </w:rPr>
        <w:footnoteRef/>
      </w:r>
      <w:r w:rsidRPr="1A480A0D">
        <w:rPr>
          <w:rFonts w:eastAsiaTheme="minorEastAsia"/>
          <w:b/>
          <w:bCs/>
          <w:color w:val="333333"/>
          <w:sz w:val="16"/>
          <w:szCs w:val="16"/>
        </w:rPr>
        <w:t xml:space="preserve"> </w:t>
      </w:r>
      <w:r w:rsidRPr="1A480A0D">
        <w:rPr>
          <w:rFonts w:eastAsiaTheme="minorEastAsia"/>
          <w:color w:val="333333"/>
          <w:sz w:val="16"/>
          <w:szCs w:val="16"/>
        </w:rPr>
        <w:t xml:space="preserve">Plato. </w:t>
      </w:r>
      <w:r w:rsidRPr="1A480A0D">
        <w:rPr>
          <w:rFonts w:eastAsiaTheme="minorEastAsia"/>
          <w:i/>
          <w:iCs/>
          <w:color w:val="333333"/>
          <w:sz w:val="16"/>
          <w:szCs w:val="16"/>
        </w:rPr>
        <w:t xml:space="preserve">Timaeus. </w:t>
      </w:r>
      <w:proofErr w:type="spellStart"/>
      <w:r w:rsidRPr="1A480A0D">
        <w:rPr>
          <w:rFonts w:eastAsiaTheme="minorEastAsia"/>
          <w:i/>
          <w:iCs/>
          <w:color w:val="333333"/>
          <w:sz w:val="16"/>
          <w:szCs w:val="16"/>
        </w:rPr>
        <w:t>Critias</w:t>
      </w:r>
      <w:proofErr w:type="spellEnd"/>
      <w:r w:rsidRPr="1A480A0D">
        <w:rPr>
          <w:rFonts w:eastAsiaTheme="minorEastAsia"/>
          <w:i/>
          <w:iCs/>
          <w:color w:val="333333"/>
          <w:sz w:val="16"/>
          <w:szCs w:val="16"/>
        </w:rPr>
        <w:t xml:space="preserve">. </w:t>
      </w:r>
      <w:proofErr w:type="spellStart"/>
      <w:r w:rsidRPr="1A480A0D">
        <w:rPr>
          <w:rFonts w:eastAsiaTheme="minorEastAsia"/>
          <w:i/>
          <w:iCs/>
          <w:color w:val="333333"/>
          <w:sz w:val="16"/>
          <w:szCs w:val="16"/>
        </w:rPr>
        <w:t>Cleitophon</w:t>
      </w:r>
      <w:proofErr w:type="spellEnd"/>
      <w:r w:rsidRPr="1A480A0D">
        <w:rPr>
          <w:rFonts w:eastAsiaTheme="minorEastAsia"/>
          <w:i/>
          <w:iCs/>
          <w:color w:val="333333"/>
          <w:sz w:val="16"/>
          <w:szCs w:val="16"/>
        </w:rPr>
        <w:t xml:space="preserve">. </w:t>
      </w:r>
      <w:proofErr w:type="spellStart"/>
      <w:r w:rsidRPr="1A480A0D">
        <w:rPr>
          <w:rFonts w:eastAsiaTheme="minorEastAsia"/>
          <w:i/>
          <w:iCs/>
          <w:color w:val="333333"/>
          <w:sz w:val="16"/>
          <w:szCs w:val="16"/>
        </w:rPr>
        <w:t>Menexenus</w:t>
      </w:r>
      <w:proofErr w:type="spellEnd"/>
      <w:r w:rsidRPr="1A480A0D">
        <w:rPr>
          <w:rFonts w:eastAsiaTheme="minorEastAsia"/>
          <w:i/>
          <w:iCs/>
          <w:color w:val="333333"/>
          <w:sz w:val="16"/>
          <w:szCs w:val="16"/>
        </w:rPr>
        <w:t xml:space="preserve">. Epistles. </w:t>
      </w:r>
      <w:r w:rsidRPr="1A480A0D">
        <w:rPr>
          <w:rFonts w:eastAsiaTheme="minorEastAsia"/>
          <w:color w:val="333333"/>
          <w:sz w:val="16"/>
          <w:szCs w:val="16"/>
        </w:rPr>
        <w:t>Translated by R. G. Bury. Loeb Classical Library 234. (Cambridge, MA: Harvard University Press, 1929), pp. 46-100.</w:t>
      </w:r>
    </w:p>
  </w:footnote>
  <w:footnote w:id="46">
    <w:p w:rsidR="1A480A0D" w:rsidP="1A480A0D" w:rsidRDefault="1A480A0D" w14:paraId="64D620A0" w14:textId="6978AF70">
      <w:pPr>
        <w:pStyle w:val="FootnoteText"/>
        <w:rPr>
          <w:sz w:val="16"/>
          <w:szCs w:val="16"/>
        </w:rPr>
      </w:pPr>
      <w:r w:rsidRPr="1A480A0D">
        <w:rPr>
          <w:rStyle w:val="FootnoteReference"/>
          <w:sz w:val="16"/>
          <w:szCs w:val="16"/>
        </w:rPr>
        <w:footnoteRef/>
      </w:r>
      <w:r w:rsidRPr="1A480A0D">
        <w:rPr>
          <w:sz w:val="16"/>
          <w:szCs w:val="16"/>
        </w:rPr>
        <w:t xml:space="preserve"> Greene, </w:t>
      </w:r>
      <w:r w:rsidRPr="1A480A0D">
        <w:rPr>
          <w:i/>
          <w:iCs/>
          <w:sz w:val="16"/>
          <w:szCs w:val="16"/>
        </w:rPr>
        <w:t xml:space="preserve">Jung’s Studies in Astrology, </w:t>
      </w:r>
      <w:r w:rsidRPr="1A480A0D">
        <w:rPr>
          <w:sz w:val="16"/>
          <w:szCs w:val="16"/>
        </w:rPr>
        <w:t>pp. 89-90.</w:t>
      </w:r>
    </w:p>
  </w:footnote>
  <w:footnote w:id="47">
    <w:p w:rsidR="1A480A0D" w:rsidP="1A480A0D" w:rsidRDefault="1A480A0D" w14:paraId="217CFC6D" w14:textId="0697D28C">
      <w:pPr>
        <w:pStyle w:val="FootnoteText"/>
        <w:rPr>
          <w:sz w:val="16"/>
          <w:szCs w:val="16"/>
        </w:rPr>
      </w:pPr>
      <w:r w:rsidRPr="1A480A0D">
        <w:rPr>
          <w:rStyle w:val="FootnoteReference"/>
          <w:sz w:val="16"/>
          <w:szCs w:val="16"/>
        </w:rPr>
        <w:footnoteRef/>
      </w:r>
      <w:r w:rsidRPr="1A480A0D">
        <w:rPr>
          <w:sz w:val="16"/>
          <w:szCs w:val="16"/>
        </w:rPr>
        <w:t xml:space="preserve"> Shamdasani, </w:t>
      </w:r>
      <w:r w:rsidRPr="1A480A0D">
        <w:rPr>
          <w:i/>
          <w:iCs/>
          <w:sz w:val="16"/>
          <w:szCs w:val="16"/>
        </w:rPr>
        <w:t xml:space="preserve">The Red Book, </w:t>
      </w:r>
      <w:r w:rsidRPr="1A480A0D">
        <w:rPr>
          <w:sz w:val="16"/>
          <w:szCs w:val="16"/>
        </w:rPr>
        <w:t xml:space="preserve">p. 87; also see Carl Gustav Jung. </w:t>
      </w:r>
      <w:r w:rsidRPr="1A480A0D">
        <w:rPr>
          <w:i/>
          <w:iCs/>
          <w:sz w:val="16"/>
          <w:szCs w:val="16"/>
        </w:rPr>
        <w:t xml:space="preserve">Answer to Job. </w:t>
      </w:r>
      <w:r w:rsidRPr="1A480A0D">
        <w:rPr>
          <w:sz w:val="16"/>
          <w:szCs w:val="16"/>
        </w:rPr>
        <w:t xml:space="preserve">(Hodder and Stoughton, 1965); also see Carl Gustav Jung. </w:t>
      </w:r>
      <w:r w:rsidRPr="1A480A0D">
        <w:rPr>
          <w:i/>
          <w:iCs/>
          <w:sz w:val="16"/>
          <w:szCs w:val="16"/>
        </w:rPr>
        <w:t xml:space="preserve">Answer to Job </w:t>
      </w:r>
      <w:r w:rsidRPr="1A480A0D">
        <w:rPr>
          <w:sz w:val="16"/>
          <w:szCs w:val="16"/>
        </w:rPr>
        <w:t>(From Vol. 11 of the Collected Works of C. G Jung). (United Kingdom: Princeton University Press, 2012).</w:t>
      </w:r>
    </w:p>
  </w:footnote>
  <w:footnote w:id="48">
    <w:p w:rsidR="722478AC" w:rsidP="722478AC" w:rsidRDefault="722478AC" w14:paraId="0C9BA5E4" w14:textId="63B81704">
      <w:pPr>
        <w:pStyle w:val="FootnoteText"/>
        <w:rPr>
          <w:sz w:val="16"/>
          <w:szCs w:val="16"/>
        </w:rPr>
      </w:pPr>
      <w:r w:rsidRPr="722478AC">
        <w:rPr>
          <w:rStyle w:val="FootnoteReference"/>
          <w:sz w:val="16"/>
          <w:szCs w:val="16"/>
        </w:rPr>
        <w:footnoteRef/>
      </w:r>
      <w:r w:rsidRPr="722478AC">
        <w:rPr>
          <w:sz w:val="16"/>
          <w:szCs w:val="16"/>
        </w:rPr>
        <w:t xml:space="preserve"> Raymond Head, Holst - Astrology and Modernism in ’The Planets,’ </w:t>
      </w:r>
      <w:r w:rsidRPr="722478AC">
        <w:rPr>
          <w:i/>
          <w:iCs/>
          <w:sz w:val="16"/>
          <w:szCs w:val="16"/>
        </w:rPr>
        <w:t xml:space="preserve">Tempo, </w:t>
      </w:r>
      <w:r w:rsidRPr="722478AC">
        <w:rPr>
          <w:sz w:val="16"/>
          <w:szCs w:val="16"/>
        </w:rPr>
        <w:t xml:space="preserve">no. 187 (1993), 15-22 (pp. 17-21). </w:t>
      </w:r>
      <w:hyperlink r:id="rId12">
        <w:r w:rsidRPr="722478AC">
          <w:rPr>
            <w:rStyle w:val="Hyperlink"/>
            <w:sz w:val="16"/>
            <w:szCs w:val="16"/>
          </w:rPr>
          <w:t>http://www.jstor.org/stable/945181.</w:t>
        </w:r>
      </w:hyperlink>
    </w:p>
  </w:footnote>
  <w:footnote w:id="49">
    <w:p w:rsidR="722478AC" w:rsidP="722478AC" w:rsidRDefault="722478AC" w14:paraId="087FB61F" w14:textId="7DFC4897">
      <w:pPr>
        <w:pStyle w:val="FootnoteText"/>
        <w:rPr>
          <w:rFonts w:eastAsiaTheme="minorEastAsia"/>
          <w:color w:val="222222"/>
          <w:sz w:val="16"/>
          <w:szCs w:val="16"/>
        </w:rPr>
      </w:pPr>
      <w:r w:rsidRPr="722478AC">
        <w:rPr>
          <w:rStyle w:val="FootnoteReference"/>
          <w:rFonts w:eastAsiaTheme="minorEastAsia"/>
          <w:sz w:val="16"/>
          <w:szCs w:val="16"/>
        </w:rPr>
        <w:footnoteRef/>
      </w:r>
      <w:r w:rsidRPr="722478AC">
        <w:rPr>
          <w:rFonts w:eastAsiaTheme="minorEastAsia"/>
          <w:sz w:val="16"/>
          <w:szCs w:val="16"/>
        </w:rPr>
        <w:t xml:space="preserve"> Rossi and Le Grice, </w:t>
      </w:r>
      <w:r w:rsidRPr="722478AC">
        <w:rPr>
          <w:rFonts w:eastAsiaTheme="minorEastAsia"/>
          <w:i/>
          <w:iCs/>
          <w:sz w:val="16"/>
          <w:szCs w:val="16"/>
        </w:rPr>
        <w:t xml:space="preserve">Jung on Astrology, </w:t>
      </w:r>
      <w:r w:rsidRPr="722478AC">
        <w:rPr>
          <w:rFonts w:eastAsiaTheme="minorEastAsia"/>
          <w:sz w:val="16"/>
          <w:szCs w:val="16"/>
        </w:rPr>
        <w:t>p. 5.</w:t>
      </w:r>
    </w:p>
  </w:footnote>
  <w:footnote w:id="50">
    <w:p w:rsidR="12AE13EF" w:rsidP="12AE13EF" w:rsidRDefault="12AE13EF" w14:paraId="052543F9" w14:textId="70E703DF">
      <w:pPr>
        <w:pStyle w:val="FootnoteText"/>
        <w:rPr>
          <w:sz w:val="16"/>
          <w:szCs w:val="16"/>
        </w:rPr>
      </w:pPr>
      <w:r w:rsidRPr="12AE13EF">
        <w:rPr>
          <w:rStyle w:val="FootnoteReference"/>
          <w:sz w:val="16"/>
          <w:szCs w:val="16"/>
        </w:rPr>
        <w:footnoteRef/>
      </w:r>
      <w:r w:rsidRPr="12AE13EF">
        <w:rPr>
          <w:sz w:val="16"/>
          <w:szCs w:val="16"/>
        </w:rPr>
        <w:t xml:space="preserve"> Steven D. Martinson, ’A Companion to the Works of Friedrich </w:t>
      </w:r>
      <w:proofErr w:type="gramStart"/>
      <w:r w:rsidRPr="12AE13EF">
        <w:rPr>
          <w:sz w:val="16"/>
          <w:szCs w:val="16"/>
        </w:rPr>
        <w:t>Schiller,‘</w:t>
      </w:r>
      <w:proofErr w:type="gramEnd"/>
      <w:r w:rsidRPr="12AE13EF">
        <w:rPr>
          <w:i/>
          <w:iCs/>
          <w:sz w:val="16"/>
          <w:szCs w:val="16"/>
        </w:rPr>
        <w:t xml:space="preserve"> </w:t>
      </w:r>
      <w:r w:rsidRPr="12AE13EF">
        <w:rPr>
          <w:sz w:val="16"/>
          <w:szCs w:val="16"/>
        </w:rPr>
        <w:t xml:space="preserve">NED-New edition. </w:t>
      </w:r>
      <w:r w:rsidRPr="12AE13EF">
        <w:rPr>
          <w:i/>
          <w:iCs/>
          <w:sz w:val="16"/>
          <w:szCs w:val="16"/>
        </w:rPr>
        <w:t>Boydell &amp; Brewer,</w:t>
      </w:r>
      <w:r w:rsidRPr="12AE13EF">
        <w:rPr>
          <w:sz w:val="16"/>
          <w:szCs w:val="16"/>
        </w:rPr>
        <w:t xml:space="preserve"> 2005, pp. 27-46.</w:t>
      </w:r>
    </w:p>
  </w:footnote>
  <w:footnote w:id="51">
    <w:p w:rsidR="12AE13EF" w:rsidP="12AE13EF" w:rsidRDefault="12AE13EF" w14:paraId="663D6438" w14:textId="021FA8ED">
      <w:pPr>
        <w:pStyle w:val="FootnoteText"/>
        <w:rPr>
          <w:rFonts w:ascii="Calibri" w:hAnsi="Calibri" w:eastAsia="Calibri" w:cs="Calibri"/>
          <w:sz w:val="16"/>
          <w:szCs w:val="16"/>
        </w:rPr>
      </w:pPr>
      <w:r w:rsidRPr="12AE13EF">
        <w:rPr>
          <w:rStyle w:val="FootnoteReference"/>
          <w:sz w:val="16"/>
          <w:szCs w:val="16"/>
        </w:rPr>
        <w:footnoteRef/>
      </w:r>
      <w:r w:rsidRPr="12AE13EF">
        <w:rPr>
          <w:sz w:val="16"/>
          <w:szCs w:val="16"/>
        </w:rPr>
        <w:t xml:space="preserve"> Paul </w:t>
      </w:r>
      <w:proofErr w:type="spellStart"/>
      <w:r w:rsidRPr="12AE13EF">
        <w:rPr>
          <w:sz w:val="16"/>
          <w:szCs w:val="16"/>
        </w:rPr>
        <w:t>Carus</w:t>
      </w:r>
      <w:proofErr w:type="spellEnd"/>
      <w:r w:rsidRPr="12AE13EF">
        <w:rPr>
          <w:sz w:val="16"/>
          <w:szCs w:val="16"/>
        </w:rPr>
        <w:t xml:space="preserve">, ’Friedrich </w:t>
      </w:r>
      <w:proofErr w:type="gramStart"/>
      <w:r w:rsidRPr="12AE13EF">
        <w:rPr>
          <w:sz w:val="16"/>
          <w:szCs w:val="16"/>
        </w:rPr>
        <w:t>Nietzsche,‘</w:t>
      </w:r>
      <w:proofErr w:type="gramEnd"/>
      <w:r w:rsidRPr="12AE13EF">
        <w:rPr>
          <w:sz w:val="16"/>
          <w:szCs w:val="16"/>
        </w:rPr>
        <w:t xml:space="preserve"> </w:t>
      </w:r>
      <w:r w:rsidRPr="12AE13EF">
        <w:rPr>
          <w:i/>
          <w:iCs/>
          <w:sz w:val="16"/>
          <w:szCs w:val="16"/>
        </w:rPr>
        <w:t xml:space="preserve">The Monist 17, </w:t>
      </w:r>
      <w:r w:rsidRPr="12AE13EF">
        <w:rPr>
          <w:sz w:val="16"/>
          <w:szCs w:val="16"/>
        </w:rPr>
        <w:t xml:space="preserve">no. 2 (1907), pp. 230-51. </w:t>
      </w:r>
      <w:hyperlink r:id="rId13">
        <w:r w:rsidRPr="12AE13EF">
          <w:rPr>
            <w:rStyle w:val="Hyperlink"/>
            <w:rFonts w:ascii="Calibri" w:hAnsi="Calibri" w:eastAsia="Calibri" w:cs="Calibri"/>
            <w:sz w:val="16"/>
            <w:szCs w:val="16"/>
          </w:rPr>
          <w:t>http://www.jstor.org/stable/27900036</w:t>
        </w:r>
      </w:hyperlink>
      <w:r w:rsidRPr="12AE13EF">
        <w:rPr>
          <w:rFonts w:ascii="Calibri" w:hAnsi="Calibri" w:eastAsia="Calibri" w:cs="Calibri"/>
          <w:sz w:val="16"/>
          <w:szCs w:val="16"/>
        </w:rPr>
        <w:t>.</w:t>
      </w:r>
    </w:p>
  </w:footnote>
  <w:footnote w:id="52">
    <w:p w:rsidR="1A480A0D" w:rsidP="1A480A0D" w:rsidRDefault="1A480A0D" w14:paraId="04C3408F" w14:textId="01A253FE">
      <w:pPr>
        <w:pStyle w:val="FootnoteText"/>
        <w:rPr>
          <w:sz w:val="16"/>
          <w:szCs w:val="16"/>
        </w:rPr>
      </w:pPr>
      <w:r w:rsidRPr="1A480A0D">
        <w:rPr>
          <w:rStyle w:val="FootnoteReference"/>
          <w:sz w:val="16"/>
          <w:szCs w:val="16"/>
        </w:rPr>
        <w:footnoteRef/>
      </w:r>
      <w:r w:rsidRPr="1A480A0D">
        <w:rPr>
          <w:sz w:val="16"/>
          <w:szCs w:val="16"/>
        </w:rPr>
        <w:t xml:space="preserve"> Paul Bishop, ’The Birth of Analytical Psychology from the Spirit of Weimer </w:t>
      </w:r>
      <w:proofErr w:type="spellStart"/>
      <w:r w:rsidRPr="1A480A0D">
        <w:rPr>
          <w:sz w:val="16"/>
          <w:szCs w:val="16"/>
        </w:rPr>
        <w:t>Classasicm</w:t>
      </w:r>
      <w:proofErr w:type="spellEnd"/>
      <w:r w:rsidRPr="1A480A0D">
        <w:rPr>
          <w:sz w:val="16"/>
          <w:szCs w:val="16"/>
        </w:rPr>
        <w:t xml:space="preserve">,’ </w:t>
      </w:r>
      <w:r w:rsidRPr="1A480A0D">
        <w:rPr>
          <w:i/>
          <w:iCs/>
          <w:sz w:val="16"/>
          <w:szCs w:val="16"/>
        </w:rPr>
        <w:t xml:space="preserve">Journal of European Studies, </w:t>
      </w:r>
      <w:r w:rsidRPr="1A480A0D">
        <w:rPr>
          <w:sz w:val="16"/>
          <w:szCs w:val="16"/>
        </w:rPr>
        <w:t>no. 29 (116) (1999), pp. 417-440.</w:t>
      </w:r>
    </w:p>
  </w:footnote>
  <w:footnote w:id="53">
    <w:p w:rsidR="1CDE5FFE" w:rsidP="1CDE5FFE" w:rsidRDefault="1CDE5FFE" w14:paraId="590F587C" w14:textId="6CCBFB87">
      <w:pPr>
        <w:pStyle w:val="FootnoteText"/>
        <w:rPr>
          <w:sz w:val="16"/>
          <w:szCs w:val="16"/>
        </w:rPr>
      </w:pPr>
      <w:r w:rsidRPr="1CDE5FFE">
        <w:rPr>
          <w:rStyle w:val="FootnoteReference"/>
          <w:sz w:val="16"/>
          <w:szCs w:val="16"/>
        </w:rPr>
        <w:footnoteRef/>
      </w:r>
      <w:r w:rsidRPr="1CDE5FFE">
        <w:rPr>
          <w:sz w:val="16"/>
          <w:szCs w:val="16"/>
        </w:rPr>
        <w:t xml:space="preserve"> Shamdasani, </w:t>
      </w:r>
      <w:r w:rsidRPr="1CDE5FFE">
        <w:rPr>
          <w:i/>
          <w:iCs/>
          <w:sz w:val="16"/>
          <w:szCs w:val="16"/>
        </w:rPr>
        <w:t xml:space="preserve">The Red Book, </w:t>
      </w:r>
      <w:r w:rsidRPr="1CDE5FFE">
        <w:rPr>
          <w:sz w:val="16"/>
          <w:szCs w:val="16"/>
        </w:rPr>
        <w:t>p. 59, p. 64.</w:t>
      </w:r>
    </w:p>
  </w:footnote>
  <w:footnote w:id="54">
    <w:p w:rsidR="55F0D9A6" w:rsidP="45708CAD" w:rsidRDefault="55F0D9A6" w14:paraId="5B453F25" w14:textId="6C36FBDE">
      <w:pPr>
        <w:pStyle w:val="FootnoteText"/>
        <w:rPr>
          <w:sz w:val="16"/>
          <w:szCs w:val="16"/>
        </w:rPr>
      </w:pPr>
      <w:r w:rsidRPr="45708CAD">
        <w:rPr>
          <w:rStyle w:val="FootnoteReference"/>
          <w:sz w:val="16"/>
          <w:szCs w:val="16"/>
        </w:rPr>
        <w:footnoteRef/>
      </w:r>
      <w:r w:rsidRPr="45708CAD">
        <w:rPr>
          <w:sz w:val="16"/>
          <w:szCs w:val="16"/>
        </w:rPr>
        <w:t xml:space="preserve"> Buck, ’</w:t>
      </w:r>
      <w:r w:rsidRPr="1A480A0D">
        <w:rPr>
          <w:i/>
          <w:iCs/>
          <w:sz w:val="16"/>
          <w:szCs w:val="16"/>
        </w:rPr>
        <w:t>Hiding in Plain Sight</w:t>
      </w:r>
      <w:proofErr w:type="gramStart"/>
      <w:r w:rsidRPr="1A480A0D">
        <w:rPr>
          <w:i/>
          <w:iCs/>
          <w:sz w:val="16"/>
          <w:szCs w:val="16"/>
        </w:rPr>
        <w:t>, ’</w:t>
      </w:r>
      <w:proofErr w:type="gramEnd"/>
      <w:r w:rsidRPr="1A480A0D">
        <w:rPr>
          <w:i/>
          <w:iCs/>
          <w:sz w:val="16"/>
          <w:szCs w:val="16"/>
        </w:rPr>
        <w:t xml:space="preserve"> </w:t>
      </w:r>
      <w:r w:rsidRPr="1A480A0D">
        <w:rPr>
          <w:sz w:val="16"/>
          <w:szCs w:val="16"/>
        </w:rPr>
        <w:t>p. 214.</w:t>
      </w:r>
    </w:p>
  </w:footnote>
  <w:footnote w:id="55">
    <w:p w:rsidR="55F0D9A6" w:rsidP="45708CAD" w:rsidRDefault="55F0D9A6" w14:paraId="686CB659" w14:textId="01E26F40">
      <w:pPr>
        <w:pStyle w:val="FootnoteText"/>
        <w:rPr>
          <w:sz w:val="16"/>
          <w:szCs w:val="16"/>
        </w:rPr>
      </w:pPr>
      <w:r w:rsidRPr="45708CAD">
        <w:rPr>
          <w:rStyle w:val="FootnoteReference"/>
          <w:sz w:val="16"/>
          <w:szCs w:val="16"/>
        </w:rPr>
        <w:footnoteRef/>
      </w:r>
      <w:r w:rsidRPr="45708CAD">
        <w:rPr>
          <w:sz w:val="16"/>
          <w:szCs w:val="16"/>
        </w:rPr>
        <w:t xml:space="preserve"> Shamdasani, </w:t>
      </w:r>
      <w:r w:rsidRPr="45708CAD">
        <w:rPr>
          <w:i/>
          <w:iCs/>
          <w:sz w:val="16"/>
          <w:szCs w:val="16"/>
        </w:rPr>
        <w:t xml:space="preserve">The Red Book, </w:t>
      </w:r>
      <w:r w:rsidRPr="45708CAD">
        <w:rPr>
          <w:sz w:val="16"/>
          <w:szCs w:val="16"/>
        </w:rPr>
        <w:t>pp. 110-111.</w:t>
      </w:r>
    </w:p>
  </w:footnote>
  <w:footnote w:id="56">
    <w:p w:rsidR="762983DA" w:rsidP="762983DA" w:rsidRDefault="762983DA" w14:paraId="24B6FAAB" w14:textId="1CF6354F">
      <w:pPr>
        <w:pStyle w:val="FootnoteText"/>
        <w:rPr>
          <w:sz w:val="16"/>
          <w:szCs w:val="16"/>
        </w:rPr>
      </w:pPr>
      <w:r w:rsidRPr="1CDE5FFE">
        <w:rPr>
          <w:rStyle w:val="FootnoteReference"/>
          <w:sz w:val="16"/>
          <w:szCs w:val="16"/>
        </w:rPr>
        <w:footnoteRef/>
      </w:r>
      <w:r w:rsidRPr="1CDE5FFE">
        <w:rPr>
          <w:sz w:val="16"/>
          <w:szCs w:val="16"/>
        </w:rPr>
        <w:t xml:space="preserve"> </w:t>
      </w:r>
      <w:proofErr w:type="spellStart"/>
      <w:r w:rsidRPr="762983DA">
        <w:rPr>
          <w:sz w:val="16"/>
          <w:szCs w:val="16"/>
        </w:rPr>
        <w:t>Safron</w:t>
      </w:r>
      <w:proofErr w:type="spellEnd"/>
      <w:r w:rsidRPr="762983DA">
        <w:rPr>
          <w:sz w:val="16"/>
          <w:szCs w:val="16"/>
        </w:rPr>
        <w:t xml:space="preserve"> Rossi. Saturn in C. G. Jung’s Liber Primus, As an Astrological Meditation.</w:t>
      </w:r>
      <w:r w:rsidRPr="1CDE5FFE">
        <w:rPr>
          <w:i/>
          <w:iCs/>
          <w:sz w:val="16"/>
          <w:szCs w:val="16"/>
        </w:rPr>
        <w:t xml:space="preserve"> Jung Journal Culture and </w:t>
      </w:r>
      <w:proofErr w:type="gramStart"/>
      <w:r w:rsidRPr="1CDE5FFE">
        <w:rPr>
          <w:i/>
          <w:iCs/>
          <w:sz w:val="16"/>
          <w:szCs w:val="16"/>
        </w:rPr>
        <w:t>Psyche,‘</w:t>
      </w:r>
      <w:proofErr w:type="gramEnd"/>
      <w:r w:rsidRPr="1CDE5FFE">
        <w:rPr>
          <w:sz w:val="16"/>
          <w:szCs w:val="16"/>
        </w:rPr>
        <w:t xml:space="preserve"> Vol 9, no 4 (2015), pp. 38-57.</w:t>
      </w:r>
    </w:p>
  </w:footnote>
  <w:footnote w:id="58">
    <w:p w:rsidR="762983DA" w:rsidP="1CDE5FFE" w:rsidRDefault="762983DA" w14:textId="2278393D" w14:paraId="6D788669">
      <w:pPr>
        <w:pStyle w:val="FootnoteText"/>
        <w:rPr>
          <w:sz w:val="16"/>
          <w:szCs w:val="16"/>
        </w:rPr>
      </w:pPr>
      <w:r w:rsidRPr="1CDE5FFE">
        <w:rPr>
          <w:rStyle w:val="FootnoteReference"/>
          <w:sz w:val="16"/>
          <w:szCs w:val="16"/>
        </w:rPr>
        <w:footnoteRef/>
      </w:r>
      <w:r w:rsidRPr="1CDE5FFE" w:rsidR="179EDB11">
        <w:rPr>
          <w:sz w:val="16"/>
          <w:szCs w:val="16"/>
        </w:rPr>
        <w:t xml:space="preserve"> Rossi, </w:t>
      </w:r>
      <w:r w:rsidRPr="179EDB11" w:rsidR="179EDB11">
        <w:rPr>
          <w:i w:val="1"/>
          <w:iCs w:val="1"/>
          <w:sz w:val="16"/>
          <w:szCs w:val="16"/>
        </w:rPr>
        <w:t xml:space="preserve">Saturn in C. G. </w:t>
      </w:r>
      <w:r w:rsidRPr="179EDB11" w:rsidR="179EDB11">
        <w:rPr>
          <w:i w:val="1"/>
          <w:iCs w:val="1"/>
          <w:sz w:val="16"/>
          <w:szCs w:val="16"/>
        </w:rPr>
        <w:t>Jung‘s</w:t>
      </w:r>
      <w:r w:rsidRPr="179EDB11" w:rsidR="179EDB11">
        <w:rPr>
          <w:i w:val="1"/>
          <w:iCs w:val="1"/>
          <w:sz w:val="16"/>
          <w:szCs w:val="16"/>
        </w:rPr>
        <w:t xml:space="preserve"> Liber Primus, </w:t>
      </w:r>
      <w:r w:rsidRPr="1CDE5FFE" w:rsidR="179EDB11">
        <w:rPr>
          <w:sz w:val="16"/>
          <w:szCs w:val="16"/>
        </w:rPr>
        <w:t xml:space="preserve">pp. 39-56, p. 41.</w:t>
      </w:r>
    </w:p>
  </w:footnote>
  <w:footnote w:id="59">
    <w:p w:rsidR="1CDE5FFE" w:rsidP="1CDE5FFE" w:rsidRDefault="1CDE5FFE" w14:paraId="18D984B5" w14:textId="58E720A0">
      <w:pPr>
        <w:pStyle w:val="FootnoteText"/>
        <w:rPr>
          <w:sz w:val="16"/>
          <w:szCs w:val="16"/>
        </w:rPr>
      </w:pPr>
      <w:r w:rsidRPr="1CDE5FFE">
        <w:rPr>
          <w:rStyle w:val="FootnoteReference"/>
          <w:sz w:val="16"/>
          <w:szCs w:val="16"/>
        </w:rPr>
        <w:footnoteRef/>
      </w:r>
      <w:r w:rsidRPr="1CDE5FFE">
        <w:rPr>
          <w:sz w:val="16"/>
          <w:szCs w:val="16"/>
        </w:rPr>
        <w:t xml:space="preserve"> Rossi, </w:t>
      </w:r>
      <w:r w:rsidRPr="1CDE5FFE">
        <w:rPr>
          <w:i/>
          <w:iCs/>
          <w:sz w:val="16"/>
          <w:szCs w:val="16"/>
        </w:rPr>
        <w:t xml:space="preserve">Saturn in C. G. </w:t>
      </w:r>
      <w:proofErr w:type="gramStart"/>
      <w:r w:rsidRPr="1CDE5FFE">
        <w:rPr>
          <w:i/>
          <w:iCs/>
          <w:sz w:val="16"/>
          <w:szCs w:val="16"/>
        </w:rPr>
        <w:t>Jung‘</w:t>
      </w:r>
      <w:proofErr w:type="gramEnd"/>
      <w:r w:rsidRPr="1CDE5FFE">
        <w:rPr>
          <w:i/>
          <w:iCs/>
          <w:sz w:val="16"/>
          <w:szCs w:val="16"/>
        </w:rPr>
        <w:t xml:space="preserve">s Liber Primus, </w:t>
      </w:r>
      <w:r w:rsidRPr="1CDE5FFE">
        <w:rPr>
          <w:sz w:val="16"/>
          <w:szCs w:val="16"/>
        </w:rPr>
        <w:t>introduction.</w:t>
      </w:r>
    </w:p>
  </w:footnote>
  <w:footnote w:id="60">
    <w:p w:rsidR="1CDE5FFE" w:rsidP="1CDE5FFE" w:rsidRDefault="1CDE5FFE" w14:paraId="21D03599" w14:textId="5FE492C4">
      <w:pPr>
        <w:pStyle w:val="FootnoteText"/>
        <w:rPr>
          <w:sz w:val="16"/>
          <w:szCs w:val="16"/>
        </w:rPr>
      </w:pPr>
      <w:r w:rsidRPr="1CDE5FFE">
        <w:rPr>
          <w:rStyle w:val="FootnoteReference"/>
          <w:sz w:val="16"/>
          <w:szCs w:val="16"/>
        </w:rPr>
        <w:footnoteRef/>
      </w:r>
      <w:r w:rsidRPr="1CDE5FFE">
        <w:rPr>
          <w:sz w:val="16"/>
          <w:szCs w:val="16"/>
        </w:rPr>
        <w:t xml:space="preserve"> Carl Gustav Jung. </w:t>
      </w:r>
      <w:r w:rsidRPr="1CDE5FFE">
        <w:rPr>
          <w:i/>
          <w:iCs/>
          <w:sz w:val="16"/>
          <w:szCs w:val="16"/>
        </w:rPr>
        <w:t xml:space="preserve">Jung Speaking: Interviews and Encounters. </w:t>
      </w:r>
      <w:r w:rsidRPr="1CDE5FFE">
        <w:rPr>
          <w:sz w:val="16"/>
          <w:szCs w:val="16"/>
        </w:rPr>
        <w:t>(United States: Princeton University Press, 2020), p. 160.</w:t>
      </w:r>
    </w:p>
  </w:footnote>
  <w:footnote w:id="61">
    <w:p w:rsidR="12AE13EF" w:rsidP="12AE13EF" w:rsidRDefault="12AE13EF" w14:paraId="69BA8B97" w14:textId="405D5CD0">
      <w:pPr>
        <w:pStyle w:val="FootnoteText"/>
        <w:rPr>
          <w:rFonts w:ascii="Calibri" w:hAnsi="Calibri" w:eastAsia="Calibri" w:cs="Calibri"/>
          <w:sz w:val="16"/>
          <w:szCs w:val="16"/>
        </w:rPr>
      </w:pPr>
      <w:r w:rsidRPr="12AE13EF">
        <w:rPr>
          <w:rStyle w:val="FootnoteReference"/>
          <w:sz w:val="16"/>
          <w:szCs w:val="16"/>
        </w:rPr>
        <w:footnoteRef/>
      </w:r>
      <w:r w:rsidRPr="12AE13EF">
        <w:rPr>
          <w:sz w:val="16"/>
          <w:szCs w:val="16"/>
        </w:rPr>
        <w:t xml:space="preserve"> Carl Gustav Jung. ’The Role of the Unconscious.’ </w:t>
      </w:r>
      <w:r w:rsidRPr="12AE13EF">
        <w:rPr>
          <w:i/>
          <w:iCs/>
          <w:sz w:val="16"/>
          <w:szCs w:val="16"/>
        </w:rPr>
        <w:t xml:space="preserve">In Collected Works of C. G. Jung, Volume 10: Civilization in Transition, </w:t>
      </w:r>
      <w:r w:rsidRPr="12AE13EF">
        <w:rPr>
          <w:sz w:val="16"/>
          <w:szCs w:val="16"/>
        </w:rPr>
        <w:t>edited by Gerhard Alder and R. F. C. Hull Volume 10 (1970). Princeton Press University, pp. 3-28.</w:t>
      </w:r>
      <w:r w:rsidRPr="12AE13EF">
        <w:rPr>
          <w:rFonts w:ascii="Calibri" w:hAnsi="Calibri" w:eastAsia="Calibri" w:cs="Calibri"/>
          <w:i/>
          <w:iCs/>
          <w:sz w:val="16"/>
          <w:szCs w:val="16"/>
        </w:rPr>
        <w:t xml:space="preserve"> </w:t>
      </w:r>
      <w:hyperlink r:id="rId14">
        <w:r w:rsidRPr="12AE13EF">
          <w:rPr>
            <w:rStyle w:val="Hyperlink"/>
            <w:rFonts w:ascii="Calibri" w:hAnsi="Calibri" w:eastAsia="Calibri" w:cs="Calibri"/>
            <w:sz w:val="16"/>
            <w:szCs w:val="16"/>
          </w:rPr>
          <w:t>http://www.jstor.org/stable/j.ctt5hhs4s.5</w:t>
        </w:r>
      </w:hyperlink>
      <w:r w:rsidRPr="12AE13EF">
        <w:rPr>
          <w:rFonts w:ascii="Calibri" w:hAnsi="Calibri" w:eastAsia="Calibri" w:cs="Calibri"/>
          <w:sz w:val="16"/>
          <w:szCs w:val="16"/>
        </w:rPr>
        <w:t>.</w:t>
      </w:r>
    </w:p>
  </w:footnote>
  <w:footnote w:id="62">
    <w:p w:rsidR="762983DA" w:rsidP="762983DA" w:rsidRDefault="762983DA" w14:paraId="5BB82914" w14:textId="734267F8">
      <w:pPr>
        <w:pStyle w:val="FootnoteText"/>
        <w:rPr>
          <w:sz w:val="16"/>
          <w:szCs w:val="16"/>
        </w:rPr>
      </w:pPr>
      <w:r w:rsidRPr="762983DA">
        <w:rPr>
          <w:rStyle w:val="FootnoteReference"/>
          <w:sz w:val="16"/>
          <w:szCs w:val="16"/>
        </w:rPr>
        <w:footnoteRef/>
      </w:r>
      <w:r w:rsidRPr="762983DA">
        <w:rPr>
          <w:sz w:val="16"/>
          <w:szCs w:val="16"/>
        </w:rPr>
        <w:t xml:space="preserve"> Rossi and Le Grice, </w:t>
      </w:r>
      <w:r w:rsidRPr="762983DA">
        <w:rPr>
          <w:i/>
          <w:iCs/>
          <w:sz w:val="16"/>
          <w:szCs w:val="16"/>
        </w:rPr>
        <w:t xml:space="preserve">Jung on Astrology, </w:t>
      </w:r>
      <w:r w:rsidRPr="762983DA">
        <w:rPr>
          <w:sz w:val="16"/>
          <w:szCs w:val="16"/>
        </w:rPr>
        <w:t>p. 7.</w:t>
      </w:r>
    </w:p>
  </w:footnote>
  <w:footnote w:id="63">
    <w:p w:rsidR="12AE13EF" w:rsidP="12AE13EF" w:rsidRDefault="12AE13EF" w14:paraId="40FC3A63" w14:textId="7F4D0A38">
      <w:pPr>
        <w:pStyle w:val="FootnoteText"/>
        <w:rPr>
          <w:sz w:val="16"/>
          <w:szCs w:val="16"/>
        </w:rPr>
      </w:pPr>
      <w:r w:rsidRPr="12AE13EF">
        <w:rPr>
          <w:rStyle w:val="FootnoteReference"/>
          <w:sz w:val="16"/>
          <w:szCs w:val="16"/>
        </w:rPr>
        <w:footnoteRef/>
      </w:r>
      <w:r w:rsidRPr="12AE13EF">
        <w:rPr>
          <w:sz w:val="16"/>
          <w:szCs w:val="16"/>
        </w:rPr>
        <w:t xml:space="preserve"> Carl R. Mueller, ’Jungian Analysis,’ </w:t>
      </w:r>
      <w:r w:rsidRPr="12AE13EF">
        <w:rPr>
          <w:i/>
          <w:iCs/>
          <w:sz w:val="16"/>
          <w:szCs w:val="16"/>
        </w:rPr>
        <w:t xml:space="preserve">The Drama Review: </w:t>
      </w:r>
      <w:r w:rsidRPr="12AE13EF">
        <w:rPr>
          <w:sz w:val="16"/>
          <w:szCs w:val="16"/>
        </w:rPr>
        <w:t xml:space="preserve">TDR 22, no 3 (1978), pp 73-86 (p. 76). </w:t>
      </w:r>
      <w:hyperlink r:id="rId15">
        <w:r w:rsidRPr="12AE13EF">
          <w:rPr>
            <w:rStyle w:val="Hyperlink"/>
            <w:sz w:val="16"/>
            <w:szCs w:val="16"/>
          </w:rPr>
          <w:t>https://doi.org/10.2307/1145189</w:t>
        </w:r>
      </w:hyperlink>
      <w:r w:rsidRPr="12AE13EF">
        <w:rPr>
          <w:sz w:val="16"/>
          <w:szCs w:val="16"/>
        </w:rPr>
        <w:t>.</w:t>
      </w:r>
    </w:p>
  </w:footnote>
  <w:footnote w:id="64">
    <w:p w:rsidR="12AE13EF" w:rsidP="12AE13EF" w:rsidRDefault="12AE13EF" w14:paraId="26253766" w14:textId="42BC56F5">
      <w:pPr>
        <w:pStyle w:val="FootnoteText"/>
        <w:rPr>
          <w:sz w:val="16"/>
          <w:szCs w:val="16"/>
        </w:rPr>
      </w:pPr>
      <w:r w:rsidRPr="12AE13EF">
        <w:rPr>
          <w:rStyle w:val="FootnoteReference"/>
          <w:sz w:val="16"/>
          <w:szCs w:val="16"/>
        </w:rPr>
        <w:footnoteRef/>
      </w:r>
      <w:r w:rsidRPr="12AE13EF">
        <w:rPr>
          <w:sz w:val="16"/>
          <w:szCs w:val="16"/>
        </w:rPr>
        <w:t xml:space="preserve"> Mueller,</w:t>
      </w:r>
      <w:r w:rsidRPr="12AE13EF">
        <w:rPr>
          <w:i/>
          <w:iCs/>
          <w:sz w:val="16"/>
          <w:szCs w:val="16"/>
        </w:rPr>
        <w:t xml:space="preserve"> ’Jungian Analysis,’ </w:t>
      </w:r>
      <w:r w:rsidRPr="12AE13EF">
        <w:rPr>
          <w:sz w:val="16"/>
          <w:szCs w:val="16"/>
        </w:rPr>
        <w:t>p. 76.</w:t>
      </w:r>
    </w:p>
  </w:footnote>
  <w:footnote w:id="65">
    <w:p w:rsidR="45708CAD" w:rsidP="1A480A0D" w:rsidRDefault="45708CAD" w14:paraId="29A1CA28" w14:textId="116AB0B3">
      <w:pPr>
        <w:pStyle w:val="FootnoteText"/>
        <w:rPr>
          <w:sz w:val="16"/>
          <w:szCs w:val="16"/>
        </w:rPr>
      </w:pPr>
      <w:r w:rsidRPr="1A480A0D">
        <w:rPr>
          <w:rStyle w:val="FootnoteReference"/>
          <w:sz w:val="16"/>
          <w:szCs w:val="16"/>
        </w:rPr>
        <w:footnoteRef/>
      </w:r>
      <w:r w:rsidRPr="1A480A0D">
        <w:rPr>
          <w:sz w:val="16"/>
          <w:szCs w:val="16"/>
        </w:rPr>
        <w:t xml:space="preserve"> Rossi and Le Grice, </w:t>
      </w:r>
      <w:r w:rsidRPr="1A480A0D">
        <w:rPr>
          <w:i/>
          <w:iCs/>
          <w:sz w:val="16"/>
          <w:szCs w:val="16"/>
        </w:rPr>
        <w:t xml:space="preserve">Jung on Astrology, </w:t>
      </w:r>
      <w:r w:rsidRPr="1A480A0D">
        <w:rPr>
          <w:sz w:val="16"/>
          <w:szCs w:val="16"/>
        </w:rPr>
        <w:t xml:space="preserve">p. 7. </w:t>
      </w:r>
    </w:p>
  </w:footnote>
  <w:footnote w:id="66">
    <w:p w:rsidR="45708CAD" w:rsidP="45708CAD" w:rsidRDefault="45708CAD" w14:paraId="29F78B3C" w14:textId="4EDA6B1E">
      <w:pPr>
        <w:pStyle w:val="FootnoteText"/>
        <w:rPr>
          <w:sz w:val="16"/>
          <w:szCs w:val="16"/>
        </w:rPr>
      </w:pPr>
      <w:r w:rsidRPr="45708CAD">
        <w:rPr>
          <w:rStyle w:val="FootnoteReference"/>
          <w:sz w:val="16"/>
          <w:szCs w:val="16"/>
        </w:rPr>
        <w:footnoteRef/>
      </w:r>
      <w:r w:rsidRPr="1A480A0D" w:rsidR="1A480A0D">
        <w:rPr>
          <w:sz w:val="16"/>
          <w:szCs w:val="16"/>
        </w:rPr>
        <w:t xml:space="preserve"> Liz Greene.</w:t>
      </w:r>
      <w:r w:rsidRPr="1A480A0D" w:rsidR="1A480A0D">
        <w:rPr>
          <w:i/>
          <w:iCs/>
          <w:sz w:val="16"/>
          <w:szCs w:val="16"/>
        </w:rPr>
        <w:t xml:space="preserve"> Saturn: A New Look at an Old Devil.</w:t>
      </w:r>
      <w:r w:rsidRPr="1A480A0D" w:rsidR="1A480A0D">
        <w:rPr>
          <w:sz w:val="16"/>
          <w:szCs w:val="16"/>
        </w:rPr>
        <w:t xml:space="preserve"> (United States: Red Wheel Weiser, 2021), p. 193.</w:t>
      </w:r>
    </w:p>
  </w:footnote>
  <w:footnote w:id="67">
    <w:p w:rsidR="1A480A0D" w:rsidP="1A480A0D" w:rsidRDefault="1A480A0D" w14:paraId="1173CD43" w14:textId="31FA4905">
      <w:pPr>
        <w:pStyle w:val="FootnoteText"/>
        <w:rPr>
          <w:sz w:val="16"/>
          <w:szCs w:val="16"/>
        </w:rPr>
      </w:pPr>
      <w:r w:rsidRPr="1A480A0D">
        <w:rPr>
          <w:rStyle w:val="FootnoteReference"/>
          <w:sz w:val="16"/>
          <w:szCs w:val="16"/>
        </w:rPr>
        <w:footnoteRef/>
      </w:r>
      <w:r w:rsidRPr="1A480A0D">
        <w:rPr>
          <w:sz w:val="16"/>
          <w:szCs w:val="16"/>
        </w:rPr>
        <w:t xml:space="preserve"> Greene, </w:t>
      </w:r>
      <w:r w:rsidRPr="1A480A0D">
        <w:rPr>
          <w:i/>
          <w:iCs/>
          <w:sz w:val="16"/>
          <w:szCs w:val="16"/>
        </w:rPr>
        <w:t xml:space="preserve">Saturn, </w:t>
      </w:r>
      <w:r w:rsidRPr="1A480A0D">
        <w:rPr>
          <w:sz w:val="16"/>
          <w:szCs w:val="16"/>
        </w:rPr>
        <w:t>p. 193.</w:t>
      </w:r>
    </w:p>
  </w:footnote>
  <w:footnote w:id="68">
    <w:p w:rsidR="12AE13EF" w:rsidP="12AE13EF" w:rsidRDefault="12AE13EF" w14:paraId="29E79DE1" w14:textId="03541F50">
      <w:pPr>
        <w:pStyle w:val="FootnoteText"/>
        <w:rPr>
          <w:sz w:val="16"/>
          <w:szCs w:val="16"/>
        </w:rPr>
      </w:pPr>
      <w:r w:rsidRPr="12AE13EF">
        <w:rPr>
          <w:rStyle w:val="FootnoteReference"/>
          <w:sz w:val="16"/>
          <w:szCs w:val="16"/>
        </w:rPr>
        <w:footnoteRef/>
      </w:r>
      <w:r w:rsidRPr="12AE13EF">
        <w:rPr>
          <w:sz w:val="16"/>
          <w:szCs w:val="16"/>
        </w:rPr>
        <w:t xml:space="preserve"> Wendell C. Perry. </w:t>
      </w:r>
      <w:r w:rsidRPr="12AE13EF">
        <w:rPr>
          <w:i/>
          <w:iCs/>
          <w:sz w:val="16"/>
          <w:szCs w:val="16"/>
        </w:rPr>
        <w:t xml:space="preserve">Saturn Cycles: Mapping Changes in Your Life. </w:t>
      </w:r>
      <w:r w:rsidRPr="12AE13EF">
        <w:rPr>
          <w:sz w:val="16"/>
          <w:szCs w:val="16"/>
        </w:rPr>
        <w:t>(United States: Llewellyn Publications, 2009), p. 124.</w:t>
      </w:r>
    </w:p>
  </w:footnote>
  <w:footnote w:id="69">
    <w:p w:rsidR="1A480A0D" w:rsidP="1A480A0D" w:rsidRDefault="1A480A0D" w14:paraId="638C2F03" w14:textId="615E0A5E">
      <w:pPr>
        <w:pStyle w:val="FootnoteText"/>
        <w:rPr>
          <w:sz w:val="16"/>
          <w:szCs w:val="16"/>
        </w:rPr>
      </w:pPr>
      <w:r w:rsidRPr="1A480A0D">
        <w:rPr>
          <w:rStyle w:val="FootnoteReference"/>
          <w:sz w:val="16"/>
          <w:szCs w:val="16"/>
        </w:rPr>
        <w:footnoteRef/>
      </w:r>
      <w:r w:rsidRPr="1A480A0D">
        <w:rPr>
          <w:sz w:val="16"/>
          <w:szCs w:val="16"/>
        </w:rPr>
        <w:t xml:space="preserve"> Rossi, </w:t>
      </w:r>
      <w:r w:rsidRPr="1A480A0D">
        <w:rPr>
          <w:i/>
          <w:iCs/>
          <w:sz w:val="16"/>
          <w:szCs w:val="16"/>
        </w:rPr>
        <w:t xml:space="preserve">Saturn, </w:t>
      </w:r>
      <w:r w:rsidRPr="1A480A0D">
        <w:rPr>
          <w:sz w:val="16"/>
          <w:szCs w:val="16"/>
        </w:rPr>
        <w:t>p. 45.</w:t>
      </w:r>
    </w:p>
  </w:footnote>
  <w:footnote w:id="70">
    <w:p w:rsidR="1CDE5FFE" w:rsidP="1CDE5FFE" w:rsidRDefault="1CDE5FFE" w14:paraId="4465EC37" w14:textId="1B72428C">
      <w:pPr>
        <w:pStyle w:val="FootnoteText"/>
        <w:rPr>
          <w:sz w:val="16"/>
          <w:szCs w:val="16"/>
        </w:rPr>
      </w:pPr>
      <w:r w:rsidRPr="1CDE5FFE">
        <w:rPr>
          <w:rStyle w:val="FootnoteReference"/>
          <w:sz w:val="16"/>
          <w:szCs w:val="16"/>
        </w:rPr>
        <w:footnoteRef/>
      </w:r>
      <w:r w:rsidRPr="1CDE5FFE">
        <w:rPr>
          <w:sz w:val="16"/>
          <w:szCs w:val="16"/>
        </w:rPr>
        <w:t xml:space="preserve"> Rossi and Le Grice, </w:t>
      </w:r>
      <w:r w:rsidRPr="1CDE5FFE">
        <w:rPr>
          <w:i/>
          <w:iCs/>
          <w:sz w:val="16"/>
          <w:szCs w:val="16"/>
        </w:rPr>
        <w:t xml:space="preserve">Jung on Astrology, </w:t>
      </w:r>
      <w:r w:rsidRPr="1CDE5FFE">
        <w:rPr>
          <w:sz w:val="16"/>
          <w:szCs w:val="16"/>
        </w:rPr>
        <w:t>p. 2.</w:t>
      </w:r>
    </w:p>
  </w:footnote>
  <w:footnote w:id="71">
    <w:p w:rsidR="1CDE5FFE" w:rsidP="1CDE5FFE" w:rsidRDefault="1CDE5FFE" w14:paraId="590FFEC1" w14:textId="1F247F31">
      <w:pPr>
        <w:pStyle w:val="FootnoteText"/>
        <w:rPr>
          <w:rFonts w:eastAsiaTheme="minorEastAsia"/>
          <w:color w:val="222222"/>
          <w:sz w:val="16"/>
          <w:szCs w:val="16"/>
        </w:rPr>
      </w:pPr>
      <w:r w:rsidRPr="1CDE5FFE">
        <w:rPr>
          <w:rStyle w:val="FootnoteReference"/>
          <w:sz w:val="16"/>
          <w:szCs w:val="16"/>
        </w:rPr>
        <w:footnoteRef/>
      </w:r>
      <w:r w:rsidRPr="1CDE5FFE">
        <w:rPr>
          <w:sz w:val="16"/>
          <w:szCs w:val="16"/>
        </w:rPr>
        <w:t xml:space="preserve"> </w:t>
      </w:r>
      <w:r w:rsidRPr="1CDE5FFE">
        <w:rPr>
          <w:rFonts w:eastAsiaTheme="minorEastAsia"/>
          <w:sz w:val="16"/>
          <w:szCs w:val="16"/>
        </w:rPr>
        <w:t xml:space="preserve">Jung, </w:t>
      </w:r>
      <w:r w:rsidRPr="1CDE5FFE">
        <w:rPr>
          <w:rFonts w:eastAsiaTheme="minorEastAsia"/>
          <w:i/>
          <w:iCs/>
          <w:sz w:val="16"/>
          <w:szCs w:val="16"/>
        </w:rPr>
        <w:t xml:space="preserve">Letters of C. G. Jung, </w:t>
      </w:r>
      <w:r w:rsidRPr="1CDE5FFE">
        <w:rPr>
          <w:rFonts w:eastAsiaTheme="minorEastAsia"/>
          <w:sz w:val="16"/>
          <w:szCs w:val="16"/>
        </w:rPr>
        <w:t>pp. 475-476.</w:t>
      </w:r>
    </w:p>
  </w:footnote>
  <w:footnote w:id="72">
    <w:p w:rsidR="12AE13EF" w:rsidP="12AE13EF" w:rsidRDefault="12AE13EF" w14:paraId="19522238" w14:textId="604EFB36">
      <w:pPr>
        <w:pStyle w:val="FootnoteText"/>
        <w:rPr>
          <w:sz w:val="16"/>
          <w:szCs w:val="16"/>
        </w:rPr>
      </w:pPr>
      <w:r w:rsidRPr="12AE13EF">
        <w:rPr>
          <w:rStyle w:val="FootnoteReference"/>
          <w:sz w:val="16"/>
          <w:szCs w:val="16"/>
        </w:rPr>
        <w:footnoteRef/>
      </w:r>
      <w:r w:rsidRPr="12AE13EF">
        <w:rPr>
          <w:sz w:val="16"/>
          <w:szCs w:val="16"/>
        </w:rPr>
        <w:t xml:space="preserve"> Jung, </w:t>
      </w:r>
      <w:r w:rsidRPr="12AE13EF">
        <w:rPr>
          <w:i/>
          <w:iCs/>
          <w:sz w:val="16"/>
          <w:szCs w:val="16"/>
        </w:rPr>
        <w:t>Jung on Synchronicity and the Paranormal</w:t>
      </w:r>
      <w:r w:rsidRPr="12AE13EF">
        <w:rPr>
          <w:sz w:val="16"/>
          <w:szCs w:val="16"/>
        </w:rPr>
        <w:t>, p. 29.</w:t>
      </w:r>
    </w:p>
  </w:footnote>
  <w:footnote w:id="73">
    <w:p w:rsidR="1CDE5FFE" w:rsidP="1CDE5FFE" w:rsidRDefault="1CDE5FFE" w14:paraId="6EC8CA9C" w14:textId="46062E0D">
      <w:pPr>
        <w:pStyle w:val="FootnoteText"/>
        <w:rPr>
          <w:sz w:val="16"/>
          <w:szCs w:val="16"/>
        </w:rPr>
      </w:pPr>
      <w:r w:rsidRPr="1CDE5FFE">
        <w:rPr>
          <w:rStyle w:val="FootnoteReference"/>
          <w:sz w:val="16"/>
          <w:szCs w:val="16"/>
        </w:rPr>
        <w:footnoteRef/>
      </w:r>
      <w:r w:rsidRPr="1CDE5FFE">
        <w:rPr>
          <w:sz w:val="16"/>
          <w:szCs w:val="16"/>
        </w:rPr>
        <w:t xml:space="preserve"> Roderick Main, Synchronicity and Analysis: Jung and After, </w:t>
      </w:r>
      <w:r w:rsidRPr="12AE13EF">
        <w:rPr>
          <w:i/>
          <w:iCs/>
          <w:sz w:val="16"/>
          <w:szCs w:val="16"/>
        </w:rPr>
        <w:t xml:space="preserve">European Journal of Psychology &amp; Counselling, </w:t>
      </w:r>
      <w:r w:rsidRPr="12AE13EF">
        <w:rPr>
          <w:sz w:val="16"/>
          <w:szCs w:val="16"/>
        </w:rPr>
        <w:t xml:space="preserve">9:4 (2007), pp. 359-371, </w:t>
      </w:r>
      <w:r w:rsidRPr="12AE13EF">
        <w:rPr>
          <w:rFonts w:ascii="Open Sans" w:hAnsi="Open Sans" w:eastAsia="Open Sans" w:cs="Open Sans"/>
          <w:color w:val="333333"/>
          <w:sz w:val="16"/>
          <w:szCs w:val="16"/>
        </w:rPr>
        <w:t xml:space="preserve">DOI: </w:t>
      </w:r>
      <w:hyperlink r:id="rId16">
        <w:r w:rsidRPr="12AE13EF">
          <w:rPr>
            <w:rStyle w:val="Hyperlink"/>
            <w:rFonts w:ascii="Open Sans" w:hAnsi="Open Sans" w:eastAsia="Open Sans" w:cs="Open Sans"/>
            <w:sz w:val="16"/>
            <w:szCs w:val="16"/>
          </w:rPr>
          <w:t>10.1080/13642530701725924.</w:t>
        </w:r>
      </w:hyperlink>
    </w:p>
  </w:footnote>
  <w:footnote w:id="74">
    <w:p w:rsidR="55F0D9A6" w:rsidP="45708CAD" w:rsidRDefault="55F0D9A6" w14:paraId="4556FDAE" w14:textId="64B3E3FD">
      <w:pPr>
        <w:pStyle w:val="FootnoteText"/>
        <w:rPr>
          <w:sz w:val="16"/>
          <w:szCs w:val="16"/>
        </w:rPr>
      </w:pPr>
      <w:r w:rsidRPr="45708CAD">
        <w:rPr>
          <w:rStyle w:val="FootnoteReference"/>
          <w:sz w:val="16"/>
          <w:szCs w:val="16"/>
        </w:rPr>
        <w:footnoteRef/>
      </w:r>
      <w:r w:rsidRPr="45708CAD">
        <w:rPr>
          <w:sz w:val="16"/>
          <w:szCs w:val="16"/>
        </w:rPr>
        <w:t xml:space="preserve"> Shamdasani, </w:t>
      </w:r>
      <w:r w:rsidRPr="45708CAD">
        <w:rPr>
          <w:i/>
          <w:iCs/>
          <w:sz w:val="16"/>
          <w:szCs w:val="16"/>
        </w:rPr>
        <w:t xml:space="preserve">The Red Book, </w:t>
      </w:r>
      <w:r w:rsidRPr="45708CAD">
        <w:rPr>
          <w:sz w:val="16"/>
          <w:szCs w:val="16"/>
        </w:rPr>
        <w:t>pp. 88-89.</w:t>
      </w:r>
    </w:p>
  </w:footnote>
  <w:footnote w:id="75">
    <w:p w:rsidR="12AE13EF" w:rsidP="12AE13EF" w:rsidRDefault="12AE13EF" w14:paraId="6C0417DE" w14:textId="750E0F89">
      <w:pPr>
        <w:pStyle w:val="FootnoteText"/>
      </w:pPr>
      <w:r w:rsidRPr="12AE13EF">
        <w:rPr>
          <w:rStyle w:val="FootnoteReference"/>
          <w:sz w:val="16"/>
          <w:szCs w:val="16"/>
        </w:rPr>
        <w:footnoteRef/>
      </w:r>
      <w:r w:rsidRPr="12AE13EF">
        <w:rPr>
          <w:sz w:val="16"/>
          <w:szCs w:val="16"/>
        </w:rPr>
        <w:t xml:space="preserve"> Joseph </w:t>
      </w:r>
      <w:proofErr w:type="spellStart"/>
      <w:r w:rsidRPr="12AE13EF">
        <w:rPr>
          <w:sz w:val="16"/>
          <w:szCs w:val="16"/>
        </w:rPr>
        <w:t>Cambray</w:t>
      </w:r>
      <w:proofErr w:type="spellEnd"/>
      <w:r w:rsidRPr="12AE13EF">
        <w:rPr>
          <w:sz w:val="16"/>
          <w:szCs w:val="16"/>
        </w:rPr>
        <w:t xml:space="preserve">, ’Synchronicity and Emergence,’ </w:t>
      </w:r>
      <w:r w:rsidRPr="12AE13EF">
        <w:rPr>
          <w:i/>
          <w:iCs/>
          <w:sz w:val="16"/>
          <w:szCs w:val="16"/>
        </w:rPr>
        <w:t xml:space="preserve">American Imago 59, </w:t>
      </w:r>
      <w:r w:rsidRPr="12AE13EF">
        <w:rPr>
          <w:sz w:val="16"/>
          <w:szCs w:val="16"/>
        </w:rPr>
        <w:t xml:space="preserve">no. 4 (2002), pp. 409-34. </w:t>
      </w:r>
      <w:hyperlink r:id="rId17">
        <w:r w:rsidRPr="12AE13EF">
          <w:rPr>
            <w:rStyle w:val="Hyperlink"/>
            <w:sz w:val="16"/>
            <w:szCs w:val="16"/>
          </w:rPr>
          <w:t>http://www.jstor.org/stable/26304846</w:t>
        </w:r>
      </w:hyperlink>
      <w:r w:rsidRPr="12AE13EF">
        <w:rPr>
          <w:sz w:val="16"/>
          <w:szCs w:val="16"/>
        </w:rPr>
        <w:t>.</w:t>
      </w:r>
    </w:p>
  </w:footnote>
  <w:footnote w:id="76">
    <w:p w:rsidR="12AE13EF" w:rsidP="12AE13EF" w:rsidRDefault="12AE13EF" w14:paraId="2CBDCDCF" w14:textId="41355FBE">
      <w:pPr>
        <w:pStyle w:val="FootnoteText"/>
        <w:rPr>
          <w:sz w:val="16"/>
          <w:szCs w:val="16"/>
        </w:rPr>
      </w:pPr>
      <w:r w:rsidRPr="12AE13EF">
        <w:rPr>
          <w:rStyle w:val="FootnoteReference"/>
          <w:sz w:val="16"/>
          <w:szCs w:val="16"/>
        </w:rPr>
        <w:footnoteRef/>
      </w:r>
      <w:r w:rsidRPr="12AE13EF">
        <w:rPr>
          <w:sz w:val="16"/>
          <w:szCs w:val="16"/>
        </w:rPr>
        <w:t xml:space="preserve"> Nicholas Campion. </w:t>
      </w:r>
      <w:r w:rsidRPr="12AE13EF">
        <w:rPr>
          <w:i/>
          <w:iCs/>
          <w:sz w:val="16"/>
          <w:szCs w:val="16"/>
        </w:rPr>
        <w:t xml:space="preserve">The Extent and nature of Contemporary Belief in Astrology. </w:t>
      </w:r>
      <w:r w:rsidRPr="12AE13EF">
        <w:rPr>
          <w:sz w:val="16"/>
          <w:szCs w:val="16"/>
        </w:rPr>
        <w:t>(PhD diss, University of the West of England, 2004), pp. 120-121.</w:t>
      </w:r>
    </w:p>
  </w:footnote>
  <w:footnote w:id="77">
    <w:p w:rsidR="68C12C30" w:rsidP="45708CAD" w:rsidRDefault="68C12C30" w14:paraId="1F74DEC3" w14:textId="2F261C67">
      <w:pPr>
        <w:pStyle w:val="FootnoteText"/>
        <w:rPr>
          <w:rFonts w:ascii="Helvetica" w:hAnsi="Helvetica" w:eastAsia="Helvetica" w:cs="Helvetica"/>
          <w:sz w:val="16"/>
          <w:szCs w:val="16"/>
        </w:rPr>
      </w:pPr>
      <w:r w:rsidRPr="45708CAD">
        <w:rPr>
          <w:rStyle w:val="FootnoteReference"/>
          <w:sz w:val="16"/>
          <w:szCs w:val="16"/>
        </w:rPr>
        <w:footnoteRef/>
      </w:r>
      <w:r w:rsidRPr="45708CAD">
        <w:rPr>
          <w:sz w:val="16"/>
          <w:szCs w:val="16"/>
        </w:rPr>
        <w:t xml:space="preserve"> Greene, </w:t>
      </w:r>
      <w:r w:rsidRPr="45708CAD">
        <w:rPr>
          <w:i/>
          <w:iCs/>
          <w:sz w:val="16"/>
          <w:szCs w:val="16"/>
        </w:rPr>
        <w:t xml:space="preserve">Jung’s Studies in Astrology, </w:t>
      </w:r>
      <w:r w:rsidRPr="45708CAD">
        <w:rPr>
          <w:sz w:val="16"/>
          <w:szCs w:val="16"/>
        </w:rPr>
        <w:t>pp. 180-181.</w:t>
      </w:r>
    </w:p>
  </w:footnote>
  <w:footnote w:id="78">
    <w:p w:rsidR="12AE13EF" w:rsidP="12AE13EF" w:rsidRDefault="12AE13EF" w14:paraId="08789F70" w14:textId="660C3ACF">
      <w:pPr>
        <w:pStyle w:val="FootnoteText"/>
        <w:rPr>
          <w:sz w:val="16"/>
          <w:szCs w:val="16"/>
        </w:rPr>
      </w:pPr>
      <w:r w:rsidRPr="12AE13EF">
        <w:rPr>
          <w:rStyle w:val="FootnoteReference"/>
          <w:sz w:val="16"/>
          <w:szCs w:val="16"/>
        </w:rPr>
        <w:footnoteRef/>
      </w:r>
      <w:r w:rsidRPr="12AE13EF">
        <w:rPr>
          <w:sz w:val="16"/>
          <w:szCs w:val="16"/>
        </w:rPr>
        <w:t xml:space="preserve"> Greene, </w:t>
      </w:r>
      <w:r w:rsidRPr="12AE13EF">
        <w:rPr>
          <w:i/>
          <w:iCs/>
          <w:sz w:val="16"/>
          <w:szCs w:val="16"/>
        </w:rPr>
        <w:t>Jung ’s Studies in Astrology,</w:t>
      </w:r>
      <w:r w:rsidRPr="12AE13EF">
        <w:rPr>
          <w:sz w:val="16"/>
          <w:szCs w:val="16"/>
        </w:rPr>
        <w:t xml:space="preserve"> p. 181.</w:t>
      </w:r>
    </w:p>
  </w:footnote>
  <w:footnote w:id="79">
    <w:p w:rsidR="12AE13EF" w:rsidP="12AE13EF" w:rsidRDefault="12AE13EF" w14:paraId="00FEADF6" w14:textId="521DF581">
      <w:pPr>
        <w:pStyle w:val="FootnoteText"/>
        <w:rPr>
          <w:rFonts w:eastAsiaTheme="minorEastAsia"/>
          <w:sz w:val="16"/>
          <w:szCs w:val="16"/>
        </w:rPr>
      </w:pPr>
      <w:r w:rsidRPr="12AE13EF">
        <w:rPr>
          <w:rStyle w:val="FootnoteReference"/>
          <w:sz w:val="16"/>
          <w:szCs w:val="16"/>
        </w:rPr>
        <w:footnoteRef/>
      </w:r>
      <w:r w:rsidRPr="12AE13EF">
        <w:rPr>
          <w:sz w:val="16"/>
          <w:szCs w:val="16"/>
        </w:rPr>
        <w:t xml:space="preserve"> </w:t>
      </w:r>
      <w:r w:rsidRPr="12AE13EF">
        <w:rPr>
          <w:rFonts w:eastAsiaTheme="minorEastAsia"/>
          <w:sz w:val="16"/>
          <w:szCs w:val="16"/>
        </w:rPr>
        <w:t xml:space="preserve">Greene, </w:t>
      </w:r>
      <w:r w:rsidRPr="12AE13EF">
        <w:rPr>
          <w:rFonts w:eastAsiaTheme="minorEastAsia"/>
          <w:i/>
          <w:iCs/>
          <w:sz w:val="16"/>
          <w:szCs w:val="16"/>
        </w:rPr>
        <w:t xml:space="preserve">Jung’s Studies in Astrology, </w:t>
      </w:r>
      <w:r w:rsidRPr="12AE13EF">
        <w:rPr>
          <w:rFonts w:eastAsiaTheme="minorEastAsia"/>
          <w:sz w:val="16"/>
          <w:szCs w:val="16"/>
        </w:rPr>
        <w:t>pp. 180-181.</w:t>
      </w:r>
    </w:p>
  </w:footnote>
  <w:footnote w:id="80">
    <w:p w:rsidR="12AE13EF" w:rsidP="12AE13EF" w:rsidRDefault="12AE13EF" w14:paraId="34C48A4C" w14:textId="280A186E">
      <w:pPr>
        <w:pStyle w:val="FootnoteText"/>
        <w:rPr>
          <w:sz w:val="16"/>
          <w:szCs w:val="16"/>
        </w:rPr>
      </w:pPr>
      <w:r w:rsidRPr="12AE13EF">
        <w:rPr>
          <w:rStyle w:val="FootnoteReference"/>
          <w:sz w:val="16"/>
          <w:szCs w:val="16"/>
        </w:rPr>
        <w:footnoteRef/>
      </w:r>
      <w:r w:rsidRPr="12AE13EF">
        <w:rPr>
          <w:sz w:val="16"/>
          <w:szCs w:val="16"/>
        </w:rPr>
        <w:t xml:space="preserve"> Greene, </w:t>
      </w:r>
      <w:proofErr w:type="gramStart"/>
      <w:r w:rsidRPr="12AE13EF">
        <w:rPr>
          <w:i/>
          <w:iCs/>
          <w:sz w:val="16"/>
          <w:szCs w:val="16"/>
        </w:rPr>
        <w:t>Jung‘</w:t>
      </w:r>
      <w:proofErr w:type="gramEnd"/>
      <w:r w:rsidRPr="12AE13EF">
        <w:rPr>
          <w:i/>
          <w:iCs/>
          <w:sz w:val="16"/>
          <w:szCs w:val="16"/>
        </w:rPr>
        <w:t xml:space="preserve">s Studies in Astrology, </w:t>
      </w:r>
      <w:r w:rsidRPr="12AE13EF">
        <w:rPr>
          <w:sz w:val="16"/>
          <w:szCs w:val="16"/>
        </w:rPr>
        <w:t>p. 76.</w:t>
      </w:r>
    </w:p>
  </w:footnote>
  <w:footnote w:id="81">
    <w:p w:rsidR="12AE13EF" w:rsidP="12AE13EF" w:rsidRDefault="12AE13EF" w14:paraId="1943FC57" w14:textId="08C22F74">
      <w:pPr>
        <w:pStyle w:val="FootnoteText"/>
        <w:rPr>
          <w:sz w:val="16"/>
          <w:szCs w:val="16"/>
        </w:rPr>
      </w:pPr>
      <w:r w:rsidRPr="12AE13EF">
        <w:rPr>
          <w:rStyle w:val="FootnoteReference"/>
          <w:sz w:val="16"/>
          <w:szCs w:val="16"/>
        </w:rPr>
        <w:footnoteRef/>
      </w:r>
      <w:r w:rsidRPr="12AE13EF">
        <w:rPr>
          <w:sz w:val="16"/>
          <w:szCs w:val="16"/>
        </w:rPr>
        <w:t xml:space="preserve"> Greene, </w:t>
      </w:r>
      <w:r w:rsidRPr="12AE13EF">
        <w:rPr>
          <w:i/>
          <w:iCs/>
          <w:sz w:val="16"/>
          <w:szCs w:val="16"/>
        </w:rPr>
        <w:t xml:space="preserve">Jung’s Studies in Astrology, </w:t>
      </w:r>
      <w:r w:rsidRPr="12AE13EF">
        <w:rPr>
          <w:sz w:val="16"/>
          <w:szCs w:val="16"/>
        </w:rPr>
        <w:t>p. 66.</w:t>
      </w:r>
    </w:p>
  </w:footnote>
  <w:footnote w:id="82">
    <w:p w:rsidR="12AE13EF" w:rsidP="12AE13EF" w:rsidRDefault="12AE13EF" w14:paraId="0E689BC1" w14:textId="6F883A81">
      <w:pPr>
        <w:pStyle w:val="FootnoteText"/>
        <w:rPr>
          <w:sz w:val="16"/>
          <w:szCs w:val="16"/>
        </w:rPr>
      </w:pPr>
      <w:r w:rsidRPr="12AE13EF">
        <w:rPr>
          <w:rStyle w:val="FootnoteReference"/>
          <w:sz w:val="16"/>
          <w:szCs w:val="16"/>
        </w:rPr>
        <w:footnoteRef/>
      </w:r>
      <w:r w:rsidRPr="12AE13EF">
        <w:rPr>
          <w:sz w:val="16"/>
          <w:szCs w:val="16"/>
        </w:rPr>
        <w:t xml:space="preserve"> M. Esther Harding, ’Jung’s Influence on Contemporary Though.’ </w:t>
      </w:r>
      <w:r w:rsidRPr="12AE13EF">
        <w:rPr>
          <w:i/>
          <w:iCs/>
          <w:sz w:val="16"/>
          <w:szCs w:val="16"/>
        </w:rPr>
        <w:t xml:space="preserve">Journal of Religion and Health 1, </w:t>
      </w:r>
      <w:r w:rsidRPr="12AE13EF">
        <w:rPr>
          <w:sz w:val="16"/>
          <w:szCs w:val="16"/>
        </w:rPr>
        <w:t xml:space="preserve">no. 3 (1962), 247-59 (p. 247). </w:t>
      </w:r>
      <w:hyperlink r:id="rId18">
        <w:r w:rsidRPr="12AE13EF">
          <w:rPr>
            <w:rStyle w:val="Hyperlink"/>
            <w:sz w:val="16"/>
            <w:szCs w:val="16"/>
          </w:rPr>
          <w:t>http://www.jstor.org/stable/27504500</w:t>
        </w:r>
      </w:hyperlink>
      <w:r w:rsidRPr="12AE13EF">
        <w:rPr>
          <w:sz w:val="16"/>
          <w:szCs w:val="16"/>
        </w:rPr>
        <w:t>.</w:t>
      </w:r>
    </w:p>
  </w:footnote>
  <w:footnote w:id="83">
    <w:p w:rsidR="12AE13EF" w:rsidP="12AE13EF" w:rsidRDefault="12AE13EF" w14:paraId="38D1D336" w14:textId="653CC033">
      <w:pPr>
        <w:pStyle w:val="FootnoteText"/>
        <w:rPr>
          <w:sz w:val="16"/>
          <w:szCs w:val="16"/>
        </w:rPr>
      </w:pPr>
      <w:r w:rsidRPr="12AE13EF">
        <w:rPr>
          <w:rStyle w:val="FootnoteReference"/>
          <w:sz w:val="16"/>
          <w:szCs w:val="16"/>
        </w:rPr>
        <w:footnoteRef/>
      </w:r>
      <w:r w:rsidRPr="12AE13EF">
        <w:rPr>
          <w:sz w:val="16"/>
          <w:szCs w:val="16"/>
        </w:rPr>
        <w:t xml:space="preserve"> Greene, </w:t>
      </w:r>
      <w:r w:rsidRPr="12AE13EF">
        <w:rPr>
          <w:i/>
          <w:iCs/>
          <w:sz w:val="16"/>
          <w:szCs w:val="16"/>
        </w:rPr>
        <w:t xml:space="preserve">Jung’s Studies in Astrology, </w:t>
      </w:r>
      <w:r w:rsidRPr="12AE13EF">
        <w:rPr>
          <w:sz w:val="16"/>
          <w:szCs w:val="16"/>
        </w:rPr>
        <w:t>p. 66.</w:t>
      </w:r>
    </w:p>
  </w:footnote>
  <w:footnote w:id="11353">
    <w:p w:rsidR="179EDB11" w:rsidP="179EDB11" w:rsidRDefault="179EDB11" w14:paraId="2CA5D24B" w14:textId="7B687142">
      <w:pPr>
        <w:pStyle w:val="FootnoteText"/>
        <w:bidi w:val="0"/>
        <w:rPr>
          <w:rFonts w:ascii="Calibri" w:hAnsi="Calibri" w:eastAsia="Calibri" w:cs="Calibri"/>
          <w:noProof w:val="0"/>
          <w:sz w:val="16"/>
          <w:szCs w:val="16"/>
          <w:lang w:val="en-US"/>
        </w:rPr>
      </w:pPr>
      <w:r w:rsidRPr="179EDB11">
        <w:rPr>
          <w:rStyle w:val="FootnoteReference"/>
          <w:sz w:val="16"/>
          <w:szCs w:val="16"/>
        </w:rPr>
        <w:footnoteRef/>
      </w:r>
      <w:r w:rsidRPr="179EDB11" w:rsidR="179EDB11">
        <w:rPr>
          <w:sz w:val="16"/>
          <w:szCs w:val="16"/>
        </w:rPr>
        <w:t xml:space="preserve"> </w:t>
      </w:r>
      <w:r w:rsidRPr="179EDB11" w:rsidR="179EDB11">
        <w:rPr>
          <w:sz w:val="16"/>
          <w:szCs w:val="16"/>
        </w:rPr>
        <w:t xml:space="preserve">Simon Richter, ’Introduction,’ </w:t>
      </w:r>
      <w:r w:rsidRPr="179EDB11" w:rsidR="179EDB11">
        <w:rPr>
          <w:i w:val="1"/>
          <w:iCs w:val="1"/>
          <w:sz w:val="16"/>
          <w:szCs w:val="16"/>
        </w:rPr>
        <w:t xml:space="preserve">The Literature of Weimer Classicism, </w:t>
      </w:r>
      <w:r w:rsidRPr="179EDB11" w:rsidR="179EDB11">
        <w:rPr>
          <w:i w:val="0"/>
          <w:iCs w:val="0"/>
          <w:sz w:val="16"/>
          <w:szCs w:val="16"/>
        </w:rPr>
        <w:t>edited by Simon Richter, 7:3-44. Boydell &amp; Brewer, 2005, pp 3-44.</w:t>
      </w:r>
      <w:hyperlink r:id="R96c7043e89914505">
        <w:r w:rsidRPr="179EDB11" w:rsidR="179EDB11">
          <w:rPr>
            <w:rStyle w:val="Hyperlink"/>
            <w:rFonts w:ascii="Calibri" w:hAnsi="Calibri" w:eastAsia="Calibri" w:cs="Calibri"/>
            <w:noProof w:val="0"/>
            <w:sz w:val="16"/>
            <w:szCs w:val="16"/>
            <w:lang w:val="en-US"/>
          </w:rPr>
          <w:t>http://www.jstor.org/stable/10.7722/j.ctt820qv.6</w:t>
        </w:r>
      </w:hyperlink>
      <w:r w:rsidRPr="179EDB11" w:rsidR="179EDB11">
        <w:rPr>
          <w:rFonts w:ascii="Calibri" w:hAnsi="Calibri" w:eastAsia="Calibri" w:cs="Calibri"/>
          <w:noProof w:val="0"/>
          <w:sz w:val="16"/>
          <w:szCs w:val="16"/>
          <w:lang w:val="en-US"/>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4488" w:rsidRDefault="002E4488" w14:paraId="4E7B85D1" w14:textId="786E829E">
    <w:pPr>
      <w:pStyle w:val="Header"/>
    </w:pPr>
    <w:r>
      <w:t>Leon Hicks</w:t>
    </w:r>
  </w:p>
  <w:p w:rsidR="1CDE5FFE" w:rsidP="1CDE5FFE" w:rsidRDefault="1CDE5FFE" w14:paraId="66F83B65" w14:textId="1938426F">
    <w:pPr>
      <w:pStyle w:val="Header"/>
    </w:pPr>
  </w:p>
</w:hdr>
</file>

<file path=word/intelligence2.xml><?xml version="1.0" encoding="utf-8"?>
<int2:intelligence xmlns:int2="http://schemas.microsoft.com/office/intelligence/2020/intelligence">
  <int2:observations>
    <int2:textHash int2:hashCode="hkSU6DIwS0NmC3" int2:id="RPhkqyre">
      <int2:state int2:type="LegacyProofing" int2:value="Rejected"/>
    </int2:textHash>
    <int2:textHash int2:hashCode="ZG7kmRN7YOhq2w" int2:id="tErHZWKu">
      <int2:state int2:type="LegacyProofing" int2:value="Rejected"/>
    </int2:textHash>
    <int2:textHash int2:hashCode="NbVvjm7To/pfBD" int2:id="HkLT2Gg5">
      <int2:state int2:type="LegacyProofing" int2:value="Rejected"/>
    </int2:textHash>
    <int2:textHash int2:hashCode="gjM9o1eiEMeirL" int2:id="iZsDKjO3">
      <int2:state int2:type="LegacyProofing" int2:value="Rejected"/>
    </int2:textHash>
    <int2:textHash int2:hashCode="k3G3o78GgB8kXW" int2:id="LQQPlUz6">
      <int2:state int2:type="LegacyProofing" int2:value="Rejected"/>
    </int2:textHash>
    <int2:textHash int2:hashCode="Wr2l0RNWFLy1gh" int2:id="ZCJIm6p3">
      <int2:state int2:type="LegacyProofing" int2:value="Rejected"/>
    </int2:textHash>
    <int2:textHash int2:hashCode="4zg6L3RBjQBEgy" int2:id="WEBygpl8">
      <int2:state int2:type="LegacyProofing" int2:value="Rejected"/>
    </int2:textHash>
    <int2:textHash int2:hashCode="SSTpyOXG7LVLYX" int2:id="LmYE4yLc">
      <int2:state int2:type="LegacyProofing" int2:value="Rejected"/>
    </int2:textHash>
    <int2:textHash int2:hashCode="L4jpYN2R5hskdO" int2:id="3uy1C50a">
      <int2:state int2:type="LegacyProofing" int2:value="Rejected"/>
    </int2:textHash>
    <int2:textHash int2:hashCode="PuVEu8PoJKplW8" int2:id="DIZ8NLbX">
      <int2:state int2:type="LegacyProofing" int2:value="Rejected"/>
    </int2:textHash>
    <int2:textHash int2:hashCode="rFQhkKy5WB8NDM" int2:id="e6ulxj3b">
      <int2:state int2:type="LegacyProofing" int2:value="Rejected"/>
    </int2:textHash>
    <int2:textHash int2:hashCode="AaW9aZD42zb9KQ" int2:id="rB541tVS">
      <int2:state int2:type="LegacyProofing" int2:value="Rejected"/>
    </int2:textHash>
    <int2:textHash int2:hashCode="e/ASeUVYzvapYe" int2:id="aKqxNYAq">
      <int2:state int2:type="LegacyProofing" int2:value="Rejected"/>
    </int2:textHash>
    <int2:textHash int2:hashCode="GZ6o2w2bW7nPSC" int2:id="mosUZ7yy">
      <int2:state int2:type="LegacyProofing" int2:value="Rejected"/>
    </int2:textHash>
    <int2:textHash int2:hashCode="yfMBygGGGQO5YK" int2:id="44OQFDA1">
      <int2:state int2:type="LegacyProofing" int2:value="Rejected"/>
    </int2:textHash>
    <int2:textHash int2:hashCode="bF5QdAHyM+EHiT" int2:id="DMpTgp5g">
      <int2:state int2:type="LegacyProofing" int2:value="Rejected"/>
    </int2:textHash>
    <int2:textHash int2:hashCode="NGBoVKVCFZlxvt" int2:id="JjQ3Nbel">
      <int2:state int2:type="LegacyProofing" int2:value="Rejected"/>
    </int2:textHash>
    <int2:textHash int2:hashCode="goaJA5aC08m5J3" int2:id="FacgqznM">
      <int2:state int2:type="LegacyProofing" int2:value="Rejected"/>
    </int2:textHash>
    <int2:textHash int2:hashCode="poQvr8byx2o8+K" int2:id="72uJwLVY">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D08AE9"/>
    <w:multiLevelType w:val="hybridMultilevel"/>
    <w:tmpl w:val="19229CB8"/>
    <w:lvl w:ilvl="0" w:tplc="CCD6B776">
      <w:start w:val="1"/>
      <w:numFmt w:val="bullet"/>
      <w:lvlText w:val="-"/>
      <w:lvlJc w:val="left"/>
      <w:pPr>
        <w:ind w:left="720" w:hanging="360"/>
      </w:pPr>
      <w:rPr>
        <w:rFonts w:hint="default" w:ascii="Calibri" w:hAnsi="Calibri"/>
      </w:rPr>
    </w:lvl>
    <w:lvl w:ilvl="1" w:tplc="A5BCC3D2">
      <w:start w:val="1"/>
      <w:numFmt w:val="bullet"/>
      <w:lvlText w:val="o"/>
      <w:lvlJc w:val="left"/>
      <w:pPr>
        <w:ind w:left="1440" w:hanging="360"/>
      </w:pPr>
      <w:rPr>
        <w:rFonts w:hint="default" w:ascii="Courier New" w:hAnsi="Courier New"/>
      </w:rPr>
    </w:lvl>
    <w:lvl w:ilvl="2" w:tplc="EAB26BE2">
      <w:start w:val="1"/>
      <w:numFmt w:val="bullet"/>
      <w:lvlText w:val=""/>
      <w:lvlJc w:val="left"/>
      <w:pPr>
        <w:ind w:left="2160" w:hanging="360"/>
      </w:pPr>
      <w:rPr>
        <w:rFonts w:hint="default" w:ascii="Wingdings" w:hAnsi="Wingdings"/>
      </w:rPr>
    </w:lvl>
    <w:lvl w:ilvl="3" w:tplc="2A36B8E2">
      <w:start w:val="1"/>
      <w:numFmt w:val="bullet"/>
      <w:lvlText w:val=""/>
      <w:lvlJc w:val="left"/>
      <w:pPr>
        <w:ind w:left="2880" w:hanging="360"/>
      </w:pPr>
      <w:rPr>
        <w:rFonts w:hint="default" w:ascii="Symbol" w:hAnsi="Symbol"/>
      </w:rPr>
    </w:lvl>
    <w:lvl w:ilvl="4" w:tplc="6EE82C16">
      <w:start w:val="1"/>
      <w:numFmt w:val="bullet"/>
      <w:lvlText w:val="o"/>
      <w:lvlJc w:val="left"/>
      <w:pPr>
        <w:ind w:left="3600" w:hanging="360"/>
      </w:pPr>
      <w:rPr>
        <w:rFonts w:hint="default" w:ascii="Courier New" w:hAnsi="Courier New"/>
      </w:rPr>
    </w:lvl>
    <w:lvl w:ilvl="5" w:tplc="C0B0B0D4">
      <w:start w:val="1"/>
      <w:numFmt w:val="bullet"/>
      <w:lvlText w:val=""/>
      <w:lvlJc w:val="left"/>
      <w:pPr>
        <w:ind w:left="4320" w:hanging="360"/>
      </w:pPr>
      <w:rPr>
        <w:rFonts w:hint="default" w:ascii="Wingdings" w:hAnsi="Wingdings"/>
      </w:rPr>
    </w:lvl>
    <w:lvl w:ilvl="6" w:tplc="594E98D6">
      <w:start w:val="1"/>
      <w:numFmt w:val="bullet"/>
      <w:lvlText w:val=""/>
      <w:lvlJc w:val="left"/>
      <w:pPr>
        <w:ind w:left="5040" w:hanging="360"/>
      </w:pPr>
      <w:rPr>
        <w:rFonts w:hint="default" w:ascii="Symbol" w:hAnsi="Symbol"/>
      </w:rPr>
    </w:lvl>
    <w:lvl w:ilvl="7" w:tplc="D23839A8">
      <w:start w:val="1"/>
      <w:numFmt w:val="bullet"/>
      <w:lvlText w:val="o"/>
      <w:lvlJc w:val="left"/>
      <w:pPr>
        <w:ind w:left="5760" w:hanging="360"/>
      </w:pPr>
      <w:rPr>
        <w:rFonts w:hint="default" w:ascii="Courier New" w:hAnsi="Courier New"/>
      </w:rPr>
    </w:lvl>
    <w:lvl w:ilvl="8" w:tplc="426EDA80">
      <w:start w:val="1"/>
      <w:numFmt w:val="bullet"/>
      <w:lvlText w:val=""/>
      <w:lvlJc w:val="left"/>
      <w:pPr>
        <w:ind w:left="6480" w:hanging="360"/>
      </w:pPr>
      <w:rPr>
        <w:rFonts w:hint="default" w:ascii="Wingdings" w:hAnsi="Wingdings"/>
      </w:rPr>
    </w:lvl>
  </w:abstractNum>
  <w:abstractNum w:abstractNumId="1" w15:restartNumberingAfterBreak="0">
    <w:nsid w:val="30C04971"/>
    <w:multiLevelType w:val="hybridMultilevel"/>
    <w:tmpl w:val="3D5A17EC"/>
    <w:lvl w:ilvl="0" w:tplc="3C68C684">
      <w:start w:val="1"/>
      <w:numFmt w:val="decimal"/>
      <w:lvlText w:val="%1."/>
      <w:lvlJc w:val="left"/>
      <w:pPr>
        <w:ind w:left="720" w:hanging="360"/>
      </w:pPr>
    </w:lvl>
    <w:lvl w:ilvl="1" w:tplc="27FE9B72">
      <w:start w:val="1"/>
      <w:numFmt w:val="lowerLetter"/>
      <w:lvlText w:val="%2."/>
      <w:lvlJc w:val="left"/>
      <w:pPr>
        <w:ind w:left="1440" w:hanging="360"/>
      </w:pPr>
    </w:lvl>
    <w:lvl w:ilvl="2" w:tplc="F6FA81AE">
      <w:start w:val="1"/>
      <w:numFmt w:val="lowerRoman"/>
      <w:lvlText w:val="%3."/>
      <w:lvlJc w:val="right"/>
      <w:pPr>
        <w:ind w:left="2160" w:hanging="180"/>
      </w:pPr>
    </w:lvl>
    <w:lvl w:ilvl="3" w:tplc="6C427770">
      <w:start w:val="1"/>
      <w:numFmt w:val="decimal"/>
      <w:lvlText w:val="%4."/>
      <w:lvlJc w:val="left"/>
      <w:pPr>
        <w:ind w:left="2880" w:hanging="360"/>
      </w:pPr>
    </w:lvl>
    <w:lvl w:ilvl="4" w:tplc="755818CA">
      <w:start w:val="1"/>
      <w:numFmt w:val="lowerLetter"/>
      <w:lvlText w:val="%5."/>
      <w:lvlJc w:val="left"/>
      <w:pPr>
        <w:ind w:left="3600" w:hanging="360"/>
      </w:pPr>
    </w:lvl>
    <w:lvl w:ilvl="5" w:tplc="6BA407D6">
      <w:start w:val="1"/>
      <w:numFmt w:val="lowerRoman"/>
      <w:lvlText w:val="%6."/>
      <w:lvlJc w:val="right"/>
      <w:pPr>
        <w:ind w:left="4320" w:hanging="180"/>
      </w:pPr>
    </w:lvl>
    <w:lvl w:ilvl="6" w:tplc="E7648908">
      <w:start w:val="1"/>
      <w:numFmt w:val="decimal"/>
      <w:lvlText w:val="%7."/>
      <w:lvlJc w:val="left"/>
      <w:pPr>
        <w:ind w:left="5040" w:hanging="360"/>
      </w:pPr>
    </w:lvl>
    <w:lvl w:ilvl="7" w:tplc="6D44341E">
      <w:start w:val="1"/>
      <w:numFmt w:val="lowerLetter"/>
      <w:lvlText w:val="%8."/>
      <w:lvlJc w:val="left"/>
      <w:pPr>
        <w:ind w:left="5760" w:hanging="360"/>
      </w:pPr>
    </w:lvl>
    <w:lvl w:ilvl="8" w:tplc="C3566502">
      <w:start w:val="1"/>
      <w:numFmt w:val="lowerRoman"/>
      <w:lvlText w:val="%9."/>
      <w:lvlJc w:val="right"/>
      <w:pPr>
        <w:ind w:left="6480" w:hanging="180"/>
      </w:pPr>
    </w:lvl>
  </w:abstractNum>
  <w:abstractNum w:abstractNumId="2" w15:restartNumberingAfterBreak="0">
    <w:nsid w:val="428DBE11"/>
    <w:multiLevelType w:val="hybridMultilevel"/>
    <w:tmpl w:val="0BF0684A"/>
    <w:lvl w:ilvl="0" w:tplc="51929F70">
      <w:start w:val="1"/>
      <w:numFmt w:val="bullet"/>
      <w:lvlText w:val="-"/>
      <w:lvlJc w:val="left"/>
      <w:pPr>
        <w:ind w:left="720" w:hanging="360"/>
      </w:pPr>
      <w:rPr>
        <w:rFonts w:hint="default" w:ascii="Calibri" w:hAnsi="Calibri"/>
      </w:rPr>
    </w:lvl>
    <w:lvl w:ilvl="1" w:tplc="23FE128E">
      <w:start w:val="1"/>
      <w:numFmt w:val="bullet"/>
      <w:lvlText w:val="o"/>
      <w:lvlJc w:val="left"/>
      <w:pPr>
        <w:ind w:left="1440" w:hanging="360"/>
      </w:pPr>
      <w:rPr>
        <w:rFonts w:hint="default" w:ascii="Courier New" w:hAnsi="Courier New"/>
      </w:rPr>
    </w:lvl>
    <w:lvl w:ilvl="2" w:tplc="2E10914C">
      <w:start w:val="1"/>
      <w:numFmt w:val="bullet"/>
      <w:lvlText w:val=""/>
      <w:lvlJc w:val="left"/>
      <w:pPr>
        <w:ind w:left="2160" w:hanging="360"/>
      </w:pPr>
      <w:rPr>
        <w:rFonts w:hint="default" w:ascii="Wingdings" w:hAnsi="Wingdings"/>
      </w:rPr>
    </w:lvl>
    <w:lvl w:ilvl="3" w:tplc="915AA76C">
      <w:start w:val="1"/>
      <w:numFmt w:val="bullet"/>
      <w:lvlText w:val=""/>
      <w:lvlJc w:val="left"/>
      <w:pPr>
        <w:ind w:left="2880" w:hanging="360"/>
      </w:pPr>
      <w:rPr>
        <w:rFonts w:hint="default" w:ascii="Symbol" w:hAnsi="Symbol"/>
      </w:rPr>
    </w:lvl>
    <w:lvl w:ilvl="4" w:tplc="80E67320">
      <w:start w:val="1"/>
      <w:numFmt w:val="bullet"/>
      <w:lvlText w:val="o"/>
      <w:lvlJc w:val="left"/>
      <w:pPr>
        <w:ind w:left="3600" w:hanging="360"/>
      </w:pPr>
      <w:rPr>
        <w:rFonts w:hint="default" w:ascii="Courier New" w:hAnsi="Courier New"/>
      </w:rPr>
    </w:lvl>
    <w:lvl w:ilvl="5" w:tplc="2B466D0C">
      <w:start w:val="1"/>
      <w:numFmt w:val="bullet"/>
      <w:lvlText w:val=""/>
      <w:lvlJc w:val="left"/>
      <w:pPr>
        <w:ind w:left="4320" w:hanging="360"/>
      </w:pPr>
      <w:rPr>
        <w:rFonts w:hint="default" w:ascii="Wingdings" w:hAnsi="Wingdings"/>
      </w:rPr>
    </w:lvl>
    <w:lvl w:ilvl="6" w:tplc="BCF0CC42">
      <w:start w:val="1"/>
      <w:numFmt w:val="bullet"/>
      <w:lvlText w:val=""/>
      <w:lvlJc w:val="left"/>
      <w:pPr>
        <w:ind w:left="5040" w:hanging="360"/>
      </w:pPr>
      <w:rPr>
        <w:rFonts w:hint="default" w:ascii="Symbol" w:hAnsi="Symbol"/>
      </w:rPr>
    </w:lvl>
    <w:lvl w:ilvl="7" w:tplc="BAE6B6EC">
      <w:start w:val="1"/>
      <w:numFmt w:val="bullet"/>
      <w:lvlText w:val="o"/>
      <w:lvlJc w:val="left"/>
      <w:pPr>
        <w:ind w:left="5760" w:hanging="360"/>
      </w:pPr>
      <w:rPr>
        <w:rFonts w:hint="default" w:ascii="Courier New" w:hAnsi="Courier New"/>
      </w:rPr>
    </w:lvl>
    <w:lvl w:ilvl="8" w:tplc="F7868C14">
      <w:start w:val="1"/>
      <w:numFmt w:val="bullet"/>
      <w:lvlText w:val=""/>
      <w:lvlJc w:val="left"/>
      <w:pPr>
        <w:ind w:left="6480" w:hanging="360"/>
      </w:pPr>
      <w:rPr>
        <w:rFonts w:hint="default" w:ascii="Wingdings" w:hAnsi="Wingdings"/>
      </w:rPr>
    </w:lvl>
  </w:abstractNum>
  <w:abstractNum w:abstractNumId="3" w15:restartNumberingAfterBreak="0">
    <w:nsid w:val="4D92CD35"/>
    <w:multiLevelType w:val="hybridMultilevel"/>
    <w:tmpl w:val="64DE3840"/>
    <w:lvl w:ilvl="0" w:tplc="62D87C56">
      <w:start w:val="1"/>
      <w:numFmt w:val="bullet"/>
      <w:lvlText w:val="-"/>
      <w:lvlJc w:val="left"/>
      <w:pPr>
        <w:ind w:left="720" w:hanging="360"/>
      </w:pPr>
      <w:rPr>
        <w:rFonts w:hint="default" w:ascii="Calibri" w:hAnsi="Calibri"/>
      </w:rPr>
    </w:lvl>
    <w:lvl w:ilvl="1" w:tplc="89669EA6">
      <w:start w:val="1"/>
      <w:numFmt w:val="bullet"/>
      <w:lvlText w:val="o"/>
      <w:lvlJc w:val="left"/>
      <w:pPr>
        <w:ind w:left="1440" w:hanging="360"/>
      </w:pPr>
      <w:rPr>
        <w:rFonts w:hint="default" w:ascii="Courier New" w:hAnsi="Courier New"/>
      </w:rPr>
    </w:lvl>
    <w:lvl w:ilvl="2" w:tplc="DCB0EAFE">
      <w:start w:val="1"/>
      <w:numFmt w:val="bullet"/>
      <w:lvlText w:val=""/>
      <w:lvlJc w:val="left"/>
      <w:pPr>
        <w:ind w:left="2160" w:hanging="360"/>
      </w:pPr>
      <w:rPr>
        <w:rFonts w:hint="default" w:ascii="Wingdings" w:hAnsi="Wingdings"/>
      </w:rPr>
    </w:lvl>
    <w:lvl w:ilvl="3" w:tplc="AED48A42">
      <w:start w:val="1"/>
      <w:numFmt w:val="bullet"/>
      <w:lvlText w:val=""/>
      <w:lvlJc w:val="left"/>
      <w:pPr>
        <w:ind w:left="2880" w:hanging="360"/>
      </w:pPr>
      <w:rPr>
        <w:rFonts w:hint="default" w:ascii="Symbol" w:hAnsi="Symbol"/>
      </w:rPr>
    </w:lvl>
    <w:lvl w:ilvl="4" w:tplc="81867034">
      <w:start w:val="1"/>
      <w:numFmt w:val="bullet"/>
      <w:lvlText w:val="o"/>
      <w:lvlJc w:val="left"/>
      <w:pPr>
        <w:ind w:left="3600" w:hanging="360"/>
      </w:pPr>
      <w:rPr>
        <w:rFonts w:hint="default" w:ascii="Courier New" w:hAnsi="Courier New"/>
      </w:rPr>
    </w:lvl>
    <w:lvl w:ilvl="5" w:tplc="E97852A6">
      <w:start w:val="1"/>
      <w:numFmt w:val="bullet"/>
      <w:lvlText w:val=""/>
      <w:lvlJc w:val="left"/>
      <w:pPr>
        <w:ind w:left="4320" w:hanging="360"/>
      </w:pPr>
      <w:rPr>
        <w:rFonts w:hint="default" w:ascii="Wingdings" w:hAnsi="Wingdings"/>
      </w:rPr>
    </w:lvl>
    <w:lvl w:ilvl="6" w:tplc="052EF6DE">
      <w:start w:val="1"/>
      <w:numFmt w:val="bullet"/>
      <w:lvlText w:val=""/>
      <w:lvlJc w:val="left"/>
      <w:pPr>
        <w:ind w:left="5040" w:hanging="360"/>
      </w:pPr>
      <w:rPr>
        <w:rFonts w:hint="default" w:ascii="Symbol" w:hAnsi="Symbol"/>
      </w:rPr>
    </w:lvl>
    <w:lvl w:ilvl="7" w:tplc="53D0BD4C">
      <w:start w:val="1"/>
      <w:numFmt w:val="bullet"/>
      <w:lvlText w:val="o"/>
      <w:lvlJc w:val="left"/>
      <w:pPr>
        <w:ind w:left="5760" w:hanging="360"/>
      </w:pPr>
      <w:rPr>
        <w:rFonts w:hint="default" w:ascii="Courier New" w:hAnsi="Courier New"/>
      </w:rPr>
    </w:lvl>
    <w:lvl w:ilvl="8" w:tplc="87065124">
      <w:start w:val="1"/>
      <w:numFmt w:val="bullet"/>
      <w:lvlText w:val=""/>
      <w:lvlJc w:val="left"/>
      <w:pPr>
        <w:ind w:left="6480" w:hanging="360"/>
      </w:pPr>
      <w:rPr>
        <w:rFonts w:hint="default" w:ascii="Wingdings" w:hAnsi="Wingdings"/>
      </w:rPr>
    </w:lvl>
  </w:abstractNum>
  <w:abstractNum w:abstractNumId="4" w15:restartNumberingAfterBreak="0">
    <w:nsid w:val="690F812E"/>
    <w:multiLevelType w:val="hybridMultilevel"/>
    <w:tmpl w:val="8F38E1C0"/>
    <w:lvl w:ilvl="0" w:tplc="4244A83C">
      <w:start w:val="1"/>
      <w:numFmt w:val="bullet"/>
      <w:lvlText w:val="-"/>
      <w:lvlJc w:val="left"/>
      <w:pPr>
        <w:ind w:left="720" w:hanging="360"/>
      </w:pPr>
      <w:rPr>
        <w:rFonts w:hint="default" w:ascii="Calibri" w:hAnsi="Calibri"/>
      </w:rPr>
    </w:lvl>
    <w:lvl w:ilvl="1" w:tplc="99D87450">
      <w:start w:val="1"/>
      <w:numFmt w:val="bullet"/>
      <w:lvlText w:val="o"/>
      <w:lvlJc w:val="left"/>
      <w:pPr>
        <w:ind w:left="1440" w:hanging="360"/>
      </w:pPr>
      <w:rPr>
        <w:rFonts w:hint="default" w:ascii="Courier New" w:hAnsi="Courier New"/>
      </w:rPr>
    </w:lvl>
    <w:lvl w:ilvl="2" w:tplc="8DD809D6">
      <w:start w:val="1"/>
      <w:numFmt w:val="bullet"/>
      <w:lvlText w:val=""/>
      <w:lvlJc w:val="left"/>
      <w:pPr>
        <w:ind w:left="2160" w:hanging="360"/>
      </w:pPr>
      <w:rPr>
        <w:rFonts w:hint="default" w:ascii="Wingdings" w:hAnsi="Wingdings"/>
      </w:rPr>
    </w:lvl>
    <w:lvl w:ilvl="3" w:tplc="BE02D016">
      <w:start w:val="1"/>
      <w:numFmt w:val="bullet"/>
      <w:lvlText w:val=""/>
      <w:lvlJc w:val="left"/>
      <w:pPr>
        <w:ind w:left="2880" w:hanging="360"/>
      </w:pPr>
      <w:rPr>
        <w:rFonts w:hint="default" w:ascii="Symbol" w:hAnsi="Symbol"/>
      </w:rPr>
    </w:lvl>
    <w:lvl w:ilvl="4" w:tplc="9438C87C">
      <w:start w:val="1"/>
      <w:numFmt w:val="bullet"/>
      <w:lvlText w:val="o"/>
      <w:lvlJc w:val="left"/>
      <w:pPr>
        <w:ind w:left="3600" w:hanging="360"/>
      </w:pPr>
      <w:rPr>
        <w:rFonts w:hint="default" w:ascii="Courier New" w:hAnsi="Courier New"/>
      </w:rPr>
    </w:lvl>
    <w:lvl w:ilvl="5" w:tplc="CD3E3ECC">
      <w:start w:val="1"/>
      <w:numFmt w:val="bullet"/>
      <w:lvlText w:val=""/>
      <w:lvlJc w:val="left"/>
      <w:pPr>
        <w:ind w:left="4320" w:hanging="360"/>
      </w:pPr>
      <w:rPr>
        <w:rFonts w:hint="default" w:ascii="Wingdings" w:hAnsi="Wingdings"/>
      </w:rPr>
    </w:lvl>
    <w:lvl w:ilvl="6" w:tplc="8808388A">
      <w:start w:val="1"/>
      <w:numFmt w:val="bullet"/>
      <w:lvlText w:val=""/>
      <w:lvlJc w:val="left"/>
      <w:pPr>
        <w:ind w:left="5040" w:hanging="360"/>
      </w:pPr>
      <w:rPr>
        <w:rFonts w:hint="default" w:ascii="Symbol" w:hAnsi="Symbol"/>
      </w:rPr>
    </w:lvl>
    <w:lvl w:ilvl="7" w:tplc="7AF21D80">
      <w:start w:val="1"/>
      <w:numFmt w:val="bullet"/>
      <w:lvlText w:val="o"/>
      <w:lvlJc w:val="left"/>
      <w:pPr>
        <w:ind w:left="5760" w:hanging="360"/>
      </w:pPr>
      <w:rPr>
        <w:rFonts w:hint="default" w:ascii="Courier New" w:hAnsi="Courier New"/>
      </w:rPr>
    </w:lvl>
    <w:lvl w:ilvl="8" w:tplc="1AE41CCC">
      <w:start w:val="1"/>
      <w:numFmt w:val="bullet"/>
      <w:lvlText w:val=""/>
      <w:lvlJc w:val="left"/>
      <w:pPr>
        <w:ind w:left="6480" w:hanging="360"/>
      </w:pPr>
      <w:rPr>
        <w:rFonts w:hint="default" w:ascii="Wingdings" w:hAnsi="Wingdings"/>
      </w:rPr>
    </w:lvl>
  </w:abstractNum>
  <w:abstractNum w:abstractNumId="5" w15:restartNumberingAfterBreak="0">
    <w:nsid w:val="6FDCF6AB"/>
    <w:multiLevelType w:val="hybridMultilevel"/>
    <w:tmpl w:val="85E419C8"/>
    <w:lvl w:ilvl="0" w:tplc="641E4A86">
      <w:start w:val="1"/>
      <w:numFmt w:val="bullet"/>
      <w:lvlText w:val=""/>
      <w:lvlJc w:val="left"/>
      <w:pPr>
        <w:ind w:left="720" w:hanging="360"/>
      </w:pPr>
      <w:rPr>
        <w:rFonts w:hint="default" w:ascii="Symbol" w:hAnsi="Symbol"/>
      </w:rPr>
    </w:lvl>
    <w:lvl w:ilvl="1" w:tplc="6B669084">
      <w:start w:val="1"/>
      <w:numFmt w:val="bullet"/>
      <w:lvlText w:val="o"/>
      <w:lvlJc w:val="left"/>
      <w:pPr>
        <w:ind w:left="1440" w:hanging="360"/>
      </w:pPr>
      <w:rPr>
        <w:rFonts w:hint="default" w:ascii="Courier New" w:hAnsi="Courier New"/>
      </w:rPr>
    </w:lvl>
    <w:lvl w:ilvl="2" w:tplc="A48C13B2">
      <w:start w:val="1"/>
      <w:numFmt w:val="bullet"/>
      <w:lvlText w:val=""/>
      <w:lvlJc w:val="left"/>
      <w:pPr>
        <w:ind w:left="2160" w:hanging="360"/>
      </w:pPr>
      <w:rPr>
        <w:rFonts w:hint="default" w:ascii="Wingdings" w:hAnsi="Wingdings"/>
      </w:rPr>
    </w:lvl>
    <w:lvl w:ilvl="3" w:tplc="F798483E">
      <w:start w:val="1"/>
      <w:numFmt w:val="bullet"/>
      <w:lvlText w:val=""/>
      <w:lvlJc w:val="left"/>
      <w:pPr>
        <w:ind w:left="2880" w:hanging="360"/>
      </w:pPr>
      <w:rPr>
        <w:rFonts w:hint="default" w:ascii="Symbol" w:hAnsi="Symbol"/>
      </w:rPr>
    </w:lvl>
    <w:lvl w:ilvl="4" w:tplc="DD4C6A52">
      <w:start w:val="1"/>
      <w:numFmt w:val="bullet"/>
      <w:lvlText w:val="o"/>
      <w:lvlJc w:val="left"/>
      <w:pPr>
        <w:ind w:left="3600" w:hanging="360"/>
      </w:pPr>
      <w:rPr>
        <w:rFonts w:hint="default" w:ascii="Courier New" w:hAnsi="Courier New"/>
      </w:rPr>
    </w:lvl>
    <w:lvl w:ilvl="5" w:tplc="6D6E70D8">
      <w:start w:val="1"/>
      <w:numFmt w:val="bullet"/>
      <w:lvlText w:val=""/>
      <w:lvlJc w:val="left"/>
      <w:pPr>
        <w:ind w:left="4320" w:hanging="360"/>
      </w:pPr>
      <w:rPr>
        <w:rFonts w:hint="default" w:ascii="Wingdings" w:hAnsi="Wingdings"/>
      </w:rPr>
    </w:lvl>
    <w:lvl w:ilvl="6" w:tplc="B2D63298">
      <w:start w:val="1"/>
      <w:numFmt w:val="bullet"/>
      <w:lvlText w:val=""/>
      <w:lvlJc w:val="left"/>
      <w:pPr>
        <w:ind w:left="5040" w:hanging="360"/>
      </w:pPr>
      <w:rPr>
        <w:rFonts w:hint="default" w:ascii="Symbol" w:hAnsi="Symbol"/>
      </w:rPr>
    </w:lvl>
    <w:lvl w:ilvl="7" w:tplc="374E0DDC">
      <w:start w:val="1"/>
      <w:numFmt w:val="bullet"/>
      <w:lvlText w:val="o"/>
      <w:lvlJc w:val="left"/>
      <w:pPr>
        <w:ind w:left="5760" w:hanging="360"/>
      </w:pPr>
      <w:rPr>
        <w:rFonts w:hint="default" w:ascii="Courier New" w:hAnsi="Courier New"/>
      </w:rPr>
    </w:lvl>
    <w:lvl w:ilvl="8" w:tplc="1ECE1F46">
      <w:start w:val="1"/>
      <w:numFmt w:val="bullet"/>
      <w:lvlText w:val=""/>
      <w:lvlJc w:val="left"/>
      <w:pPr>
        <w:ind w:left="6480" w:hanging="360"/>
      </w:pPr>
      <w:rPr>
        <w:rFonts w:hint="default" w:ascii="Wingdings" w:hAnsi="Wingdings"/>
      </w:rPr>
    </w:lvl>
  </w:abstractNum>
  <w:num w:numId="1">
    <w:abstractNumId w:val="4"/>
  </w:num>
  <w:num w:numId="2">
    <w:abstractNumId w:val="0"/>
  </w:num>
  <w:num w:numId="3">
    <w:abstractNumId w:val="2"/>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trackRevisions w:val="fals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42BD9A"/>
    <w:rsid w:val="001A6155"/>
    <w:rsid w:val="002C133A"/>
    <w:rsid w:val="002E4488"/>
    <w:rsid w:val="00714364"/>
    <w:rsid w:val="00E4CF9A"/>
    <w:rsid w:val="00E878A4"/>
    <w:rsid w:val="01E20A49"/>
    <w:rsid w:val="0334642D"/>
    <w:rsid w:val="033A1B11"/>
    <w:rsid w:val="033D7FA8"/>
    <w:rsid w:val="0349C251"/>
    <w:rsid w:val="0412F78D"/>
    <w:rsid w:val="04D5EB72"/>
    <w:rsid w:val="07828F39"/>
    <w:rsid w:val="07BE0D71"/>
    <w:rsid w:val="08328A2D"/>
    <w:rsid w:val="086C046A"/>
    <w:rsid w:val="08BD742A"/>
    <w:rsid w:val="098502E9"/>
    <w:rsid w:val="0AE8A23C"/>
    <w:rsid w:val="0B90AFAA"/>
    <w:rsid w:val="0B98A773"/>
    <w:rsid w:val="0BAACD95"/>
    <w:rsid w:val="0C459739"/>
    <w:rsid w:val="0C8DEA59"/>
    <w:rsid w:val="0CBCA3AB"/>
    <w:rsid w:val="0D3DE54D"/>
    <w:rsid w:val="0DE1679A"/>
    <w:rsid w:val="0E158859"/>
    <w:rsid w:val="0EC08D51"/>
    <w:rsid w:val="0F7D37FB"/>
    <w:rsid w:val="121A7162"/>
    <w:rsid w:val="12AE13EF"/>
    <w:rsid w:val="136E372D"/>
    <w:rsid w:val="13D57B83"/>
    <w:rsid w:val="148F8482"/>
    <w:rsid w:val="1537BC5B"/>
    <w:rsid w:val="164A5D94"/>
    <w:rsid w:val="16CB9F36"/>
    <w:rsid w:val="175038A5"/>
    <w:rsid w:val="179EDB11"/>
    <w:rsid w:val="183C0E12"/>
    <w:rsid w:val="18533D36"/>
    <w:rsid w:val="18734D99"/>
    <w:rsid w:val="1A033FF8"/>
    <w:rsid w:val="1A0AB107"/>
    <w:rsid w:val="1A480A0D"/>
    <w:rsid w:val="1A5094ED"/>
    <w:rsid w:val="1B72E586"/>
    <w:rsid w:val="1BAAEE5B"/>
    <w:rsid w:val="1C1A5B7C"/>
    <w:rsid w:val="1CC7C5BF"/>
    <w:rsid w:val="1CDE5FFE"/>
    <w:rsid w:val="1D8DE0BA"/>
    <w:rsid w:val="1FCBC81C"/>
    <w:rsid w:val="21095C79"/>
    <w:rsid w:val="2111172E"/>
    <w:rsid w:val="21D292BE"/>
    <w:rsid w:val="22A9AD63"/>
    <w:rsid w:val="232ECA4E"/>
    <w:rsid w:val="2452A5C7"/>
    <w:rsid w:val="248CAA5A"/>
    <w:rsid w:val="24B488DD"/>
    <w:rsid w:val="25D71ABD"/>
    <w:rsid w:val="25F52BB0"/>
    <w:rsid w:val="2641A318"/>
    <w:rsid w:val="27B81099"/>
    <w:rsid w:val="27DD7379"/>
    <w:rsid w:val="282885F3"/>
    <w:rsid w:val="282D197A"/>
    <w:rsid w:val="2842BD9A"/>
    <w:rsid w:val="28F44AFD"/>
    <w:rsid w:val="29391962"/>
    <w:rsid w:val="2945F4CF"/>
    <w:rsid w:val="294B3EDD"/>
    <w:rsid w:val="29601B7D"/>
    <w:rsid w:val="29715654"/>
    <w:rsid w:val="2AE1C530"/>
    <w:rsid w:val="2BE4C9C1"/>
    <w:rsid w:val="2C646D34"/>
    <w:rsid w:val="2D722C6A"/>
    <w:rsid w:val="2E0A7BD9"/>
    <w:rsid w:val="2F1F0923"/>
    <w:rsid w:val="2F1F620D"/>
    <w:rsid w:val="2FB32178"/>
    <w:rsid w:val="301B7377"/>
    <w:rsid w:val="323822C3"/>
    <w:rsid w:val="32D3AEB8"/>
    <w:rsid w:val="33202620"/>
    <w:rsid w:val="33FA964B"/>
    <w:rsid w:val="33FAC0B6"/>
    <w:rsid w:val="344D9837"/>
    <w:rsid w:val="34802E0B"/>
    <w:rsid w:val="34855B07"/>
    <w:rsid w:val="34BBF681"/>
    <w:rsid w:val="34D530E1"/>
    <w:rsid w:val="3556B994"/>
    <w:rsid w:val="35743D4A"/>
    <w:rsid w:val="36524EB3"/>
    <w:rsid w:val="36F289F5"/>
    <w:rsid w:val="372F69EE"/>
    <w:rsid w:val="37608AEA"/>
    <w:rsid w:val="37DA6EE6"/>
    <w:rsid w:val="39763F47"/>
    <w:rsid w:val="39A8A204"/>
    <w:rsid w:val="39F243DA"/>
    <w:rsid w:val="3AEF6F8F"/>
    <w:rsid w:val="3B43A286"/>
    <w:rsid w:val="3B5D2222"/>
    <w:rsid w:val="3BF415A1"/>
    <w:rsid w:val="3C55789C"/>
    <w:rsid w:val="3C8B3FF0"/>
    <w:rsid w:val="3CED188A"/>
    <w:rsid w:val="3DD820A0"/>
    <w:rsid w:val="3E335D92"/>
    <w:rsid w:val="3E7C1327"/>
    <w:rsid w:val="3F0D8FEF"/>
    <w:rsid w:val="3FCF2DF3"/>
    <w:rsid w:val="3FFAAFA1"/>
    <w:rsid w:val="403880CB"/>
    <w:rsid w:val="41000F8A"/>
    <w:rsid w:val="410FC162"/>
    <w:rsid w:val="4181512C"/>
    <w:rsid w:val="41EA207A"/>
    <w:rsid w:val="4232F2B5"/>
    <w:rsid w:val="42EF59C2"/>
    <w:rsid w:val="431D218D"/>
    <w:rsid w:val="434F844A"/>
    <w:rsid w:val="4379AF44"/>
    <w:rsid w:val="43B94568"/>
    <w:rsid w:val="44476224"/>
    <w:rsid w:val="4466C837"/>
    <w:rsid w:val="449651D5"/>
    <w:rsid w:val="450BF1EE"/>
    <w:rsid w:val="45708CAD"/>
    <w:rsid w:val="45938C84"/>
    <w:rsid w:val="468F1292"/>
    <w:rsid w:val="46E2FC67"/>
    <w:rsid w:val="47372000"/>
    <w:rsid w:val="481DADFF"/>
    <w:rsid w:val="4822F56D"/>
    <w:rsid w:val="4881B6C9"/>
    <w:rsid w:val="49509A9B"/>
    <w:rsid w:val="49BEC5CE"/>
    <w:rsid w:val="49E5C297"/>
    <w:rsid w:val="4AB6A3A8"/>
    <w:rsid w:val="4BE02DEF"/>
    <w:rsid w:val="4C762BA5"/>
    <w:rsid w:val="4C883B5D"/>
    <w:rsid w:val="4CD47070"/>
    <w:rsid w:val="4D588943"/>
    <w:rsid w:val="4E5D8242"/>
    <w:rsid w:val="4EECB693"/>
    <w:rsid w:val="4FD04310"/>
    <w:rsid w:val="50FE1114"/>
    <w:rsid w:val="5246AE07"/>
    <w:rsid w:val="5362DAF5"/>
    <w:rsid w:val="5389761D"/>
    <w:rsid w:val="54657374"/>
    <w:rsid w:val="557E4EC9"/>
    <w:rsid w:val="55B19DD4"/>
    <w:rsid w:val="55B19DD4"/>
    <w:rsid w:val="55F0D9A6"/>
    <w:rsid w:val="56A5365C"/>
    <w:rsid w:val="56C43F0D"/>
    <w:rsid w:val="58AF3C88"/>
    <w:rsid w:val="59E44C04"/>
    <w:rsid w:val="5AB76621"/>
    <w:rsid w:val="5AB9DFA8"/>
    <w:rsid w:val="5AD4B4F8"/>
    <w:rsid w:val="5BF651B9"/>
    <w:rsid w:val="5CBD9964"/>
    <w:rsid w:val="5D1BECC6"/>
    <w:rsid w:val="5D8960AE"/>
    <w:rsid w:val="5E0C55BA"/>
    <w:rsid w:val="5F57615D"/>
    <w:rsid w:val="5FCBDDB7"/>
    <w:rsid w:val="5FDDED6F"/>
    <w:rsid w:val="60DF5FDC"/>
    <w:rsid w:val="60FB9AF6"/>
    <w:rsid w:val="6126B338"/>
    <w:rsid w:val="61609573"/>
    <w:rsid w:val="61FCE280"/>
    <w:rsid w:val="629020DC"/>
    <w:rsid w:val="62C20AF9"/>
    <w:rsid w:val="630CCCC5"/>
    <w:rsid w:val="63308346"/>
    <w:rsid w:val="6412C8E0"/>
    <w:rsid w:val="642403B7"/>
    <w:rsid w:val="645E53FA"/>
    <w:rsid w:val="65947293"/>
    <w:rsid w:val="65A52185"/>
    <w:rsid w:val="65FA245B"/>
    <w:rsid w:val="6617679F"/>
    <w:rsid w:val="66325569"/>
    <w:rsid w:val="6656AF15"/>
    <w:rsid w:val="67226121"/>
    <w:rsid w:val="6740F1E6"/>
    <w:rsid w:val="675BA479"/>
    <w:rsid w:val="68C12C30"/>
    <w:rsid w:val="68FF6260"/>
    <w:rsid w:val="6A1080BF"/>
    <w:rsid w:val="6ACD1CDE"/>
    <w:rsid w:val="6BE9C26C"/>
    <w:rsid w:val="6C955444"/>
    <w:rsid w:val="6CA72707"/>
    <w:rsid w:val="6E04BDA0"/>
    <w:rsid w:val="6ED4B808"/>
    <w:rsid w:val="7098E47B"/>
    <w:rsid w:val="70F9396E"/>
    <w:rsid w:val="7109AC70"/>
    <w:rsid w:val="722478AC"/>
    <w:rsid w:val="72A9B072"/>
    <w:rsid w:val="72D8A763"/>
    <w:rsid w:val="737B6A34"/>
    <w:rsid w:val="73CF694B"/>
    <w:rsid w:val="741F74EE"/>
    <w:rsid w:val="747BECAA"/>
    <w:rsid w:val="74E85360"/>
    <w:rsid w:val="762983DA"/>
    <w:rsid w:val="781478DC"/>
    <w:rsid w:val="781D3816"/>
    <w:rsid w:val="78D0FC48"/>
    <w:rsid w:val="7921642C"/>
    <w:rsid w:val="7C7CBC8A"/>
    <w:rsid w:val="7C86FE8F"/>
    <w:rsid w:val="7D6891F7"/>
    <w:rsid w:val="7D7478B9"/>
    <w:rsid w:val="7FB45D4C"/>
    <w:rsid w:val="7FF51E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842BD9A"/>
  <w15:chartTrackingRefBased/>
  <w15:docId w15:val="{CF85B63E-1D92-485D-A33D-5A02A83FC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80/03612759.1974.9946639" TargetMode="External" Id="rId8" /><Relationship Type="http://schemas.openxmlformats.org/officeDocument/2006/relationships/hyperlink" Target="https://doi.org/10.1525/jung.2011.5.3.63" TargetMode="External" Id="rId13" /><Relationship Type="http://schemas.openxmlformats.org/officeDocument/2006/relationships/hyperlink" Target="http://www.jstor.org/stable/j.ctt5hhs4s.5" TargetMode="External" Id="rId18" /><Relationship Type="http://schemas.openxmlformats.org/officeDocument/2006/relationships/footer" Target="footer1.xml" Id="rId26" /><Relationship Type="http://schemas.openxmlformats.org/officeDocument/2006/relationships/styles" Target="styles.xml" Id="rId3" /><Relationship Type="http://schemas.openxmlformats.org/officeDocument/2006/relationships/hyperlink" Target="https://doi.org/10.1111/1465-5922.00412" TargetMode="External" Id="rId21" /><Relationship Type="http://schemas.openxmlformats.org/officeDocument/2006/relationships/endnotes" Target="endnotes.xml" Id="rId7" /><Relationship Type="http://schemas.openxmlformats.org/officeDocument/2006/relationships/hyperlink" Target="https://www.astrosynthesis.com.au/wp-content/uploads/2017/11/jung-contribution-to-astrology-brian-clark.pdf" TargetMode="External" Id="rId12" /><Relationship Type="http://schemas.openxmlformats.org/officeDocument/2006/relationships/hyperlink" Target="http://www.jstor.org/stable/j.ctt5hhrnk.6." TargetMode="External" Id="rId17" /><Relationship Type="http://schemas.openxmlformats.org/officeDocument/2006/relationships/hyperlink" Target="http://www.cultureandcosmos.org/pdfs/2-2/Voss_Music_Spheres.pdf" TargetMode="External" Id="rId25" /><Relationship Type="http://schemas.openxmlformats.org/officeDocument/2006/relationships/numbering" Target="numbering.xml" Id="rId2" /><Relationship Type="http://schemas.openxmlformats.org/officeDocument/2006/relationships/hyperlink" Target="https://doi.org/10.4324/9781315723945" TargetMode="External" Id="rId16" /><Relationship Type="http://schemas.openxmlformats.org/officeDocument/2006/relationships/hyperlink" Target="http://www.jstor.org/stable/945181." TargetMode="External" Id="rId20"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2307/2901915." TargetMode="External" Id="rId11" /><Relationship Type="http://schemas.openxmlformats.org/officeDocument/2006/relationships/hyperlink" Target="https://historicaldance.org.uk/wp-content/uploads/2020/09/hd3n1p25.pdf;" TargetMode="External" Id="rId24" /><Relationship Type="http://schemas.openxmlformats.org/officeDocument/2006/relationships/webSettings" Target="webSettings.xml" Id="rId5" /><Relationship Type="http://schemas.openxmlformats.org/officeDocument/2006/relationships/hyperlink" Target="https://doi.org/10.1080/00332925.2020.1773169" TargetMode="External" Id="rId15" /><Relationship Type="http://schemas.openxmlformats.org/officeDocument/2006/relationships/hyperlink" Target="https://doi.org/10.2307/1145189" TargetMode="External" Id="rId23" /><Relationship Type="http://schemas.openxmlformats.org/officeDocument/2006/relationships/footer" Target="footer2.xml" Id="rId28" /><Relationship Type="http://schemas.openxmlformats.org/officeDocument/2006/relationships/hyperlink" Target="http://www.jstor.org/stable/27900036" TargetMode="External" Id="rId10" /><Relationship Type="http://schemas.openxmlformats.org/officeDocument/2006/relationships/hyperlink" Target="http://www.jstor.org/stable/27504500" TargetMode="External" Id="rId19" /><Relationship Type="http://schemas.openxmlformats.org/officeDocument/2006/relationships/settings" Target="settings.xml" Id="rId4" /><Relationship Type="http://schemas.openxmlformats.org/officeDocument/2006/relationships/hyperlink" Target="http://www.jstor.org/stable/26304846" TargetMode="External" Id="rId9" /><Relationship Type="http://schemas.openxmlformats.org/officeDocument/2006/relationships/hyperlink" Target="https://psychosynthesisresources.com/NieuweBestanden/directed_daydream.pdf" TargetMode="External" Id="rId14" /><Relationship Type="http://schemas.openxmlformats.org/officeDocument/2006/relationships/hyperlink" Target="https://doi.org/10.1080/13642530701725924" TargetMode="External" Id="rId22" /><Relationship Type="http://schemas.openxmlformats.org/officeDocument/2006/relationships/header" Target="header1.xml" Id="rId27" /><Relationship Type="http://schemas.openxmlformats.org/officeDocument/2006/relationships/theme" Target="theme/theme1.xml" Id="rId30" /><Relationship Type="http://schemas.openxmlformats.org/officeDocument/2006/relationships/hyperlink" Target="http://www.jstor.org/stable/10.7722/j.ctt820qv.6" TargetMode="External" Id="R4867184dfb7b4091" /><Relationship Type="http://schemas.openxmlformats.org/officeDocument/2006/relationships/glossaryDocument" Target="glossary/document.xml" Id="Ra2ca3aaaf3bb41df" /><Relationship Type="http://schemas.microsoft.com/office/2020/10/relationships/intelligence" Target="intelligence2.xml" Id="R6c47b4c515e54c03" /></Relationships>
</file>

<file path=word/_rels/footnotes.xml.rels>&#65279;<?xml version="1.0" encoding="utf-8"?><Relationships xmlns="http://schemas.openxmlformats.org/package/2006/relationships"><Relationship Type="http://schemas.openxmlformats.org/officeDocument/2006/relationships/hyperlink" Target="https://doi.org/10.1525/jung.2011.5.3.63" TargetMode="External" Id="rId8" /><Relationship Type="http://schemas.openxmlformats.org/officeDocument/2006/relationships/hyperlink" Target="http://www.jstor.org/stable/27900036" TargetMode="External" Id="rId13" /><Relationship Type="http://schemas.openxmlformats.org/officeDocument/2006/relationships/hyperlink" Target="http://www.jstor.org/stable/27504500" TargetMode="External" Id="rId18" /><Relationship Type="http://schemas.openxmlformats.org/officeDocument/2006/relationships/hyperlink" Target="https://doi.org/10.4324/9781315723945" TargetMode="External" Id="rId3" /><Relationship Type="http://schemas.openxmlformats.org/officeDocument/2006/relationships/hyperlink" Target="https://psychosynthesisresources.com/NieuweBestanden/directed_daydream.pdf" TargetMode="External" Id="rId7" /><Relationship Type="http://schemas.openxmlformats.org/officeDocument/2006/relationships/hyperlink" Target="http://www.jstor.org/stable/945181." TargetMode="External" Id="rId12" /><Relationship Type="http://schemas.openxmlformats.org/officeDocument/2006/relationships/hyperlink" Target="http://www.jstor.org/stable/26304846" TargetMode="External" Id="rId17" /><Relationship Type="http://schemas.openxmlformats.org/officeDocument/2006/relationships/hyperlink" Target="https://doi.org/10.1080/03612759.1974.9946639" TargetMode="External" Id="rId2" /><Relationship Type="http://schemas.openxmlformats.org/officeDocument/2006/relationships/hyperlink" Target="https://doi.org/10.1080/13642530701725924" TargetMode="External" Id="rId16" /><Relationship Type="http://schemas.openxmlformats.org/officeDocument/2006/relationships/hyperlink" Target="https://doi.org/10.1111/1465-5922.00412" TargetMode="External" Id="rId1" /><Relationship Type="http://schemas.openxmlformats.org/officeDocument/2006/relationships/hyperlink" Target="http://www.jstor.org/stable/j.ctt5hhrnk.6." TargetMode="External" Id="rId6" /><Relationship Type="http://schemas.openxmlformats.org/officeDocument/2006/relationships/hyperlink" Target="https://doi.org/10.2307/2901915." TargetMode="External" Id="rId11" /><Relationship Type="http://schemas.openxmlformats.org/officeDocument/2006/relationships/hyperlink" Target="https://doi.org/10.1080/00332925.2020.1773169" TargetMode="External" Id="rId5" /><Relationship Type="http://schemas.openxmlformats.org/officeDocument/2006/relationships/hyperlink" Target="https://doi.org/10.2307/1145189" TargetMode="External" Id="rId15" /><Relationship Type="http://schemas.openxmlformats.org/officeDocument/2006/relationships/hyperlink" Target="http://www.cultureandcosmos.org/pdfs/2-2/Voss_Music_Spheres.pdf" TargetMode="External" Id="rId10" /><Relationship Type="http://schemas.openxmlformats.org/officeDocument/2006/relationships/hyperlink" Target="https://www.astrosynthesis.com.au/wp-content/uploads/2017/11/jung-contribution-to-astrology-brian-clark.pdf" TargetMode="External" Id="rId4" /><Relationship Type="http://schemas.openxmlformats.org/officeDocument/2006/relationships/hyperlink" Target="https://historicaldance.org.uk/wp-content/uploads/2020/09/hd3n1p25.pdf;" TargetMode="External" Id="rId9" /><Relationship Type="http://schemas.openxmlformats.org/officeDocument/2006/relationships/hyperlink" Target="http://www.jstor.org/stable/j.ctt5hhs4s.5" TargetMode="External" Id="rId14" /><Relationship Type="http://schemas.openxmlformats.org/officeDocument/2006/relationships/hyperlink" Target="http://www.jstor.org/stable/10.7722/j.ctt820qv.6" TargetMode="External" Id="R96c7043e8991450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c1460d1-12c6-4c04-be80-6d9561e45536}"/>
      </w:docPartPr>
      <w:docPartBody>
        <w:p w14:paraId="259CB3A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26ED64-C47E-4062-9464-CE76AB11412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Netloan Adult</dc:creator>
  <keywords/>
  <dc:description/>
  <lastModifiedBy>Leon Hicks (2022572)</lastModifiedBy>
  <revision>3</revision>
  <dcterms:created xsi:type="dcterms:W3CDTF">2022-05-13T09:33:00.0000000Z</dcterms:created>
  <dcterms:modified xsi:type="dcterms:W3CDTF">2022-05-13T14:57:34.3725415Z</dcterms:modified>
</coreProperties>
</file>