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819582" w14:textId="6B761CCD" w:rsidR="00FC35EE" w:rsidRDefault="005324CA" w:rsidP="007600E8">
      <w:pPr>
        <w:spacing w:before="1000"/>
      </w:pPr>
      <w:r w:rsidRPr="005324CA">
        <w:rPr>
          <w:b/>
          <w:bCs/>
          <w:sz w:val="28"/>
          <w:szCs w:val="28"/>
        </w:rPr>
        <w:drawing>
          <wp:anchor distT="0" distB="0" distL="114300" distR="114300" simplePos="0" relativeHeight="251658240" behindDoc="0" locked="0" layoutInCell="1" allowOverlap="1" wp14:anchorId="1E8243FF" wp14:editId="59945585">
            <wp:simplePos x="0" y="0"/>
            <wp:positionH relativeFrom="column">
              <wp:posOffset>1714500</wp:posOffset>
            </wp:positionH>
            <wp:positionV relativeFrom="paragraph">
              <wp:posOffset>152400</wp:posOffset>
            </wp:positionV>
            <wp:extent cx="2255715" cy="662997"/>
            <wp:effectExtent l="0" t="0" r="0" b="3810"/>
            <wp:wrapNone/>
            <wp:docPr id="799435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435462" name=""/>
                    <pic:cNvPicPr/>
                  </pic:nvPicPr>
                  <pic:blipFill>
                    <a:blip r:embed="rId8">
                      <a:extLst>
                        <a:ext uri="{28A0092B-C50C-407E-A947-70E740481C1C}">
                          <a14:useLocalDpi xmlns:a14="http://schemas.microsoft.com/office/drawing/2010/main" val="0"/>
                        </a:ext>
                      </a:extLst>
                    </a:blip>
                    <a:stretch>
                      <a:fillRect/>
                    </a:stretch>
                  </pic:blipFill>
                  <pic:spPr>
                    <a:xfrm>
                      <a:off x="0" y="0"/>
                      <a:ext cx="2255715" cy="662997"/>
                    </a:xfrm>
                    <a:prstGeom prst="rect">
                      <a:avLst/>
                    </a:prstGeom>
                  </pic:spPr>
                </pic:pic>
              </a:graphicData>
            </a:graphic>
          </wp:anchor>
        </w:drawing>
      </w:r>
    </w:p>
    <w:p w14:paraId="2A46C9FC" w14:textId="3BC764E3" w:rsidR="00FC35EE" w:rsidRDefault="00000000" w:rsidP="007600E8">
      <w:pPr>
        <w:spacing w:after="400"/>
        <w:jc w:val="center"/>
      </w:pPr>
      <w:r>
        <w:t>MSc Public Health and Social Care in Practice</w:t>
      </w:r>
    </w:p>
    <w:p w14:paraId="78BFA215" w14:textId="77777777" w:rsidR="00FC35EE" w:rsidRDefault="00000000" w:rsidP="000D0A5F">
      <w:pPr>
        <w:spacing w:before="400"/>
        <w:jc w:val="center"/>
      </w:pPr>
      <w:r>
        <w:rPr>
          <w:b/>
          <w:bCs/>
          <w:sz w:val="36"/>
          <w:szCs w:val="36"/>
        </w:rPr>
        <w:t>SERVICE IMPROVEMENT REPORT</w:t>
      </w:r>
    </w:p>
    <w:p w14:paraId="6ABA0227" w14:textId="77777777" w:rsidR="00FC35EE" w:rsidRDefault="00000000" w:rsidP="007600E8">
      <w:pPr>
        <w:spacing w:after="300"/>
        <w:jc w:val="center"/>
      </w:pPr>
      <w:r>
        <w:rPr>
          <w:sz w:val="26"/>
          <w:szCs w:val="26"/>
        </w:rPr>
        <w:t>Component 2</w:t>
      </w:r>
    </w:p>
    <w:p w14:paraId="7CF17C30" w14:textId="77777777" w:rsidR="00FC35EE" w:rsidRDefault="00000000" w:rsidP="007600E8">
      <w:pPr>
        <w:spacing w:before="300" w:after="80"/>
        <w:jc w:val="center"/>
      </w:pPr>
      <w:r>
        <w:rPr>
          <w:b/>
          <w:bCs/>
          <w:sz w:val="26"/>
          <w:szCs w:val="26"/>
        </w:rPr>
        <w:t>Nottingham University Hospitals NHS Trust</w:t>
      </w:r>
    </w:p>
    <w:p w14:paraId="57363E77" w14:textId="77777777" w:rsidR="00FC35EE" w:rsidRDefault="00000000" w:rsidP="007600E8">
      <w:pPr>
        <w:spacing w:after="80"/>
        <w:jc w:val="center"/>
      </w:pPr>
      <w:r>
        <w:t>Maternity Services Independent Review (2023):</w:t>
      </w:r>
    </w:p>
    <w:p w14:paraId="57072CFA" w14:textId="77777777" w:rsidR="00FC35EE" w:rsidRDefault="00000000" w:rsidP="007600E8">
      <w:pPr>
        <w:spacing w:after="500"/>
        <w:jc w:val="center"/>
      </w:pPr>
      <w:r>
        <w:t>An Analysis of Quality Failures and a Service Improvement Strategy</w:t>
      </w:r>
    </w:p>
    <w:p w14:paraId="4955532E" w14:textId="77777777" w:rsidR="00FC35EE" w:rsidRDefault="00000000" w:rsidP="007600E8">
      <w:pPr>
        <w:spacing w:after="60"/>
        <w:jc w:val="center"/>
      </w:pPr>
      <w:r>
        <w:t xml:space="preserve">Student Name: Priyanka </w:t>
      </w:r>
      <w:proofErr w:type="spellStart"/>
      <w:r>
        <w:t>Ashokbhai</w:t>
      </w:r>
      <w:proofErr w:type="spellEnd"/>
      <w:r>
        <w:t xml:space="preserve"> </w:t>
      </w:r>
      <w:proofErr w:type="spellStart"/>
      <w:r>
        <w:t>Kakadiya</w:t>
      </w:r>
      <w:proofErr w:type="spellEnd"/>
    </w:p>
    <w:p w14:paraId="6964D5D0" w14:textId="77777777" w:rsidR="00FC35EE" w:rsidRDefault="00000000" w:rsidP="007600E8">
      <w:pPr>
        <w:spacing w:after="60"/>
        <w:jc w:val="center"/>
      </w:pPr>
      <w:r>
        <w:t>Student ID: 2527512</w:t>
      </w:r>
    </w:p>
    <w:p w14:paraId="5C6B7F0D" w14:textId="77777777" w:rsidR="00FC35EE" w:rsidRDefault="00000000" w:rsidP="007600E8">
      <w:pPr>
        <w:spacing w:after="60"/>
        <w:jc w:val="center"/>
      </w:pPr>
      <w:r>
        <w:t>Module Code: LCHS7006</w:t>
      </w:r>
    </w:p>
    <w:p w14:paraId="22F6048B" w14:textId="77777777" w:rsidR="00FC35EE" w:rsidRDefault="00000000" w:rsidP="007600E8">
      <w:pPr>
        <w:spacing w:after="60"/>
        <w:jc w:val="center"/>
      </w:pPr>
      <w:r>
        <w:t>Module Title: Quality Assurance and Service Improvements</w:t>
      </w:r>
    </w:p>
    <w:p w14:paraId="531914C6" w14:textId="77777777" w:rsidR="00FC35EE" w:rsidRDefault="00000000" w:rsidP="007600E8">
      <w:pPr>
        <w:spacing w:after="60"/>
        <w:jc w:val="center"/>
      </w:pPr>
      <w:r>
        <w:t>Lecturer: Dr Fahad Khan</w:t>
      </w:r>
    </w:p>
    <w:p w14:paraId="043EC653" w14:textId="77777777" w:rsidR="00FC35EE" w:rsidRDefault="00000000" w:rsidP="007600E8">
      <w:pPr>
        <w:spacing w:after="60"/>
        <w:jc w:val="center"/>
      </w:pPr>
      <w:r>
        <w:t>Submission Date: 29 July 2026</w:t>
      </w:r>
    </w:p>
    <w:p w14:paraId="186B6295" w14:textId="77777777" w:rsidR="00FC35EE" w:rsidRDefault="00000000" w:rsidP="007600E8">
      <w:r>
        <w:br w:type="page"/>
      </w:r>
    </w:p>
    <w:p w14:paraId="6AB1AB31" w14:textId="77777777" w:rsidR="00FC35EE" w:rsidRDefault="00FC35EE">
      <w:pPr>
        <w:sectPr w:rsidR="00FC35EE">
          <w:footerReference w:type="default" r:id="rId9"/>
          <w:pgSz w:w="11906" w:h="16838"/>
          <w:pgMar w:top="1440" w:right="1440" w:bottom="1440" w:left="1440" w:header="708" w:footer="708" w:gutter="0"/>
          <w:cols w:space="720"/>
          <w:docGrid w:linePitch="360"/>
        </w:sectPr>
      </w:pPr>
    </w:p>
    <w:sdt>
      <w:sdtPr>
        <w:rPr>
          <w:b/>
          <w:bCs/>
          <w:color w:val="auto"/>
        </w:rPr>
        <w:id w:val="-1861729674"/>
        <w:docPartObj>
          <w:docPartGallery w:val="Table of Contents"/>
          <w:docPartUnique/>
        </w:docPartObj>
      </w:sdtPr>
      <w:sdtEndPr>
        <w:rPr>
          <w:rFonts w:ascii="Times New Roman" w:eastAsia="Times New Roman" w:hAnsi="Times New Roman" w:cs="Times New Roman"/>
          <w:noProof/>
          <w:sz w:val="24"/>
          <w:szCs w:val="24"/>
          <w:lang w:val="en-IN" w:eastAsia="en-IN" w:bidi="bn-IN"/>
        </w:rPr>
      </w:sdtEndPr>
      <w:sdtContent>
        <w:p w14:paraId="2C4295D2" w14:textId="0EC34916" w:rsidR="005324CA" w:rsidRPr="005324CA" w:rsidRDefault="005324CA" w:rsidP="005324CA">
          <w:pPr>
            <w:pStyle w:val="TOCHeading"/>
            <w:jc w:val="center"/>
            <w:rPr>
              <w:rFonts w:ascii="Times New Roman" w:hAnsi="Times New Roman" w:cs="Times New Roman"/>
              <w:b/>
              <w:bCs/>
              <w:color w:val="auto"/>
              <w:sz w:val="24"/>
              <w:szCs w:val="24"/>
            </w:rPr>
          </w:pPr>
          <w:r w:rsidRPr="005324CA">
            <w:rPr>
              <w:rFonts w:ascii="Times New Roman" w:hAnsi="Times New Roman" w:cs="Times New Roman"/>
              <w:b/>
              <w:bCs/>
              <w:color w:val="auto"/>
              <w:sz w:val="24"/>
              <w:szCs w:val="24"/>
            </w:rPr>
            <w:t>Table of Contents</w:t>
          </w:r>
        </w:p>
        <w:p w14:paraId="5E21538B" w14:textId="1DD7A8D6" w:rsidR="005324CA" w:rsidRPr="005324CA" w:rsidRDefault="005324CA" w:rsidP="005324CA">
          <w:pPr>
            <w:pStyle w:val="TOC1"/>
            <w:tabs>
              <w:tab w:val="right" w:leader="dot" w:pos="9016"/>
            </w:tabs>
            <w:jc w:val="center"/>
            <w:rPr>
              <w:rFonts w:eastAsiaTheme="minorEastAsia"/>
              <w:noProof/>
              <w:kern w:val="2"/>
              <w:szCs w:val="24"/>
              <w14:ligatures w14:val="standardContextual"/>
            </w:rPr>
          </w:pPr>
          <w:r w:rsidRPr="005324CA">
            <w:rPr>
              <w:szCs w:val="24"/>
            </w:rPr>
            <w:fldChar w:fldCharType="begin"/>
          </w:r>
          <w:r w:rsidRPr="005324CA">
            <w:rPr>
              <w:szCs w:val="24"/>
            </w:rPr>
            <w:instrText xml:space="preserve"> TOC \o "1-3" \h \z \u </w:instrText>
          </w:r>
          <w:r w:rsidRPr="005324CA">
            <w:rPr>
              <w:szCs w:val="24"/>
            </w:rPr>
            <w:fldChar w:fldCharType="separate"/>
          </w:r>
          <w:hyperlink w:anchor="_Toc235778814" w:history="1">
            <w:r w:rsidRPr="005324CA">
              <w:rPr>
                <w:rStyle w:val="Hyperlink"/>
                <w:noProof/>
                <w:szCs w:val="24"/>
              </w:rPr>
              <w:t>1. Introduction</w:t>
            </w:r>
            <w:r w:rsidRPr="005324CA">
              <w:rPr>
                <w:noProof/>
                <w:webHidden/>
                <w:szCs w:val="24"/>
              </w:rPr>
              <w:tab/>
            </w:r>
            <w:r w:rsidRPr="005324CA">
              <w:rPr>
                <w:noProof/>
                <w:webHidden/>
                <w:szCs w:val="24"/>
              </w:rPr>
              <w:fldChar w:fldCharType="begin"/>
            </w:r>
            <w:r w:rsidRPr="005324CA">
              <w:rPr>
                <w:noProof/>
                <w:webHidden/>
                <w:szCs w:val="24"/>
              </w:rPr>
              <w:instrText xml:space="preserve"> PAGEREF _Toc235778814 \h </w:instrText>
            </w:r>
            <w:r w:rsidRPr="005324CA">
              <w:rPr>
                <w:noProof/>
                <w:webHidden/>
                <w:szCs w:val="24"/>
              </w:rPr>
            </w:r>
            <w:r w:rsidRPr="005324CA">
              <w:rPr>
                <w:noProof/>
                <w:webHidden/>
                <w:szCs w:val="24"/>
              </w:rPr>
              <w:fldChar w:fldCharType="separate"/>
            </w:r>
            <w:r w:rsidRPr="005324CA">
              <w:rPr>
                <w:noProof/>
                <w:webHidden/>
                <w:szCs w:val="24"/>
              </w:rPr>
              <w:t>2</w:t>
            </w:r>
            <w:r w:rsidRPr="005324CA">
              <w:rPr>
                <w:noProof/>
                <w:webHidden/>
                <w:szCs w:val="24"/>
              </w:rPr>
              <w:fldChar w:fldCharType="end"/>
            </w:r>
          </w:hyperlink>
        </w:p>
        <w:p w14:paraId="3F8EF58E" w14:textId="1CF76EC2" w:rsidR="005324CA" w:rsidRPr="005324CA" w:rsidRDefault="005324CA" w:rsidP="005324CA">
          <w:pPr>
            <w:pStyle w:val="TOC1"/>
            <w:tabs>
              <w:tab w:val="right" w:leader="dot" w:pos="9016"/>
            </w:tabs>
            <w:jc w:val="center"/>
            <w:rPr>
              <w:rFonts w:eastAsiaTheme="minorEastAsia"/>
              <w:noProof/>
              <w:kern w:val="2"/>
              <w:szCs w:val="24"/>
              <w14:ligatures w14:val="standardContextual"/>
            </w:rPr>
          </w:pPr>
          <w:hyperlink w:anchor="_Toc235778815" w:history="1">
            <w:r w:rsidRPr="005324CA">
              <w:rPr>
                <w:rStyle w:val="Hyperlink"/>
                <w:noProof/>
                <w:szCs w:val="24"/>
              </w:rPr>
              <w:t>2. Critical Analysis of Quality Failures and Root Causes</w:t>
            </w:r>
            <w:r w:rsidRPr="005324CA">
              <w:rPr>
                <w:noProof/>
                <w:webHidden/>
                <w:szCs w:val="24"/>
              </w:rPr>
              <w:tab/>
            </w:r>
            <w:r w:rsidRPr="005324CA">
              <w:rPr>
                <w:noProof/>
                <w:webHidden/>
                <w:szCs w:val="24"/>
              </w:rPr>
              <w:fldChar w:fldCharType="begin"/>
            </w:r>
            <w:r w:rsidRPr="005324CA">
              <w:rPr>
                <w:noProof/>
                <w:webHidden/>
                <w:szCs w:val="24"/>
              </w:rPr>
              <w:instrText xml:space="preserve"> PAGEREF _Toc235778815 \h </w:instrText>
            </w:r>
            <w:r w:rsidRPr="005324CA">
              <w:rPr>
                <w:noProof/>
                <w:webHidden/>
                <w:szCs w:val="24"/>
              </w:rPr>
            </w:r>
            <w:r w:rsidRPr="005324CA">
              <w:rPr>
                <w:noProof/>
                <w:webHidden/>
                <w:szCs w:val="24"/>
              </w:rPr>
              <w:fldChar w:fldCharType="separate"/>
            </w:r>
            <w:r w:rsidRPr="005324CA">
              <w:rPr>
                <w:noProof/>
                <w:webHidden/>
                <w:szCs w:val="24"/>
              </w:rPr>
              <w:t>3</w:t>
            </w:r>
            <w:r w:rsidRPr="005324CA">
              <w:rPr>
                <w:noProof/>
                <w:webHidden/>
                <w:szCs w:val="24"/>
              </w:rPr>
              <w:fldChar w:fldCharType="end"/>
            </w:r>
          </w:hyperlink>
        </w:p>
        <w:p w14:paraId="6A6F1E4D" w14:textId="2D899E1A" w:rsidR="005324CA" w:rsidRPr="005324CA" w:rsidRDefault="005324CA" w:rsidP="005324CA">
          <w:pPr>
            <w:pStyle w:val="TOC2"/>
            <w:tabs>
              <w:tab w:val="right" w:leader="dot" w:pos="9016"/>
            </w:tabs>
            <w:jc w:val="center"/>
            <w:rPr>
              <w:rFonts w:eastAsiaTheme="minorEastAsia"/>
              <w:noProof/>
              <w:kern w:val="2"/>
              <w:szCs w:val="24"/>
              <w14:ligatures w14:val="standardContextual"/>
            </w:rPr>
          </w:pPr>
          <w:hyperlink w:anchor="_Toc235778816" w:history="1">
            <w:r w:rsidRPr="005324CA">
              <w:rPr>
                <w:rStyle w:val="Hyperlink"/>
                <w:noProof/>
                <w:szCs w:val="24"/>
              </w:rPr>
              <w:t>2.1 Application of the Donabedian Model</w:t>
            </w:r>
            <w:r w:rsidRPr="005324CA">
              <w:rPr>
                <w:noProof/>
                <w:webHidden/>
                <w:szCs w:val="24"/>
              </w:rPr>
              <w:tab/>
            </w:r>
            <w:r w:rsidRPr="005324CA">
              <w:rPr>
                <w:noProof/>
                <w:webHidden/>
                <w:szCs w:val="24"/>
              </w:rPr>
              <w:fldChar w:fldCharType="begin"/>
            </w:r>
            <w:r w:rsidRPr="005324CA">
              <w:rPr>
                <w:noProof/>
                <w:webHidden/>
                <w:szCs w:val="24"/>
              </w:rPr>
              <w:instrText xml:space="preserve"> PAGEREF _Toc235778816 \h </w:instrText>
            </w:r>
            <w:r w:rsidRPr="005324CA">
              <w:rPr>
                <w:noProof/>
                <w:webHidden/>
                <w:szCs w:val="24"/>
              </w:rPr>
            </w:r>
            <w:r w:rsidRPr="005324CA">
              <w:rPr>
                <w:noProof/>
                <w:webHidden/>
                <w:szCs w:val="24"/>
              </w:rPr>
              <w:fldChar w:fldCharType="separate"/>
            </w:r>
            <w:r w:rsidRPr="005324CA">
              <w:rPr>
                <w:noProof/>
                <w:webHidden/>
                <w:szCs w:val="24"/>
              </w:rPr>
              <w:t>3</w:t>
            </w:r>
            <w:r w:rsidRPr="005324CA">
              <w:rPr>
                <w:noProof/>
                <w:webHidden/>
                <w:szCs w:val="24"/>
              </w:rPr>
              <w:fldChar w:fldCharType="end"/>
            </w:r>
          </w:hyperlink>
        </w:p>
        <w:p w14:paraId="43EA6862" w14:textId="260F97AA" w:rsidR="005324CA" w:rsidRPr="005324CA" w:rsidRDefault="005324CA" w:rsidP="005324CA">
          <w:pPr>
            <w:pStyle w:val="TOC2"/>
            <w:tabs>
              <w:tab w:val="right" w:leader="dot" w:pos="9016"/>
            </w:tabs>
            <w:jc w:val="center"/>
            <w:rPr>
              <w:rFonts w:eastAsiaTheme="minorEastAsia"/>
              <w:noProof/>
              <w:kern w:val="2"/>
              <w:szCs w:val="24"/>
              <w14:ligatures w14:val="standardContextual"/>
            </w:rPr>
          </w:pPr>
          <w:hyperlink w:anchor="_Toc235778817" w:history="1">
            <w:r w:rsidRPr="005324CA">
              <w:rPr>
                <w:rStyle w:val="Hyperlink"/>
                <w:noProof/>
                <w:szCs w:val="24"/>
              </w:rPr>
              <w:t>2.2 Root Cause Analysis: Fishbone Diagram and the 5 Whys</w:t>
            </w:r>
            <w:r w:rsidRPr="005324CA">
              <w:rPr>
                <w:noProof/>
                <w:webHidden/>
                <w:szCs w:val="24"/>
              </w:rPr>
              <w:tab/>
            </w:r>
            <w:r w:rsidRPr="005324CA">
              <w:rPr>
                <w:noProof/>
                <w:webHidden/>
                <w:szCs w:val="24"/>
              </w:rPr>
              <w:fldChar w:fldCharType="begin"/>
            </w:r>
            <w:r w:rsidRPr="005324CA">
              <w:rPr>
                <w:noProof/>
                <w:webHidden/>
                <w:szCs w:val="24"/>
              </w:rPr>
              <w:instrText xml:space="preserve"> PAGEREF _Toc235778817 \h </w:instrText>
            </w:r>
            <w:r w:rsidRPr="005324CA">
              <w:rPr>
                <w:noProof/>
                <w:webHidden/>
                <w:szCs w:val="24"/>
              </w:rPr>
            </w:r>
            <w:r w:rsidRPr="005324CA">
              <w:rPr>
                <w:noProof/>
                <w:webHidden/>
                <w:szCs w:val="24"/>
              </w:rPr>
              <w:fldChar w:fldCharType="separate"/>
            </w:r>
            <w:r w:rsidRPr="005324CA">
              <w:rPr>
                <w:noProof/>
                <w:webHidden/>
                <w:szCs w:val="24"/>
              </w:rPr>
              <w:t>5</w:t>
            </w:r>
            <w:r w:rsidRPr="005324CA">
              <w:rPr>
                <w:noProof/>
                <w:webHidden/>
                <w:szCs w:val="24"/>
              </w:rPr>
              <w:fldChar w:fldCharType="end"/>
            </w:r>
          </w:hyperlink>
        </w:p>
        <w:p w14:paraId="12B34D79" w14:textId="31F8A4D9" w:rsidR="005324CA" w:rsidRPr="005324CA" w:rsidRDefault="005324CA" w:rsidP="005324CA">
          <w:pPr>
            <w:pStyle w:val="TOC2"/>
            <w:tabs>
              <w:tab w:val="right" w:leader="dot" w:pos="9016"/>
            </w:tabs>
            <w:jc w:val="center"/>
            <w:rPr>
              <w:rFonts w:eastAsiaTheme="minorEastAsia"/>
              <w:noProof/>
              <w:kern w:val="2"/>
              <w:szCs w:val="24"/>
              <w14:ligatures w14:val="standardContextual"/>
            </w:rPr>
          </w:pPr>
          <w:hyperlink w:anchor="_Toc235778818" w:history="1">
            <w:r w:rsidRPr="005324CA">
              <w:rPr>
                <w:rStyle w:val="Hyperlink"/>
                <w:noProof/>
                <w:szCs w:val="24"/>
              </w:rPr>
              <w:t>2.3 SWOT Analysis of Nottingham Maternity Services</w:t>
            </w:r>
            <w:r w:rsidRPr="005324CA">
              <w:rPr>
                <w:noProof/>
                <w:webHidden/>
                <w:szCs w:val="24"/>
              </w:rPr>
              <w:tab/>
            </w:r>
            <w:r w:rsidRPr="005324CA">
              <w:rPr>
                <w:noProof/>
                <w:webHidden/>
                <w:szCs w:val="24"/>
              </w:rPr>
              <w:fldChar w:fldCharType="begin"/>
            </w:r>
            <w:r w:rsidRPr="005324CA">
              <w:rPr>
                <w:noProof/>
                <w:webHidden/>
                <w:szCs w:val="24"/>
              </w:rPr>
              <w:instrText xml:space="preserve"> PAGEREF _Toc235778818 \h </w:instrText>
            </w:r>
            <w:r w:rsidRPr="005324CA">
              <w:rPr>
                <w:noProof/>
                <w:webHidden/>
                <w:szCs w:val="24"/>
              </w:rPr>
            </w:r>
            <w:r w:rsidRPr="005324CA">
              <w:rPr>
                <w:noProof/>
                <w:webHidden/>
                <w:szCs w:val="24"/>
              </w:rPr>
              <w:fldChar w:fldCharType="separate"/>
            </w:r>
            <w:r w:rsidRPr="005324CA">
              <w:rPr>
                <w:noProof/>
                <w:webHidden/>
                <w:szCs w:val="24"/>
              </w:rPr>
              <w:t>8</w:t>
            </w:r>
            <w:r w:rsidRPr="005324CA">
              <w:rPr>
                <w:noProof/>
                <w:webHidden/>
                <w:szCs w:val="24"/>
              </w:rPr>
              <w:fldChar w:fldCharType="end"/>
            </w:r>
          </w:hyperlink>
        </w:p>
        <w:p w14:paraId="03AFD495" w14:textId="5D1F61F8" w:rsidR="005324CA" w:rsidRPr="005324CA" w:rsidRDefault="005324CA" w:rsidP="005324CA">
          <w:pPr>
            <w:pStyle w:val="TOC1"/>
            <w:tabs>
              <w:tab w:val="right" w:leader="dot" w:pos="9016"/>
            </w:tabs>
            <w:jc w:val="center"/>
            <w:rPr>
              <w:rFonts w:eastAsiaTheme="minorEastAsia"/>
              <w:noProof/>
              <w:kern w:val="2"/>
              <w:szCs w:val="24"/>
              <w14:ligatures w14:val="standardContextual"/>
            </w:rPr>
          </w:pPr>
          <w:hyperlink w:anchor="_Toc235778819" w:history="1">
            <w:r w:rsidRPr="005324CA">
              <w:rPr>
                <w:rStyle w:val="Hyperlink"/>
                <w:noProof/>
                <w:szCs w:val="24"/>
              </w:rPr>
              <w:t>3. Recommendations and Implementation Strategy</w:t>
            </w:r>
            <w:r w:rsidRPr="005324CA">
              <w:rPr>
                <w:noProof/>
                <w:webHidden/>
                <w:szCs w:val="24"/>
              </w:rPr>
              <w:tab/>
            </w:r>
            <w:r w:rsidRPr="005324CA">
              <w:rPr>
                <w:noProof/>
                <w:webHidden/>
                <w:szCs w:val="24"/>
              </w:rPr>
              <w:fldChar w:fldCharType="begin"/>
            </w:r>
            <w:r w:rsidRPr="005324CA">
              <w:rPr>
                <w:noProof/>
                <w:webHidden/>
                <w:szCs w:val="24"/>
              </w:rPr>
              <w:instrText xml:space="preserve"> PAGEREF _Toc235778819 \h </w:instrText>
            </w:r>
            <w:r w:rsidRPr="005324CA">
              <w:rPr>
                <w:noProof/>
                <w:webHidden/>
                <w:szCs w:val="24"/>
              </w:rPr>
            </w:r>
            <w:r w:rsidRPr="005324CA">
              <w:rPr>
                <w:noProof/>
                <w:webHidden/>
                <w:szCs w:val="24"/>
              </w:rPr>
              <w:fldChar w:fldCharType="separate"/>
            </w:r>
            <w:r w:rsidRPr="005324CA">
              <w:rPr>
                <w:noProof/>
                <w:webHidden/>
                <w:szCs w:val="24"/>
              </w:rPr>
              <w:t>10</w:t>
            </w:r>
            <w:r w:rsidRPr="005324CA">
              <w:rPr>
                <w:noProof/>
                <w:webHidden/>
                <w:szCs w:val="24"/>
              </w:rPr>
              <w:fldChar w:fldCharType="end"/>
            </w:r>
          </w:hyperlink>
        </w:p>
        <w:p w14:paraId="0B7AFF65" w14:textId="126F4715" w:rsidR="005324CA" w:rsidRPr="005324CA" w:rsidRDefault="005324CA" w:rsidP="005324CA">
          <w:pPr>
            <w:pStyle w:val="TOC3"/>
            <w:tabs>
              <w:tab w:val="right" w:leader="dot" w:pos="9016"/>
            </w:tabs>
            <w:jc w:val="center"/>
            <w:rPr>
              <w:rFonts w:eastAsiaTheme="minorEastAsia"/>
              <w:noProof/>
              <w:kern w:val="2"/>
              <w:szCs w:val="24"/>
              <w14:ligatures w14:val="standardContextual"/>
            </w:rPr>
          </w:pPr>
          <w:hyperlink w:anchor="_Toc235778820" w:history="1">
            <w:r w:rsidRPr="005324CA">
              <w:rPr>
                <w:rStyle w:val="Hyperlink"/>
                <w:noProof/>
                <w:szCs w:val="24"/>
              </w:rPr>
              <w:t>Recommendation 1: Strengthen incident reporting and organisational learning systems</w:t>
            </w:r>
            <w:r w:rsidRPr="005324CA">
              <w:rPr>
                <w:noProof/>
                <w:webHidden/>
                <w:szCs w:val="24"/>
              </w:rPr>
              <w:tab/>
            </w:r>
            <w:r w:rsidRPr="005324CA">
              <w:rPr>
                <w:noProof/>
                <w:webHidden/>
                <w:szCs w:val="24"/>
              </w:rPr>
              <w:fldChar w:fldCharType="begin"/>
            </w:r>
            <w:r w:rsidRPr="005324CA">
              <w:rPr>
                <w:noProof/>
                <w:webHidden/>
                <w:szCs w:val="24"/>
              </w:rPr>
              <w:instrText xml:space="preserve"> PAGEREF _Toc235778820 \h </w:instrText>
            </w:r>
            <w:r w:rsidRPr="005324CA">
              <w:rPr>
                <w:noProof/>
                <w:webHidden/>
                <w:szCs w:val="24"/>
              </w:rPr>
            </w:r>
            <w:r w:rsidRPr="005324CA">
              <w:rPr>
                <w:noProof/>
                <w:webHidden/>
                <w:szCs w:val="24"/>
              </w:rPr>
              <w:fldChar w:fldCharType="separate"/>
            </w:r>
            <w:r w:rsidRPr="005324CA">
              <w:rPr>
                <w:noProof/>
                <w:webHidden/>
                <w:szCs w:val="24"/>
              </w:rPr>
              <w:t>10</w:t>
            </w:r>
            <w:r w:rsidRPr="005324CA">
              <w:rPr>
                <w:noProof/>
                <w:webHidden/>
                <w:szCs w:val="24"/>
              </w:rPr>
              <w:fldChar w:fldCharType="end"/>
            </w:r>
          </w:hyperlink>
        </w:p>
        <w:p w14:paraId="08A48010" w14:textId="650EA341" w:rsidR="005324CA" w:rsidRPr="005324CA" w:rsidRDefault="005324CA" w:rsidP="005324CA">
          <w:pPr>
            <w:pStyle w:val="TOC3"/>
            <w:tabs>
              <w:tab w:val="right" w:leader="dot" w:pos="9016"/>
            </w:tabs>
            <w:jc w:val="center"/>
            <w:rPr>
              <w:rFonts w:eastAsiaTheme="minorEastAsia"/>
              <w:noProof/>
              <w:kern w:val="2"/>
              <w:szCs w:val="24"/>
              <w14:ligatures w14:val="standardContextual"/>
            </w:rPr>
          </w:pPr>
          <w:hyperlink w:anchor="_Toc235778821" w:history="1">
            <w:r w:rsidRPr="005324CA">
              <w:rPr>
                <w:rStyle w:val="Hyperlink"/>
                <w:noProof/>
                <w:szCs w:val="24"/>
              </w:rPr>
              <w:t>Recommendation 2: Restore safe staffing levels and appropriate skill mix</w:t>
            </w:r>
            <w:r w:rsidRPr="005324CA">
              <w:rPr>
                <w:noProof/>
                <w:webHidden/>
                <w:szCs w:val="24"/>
              </w:rPr>
              <w:tab/>
            </w:r>
            <w:r w:rsidRPr="005324CA">
              <w:rPr>
                <w:noProof/>
                <w:webHidden/>
                <w:szCs w:val="24"/>
              </w:rPr>
              <w:fldChar w:fldCharType="begin"/>
            </w:r>
            <w:r w:rsidRPr="005324CA">
              <w:rPr>
                <w:noProof/>
                <w:webHidden/>
                <w:szCs w:val="24"/>
              </w:rPr>
              <w:instrText xml:space="preserve"> PAGEREF _Toc235778821 \h </w:instrText>
            </w:r>
            <w:r w:rsidRPr="005324CA">
              <w:rPr>
                <w:noProof/>
                <w:webHidden/>
                <w:szCs w:val="24"/>
              </w:rPr>
            </w:r>
            <w:r w:rsidRPr="005324CA">
              <w:rPr>
                <w:noProof/>
                <w:webHidden/>
                <w:szCs w:val="24"/>
              </w:rPr>
              <w:fldChar w:fldCharType="separate"/>
            </w:r>
            <w:r w:rsidRPr="005324CA">
              <w:rPr>
                <w:noProof/>
                <w:webHidden/>
                <w:szCs w:val="24"/>
              </w:rPr>
              <w:t>11</w:t>
            </w:r>
            <w:r w:rsidRPr="005324CA">
              <w:rPr>
                <w:noProof/>
                <w:webHidden/>
                <w:szCs w:val="24"/>
              </w:rPr>
              <w:fldChar w:fldCharType="end"/>
            </w:r>
          </w:hyperlink>
        </w:p>
        <w:p w14:paraId="29D1AC66" w14:textId="118EFE6F" w:rsidR="005324CA" w:rsidRPr="005324CA" w:rsidRDefault="005324CA" w:rsidP="005324CA">
          <w:pPr>
            <w:pStyle w:val="TOC3"/>
            <w:tabs>
              <w:tab w:val="right" w:leader="dot" w:pos="9016"/>
            </w:tabs>
            <w:jc w:val="center"/>
            <w:rPr>
              <w:rFonts w:eastAsiaTheme="minorEastAsia"/>
              <w:noProof/>
              <w:kern w:val="2"/>
              <w:szCs w:val="24"/>
              <w14:ligatures w14:val="standardContextual"/>
            </w:rPr>
          </w:pPr>
          <w:hyperlink w:anchor="_Toc235778822" w:history="1">
            <w:r w:rsidRPr="005324CA">
              <w:rPr>
                <w:rStyle w:val="Hyperlink"/>
                <w:noProof/>
                <w:szCs w:val="24"/>
              </w:rPr>
              <w:t>Recommendation 3: Cultivate a psychologically safe and just culture</w:t>
            </w:r>
            <w:r w:rsidRPr="005324CA">
              <w:rPr>
                <w:noProof/>
                <w:webHidden/>
                <w:szCs w:val="24"/>
              </w:rPr>
              <w:tab/>
            </w:r>
            <w:r w:rsidRPr="005324CA">
              <w:rPr>
                <w:noProof/>
                <w:webHidden/>
                <w:szCs w:val="24"/>
              </w:rPr>
              <w:fldChar w:fldCharType="begin"/>
            </w:r>
            <w:r w:rsidRPr="005324CA">
              <w:rPr>
                <w:noProof/>
                <w:webHidden/>
                <w:szCs w:val="24"/>
              </w:rPr>
              <w:instrText xml:space="preserve"> PAGEREF _Toc235778822 \h </w:instrText>
            </w:r>
            <w:r w:rsidRPr="005324CA">
              <w:rPr>
                <w:noProof/>
                <w:webHidden/>
                <w:szCs w:val="24"/>
              </w:rPr>
            </w:r>
            <w:r w:rsidRPr="005324CA">
              <w:rPr>
                <w:noProof/>
                <w:webHidden/>
                <w:szCs w:val="24"/>
              </w:rPr>
              <w:fldChar w:fldCharType="separate"/>
            </w:r>
            <w:r w:rsidRPr="005324CA">
              <w:rPr>
                <w:noProof/>
                <w:webHidden/>
                <w:szCs w:val="24"/>
              </w:rPr>
              <w:t>11</w:t>
            </w:r>
            <w:r w:rsidRPr="005324CA">
              <w:rPr>
                <w:noProof/>
                <w:webHidden/>
                <w:szCs w:val="24"/>
              </w:rPr>
              <w:fldChar w:fldCharType="end"/>
            </w:r>
          </w:hyperlink>
        </w:p>
        <w:p w14:paraId="6BCF7C93" w14:textId="2F563574" w:rsidR="005324CA" w:rsidRPr="005324CA" w:rsidRDefault="005324CA" w:rsidP="005324CA">
          <w:pPr>
            <w:pStyle w:val="TOC3"/>
            <w:tabs>
              <w:tab w:val="right" w:leader="dot" w:pos="9016"/>
            </w:tabs>
            <w:jc w:val="center"/>
            <w:rPr>
              <w:rFonts w:eastAsiaTheme="minorEastAsia"/>
              <w:noProof/>
              <w:kern w:val="2"/>
              <w:szCs w:val="24"/>
              <w14:ligatures w14:val="standardContextual"/>
            </w:rPr>
          </w:pPr>
          <w:hyperlink w:anchor="_Toc235778823" w:history="1">
            <w:r w:rsidRPr="005324CA">
              <w:rPr>
                <w:rStyle w:val="Hyperlink"/>
                <w:noProof/>
                <w:szCs w:val="24"/>
              </w:rPr>
              <w:t>Recommendation 4: Redesign escalation and early-warning processes</w:t>
            </w:r>
            <w:r w:rsidRPr="005324CA">
              <w:rPr>
                <w:noProof/>
                <w:webHidden/>
                <w:szCs w:val="24"/>
              </w:rPr>
              <w:tab/>
            </w:r>
            <w:r w:rsidRPr="005324CA">
              <w:rPr>
                <w:noProof/>
                <w:webHidden/>
                <w:szCs w:val="24"/>
              </w:rPr>
              <w:fldChar w:fldCharType="begin"/>
            </w:r>
            <w:r w:rsidRPr="005324CA">
              <w:rPr>
                <w:noProof/>
                <w:webHidden/>
                <w:szCs w:val="24"/>
              </w:rPr>
              <w:instrText xml:space="preserve"> PAGEREF _Toc235778823 \h </w:instrText>
            </w:r>
            <w:r w:rsidRPr="005324CA">
              <w:rPr>
                <w:noProof/>
                <w:webHidden/>
                <w:szCs w:val="24"/>
              </w:rPr>
            </w:r>
            <w:r w:rsidRPr="005324CA">
              <w:rPr>
                <w:noProof/>
                <w:webHidden/>
                <w:szCs w:val="24"/>
              </w:rPr>
              <w:fldChar w:fldCharType="separate"/>
            </w:r>
            <w:r w:rsidRPr="005324CA">
              <w:rPr>
                <w:noProof/>
                <w:webHidden/>
                <w:szCs w:val="24"/>
              </w:rPr>
              <w:t>11</w:t>
            </w:r>
            <w:r w:rsidRPr="005324CA">
              <w:rPr>
                <w:noProof/>
                <w:webHidden/>
                <w:szCs w:val="24"/>
              </w:rPr>
              <w:fldChar w:fldCharType="end"/>
            </w:r>
          </w:hyperlink>
        </w:p>
        <w:p w14:paraId="11EB0419" w14:textId="48F4E691" w:rsidR="005324CA" w:rsidRPr="005324CA" w:rsidRDefault="005324CA" w:rsidP="005324CA">
          <w:pPr>
            <w:pStyle w:val="TOC3"/>
            <w:tabs>
              <w:tab w:val="right" w:leader="dot" w:pos="9016"/>
            </w:tabs>
            <w:jc w:val="center"/>
            <w:rPr>
              <w:rFonts w:eastAsiaTheme="minorEastAsia"/>
              <w:noProof/>
              <w:kern w:val="2"/>
              <w:szCs w:val="24"/>
              <w14:ligatures w14:val="standardContextual"/>
            </w:rPr>
          </w:pPr>
          <w:hyperlink w:anchor="_Toc235778824" w:history="1">
            <w:r w:rsidRPr="005324CA">
              <w:rPr>
                <w:rStyle w:val="Hyperlink"/>
                <w:noProof/>
                <w:szCs w:val="24"/>
              </w:rPr>
              <w:t>Recommendation 5: Embed continuous benchmarking and robust board-level accountability</w:t>
            </w:r>
            <w:r w:rsidRPr="005324CA">
              <w:rPr>
                <w:noProof/>
                <w:webHidden/>
                <w:szCs w:val="24"/>
              </w:rPr>
              <w:tab/>
            </w:r>
            <w:r w:rsidRPr="005324CA">
              <w:rPr>
                <w:noProof/>
                <w:webHidden/>
                <w:szCs w:val="24"/>
              </w:rPr>
              <w:fldChar w:fldCharType="begin"/>
            </w:r>
            <w:r w:rsidRPr="005324CA">
              <w:rPr>
                <w:noProof/>
                <w:webHidden/>
                <w:szCs w:val="24"/>
              </w:rPr>
              <w:instrText xml:space="preserve"> PAGEREF _Toc235778824 \h </w:instrText>
            </w:r>
            <w:r w:rsidRPr="005324CA">
              <w:rPr>
                <w:noProof/>
                <w:webHidden/>
                <w:szCs w:val="24"/>
              </w:rPr>
            </w:r>
            <w:r w:rsidRPr="005324CA">
              <w:rPr>
                <w:noProof/>
                <w:webHidden/>
                <w:szCs w:val="24"/>
              </w:rPr>
              <w:fldChar w:fldCharType="separate"/>
            </w:r>
            <w:r w:rsidRPr="005324CA">
              <w:rPr>
                <w:noProof/>
                <w:webHidden/>
                <w:szCs w:val="24"/>
              </w:rPr>
              <w:t>12</w:t>
            </w:r>
            <w:r w:rsidRPr="005324CA">
              <w:rPr>
                <w:noProof/>
                <w:webHidden/>
                <w:szCs w:val="24"/>
              </w:rPr>
              <w:fldChar w:fldCharType="end"/>
            </w:r>
          </w:hyperlink>
        </w:p>
        <w:p w14:paraId="0008EDC1" w14:textId="4A73DFF8" w:rsidR="005324CA" w:rsidRPr="005324CA" w:rsidRDefault="005324CA" w:rsidP="005324CA">
          <w:pPr>
            <w:pStyle w:val="TOC1"/>
            <w:tabs>
              <w:tab w:val="right" w:leader="dot" w:pos="9016"/>
            </w:tabs>
            <w:jc w:val="center"/>
            <w:rPr>
              <w:rFonts w:eastAsiaTheme="minorEastAsia"/>
              <w:noProof/>
              <w:kern w:val="2"/>
              <w:szCs w:val="24"/>
              <w14:ligatures w14:val="standardContextual"/>
            </w:rPr>
          </w:pPr>
          <w:hyperlink w:anchor="_Toc235778825" w:history="1">
            <w:r w:rsidRPr="005324CA">
              <w:rPr>
                <w:rStyle w:val="Hyperlink"/>
                <w:noProof/>
                <w:szCs w:val="24"/>
              </w:rPr>
              <w:t>4. Conclusion</w:t>
            </w:r>
            <w:r w:rsidRPr="005324CA">
              <w:rPr>
                <w:noProof/>
                <w:webHidden/>
                <w:szCs w:val="24"/>
              </w:rPr>
              <w:tab/>
            </w:r>
            <w:r w:rsidRPr="005324CA">
              <w:rPr>
                <w:noProof/>
                <w:webHidden/>
                <w:szCs w:val="24"/>
              </w:rPr>
              <w:fldChar w:fldCharType="begin"/>
            </w:r>
            <w:r w:rsidRPr="005324CA">
              <w:rPr>
                <w:noProof/>
                <w:webHidden/>
                <w:szCs w:val="24"/>
              </w:rPr>
              <w:instrText xml:space="preserve"> PAGEREF _Toc235778825 \h </w:instrText>
            </w:r>
            <w:r w:rsidRPr="005324CA">
              <w:rPr>
                <w:noProof/>
                <w:webHidden/>
                <w:szCs w:val="24"/>
              </w:rPr>
            </w:r>
            <w:r w:rsidRPr="005324CA">
              <w:rPr>
                <w:noProof/>
                <w:webHidden/>
                <w:szCs w:val="24"/>
              </w:rPr>
              <w:fldChar w:fldCharType="separate"/>
            </w:r>
            <w:r w:rsidRPr="005324CA">
              <w:rPr>
                <w:noProof/>
                <w:webHidden/>
                <w:szCs w:val="24"/>
              </w:rPr>
              <w:t>12</w:t>
            </w:r>
            <w:r w:rsidRPr="005324CA">
              <w:rPr>
                <w:noProof/>
                <w:webHidden/>
                <w:szCs w:val="24"/>
              </w:rPr>
              <w:fldChar w:fldCharType="end"/>
            </w:r>
          </w:hyperlink>
        </w:p>
        <w:p w14:paraId="7195C134" w14:textId="487C66BD" w:rsidR="005324CA" w:rsidRPr="005324CA" w:rsidRDefault="005324CA" w:rsidP="005324CA">
          <w:pPr>
            <w:pStyle w:val="TOC1"/>
            <w:tabs>
              <w:tab w:val="right" w:leader="dot" w:pos="9016"/>
            </w:tabs>
            <w:jc w:val="center"/>
            <w:rPr>
              <w:rFonts w:eastAsiaTheme="minorEastAsia"/>
              <w:noProof/>
              <w:kern w:val="2"/>
              <w:szCs w:val="24"/>
              <w14:ligatures w14:val="standardContextual"/>
            </w:rPr>
          </w:pPr>
          <w:hyperlink w:anchor="_Toc235778826" w:history="1">
            <w:r w:rsidRPr="005324CA">
              <w:rPr>
                <w:rStyle w:val="Hyperlink"/>
                <w:noProof/>
                <w:szCs w:val="24"/>
              </w:rPr>
              <w:t>5. References</w:t>
            </w:r>
            <w:r w:rsidRPr="005324CA">
              <w:rPr>
                <w:noProof/>
                <w:webHidden/>
                <w:szCs w:val="24"/>
              </w:rPr>
              <w:tab/>
            </w:r>
            <w:r w:rsidRPr="005324CA">
              <w:rPr>
                <w:noProof/>
                <w:webHidden/>
                <w:szCs w:val="24"/>
              </w:rPr>
              <w:fldChar w:fldCharType="begin"/>
            </w:r>
            <w:r w:rsidRPr="005324CA">
              <w:rPr>
                <w:noProof/>
                <w:webHidden/>
                <w:szCs w:val="24"/>
              </w:rPr>
              <w:instrText xml:space="preserve"> PAGEREF _Toc235778826 \h </w:instrText>
            </w:r>
            <w:r w:rsidRPr="005324CA">
              <w:rPr>
                <w:noProof/>
                <w:webHidden/>
                <w:szCs w:val="24"/>
              </w:rPr>
            </w:r>
            <w:r w:rsidRPr="005324CA">
              <w:rPr>
                <w:noProof/>
                <w:webHidden/>
                <w:szCs w:val="24"/>
              </w:rPr>
              <w:fldChar w:fldCharType="separate"/>
            </w:r>
            <w:r w:rsidRPr="005324CA">
              <w:rPr>
                <w:noProof/>
                <w:webHidden/>
                <w:szCs w:val="24"/>
              </w:rPr>
              <w:t>14</w:t>
            </w:r>
            <w:r w:rsidRPr="005324CA">
              <w:rPr>
                <w:noProof/>
                <w:webHidden/>
                <w:szCs w:val="24"/>
              </w:rPr>
              <w:fldChar w:fldCharType="end"/>
            </w:r>
          </w:hyperlink>
        </w:p>
        <w:p w14:paraId="117A6126" w14:textId="1921DBA9" w:rsidR="005324CA" w:rsidRDefault="005324CA" w:rsidP="005324CA">
          <w:pPr>
            <w:jc w:val="center"/>
          </w:pPr>
          <w:r w:rsidRPr="005324CA">
            <w:rPr>
              <w:b/>
              <w:bCs/>
              <w:noProof/>
            </w:rPr>
            <w:fldChar w:fldCharType="end"/>
          </w:r>
        </w:p>
      </w:sdtContent>
    </w:sdt>
    <w:p w14:paraId="745FF630" w14:textId="77777777" w:rsidR="005324CA" w:rsidRDefault="005324CA">
      <w:pPr>
        <w:spacing w:before="0" w:after="0" w:line="240" w:lineRule="auto"/>
        <w:jc w:val="left"/>
        <w:rPr>
          <w:b/>
          <w:bCs/>
          <w:sz w:val="28"/>
          <w:szCs w:val="28"/>
        </w:rPr>
      </w:pPr>
      <w:bookmarkStart w:id="0" w:name="_Toc235778814"/>
      <w:r>
        <w:br w:type="page"/>
      </w:r>
    </w:p>
    <w:p w14:paraId="1887CFF0" w14:textId="23D9C4CF" w:rsidR="00FC35EE" w:rsidRDefault="00000000">
      <w:pPr>
        <w:pStyle w:val="Heading1"/>
      </w:pPr>
      <w:r>
        <w:lastRenderedPageBreak/>
        <w:t>1. Introduction</w:t>
      </w:r>
      <w:bookmarkEnd w:id="0"/>
    </w:p>
    <w:p w14:paraId="0703E094" w14:textId="77777777" w:rsidR="00122FEE" w:rsidRDefault="00122FEE" w:rsidP="00122FEE">
      <w:r>
        <w:t>Maternity services continue to be one of the most closely examined aspects of healthcare quality and patient safety in England. The Independent Maternity Review of Nottingham University Hospitals (NUH) NHS Trust represents the largest such inquiry in the National Health Service. It investigates the cases involving more than 2,000 families (NHS England, 2023; Iacobucci, 2023). In particular, the review focuses on a series of maternal and neonatal deaths, brain injuries of babies and serious incidents of malpractice (Care Quality Commission, 2025).</w:t>
      </w:r>
    </w:p>
    <w:p w14:paraId="3ACB3999" w14:textId="30B253D1" w:rsidR="00122FEE" w:rsidRDefault="00122FEE" w:rsidP="00122FEE">
      <w:r>
        <w:t xml:space="preserve">The significance of the issue in question goes beyond Nottingham Trust. Other inquiries concerning Shrewsbury and Telford (Ockenden, 2022) and East Kent (Kirkup, 2022) hospitals uncovered similar issues of inadequate governance, defensive culture, persistent understaffing, lack of escalation and poor organisational learning (Dixon-Woods, 2022; McGowan </w:t>
      </w:r>
      <w:r w:rsidR="00F75D56" w:rsidRPr="00F75D56">
        <w:rPr>
          <w:i/>
          <w:iCs/>
        </w:rPr>
        <w:t>et al</w:t>
      </w:r>
      <w:r>
        <w:t xml:space="preserve">., 2024). Such patterns point to systemic issues associated with patient safety in maternity services within the English NHS. Liberati </w:t>
      </w:r>
      <w:r w:rsidR="00F75D56" w:rsidRPr="00F75D56">
        <w:rPr>
          <w:i/>
          <w:iCs/>
        </w:rPr>
        <w:t>et al</w:t>
      </w:r>
      <w:r>
        <w:t>. (2021) identified seven elements of safer maternity departments which include commitment to change, technical expertise, teamwork, multiple problem detection mechanisms and ability to mobilise rapidly. The lack of such characteristics at NUH NHS Trust provides a good starting point for analysis.</w:t>
      </w:r>
    </w:p>
    <w:p w14:paraId="45E07B3A" w14:textId="58A87D76" w:rsidR="00122FEE" w:rsidRDefault="00122FEE" w:rsidP="00122FEE">
      <w:r>
        <w:t xml:space="preserve">In this report, the NUH maternity failures are considered in the context of health quality. First, the scale and scope of the issue are defined. Then, the Donabedian structure-process-outcome framework, Fishbone diagram, 5 Whys analysis and SWOT approach are used to define the sources of the problem. Eventually, the findings are translated into practical recommendations based on PDSA, Lean and Six Sigma principles. Systems approach is applied in this analysis whereby patient safety is viewed as an emergent property of human and organisational factors (Wiegmann </w:t>
      </w:r>
      <w:r w:rsidR="00F75D56" w:rsidRPr="00F75D56">
        <w:rPr>
          <w:i/>
          <w:iCs/>
        </w:rPr>
        <w:t>et al</w:t>
      </w:r>
      <w:r>
        <w:t>., 2022; NHS England, 2025).</w:t>
      </w:r>
    </w:p>
    <w:p w14:paraId="60A29D2C" w14:textId="7080E318" w:rsidR="00FC35EE" w:rsidRDefault="00000000">
      <w:pPr>
        <w:pStyle w:val="Heading1"/>
      </w:pPr>
      <w:bookmarkStart w:id="1" w:name="_Toc235778815"/>
      <w:r>
        <w:t xml:space="preserve">2. </w:t>
      </w:r>
      <w:r w:rsidR="007600E8" w:rsidRPr="007600E8">
        <w:t>Critical Analysis of Quality Failures and Root Causes</w:t>
      </w:r>
      <w:bookmarkEnd w:id="1"/>
    </w:p>
    <w:p w14:paraId="59748E3B" w14:textId="77777777" w:rsidR="00FC35EE" w:rsidRDefault="00000000">
      <w:pPr>
        <w:pStyle w:val="Heading2"/>
      </w:pPr>
      <w:bookmarkStart w:id="2" w:name="_Toc235778816"/>
      <w:r>
        <w:t>2.1 Application of the Donabedian Model</w:t>
      </w:r>
      <w:bookmarkEnd w:id="2"/>
    </w:p>
    <w:p w14:paraId="4117A972" w14:textId="41CBB560" w:rsidR="007379E2" w:rsidRDefault="00A42A44" w:rsidP="00A42A44">
      <w:r>
        <w:t xml:space="preserve">Avedis Donabedian's structure-process-outcome model continues to serve as one of the most robust frameworks for evaluating the quality of healthcare (Naz </w:t>
      </w:r>
      <w:r w:rsidR="00F75D56" w:rsidRPr="00F75D56">
        <w:rPr>
          <w:i/>
          <w:iCs/>
        </w:rPr>
        <w:t>et al</w:t>
      </w:r>
      <w:r>
        <w:t xml:space="preserve">., 2022; Karp, Edwards and Tappis, 2024). </w:t>
      </w:r>
    </w:p>
    <w:p w14:paraId="0FB51FB4" w14:textId="74E23486" w:rsidR="007379E2" w:rsidRDefault="007379E2" w:rsidP="007379E2">
      <w:pPr>
        <w:jc w:val="center"/>
      </w:pPr>
      <w:r>
        <w:rPr>
          <w:noProof/>
        </w:rPr>
        <w:lastRenderedPageBreak/>
        <w:drawing>
          <wp:inline distT="0" distB="0" distL="0" distR="0" wp14:anchorId="7CF6AF45" wp14:editId="6CDFF858">
            <wp:extent cx="5543550" cy="3695700"/>
            <wp:effectExtent l="0" t="0" r="0" b="0"/>
            <wp:docPr id="17098595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43550" cy="3695700"/>
                    </a:xfrm>
                    <a:prstGeom prst="rect">
                      <a:avLst/>
                    </a:prstGeom>
                    <a:noFill/>
                  </pic:spPr>
                </pic:pic>
              </a:graphicData>
            </a:graphic>
          </wp:inline>
        </w:drawing>
      </w:r>
    </w:p>
    <w:p w14:paraId="40DA6A93" w14:textId="4A19D175" w:rsidR="007379E2" w:rsidRDefault="007379E2" w:rsidP="007379E2">
      <w:pPr>
        <w:jc w:val="center"/>
      </w:pPr>
      <w:r w:rsidRPr="007379E2">
        <w:rPr>
          <w:b/>
          <w:bCs/>
        </w:rPr>
        <w:t>Figure 1:</w:t>
      </w:r>
      <w:r>
        <w:t xml:space="preserve"> Donabedian Model Healthcare Quality </w:t>
      </w:r>
    </w:p>
    <w:p w14:paraId="23759DD3" w14:textId="435892EB" w:rsidR="007379E2" w:rsidRDefault="007379E2" w:rsidP="007379E2">
      <w:pPr>
        <w:jc w:val="center"/>
      </w:pPr>
      <w:r>
        <w:t>(Source: Self-Developed)</w:t>
      </w:r>
    </w:p>
    <w:p w14:paraId="4B564D1B" w14:textId="43CC4D0F" w:rsidR="00A42A44" w:rsidRDefault="00A42A44" w:rsidP="00A42A44">
      <w:r>
        <w:t>In this approach, structure is concerned with stable aspects of the care environment, such as staffing, policies, infrastructure and the provision of education and training. Processes relate to the interactions of practitioners and patients, including clinical assessment, decision-making, communication, concern escalation, the use of evidence-based protocols and coordination of multidisciplinary care. Finally, outcome is associated with impacts on health status, the experience of patients and their families and performance indicators such as litigation rates and regulatory ratings. Each of these aspects reveals considerable shortcomings and deficiencies when applied to the NUH maternity service.</w:t>
      </w:r>
    </w:p>
    <w:p w14:paraId="48D8F02E" w14:textId="1005F106" w:rsidR="00A42A44" w:rsidRDefault="00A42A44" w:rsidP="00A42A44">
      <w:r>
        <w:t xml:space="preserve">The weaknesses of structure are outlined comprehensively in the terms of reference of the regulator and in subsequent regulatory statements (NHS England, 2023; Care Quality Commission, 2025). Insufficient number of midwives and obstetricians hindered the implementation of continuous clinical surveillance and the ability to provide timely interventions. Governance structures at divisional and board levels were not able to detect emerging patterns of harm proactively enough. Although incident reporting systems were well-developed and existed in a written form, they were underused by staff who saw them as either bureaucratic or potentially threatening, which prevented gathering of useful quantitative and </w:t>
      </w:r>
      <w:r>
        <w:lastRenderedPageBreak/>
        <w:t xml:space="preserve">qualitative information (Beecham </w:t>
      </w:r>
      <w:r w:rsidR="00F75D56" w:rsidRPr="00F75D56">
        <w:rPr>
          <w:i/>
          <w:iCs/>
        </w:rPr>
        <w:t>et al</w:t>
      </w:r>
      <w:r>
        <w:t xml:space="preserve">., 2025; Fekadu </w:t>
      </w:r>
      <w:r w:rsidR="00F75D56" w:rsidRPr="00F75D56">
        <w:rPr>
          <w:i/>
          <w:iCs/>
        </w:rPr>
        <w:t>et al</w:t>
      </w:r>
      <w:r>
        <w:t>., 2025). Furthermore, physical and digital infrastructure for concern escalation was unevenly distributed across all sites of the Trust, increasing the risk. This structural deficiency allowed for process failures to occur.</w:t>
      </w:r>
    </w:p>
    <w:p w14:paraId="4582F9B7" w14:textId="32679DB9" w:rsidR="00A42A44" w:rsidRDefault="00A42A44" w:rsidP="00A42A44">
      <w:r>
        <w:t xml:space="preserve">Process failures were related to delays in recognizing maternal and </w:t>
      </w:r>
      <w:proofErr w:type="spellStart"/>
      <w:r>
        <w:t>fetal</w:t>
      </w:r>
      <w:proofErr w:type="spellEnd"/>
      <w:r>
        <w:t xml:space="preserve"> deterioration, fragmented and incomplete communication among multidisciplinary team members and inadequate application of clinical guidelines and early warning tools (NHS England, 2023). Liberati </w:t>
      </w:r>
      <w:r w:rsidR="00F75D56" w:rsidRPr="00F75D56">
        <w:rPr>
          <w:i/>
          <w:iCs/>
        </w:rPr>
        <w:t>et al</w:t>
      </w:r>
      <w:r>
        <w:t xml:space="preserve">. (2021) note that a safer unit ensures continuous reinforcement of safe and respectful behaviour and has many problem-sensing systems, both of which were shown to be rather deficient at NUH. Lack of psychological safety, defined as a shared belief that it is possible to express concerns freely and without embarrassment, rejections or punishments, prevented escalation even when there was clinical anxiety (Mackintosh </w:t>
      </w:r>
      <w:r w:rsidR="00F75D56" w:rsidRPr="00F75D56">
        <w:rPr>
          <w:i/>
          <w:iCs/>
        </w:rPr>
        <w:t>et al</w:t>
      </w:r>
      <w:r>
        <w:t xml:space="preserve">., 2025; Staines </w:t>
      </w:r>
      <w:r w:rsidR="00F75D56" w:rsidRPr="00F75D56">
        <w:rPr>
          <w:i/>
          <w:iCs/>
        </w:rPr>
        <w:t>et al</w:t>
      </w:r>
      <w:r>
        <w:t>., 2020). The cumulative effect of these issues was a series of missed opportunities for earlier interventions, each of which contributed to increased risks of irreversible harm.</w:t>
      </w:r>
    </w:p>
    <w:p w14:paraId="4CB2B5A0" w14:textId="3073978A" w:rsidR="00A42A44" w:rsidRDefault="00A42A44" w:rsidP="00A42A44">
      <w:r>
        <w:t xml:space="preserve">As for the outcome measures, they paint an equally bleak picture. Several years have seen a number of avoidable maternal and neonatal deaths, cases of hypoxic-ischaemic encephalopathy and other serious morbidities (Iacobucci, 2023). Families reported long-lasting psychological distress, complicated grief and a loss of trust towards NHS maternity services (Reid </w:t>
      </w:r>
      <w:r w:rsidR="00F75D56" w:rsidRPr="00F75D56">
        <w:rPr>
          <w:i/>
          <w:iCs/>
        </w:rPr>
        <w:t>et al</w:t>
      </w:r>
      <w:r>
        <w:t xml:space="preserve">., 2025; </w:t>
      </w:r>
      <w:proofErr w:type="spellStart"/>
      <w:r>
        <w:t>Aryasinghe</w:t>
      </w:r>
      <w:proofErr w:type="spellEnd"/>
      <w:r>
        <w:t xml:space="preserve"> </w:t>
      </w:r>
      <w:r w:rsidR="00F75D56" w:rsidRPr="00F75D56">
        <w:rPr>
          <w:i/>
          <w:iCs/>
        </w:rPr>
        <w:t>et al</w:t>
      </w:r>
      <w:r>
        <w:t>., 2025). Litigation expenses, additional scrutiny from the regulator and damage to professional reputation were also putting additional pressure on the already stretched budget of the organization (Care Quality Commission, 2025). Thus, through the lens of Donabedian's framework, it becomes clear how structure, process and outcome formed a self-reinforcing negative feedback loop: poor structure resulted in unreliable processes, which in turn led to poor outcomes, which worsened the situation even further.</w:t>
      </w:r>
    </w:p>
    <w:p w14:paraId="68CE438F" w14:textId="240730EB" w:rsidR="00A42A44" w:rsidRDefault="00A42A44" w:rsidP="00A42A44">
      <w:r>
        <w:t xml:space="preserve">Importantly, the model highlights intervention points where changes may lead to a positive cycle. Since the elements of structure are more controllable for managers compared to behaviour of clinicians, it is expected that improvements in staffing capacity, governance structures, reporting systems and infrastructure will lead to better processes and eventually to good outcomes (Naz </w:t>
      </w:r>
      <w:r w:rsidR="00F75D56" w:rsidRPr="00F75D56">
        <w:rPr>
          <w:i/>
          <w:iCs/>
        </w:rPr>
        <w:t>et al</w:t>
      </w:r>
      <w:r>
        <w:t xml:space="preserve">., 2022; Kumari </w:t>
      </w:r>
      <w:r w:rsidR="00F75D56" w:rsidRPr="00F75D56">
        <w:rPr>
          <w:i/>
          <w:iCs/>
        </w:rPr>
        <w:t>et al</w:t>
      </w:r>
      <w:r>
        <w:t>., 2023). This theoretical basis is reflected in the recommendations described in Section 3.</w:t>
      </w:r>
    </w:p>
    <w:p w14:paraId="059BDEDC" w14:textId="77777777" w:rsidR="00FC35EE" w:rsidRDefault="00000000">
      <w:pPr>
        <w:pStyle w:val="Heading2"/>
      </w:pPr>
      <w:bookmarkStart w:id="3" w:name="_Toc235778817"/>
      <w:r>
        <w:t>2.2 Root Cause Analysis: Fishbone Diagram and the 5 Whys</w:t>
      </w:r>
      <w:bookmarkEnd w:id="3"/>
    </w:p>
    <w:p w14:paraId="0BB43FD3" w14:textId="77777777" w:rsidR="00A42A44" w:rsidRDefault="00A42A44" w:rsidP="00A42A44">
      <w:r>
        <w:lastRenderedPageBreak/>
        <w:t>Although Donabedian's model identifies the key domains of quality, it does not itself illuminate the causal pathways from structure weaknesses to adverse events. This is why two complementary root cause analysis techniques—the Fishbone diagram and 5 Whys—are used to further explore the issues raised by the Donabedian model.</w:t>
      </w:r>
    </w:p>
    <w:p w14:paraId="56B4A268" w14:textId="72B9B808" w:rsidR="00F960B6" w:rsidRDefault="00F960B6" w:rsidP="00A42A44">
      <w:r>
        <w:rPr>
          <w:noProof/>
        </w:rPr>
        <w:drawing>
          <wp:inline distT="0" distB="0" distL="0" distR="0" wp14:anchorId="7D7CAA31" wp14:editId="02417CA9">
            <wp:extent cx="5723696" cy="3841933"/>
            <wp:effectExtent l="0" t="0" r="0" b="6350"/>
            <wp:docPr id="9249433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7135" cy="3850954"/>
                    </a:xfrm>
                    <a:prstGeom prst="rect">
                      <a:avLst/>
                    </a:prstGeom>
                    <a:noFill/>
                  </pic:spPr>
                </pic:pic>
              </a:graphicData>
            </a:graphic>
          </wp:inline>
        </w:drawing>
      </w:r>
    </w:p>
    <w:p w14:paraId="3E65CBDC" w14:textId="6888C66D" w:rsidR="00F960B6" w:rsidRDefault="00F960B6" w:rsidP="00F960B6">
      <w:pPr>
        <w:jc w:val="center"/>
      </w:pPr>
      <w:r w:rsidRPr="00F960B6">
        <w:rPr>
          <w:b/>
          <w:bCs/>
        </w:rPr>
        <w:t xml:space="preserve">Figure 2: </w:t>
      </w:r>
      <w:r w:rsidRPr="00F960B6">
        <w:t>Fishbone diagram</w:t>
      </w:r>
    </w:p>
    <w:p w14:paraId="13CCC622" w14:textId="1D09F300" w:rsidR="00F960B6" w:rsidRPr="00F960B6" w:rsidRDefault="00F960B6" w:rsidP="00F960B6">
      <w:pPr>
        <w:jc w:val="center"/>
        <w:rPr>
          <w:b/>
          <w:bCs/>
        </w:rPr>
      </w:pPr>
      <w:r>
        <w:t>(Source: Self-Developed)</w:t>
      </w:r>
    </w:p>
    <w:p w14:paraId="1D01397A" w14:textId="12677E6A" w:rsidR="00A42A44" w:rsidRDefault="00A42A44" w:rsidP="00A42A44">
      <w:r>
        <w:t xml:space="preserve">The Fishbone diagram categorizes potential causes of maternity harm into six common categories—People, Processes, Equipment and Environment, Management and Leadership, Materials and Information, and Measurement. Among the people-related bones there are such causes of adverse events as midwifery and obstetric shortages, poor skill-mix, midwife fatigue due to constant exposure to high acuity patients and uneven levels of psychological safety that prevent staff from raising the alarm (Hassan </w:t>
      </w:r>
      <w:r w:rsidR="00F75D56" w:rsidRPr="00F75D56">
        <w:rPr>
          <w:i/>
          <w:iCs/>
        </w:rPr>
        <w:t>et al</w:t>
      </w:r>
      <w:r>
        <w:t xml:space="preserve">., 2024; Brás, Ferreira and Figueiredo, 2023; </w:t>
      </w:r>
      <w:proofErr w:type="spellStart"/>
      <w:r>
        <w:t>Javornická</w:t>
      </w:r>
      <w:proofErr w:type="spellEnd"/>
      <w:r>
        <w:t xml:space="preserve"> </w:t>
      </w:r>
      <w:r w:rsidR="00F75D56" w:rsidRPr="00F75D56">
        <w:rPr>
          <w:i/>
          <w:iCs/>
        </w:rPr>
        <w:t>et al</w:t>
      </w:r>
      <w:r>
        <w:t xml:space="preserve">., 2025). The process bones include delayed/ incomplete risk assessment, poor handovers, inconsistent following of early warning protocols and communication problems among midwives, obstetricians, anaesthetists and neonatologists (Beecham </w:t>
      </w:r>
      <w:r w:rsidR="00F75D56" w:rsidRPr="00F75D56">
        <w:rPr>
          <w:i/>
          <w:iCs/>
        </w:rPr>
        <w:t>et al</w:t>
      </w:r>
      <w:r>
        <w:t xml:space="preserve">., 2025). The equipment and environment issues include fragmented patient record database, poor physical design that does not allow quick escalation and limited access to central monitoring. Among </w:t>
      </w:r>
      <w:r>
        <w:lastRenderedPageBreak/>
        <w:t xml:space="preserve">the management and leadership bones are poor board oversight of safety metrics, defensive organizational approach to outside criticism and lack of consistent safety training and simulation (Haskins and Roets, 2022; Titi, Baksh and Al-Hussein, 2021). Materials and information issues include incomplete/incident reporting data and poor cross-learning of safety lessons across the trust's various facilities. Finally, measurement issues are defined by the lack of meaningful real-time dashboards that could help detect safety concerns before they materialize into serious incidents (McGowan </w:t>
      </w:r>
      <w:r w:rsidR="00F75D56" w:rsidRPr="00F75D56">
        <w:rPr>
          <w:i/>
          <w:iCs/>
        </w:rPr>
        <w:t>et al</w:t>
      </w:r>
      <w:r>
        <w:t>., 2024).</w:t>
      </w:r>
    </w:p>
    <w:p w14:paraId="4F3DA59C" w14:textId="69E75A77" w:rsidR="007379E2" w:rsidRDefault="007379E2" w:rsidP="007379E2">
      <w:pPr>
        <w:jc w:val="center"/>
      </w:pPr>
      <w:r>
        <w:rPr>
          <w:noProof/>
        </w:rPr>
        <w:drawing>
          <wp:inline distT="0" distB="0" distL="0" distR="0" wp14:anchorId="51CC6EF9" wp14:editId="2C7D6965">
            <wp:extent cx="4201160" cy="6301740"/>
            <wp:effectExtent l="0" t="0" r="8890" b="3810"/>
            <wp:docPr id="15746124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01160" cy="6301740"/>
                    </a:xfrm>
                    <a:prstGeom prst="rect">
                      <a:avLst/>
                    </a:prstGeom>
                    <a:noFill/>
                  </pic:spPr>
                </pic:pic>
              </a:graphicData>
            </a:graphic>
          </wp:inline>
        </w:drawing>
      </w:r>
    </w:p>
    <w:p w14:paraId="219F20FD" w14:textId="39A4F104" w:rsidR="007379E2" w:rsidRDefault="007379E2" w:rsidP="007379E2">
      <w:pPr>
        <w:jc w:val="center"/>
      </w:pPr>
      <w:r w:rsidRPr="007379E2">
        <w:rPr>
          <w:b/>
          <w:bCs/>
        </w:rPr>
        <w:t>Figure 3:</w:t>
      </w:r>
      <w:r>
        <w:t xml:space="preserve"> </w:t>
      </w:r>
      <w:r>
        <w:t xml:space="preserve">5 Whys technique </w:t>
      </w:r>
    </w:p>
    <w:p w14:paraId="42227575" w14:textId="2C182910" w:rsidR="007379E2" w:rsidRDefault="007379E2" w:rsidP="007379E2">
      <w:pPr>
        <w:jc w:val="center"/>
      </w:pPr>
      <w:r>
        <w:lastRenderedPageBreak/>
        <w:t>(Source: Self-Developed)</w:t>
      </w:r>
    </w:p>
    <w:p w14:paraId="5306BD29" w14:textId="134D7DF1" w:rsidR="00A42A44" w:rsidRDefault="00A42A44" w:rsidP="00A42A44">
      <w:r>
        <w:t xml:space="preserve">The 5 Whys technique is used to explore one particular failure mechanism in more depth, namely, delayed escalation of a deteriorating maternal condition. Why was escalation delayed? Because the attending midwife did not recognize the gravity of the situation soon enough. Why was it hard to recognize? Because of poor staffing ratios that made it impossible to observe the patient continuously and inconsistent use of formal early warning procedures. Why </w:t>
      </w:r>
      <w:proofErr w:type="spellStart"/>
      <w:r>
        <w:t>were</w:t>
      </w:r>
      <w:proofErr w:type="spellEnd"/>
      <w:r>
        <w:t xml:space="preserve"> staffing ratios poor? Because the workload had increased but staffing planning had not kept up with the changes and there was a significant </w:t>
      </w:r>
      <w:proofErr w:type="gramStart"/>
      <w:r>
        <w:t>amount</w:t>
      </w:r>
      <w:proofErr w:type="gramEnd"/>
      <w:r>
        <w:t xml:space="preserve"> of unfilled posts. Why had staffing planning been behind the rising demand? Because board-level metrics and incentives emphasized activity volume and balance much more clearly than safety capacity and sustainability of workforce. Why did the board focus on those metrics and incentives? Because the dominant organizational culture and the national performance regime incentivized quantifiable output and cost savings rather than the less obvious investments in safety culture and learning processes (Dixon-Woods, 2022; Kirkup, 2022; Ockenden, 2022). Each successive question thus helps to uncover the underlying reasons that go from clinical performance to governance and organizational culture, as suggested by Wiegmann </w:t>
      </w:r>
      <w:r w:rsidR="00F75D56" w:rsidRPr="00F75D56">
        <w:rPr>
          <w:i/>
          <w:iCs/>
        </w:rPr>
        <w:t>et al</w:t>
      </w:r>
      <w:r>
        <w:t>. (2022).</w:t>
      </w:r>
    </w:p>
    <w:p w14:paraId="43ADB158" w14:textId="3D1D2E22" w:rsidR="00A42A44" w:rsidRDefault="00A42A44" w:rsidP="00A42A44">
      <w:r>
        <w:t xml:space="preserve">In combination, the Fishbone and 5 Whys analyses show that proximal causes of adverse events such as missed deterioration, communication problems and non-adherence to protocols are in turn symptoms of more fundamental issues. Addressing only the proximal layer is unlikely to result in any improvements. Sustained change should be driven by the coordinated action on a range of issues including staffing, governance, psychological safety, measurement and organizational learning processes (Liberati </w:t>
      </w:r>
      <w:r w:rsidR="00F75D56" w:rsidRPr="00F75D56">
        <w:rPr>
          <w:i/>
          <w:iCs/>
        </w:rPr>
        <w:t>et al</w:t>
      </w:r>
      <w:r>
        <w:t xml:space="preserve">., 2021; Mackintosh </w:t>
      </w:r>
      <w:r w:rsidR="00F75D56" w:rsidRPr="00F75D56">
        <w:rPr>
          <w:i/>
          <w:iCs/>
        </w:rPr>
        <w:t>et al</w:t>
      </w:r>
      <w:r>
        <w:t xml:space="preserve">., 2025; Aires-Moreno </w:t>
      </w:r>
      <w:r w:rsidR="00F75D56" w:rsidRPr="00F75D56">
        <w:rPr>
          <w:i/>
          <w:iCs/>
        </w:rPr>
        <w:t>et al</w:t>
      </w:r>
      <w:r>
        <w:t>., 2025).</w:t>
      </w:r>
    </w:p>
    <w:p w14:paraId="37A11205" w14:textId="77777777" w:rsidR="00FC35EE" w:rsidRDefault="00000000">
      <w:pPr>
        <w:pStyle w:val="Heading2"/>
      </w:pPr>
      <w:bookmarkStart w:id="4" w:name="_Toc235778818"/>
      <w:r>
        <w:t>2.3 SWOT Analysis of Nottingham Maternity Services</w:t>
      </w:r>
      <w:bookmarkEnd w:id="4"/>
    </w:p>
    <w:tbl>
      <w:tblPr>
        <w:tblStyle w:val="TableGrid"/>
        <w:tblW w:w="0" w:type="auto"/>
        <w:tblLook w:val="04A0" w:firstRow="1" w:lastRow="0" w:firstColumn="1" w:lastColumn="0" w:noHBand="0" w:noVBand="1"/>
      </w:tblPr>
      <w:tblGrid>
        <w:gridCol w:w="4390"/>
        <w:gridCol w:w="4626"/>
      </w:tblGrid>
      <w:tr w:rsidR="00F960B6" w:rsidRPr="00F960B6" w14:paraId="0AACE959" w14:textId="77777777" w:rsidTr="00F960B6">
        <w:tc>
          <w:tcPr>
            <w:tcW w:w="4390" w:type="dxa"/>
            <w:shd w:val="clear" w:color="auto" w:fill="AEAAAA" w:themeFill="background2" w:themeFillShade="BF"/>
            <w:hideMark/>
          </w:tcPr>
          <w:p w14:paraId="2514A764" w14:textId="77777777" w:rsidR="00F960B6" w:rsidRPr="00F960B6" w:rsidRDefault="00F960B6" w:rsidP="00F960B6">
            <w:pPr>
              <w:jc w:val="center"/>
              <w:rPr>
                <w:b/>
                <w:bCs/>
              </w:rPr>
            </w:pPr>
            <w:r w:rsidRPr="00F960B6">
              <w:rPr>
                <w:b/>
                <w:bCs/>
              </w:rPr>
              <w:t>Strengths</w:t>
            </w:r>
          </w:p>
        </w:tc>
        <w:tc>
          <w:tcPr>
            <w:tcW w:w="4626" w:type="dxa"/>
            <w:shd w:val="clear" w:color="auto" w:fill="AEAAAA" w:themeFill="background2" w:themeFillShade="BF"/>
            <w:hideMark/>
          </w:tcPr>
          <w:p w14:paraId="24667BED" w14:textId="77777777" w:rsidR="00F960B6" w:rsidRPr="00F960B6" w:rsidRDefault="00F960B6" w:rsidP="00F960B6">
            <w:pPr>
              <w:jc w:val="center"/>
              <w:rPr>
                <w:b/>
                <w:bCs/>
              </w:rPr>
            </w:pPr>
            <w:r w:rsidRPr="00F960B6">
              <w:rPr>
                <w:b/>
                <w:bCs/>
              </w:rPr>
              <w:t>Weaknesses</w:t>
            </w:r>
          </w:p>
        </w:tc>
      </w:tr>
      <w:tr w:rsidR="00F960B6" w:rsidRPr="00F960B6" w14:paraId="08E12BFA" w14:textId="77777777" w:rsidTr="00F960B6">
        <w:tc>
          <w:tcPr>
            <w:tcW w:w="4390" w:type="dxa"/>
            <w:hideMark/>
          </w:tcPr>
          <w:p w14:paraId="733DEF64" w14:textId="55627391" w:rsidR="00F960B6" w:rsidRDefault="00F960B6" w:rsidP="00F960B6">
            <w:pPr>
              <w:pStyle w:val="ListParagraph"/>
              <w:numPr>
                <w:ilvl w:val="0"/>
                <w:numId w:val="3"/>
              </w:numPr>
              <w:spacing w:line="360" w:lineRule="auto"/>
            </w:pPr>
            <w:r w:rsidRPr="00F960B6">
              <w:t>Clear national policy framework (NHS Patient Safety Strategy) supporting investment (NHS England, 2025)</w:t>
            </w:r>
          </w:p>
          <w:p w14:paraId="0CF3F1D1" w14:textId="429E75DE" w:rsidR="00F960B6" w:rsidRDefault="00F960B6" w:rsidP="00F960B6">
            <w:pPr>
              <w:pStyle w:val="ListParagraph"/>
              <w:numPr>
                <w:ilvl w:val="0"/>
                <w:numId w:val="3"/>
              </w:numPr>
              <w:spacing w:line="360" w:lineRule="auto"/>
            </w:pPr>
            <w:r w:rsidRPr="00F960B6">
              <w:t>Evidence-based interventions (</w:t>
            </w:r>
            <w:proofErr w:type="spellStart"/>
            <w:r w:rsidRPr="00F960B6">
              <w:t>TeamSTEPPS</w:t>
            </w:r>
            <w:proofErr w:type="spellEnd"/>
            <w:r w:rsidRPr="00F960B6">
              <w:t xml:space="preserve">, escalation </w:t>
            </w:r>
            <w:r w:rsidRPr="00F960B6">
              <w:lastRenderedPageBreak/>
              <w:t xml:space="preserve">protocols) available (Staines </w:t>
            </w:r>
            <w:r w:rsidR="00F75D56" w:rsidRPr="00F75D56">
              <w:rPr>
                <w:i/>
                <w:iCs/>
              </w:rPr>
              <w:t>et al</w:t>
            </w:r>
            <w:r w:rsidRPr="00F960B6">
              <w:t xml:space="preserve">., 2020; Naz </w:t>
            </w:r>
            <w:r w:rsidR="00F75D56" w:rsidRPr="00F75D56">
              <w:rPr>
                <w:i/>
                <w:iCs/>
              </w:rPr>
              <w:t>et al</w:t>
            </w:r>
            <w:r w:rsidRPr="00F960B6">
              <w:t>., 2022)</w:t>
            </w:r>
          </w:p>
          <w:p w14:paraId="2680C24A" w14:textId="513C2F6B" w:rsidR="00F960B6" w:rsidRPr="00F960B6" w:rsidRDefault="00F960B6" w:rsidP="00F960B6">
            <w:pPr>
              <w:pStyle w:val="ListParagraph"/>
              <w:numPr>
                <w:ilvl w:val="0"/>
                <w:numId w:val="3"/>
              </w:numPr>
              <w:spacing w:line="360" w:lineRule="auto"/>
            </w:pPr>
            <w:r w:rsidRPr="00F960B6">
              <w:t>Committed clinical staff providing a foundation for change (Foley, McCourt and Yuill, 2025)</w:t>
            </w:r>
          </w:p>
        </w:tc>
        <w:tc>
          <w:tcPr>
            <w:tcW w:w="4626" w:type="dxa"/>
            <w:hideMark/>
          </w:tcPr>
          <w:p w14:paraId="1B776CA0" w14:textId="2170CAE2" w:rsidR="00F960B6" w:rsidRDefault="00F960B6" w:rsidP="00F960B6">
            <w:pPr>
              <w:pStyle w:val="ListParagraph"/>
              <w:numPr>
                <w:ilvl w:val="0"/>
                <w:numId w:val="3"/>
              </w:numPr>
              <w:spacing w:line="360" w:lineRule="auto"/>
            </w:pPr>
            <w:r w:rsidRPr="00F960B6">
              <w:lastRenderedPageBreak/>
              <w:t>Chronic understaffing and skill-mix deficits (Care Quality Commission, 2025)</w:t>
            </w:r>
          </w:p>
          <w:p w14:paraId="29DEC244" w14:textId="6CCACDF6" w:rsidR="00F960B6" w:rsidRDefault="00F960B6" w:rsidP="00F960B6">
            <w:pPr>
              <w:pStyle w:val="ListParagraph"/>
              <w:numPr>
                <w:ilvl w:val="0"/>
                <w:numId w:val="3"/>
              </w:numPr>
              <w:spacing w:line="360" w:lineRule="auto"/>
            </w:pPr>
            <w:r w:rsidRPr="00F960B6">
              <w:t xml:space="preserve">Defensive culture and weak psychological safety (Hassan </w:t>
            </w:r>
            <w:r w:rsidR="00F75D56" w:rsidRPr="00F75D56">
              <w:rPr>
                <w:i/>
                <w:iCs/>
              </w:rPr>
              <w:t>et al</w:t>
            </w:r>
            <w:r w:rsidRPr="00F960B6">
              <w:t xml:space="preserve">., 2024; Beecham </w:t>
            </w:r>
            <w:r w:rsidR="00F75D56" w:rsidRPr="00F75D56">
              <w:rPr>
                <w:i/>
                <w:iCs/>
              </w:rPr>
              <w:t>et al</w:t>
            </w:r>
            <w:r w:rsidRPr="00F960B6">
              <w:t>., 2025)</w:t>
            </w:r>
          </w:p>
          <w:p w14:paraId="34AA6B3F" w14:textId="77D910DB" w:rsidR="00F960B6" w:rsidRPr="00F960B6" w:rsidRDefault="00F960B6" w:rsidP="00F960B6">
            <w:pPr>
              <w:pStyle w:val="ListParagraph"/>
              <w:numPr>
                <w:ilvl w:val="0"/>
                <w:numId w:val="3"/>
              </w:numPr>
              <w:spacing w:line="360" w:lineRule="auto"/>
            </w:pPr>
            <w:r w:rsidRPr="00F960B6">
              <w:lastRenderedPageBreak/>
              <w:t>Fragmented governance and limited organisational learning (</w:t>
            </w:r>
            <w:proofErr w:type="spellStart"/>
            <w:r w:rsidRPr="00F960B6">
              <w:t>Javornická</w:t>
            </w:r>
            <w:proofErr w:type="spellEnd"/>
            <w:r w:rsidRPr="00F960B6">
              <w:t xml:space="preserve"> </w:t>
            </w:r>
            <w:r w:rsidR="00F75D56" w:rsidRPr="00F75D56">
              <w:rPr>
                <w:i/>
                <w:iCs/>
              </w:rPr>
              <w:t>et al</w:t>
            </w:r>
            <w:r w:rsidRPr="00F960B6">
              <w:t>., 2025)</w:t>
            </w:r>
          </w:p>
        </w:tc>
      </w:tr>
      <w:tr w:rsidR="00F960B6" w:rsidRPr="00F960B6" w14:paraId="3487AA75" w14:textId="77777777" w:rsidTr="00F960B6">
        <w:tc>
          <w:tcPr>
            <w:tcW w:w="4390" w:type="dxa"/>
            <w:shd w:val="clear" w:color="auto" w:fill="AEAAAA" w:themeFill="background2" w:themeFillShade="BF"/>
            <w:hideMark/>
          </w:tcPr>
          <w:p w14:paraId="223B965D" w14:textId="77777777" w:rsidR="00F960B6" w:rsidRPr="00F960B6" w:rsidRDefault="00F960B6" w:rsidP="00F960B6">
            <w:pPr>
              <w:jc w:val="center"/>
              <w:rPr>
                <w:b/>
                <w:bCs/>
              </w:rPr>
            </w:pPr>
            <w:r w:rsidRPr="00F960B6">
              <w:rPr>
                <w:b/>
                <w:bCs/>
              </w:rPr>
              <w:lastRenderedPageBreak/>
              <w:t>Opportunities</w:t>
            </w:r>
          </w:p>
        </w:tc>
        <w:tc>
          <w:tcPr>
            <w:tcW w:w="4626" w:type="dxa"/>
            <w:shd w:val="clear" w:color="auto" w:fill="AEAAAA" w:themeFill="background2" w:themeFillShade="BF"/>
            <w:hideMark/>
          </w:tcPr>
          <w:p w14:paraId="63043C3C" w14:textId="77777777" w:rsidR="00F960B6" w:rsidRPr="00F960B6" w:rsidRDefault="00F960B6" w:rsidP="00F960B6">
            <w:pPr>
              <w:jc w:val="center"/>
              <w:rPr>
                <w:b/>
                <w:bCs/>
              </w:rPr>
            </w:pPr>
            <w:r w:rsidRPr="00F960B6">
              <w:rPr>
                <w:b/>
                <w:bCs/>
              </w:rPr>
              <w:t>Threats</w:t>
            </w:r>
          </w:p>
        </w:tc>
      </w:tr>
      <w:tr w:rsidR="00F960B6" w:rsidRPr="00F960B6" w14:paraId="0424483D" w14:textId="77777777" w:rsidTr="00F960B6">
        <w:tc>
          <w:tcPr>
            <w:tcW w:w="4390" w:type="dxa"/>
            <w:hideMark/>
          </w:tcPr>
          <w:p w14:paraId="5A379453" w14:textId="10FBB436" w:rsidR="00F960B6" w:rsidRDefault="00F960B6" w:rsidP="00F960B6">
            <w:pPr>
              <w:pStyle w:val="ListParagraph"/>
              <w:numPr>
                <w:ilvl w:val="0"/>
                <w:numId w:val="6"/>
              </w:numPr>
              <w:spacing w:line="360" w:lineRule="auto"/>
            </w:pPr>
            <w:r w:rsidRPr="00F960B6">
              <w:t xml:space="preserve">New national funding, training programmes and improvement networks (McGowan </w:t>
            </w:r>
            <w:r w:rsidR="00F75D56" w:rsidRPr="00F75D56">
              <w:rPr>
                <w:i/>
                <w:iCs/>
              </w:rPr>
              <w:t>et al</w:t>
            </w:r>
            <w:r w:rsidRPr="00F960B6">
              <w:t>., 2024)</w:t>
            </w:r>
          </w:p>
          <w:p w14:paraId="02108D8E" w14:textId="22E233D1" w:rsidR="00F960B6" w:rsidRDefault="00F960B6" w:rsidP="00F960B6">
            <w:pPr>
              <w:pStyle w:val="ListParagraph"/>
              <w:numPr>
                <w:ilvl w:val="0"/>
                <w:numId w:val="6"/>
              </w:numPr>
              <w:spacing w:line="360" w:lineRule="auto"/>
            </w:pPr>
            <w:r w:rsidRPr="00F960B6">
              <w:t>Real-time data analytics and early-warning technology</w:t>
            </w:r>
          </w:p>
          <w:p w14:paraId="53A30A1E" w14:textId="42113F58" w:rsidR="00F960B6" w:rsidRPr="00F960B6" w:rsidRDefault="00F960B6" w:rsidP="00F960B6">
            <w:pPr>
              <w:pStyle w:val="ListParagraph"/>
              <w:numPr>
                <w:ilvl w:val="0"/>
                <w:numId w:val="4"/>
              </w:numPr>
              <w:spacing w:line="360" w:lineRule="auto"/>
            </w:pPr>
            <w:r w:rsidRPr="00F960B6">
              <w:t>Service-user co-production models to rebuild trust (</w:t>
            </w:r>
            <w:proofErr w:type="spellStart"/>
            <w:r w:rsidRPr="00F960B6">
              <w:t>Aryasinghe</w:t>
            </w:r>
            <w:proofErr w:type="spellEnd"/>
            <w:r w:rsidRPr="00F960B6">
              <w:t xml:space="preserve"> </w:t>
            </w:r>
            <w:r w:rsidR="00F75D56" w:rsidRPr="00F75D56">
              <w:rPr>
                <w:i/>
                <w:iCs/>
              </w:rPr>
              <w:t>et al</w:t>
            </w:r>
            <w:r w:rsidRPr="00F960B6">
              <w:t xml:space="preserve">., 2025; Reid </w:t>
            </w:r>
            <w:r w:rsidR="00F75D56" w:rsidRPr="00F75D56">
              <w:rPr>
                <w:i/>
                <w:iCs/>
              </w:rPr>
              <w:t>et al</w:t>
            </w:r>
            <w:r w:rsidRPr="00F960B6">
              <w:t>., 2025)</w:t>
            </w:r>
          </w:p>
        </w:tc>
        <w:tc>
          <w:tcPr>
            <w:tcW w:w="4626" w:type="dxa"/>
            <w:hideMark/>
          </w:tcPr>
          <w:p w14:paraId="7215A59C" w14:textId="5AEAA07B" w:rsidR="00F960B6" w:rsidRDefault="00F960B6" w:rsidP="00F960B6">
            <w:pPr>
              <w:pStyle w:val="ListParagraph"/>
              <w:numPr>
                <w:ilvl w:val="0"/>
                <w:numId w:val="4"/>
              </w:numPr>
              <w:spacing w:line="360" w:lineRule="auto"/>
            </w:pPr>
            <w:r w:rsidRPr="00F960B6">
              <w:t>National midwifery/obstetric workforce shortages</w:t>
            </w:r>
          </w:p>
          <w:p w14:paraId="0D61E8BD" w14:textId="761B7A6D" w:rsidR="00F960B6" w:rsidRDefault="00F960B6" w:rsidP="00F960B6">
            <w:pPr>
              <w:pStyle w:val="ListParagraph"/>
              <w:numPr>
                <w:ilvl w:val="0"/>
                <w:numId w:val="4"/>
              </w:numPr>
              <w:spacing w:line="360" w:lineRule="auto"/>
            </w:pPr>
            <w:r w:rsidRPr="00F960B6">
              <w:t>Intense media and regulatory scrutiny risking further defensiveness (Care Quality Commission, 2025)</w:t>
            </w:r>
          </w:p>
          <w:p w14:paraId="30C802E8" w14:textId="3EDC2595" w:rsidR="00F960B6" w:rsidRPr="00F960B6" w:rsidRDefault="00F960B6" w:rsidP="00F960B6">
            <w:pPr>
              <w:pStyle w:val="ListParagraph"/>
              <w:numPr>
                <w:ilvl w:val="0"/>
                <w:numId w:val="4"/>
              </w:numPr>
              <w:spacing w:line="360" w:lineRule="auto"/>
            </w:pPr>
            <w:r w:rsidRPr="00F960B6">
              <w:t>Reputational damage affecting recruitment and retention</w:t>
            </w:r>
          </w:p>
        </w:tc>
      </w:tr>
    </w:tbl>
    <w:p w14:paraId="786749AD" w14:textId="6F299A2B" w:rsidR="00A42A44" w:rsidRDefault="00A42A44" w:rsidP="00A42A44">
      <w:r>
        <w:t xml:space="preserve">SWOT analysis is a combination of internal strengths and weaknesses of the NUH maternity service together with the external opportunities and threats that influence its potential for development. First of all, a strong national policy framework in form of NHS Patient Safety Strategy that sets out expectations, provides means of improvement and justifies the safety investments is the one among the major strengths (NHS England, 2025). There are many peer-reviewed studies that prove the effectiveness of certain safety measures in maternity, like </w:t>
      </w:r>
      <w:proofErr w:type="spellStart"/>
      <w:r>
        <w:t>TeamSTEPPS</w:t>
      </w:r>
      <w:proofErr w:type="spellEnd"/>
      <w:r>
        <w:t xml:space="preserve"> teamwork training, escalation protocols and co-designed reports (Staines </w:t>
      </w:r>
      <w:r w:rsidR="00F75D56" w:rsidRPr="00F75D56">
        <w:rPr>
          <w:i/>
          <w:iCs/>
        </w:rPr>
        <w:t>et al</w:t>
      </w:r>
      <w:r>
        <w:t xml:space="preserve">., 2020; Ranade </w:t>
      </w:r>
      <w:r w:rsidR="00F75D56" w:rsidRPr="00F75D56">
        <w:rPr>
          <w:i/>
          <w:iCs/>
        </w:rPr>
        <w:t>et al</w:t>
      </w:r>
      <w:r>
        <w:t xml:space="preserve">., 2024; Naz </w:t>
      </w:r>
      <w:r w:rsidR="00F75D56" w:rsidRPr="00F75D56">
        <w:rPr>
          <w:i/>
          <w:iCs/>
        </w:rPr>
        <w:t>et al</w:t>
      </w:r>
      <w:r>
        <w:t>., 2022). Besides, highly committed clinicians continue to provide great care despite difficult situation, thus giving a solid base of professional motivation that can be used for improvement (Foley, McCourt and Yuill, 2025). At last, the fact of huge scale and high visibility of the independent review creates a temporary window of opportunity which can be used if the leadership will act in the right way.</w:t>
      </w:r>
    </w:p>
    <w:p w14:paraId="2D825FFE" w14:textId="5AB4187D" w:rsidR="00A42A44" w:rsidRDefault="00A42A44" w:rsidP="00A42A44">
      <w:r>
        <w:t xml:space="preserve">As far as internal weaknesses are concerned, there are many of them, and they were thoroughly analysed during Donabedian, Fishbone and 5 Whys analysis. These include chronic understaffing, fragmented and reactive governance, defensive culture, irregular escalation of the clinical concerns, lack of psychological safety, and inefficient organizational learning systems (Beecham </w:t>
      </w:r>
      <w:r w:rsidR="00F75D56" w:rsidRPr="00F75D56">
        <w:rPr>
          <w:i/>
          <w:iCs/>
        </w:rPr>
        <w:t>et al</w:t>
      </w:r>
      <w:r>
        <w:t xml:space="preserve">., 2025; </w:t>
      </w:r>
      <w:proofErr w:type="spellStart"/>
      <w:r>
        <w:t>Javornická</w:t>
      </w:r>
      <w:proofErr w:type="spellEnd"/>
      <w:r>
        <w:t xml:space="preserve"> </w:t>
      </w:r>
      <w:r w:rsidR="00F75D56" w:rsidRPr="00F75D56">
        <w:rPr>
          <w:i/>
          <w:iCs/>
        </w:rPr>
        <w:t>et al</w:t>
      </w:r>
      <w:r>
        <w:t xml:space="preserve">., 2025; Hassan </w:t>
      </w:r>
      <w:r w:rsidR="00F75D56" w:rsidRPr="00F75D56">
        <w:rPr>
          <w:i/>
          <w:iCs/>
        </w:rPr>
        <w:t>et al</w:t>
      </w:r>
      <w:r>
        <w:t xml:space="preserve">., 2024). Internal deficiencies are influenced by several external threats. Lack of specialists in midwifery and </w:t>
      </w:r>
      <w:r>
        <w:lastRenderedPageBreak/>
        <w:t>obstetrics makes it impossible to recruit rapidly. High level of media coverage and pressure from regulators can become catalytic or, on the contrary, result in organizational defensiveness if not handled carefully (Care Quality Commission, 2025). Damage to the reputation may negatively affect the recruitment of specialists, thus forming a self-sustaining vicious circle.</w:t>
      </w:r>
    </w:p>
    <w:p w14:paraId="7DA96DB5" w14:textId="243147E5" w:rsidR="00A42A44" w:rsidRDefault="00A42A44" w:rsidP="00A42A44">
      <w:r>
        <w:t xml:space="preserve">However, there are also plenty of external opportunities. The national policy of maternity safety gives rise to new funding streams, training programs and improvement networks that NUH can join (Staines </w:t>
      </w:r>
      <w:r w:rsidR="00F75D56" w:rsidRPr="00F75D56">
        <w:rPr>
          <w:i/>
          <w:iCs/>
        </w:rPr>
        <w:t>et al</w:t>
      </w:r>
      <w:r>
        <w:t xml:space="preserve">., 2020; McGowan </w:t>
      </w:r>
      <w:r w:rsidR="00F75D56" w:rsidRPr="00F75D56">
        <w:rPr>
          <w:i/>
          <w:iCs/>
        </w:rPr>
        <w:t>et al</w:t>
      </w:r>
      <w:r>
        <w:t>., 2024). Technological advances in terms of real-time data analytics and early warning algorithm can provide a technological background for detecting the signs of deterioration. Methodologies of user-driven service design, demonstrated in recent study of Black, African, Caribbean and mixed-Black heritage families and by other studies on service users' experience, provide practical guidance on how to rebuild trust and incorporate lived experience in redesign (</w:t>
      </w:r>
      <w:proofErr w:type="spellStart"/>
      <w:r>
        <w:t>Aryasinghe</w:t>
      </w:r>
      <w:proofErr w:type="spellEnd"/>
      <w:r>
        <w:t xml:space="preserve"> </w:t>
      </w:r>
      <w:r w:rsidR="00F75D56" w:rsidRPr="00F75D56">
        <w:rPr>
          <w:i/>
          <w:iCs/>
        </w:rPr>
        <w:t>et al</w:t>
      </w:r>
      <w:r>
        <w:t xml:space="preserve">., 2025; Reid </w:t>
      </w:r>
      <w:r w:rsidR="00F75D56" w:rsidRPr="00F75D56">
        <w:rPr>
          <w:i/>
          <w:iCs/>
        </w:rPr>
        <w:t>et al</w:t>
      </w:r>
      <w:r>
        <w:t xml:space="preserve">., 2025). Last but not least, the growing international literature on just culture, psychological safety and safety culture metrics gives us a wide range of tried-and-true tools which can be adjusted to local conditions (Hassan </w:t>
      </w:r>
      <w:r w:rsidR="00F75D56" w:rsidRPr="00F75D56">
        <w:rPr>
          <w:i/>
          <w:iCs/>
        </w:rPr>
        <w:t>et al</w:t>
      </w:r>
      <w:r>
        <w:t xml:space="preserve">., 2024; Aires-Moreno </w:t>
      </w:r>
      <w:r w:rsidR="00F75D56" w:rsidRPr="00F75D56">
        <w:rPr>
          <w:i/>
          <w:iCs/>
        </w:rPr>
        <w:t>et al</w:t>
      </w:r>
      <w:r>
        <w:t>., 2025; Titi, Baksh and Al-Hussein, 2021).</w:t>
      </w:r>
    </w:p>
    <w:p w14:paraId="22DB3FAE" w14:textId="77777777" w:rsidR="00FC35EE" w:rsidRDefault="00000000">
      <w:pPr>
        <w:pStyle w:val="Heading1"/>
      </w:pPr>
      <w:bookmarkStart w:id="5" w:name="_Toc235778819"/>
      <w:r>
        <w:t>3. Recommendations and Implementation Strategy</w:t>
      </w:r>
      <w:bookmarkEnd w:id="5"/>
    </w:p>
    <w:p w14:paraId="6FD80802" w14:textId="0A977618" w:rsidR="00A42A44" w:rsidRDefault="00A42A44" w:rsidP="00A42A44">
      <w:r w:rsidRPr="00A42A44">
        <w:t>The diagnosis carried out in Section 2 results in five intertwined recommendations. Each recommendation is tied directly to one or more causes discovered through analysis and is supported by an implementation strategy that includes iterative use of PDSA cycles and Lean philosophy as well as some Six Sigma tools. The recommended steps are intended to be implemented simultaneously, not sequentially, since they support each other.</w:t>
      </w:r>
    </w:p>
    <w:p w14:paraId="785F3E8D" w14:textId="77777777" w:rsidR="00FC35EE" w:rsidRDefault="00000000">
      <w:pPr>
        <w:pStyle w:val="Heading3"/>
      </w:pPr>
      <w:bookmarkStart w:id="6" w:name="_Toc235778820"/>
      <w:r>
        <w:t>Recommendation 1: Strengthen incident reporting and organisational learning systems</w:t>
      </w:r>
      <w:bookmarkEnd w:id="6"/>
    </w:p>
    <w:p w14:paraId="5CC68A1D" w14:textId="46F75630" w:rsidR="00A42A44" w:rsidRDefault="00A42A44" w:rsidP="00A42A44">
      <w:r w:rsidRPr="00A42A44">
        <w:t xml:space="preserve">A non-punitive, psychologically-safe and user-friendly reporting process needs to be implemented, promoted and seen to be acted upon (Beecham </w:t>
      </w:r>
      <w:r w:rsidR="00F75D56" w:rsidRPr="00F75D56">
        <w:rPr>
          <w:i/>
          <w:iCs/>
        </w:rPr>
        <w:t>et al</w:t>
      </w:r>
      <w:r w:rsidRPr="00A42A44">
        <w:t xml:space="preserve">., 2025; Hassan </w:t>
      </w:r>
      <w:r w:rsidR="00F75D56" w:rsidRPr="00F75D56">
        <w:rPr>
          <w:i/>
          <w:iCs/>
        </w:rPr>
        <w:t>et al</w:t>
      </w:r>
      <w:r w:rsidRPr="00A42A44">
        <w:t xml:space="preserve">., 2024; Fekadu </w:t>
      </w:r>
      <w:r w:rsidR="00F75D56" w:rsidRPr="00F75D56">
        <w:rPr>
          <w:i/>
          <w:iCs/>
        </w:rPr>
        <w:t>et al</w:t>
      </w:r>
      <w:r w:rsidRPr="00A42A44">
        <w:t xml:space="preserve">., 2025). This requires the implementation to begin with a well-structured PDSA cycle. The planning part involves creating the reporting form alongside midwives, obstetricians and patient representatives with minimal required fields and focus on the story of the incident in question. The doing part involves piloting the reporting form in two different geographical wards for four to six weeks. The study involves analysis of reporting rates, time to report, feedback from users, and the quality of narrative data collected through the process. The act step involves further improvement of the form and implementation across all units in the trust, </w:t>
      </w:r>
      <w:r w:rsidRPr="00A42A44">
        <w:lastRenderedPageBreak/>
        <w:t xml:space="preserve">with leadership support and immediate feedback on lessons to reporters. This is done by applying lean methodology to reduce any non-value adding steps in the reporting and review process and use of basic six sigma technique of control charts to determine reporting rates over time and identify special from common cause variations (Kumari </w:t>
      </w:r>
      <w:r w:rsidR="00F75D56" w:rsidRPr="00F75D56">
        <w:rPr>
          <w:i/>
          <w:iCs/>
        </w:rPr>
        <w:t>et al</w:t>
      </w:r>
      <w:r w:rsidRPr="00A42A44">
        <w:t xml:space="preserve">., 2023; Ranade </w:t>
      </w:r>
      <w:r w:rsidR="00F75D56" w:rsidRPr="00F75D56">
        <w:rPr>
          <w:i/>
          <w:iCs/>
        </w:rPr>
        <w:t>et al</w:t>
      </w:r>
      <w:r w:rsidRPr="00A42A44">
        <w:t>., 2024).</w:t>
      </w:r>
    </w:p>
    <w:p w14:paraId="1D0251D4" w14:textId="77777777" w:rsidR="00FC35EE" w:rsidRDefault="00000000">
      <w:pPr>
        <w:pStyle w:val="Heading3"/>
      </w:pPr>
      <w:bookmarkStart w:id="7" w:name="_Toc235778821"/>
      <w:r>
        <w:t>Recommendation 2: Restore safe staffing levels and appropriate skill mix</w:t>
      </w:r>
      <w:bookmarkEnd w:id="7"/>
    </w:p>
    <w:p w14:paraId="7B87B97A" w14:textId="676A1DB2" w:rsidR="00A42A44" w:rsidRDefault="00A42A44" w:rsidP="00A42A44">
      <w:r w:rsidRPr="00A42A44">
        <w:t xml:space="preserve">Workforce shortages make up a core root cause structure of many of the process failures witnessed. Consequently, an incremental yet bold recruitment, retention, and workforce development strategy, guided by validated acuity-based staffing techniques, is needed (Care Quality Commission, 2025). PDSA cycles can be implemented in testing new rosters, induction periods for new graduates without any patient responsibilities, and retention initiatives. Lean value stream mapping of the whole recruitment process can determine delays in the process that increase vacancy time. The Six Sigma DMAIC (Define-Measure-Analyse-Improve-Control) model can be utilized in reducing the vacancy rate, in a systematic and data-informed approach. Simultaneously, investments in professional development and simulation-based learning will counterbalance skill mix problems and ensure competency in the team (Haskins and Roets, 2022; Liberati </w:t>
      </w:r>
      <w:r w:rsidR="00F75D56" w:rsidRPr="00F75D56">
        <w:rPr>
          <w:i/>
          <w:iCs/>
        </w:rPr>
        <w:t>et al</w:t>
      </w:r>
      <w:r w:rsidRPr="00A42A44">
        <w:t>., 2021).</w:t>
      </w:r>
    </w:p>
    <w:p w14:paraId="03FA334E" w14:textId="77777777" w:rsidR="00FC35EE" w:rsidRDefault="00000000">
      <w:pPr>
        <w:pStyle w:val="Heading3"/>
      </w:pPr>
      <w:bookmarkStart w:id="8" w:name="_Toc235778822"/>
      <w:r>
        <w:t>Recommendation 3: Cultivate a psychologically safe and just culture</w:t>
      </w:r>
      <w:bookmarkEnd w:id="8"/>
    </w:p>
    <w:p w14:paraId="48594675" w14:textId="47EA8F5D" w:rsidR="00A42A44" w:rsidRDefault="00A42A44" w:rsidP="00A42A44">
      <w:r w:rsidRPr="00A42A44">
        <w:t xml:space="preserve">Psychological safety is an absolute necessity in order to speak up, to report events accurately and for learning to take place in an organization (Mackintosh </w:t>
      </w:r>
      <w:r w:rsidR="00F75D56" w:rsidRPr="00F75D56">
        <w:rPr>
          <w:i/>
          <w:iCs/>
        </w:rPr>
        <w:t>et al</w:t>
      </w:r>
      <w:r w:rsidRPr="00A42A44">
        <w:t xml:space="preserve">., 2025; Liberati </w:t>
      </w:r>
      <w:r w:rsidR="00F75D56" w:rsidRPr="00F75D56">
        <w:rPr>
          <w:i/>
          <w:iCs/>
        </w:rPr>
        <w:t>et al</w:t>
      </w:r>
      <w:r w:rsidRPr="00A42A44">
        <w:t xml:space="preserve">., 2021; Brás, Ferreira and Figueiredo, 2023). Leadership training initiatives based on the </w:t>
      </w:r>
      <w:proofErr w:type="spellStart"/>
      <w:r w:rsidRPr="00A42A44">
        <w:t>TeamSTEPPS</w:t>
      </w:r>
      <w:proofErr w:type="spellEnd"/>
      <w:r w:rsidRPr="00A42A44">
        <w:t xml:space="preserve"> framework have been able to produce demonstrable gains in the safety culture scores in maternity care environments (Staines </w:t>
      </w:r>
      <w:r w:rsidR="00F75D56" w:rsidRPr="00F75D56">
        <w:rPr>
          <w:i/>
          <w:iCs/>
        </w:rPr>
        <w:t>et al</w:t>
      </w:r>
      <w:r w:rsidRPr="00A42A44">
        <w:t xml:space="preserve">., 2020). PDSA cycles can help develop and fine-tune the process of conducting structured safety huddles, daily safety briefings, after-action reviews and speaking up channels. This can be quantitatively measured using valid safety culture surveys at </w:t>
      </w:r>
      <w:proofErr w:type="gramStart"/>
      <w:r w:rsidRPr="00A42A44">
        <w:t>six month</w:t>
      </w:r>
      <w:proofErr w:type="gramEnd"/>
      <w:r w:rsidRPr="00A42A44">
        <w:t xml:space="preserve"> intervals in addition to qualitatively measured through staff interviews conducted confidentially (Titi, Baksh and Al-Hussein, 2021; Aires-Moreno </w:t>
      </w:r>
      <w:r w:rsidR="00F75D56" w:rsidRPr="00F75D56">
        <w:rPr>
          <w:i/>
          <w:iCs/>
        </w:rPr>
        <w:t>et al</w:t>
      </w:r>
      <w:r w:rsidRPr="00A42A44">
        <w:t>., 2025). Board-level support for a just culture policy will be critical in maintaining trust.</w:t>
      </w:r>
    </w:p>
    <w:p w14:paraId="76CFF3DA" w14:textId="77777777" w:rsidR="00FC35EE" w:rsidRDefault="00000000">
      <w:pPr>
        <w:pStyle w:val="Heading3"/>
      </w:pPr>
      <w:bookmarkStart w:id="9" w:name="_Toc235778823"/>
      <w:r>
        <w:t>Recommendation 4: Redesign escalation and early-warning processes</w:t>
      </w:r>
      <w:bookmarkEnd w:id="9"/>
    </w:p>
    <w:p w14:paraId="27966A86" w14:textId="43E5BB9B" w:rsidR="00A42A44" w:rsidRDefault="00A42A44" w:rsidP="00A42A44">
      <w:r w:rsidRPr="00A42A44">
        <w:t xml:space="preserve">Process errors in the identification and escalation of deteriorating patients may be prevented by using a set of standardised early-warning tools in obstetric care, simulations and data dashboards. With the PDSA methodology, modified early warning scores and communication </w:t>
      </w:r>
      <w:r w:rsidRPr="00A42A44">
        <w:lastRenderedPageBreak/>
        <w:t xml:space="preserve">protocols like the SBAR (Situation-Background-Assessment-Recommendation) protocol can be tested fast and without risks (Naz </w:t>
      </w:r>
      <w:r w:rsidR="00F75D56" w:rsidRPr="00F75D56">
        <w:rPr>
          <w:i/>
          <w:iCs/>
        </w:rPr>
        <w:t>et al</w:t>
      </w:r>
      <w:r w:rsidRPr="00A42A44">
        <w:t>., 2022). The use of Lean waste reduction methods would help reduce unnecessary documentation processes, thus allowing clinicians to have more time for observations and communications. The use of Six Sigma methodology for process capability analysis could be applied for measuring the performance of the escalation pathway before and after improvements.</w:t>
      </w:r>
    </w:p>
    <w:p w14:paraId="5C15E394" w14:textId="77777777" w:rsidR="00FC35EE" w:rsidRDefault="00000000">
      <w:pPr>
        <w:pStyle w:val="Heading3"/>
      </w:pPr>
      <w:bookmarkStart w:id="10" w:name="_Toc235778824"/>
      <w:r>
        <w:t>Recommendation 5: Embed continuous benchmarking and robust board-level accountability</w:t>
      </w:r>
      <w:bookmarkEnd w:id="10"/>
    </w:p>
    <w:p w14:paraId="01A780A2" w14:textId="0CE047C5" w:rsidR="00A42A44" w:rsidRDefault="00A42A44" w:rsidP="00A42A44">
      <w:r>
        <w:t xml:space="preserve">Deficiencies in governance should be addressed through the implementation of a robust set of safety measures that are regularly and carefully reviewed at board level (NHS England, 2025; McGowan </w:t>
      </w:r>
      <w:r w:rsidR="00F75D56" w:rsidRPr="00F75D56">
        <w:rPr>
          <w:i/>
          <w:iCs/>
        </w:rPr>
        <w:t>et al</w:t>
      </w:r>
      <w:r>
        <w:t>., 2024). Comparison to national standards and the performance of well-performing maternity units will provide not only aspiration but also warning of decline. A standing quality improvement subcommittee of the board, backed up by a small group of analytical staff, should oversee the development and implementation of the measurement system so that data would inform action. PDSA cycles can be used to continuously develop the dashboard until its positive impact on safety is evident. Service user involvement in the subcommittee will help improve accountability (</w:t>
      </w:r>
      <w:proofErr w:type="spellStart"/>
      <w:r>
        <w:t>Aryasinghe</w:t>
      </w:r>
      <w:proofErr w:type="spellEnd"/>
      <w:r>
        <w:t xml:space="preserve"> </w:t>
      </w:r>
      <w:r w:rsidR="00F75D56" w:rsidRPr="00F75D56">
        <w:rPr>
          <w:i/>
          <w:iCs/>
        </w:rPr>
        <w:t>et al</w:t>
      </w:r>
      <w:r>
        <w:t xml:space="preserve">., 2025; Reid </w:t>
      </w:r>
      <w:r w:rsidR="00F75D56" w:rsidRPr="00F75D56">
        <w:rPr>
          <w:i/>
          <w:iCs/>
        </w:rPr>
        <w:t>et al</w:t>
      </w:r>
      <w:r>
        <w:t>., 2025).</w:t>
      </w:r>
    </w:p>
    <w:p w14:paraId="06D252B6" w14:textId="7244560B" w:rsidR="00A42A44" w:rsidRDefault="00A42A44" w:rsidP="00A42A44">
      <w:r>
        <w:t xml:space="preserve">Taken altogether, all five recommendations are part of a comprehensive improvement program rather than a number of separate projects. Order of implementation and dependencies are crucial: cultural and reporting initiatives should be implemented in parallel with staff resourcing while process and measurement are the feedback mechanisms needed to ensure continuous improvement. Overall evaluation of the program should be conducted after 12 and 24 months through mixed methods that will include safety and cultural measures as well as staff and service user experiences (Reid </w:t>
      </w:r>
      <w:r w:rsidR="00F75D56" w:rsidRPr="00F75D56">
        <w:rPr>
          <w:i/>
          <w:iCs/>
        </w:rPr>
        <w:t>et al</w:t>
      </w:r>
      <w:r>
        <w:t xml:space="preserve">., 2025; </w:t>
      </w:r>
      <w:proofErr w:type="spellStart"/>
      <w:r>
        <w:t>Javornická</w:t>
      </w:r>
      <w:proofErr w:type="spellEnd"/>
      <w:r>
        <w:t xml:space="preserve"> </w:t>
      </w:r>
      <w:r w:rsidR="00F75D56" w:rsidRPr="00F75D56">
        <w:rPr>
          <w:i/>
          <w:iCs/>
        </w:rPr>
        <w:t>et al</w:t>
      </w:r>
      <w:r>
        <w:t>., 2025; Foley, McCourt and Yuill, 2025).</w:t>
      </w:r>
    </w:p>
    <w:p w14:paraId="190F545B" w14:textId="77777777" w:rsidR="00FC35EE" w:rsidRDefault="00000000">
      <w:pPr>
        <w:pStyle w:val="Heading1"/>
      </w:pPr>
      <w:bookmarkStart w:id="11" w:name="_Toc235778825"/>
      <w:r>
        <w:t>4. Conclusion</w:t>
      </w:r>
      <w:bookmarkEnd w:id="11"/>
    </w:p>
    <w:p w14:paraId="165C346E" w14:textId="77777777" w:rsidR="00323FDB" w:rsidRDefault="00323FDB" w:rsidP="00323FDB">
      <w:r>
        <w:t xml:space="preserve">The Nottingham University Hospitals maternity services inquiry has exposed an exceptionally deep and multi-faceted failure of patient safety, clinical governance, and organizational learning. A structured utilization of the Donabedian structure-process-outcome framework has shown that the structural problems with staffing, governance, and facilities led to the poor processes of care that resulted in preventable injuries to patients and irreversible damage to the </w:t>
      </w:r>
      <w:r>
        <w:lastRenderedPageBreak/>
        <w:t>hospital's reputation. In addition, the Fishbone and 5 Whys analyses have identified deeper cultural, leadership, and policy issues behind the failure of the process elements, whereas the SWOT analysis revealed the scale of the problems in question and the possible opportunities for recovery due to existing external policy and evidence bases.</w:t>
      </w:r>
    </w:p>
    <w:p w14:paraId="6A5423EB" w14:textId="77777777" w:rsidR="00323FDB" w:rsidRDefault="00323FDB" w:rsidP="00323FDB">
      <w:r>
        <w:t>The five improvements suggested in the present report – enhanced incident reporting and learning, restoration of proper staffing and skill-mix levels, creation of psychological safety and a just culture, redesign of the process of escalation and early warning, and introduction of continuous benchmarking along with accountability of the management board – aim at solving the root causes that have been identified in the course of analysis. These recommendations are implemented through iterative PDSA cycles, the use of Lean techniques of elimination of wastes, and certain Six Sigma tools. Their successful execution would be ensured by long-term board-level commitment, sufficient funding, and effective collaboration with frontline staff and service users.</w:t>
      </w:r>
    </w:p>
    <w:p w14:paraId="6F953DC3" w14:textId="38F2E4E9" w:rsidR="00FC35EE" w:rsidRDefault="00323FDB" w:rsidP="00323FDB">
      <w:r>
        <w:t>If implemented faithfully and consistently, the proposed quality improvement programme could provide a realistic way for attaining the safer environment for women in Nottingham and elsewhere within the NHS in England. The lessons learned from the NUH case are applicable beyond Nottingham itself; they pertain to the systematic problems in maternity services previously discovered in East Kent, Shrewsbury and Telford, and other places. Improvement of maternity safety ultimately depends on the ability of health organizations to listen, learn, and redesign their operations based on patient needs and safety.</w:t>
      </w:r>
      <w:r>
        <w:br w:type="page"/>
      </w:r>
    </w:p>
    <w:p w14:paraId="4B6F5933" w14:textId="77777777" w:rsidR="00FC35EE" w:rsidRDefault="00000000">
      <w:pPr>
        <w:pStyle w:val="Heading1"/>
      </w:pPr>
      <w:bookmarkStart w:id="12" w:name="_Toc235778826"/>
      <w:r>
        <w:lastRenderedPageBreak/>
        <w:t>5. References</w:t>
      </w:r>
      <w:bookmarkEnd w:id="12"/>
    </w:p>
    <w:p w14:paraId="09BDE102" w14:textId="77777777" w:rsidR="00FC35EE" w:rsidRDefault="00000000">
      <w:pPr>
        <w:spacing w:after="200"/>
      </w:pPr>
      <w:r>
        <w:t xml:space="preserve">Aires-Moreno, G.T., Marques, L.G., Ramos, S.F., de Castro Araújo-Neto, F., Silva, R.D.O.S., Fernandes, B.D., dos Santos Alcântara, T., Mesquita, A.R., </w:t>
      </w:r>
      <w:proofErr w:type="spellStart"/>
      <w:r>
        <w:t>Chemello</w:t>
      </w:r>
      <w:proofErr w:type="spellEnd"/>
      <w:r>
        <w:t>, C. and Lyra Jr, D. (2025) ‘Improving patient safety culture in hospitals: a scoping review’, Research in Social and Administrative Pharmacy, 21(10), pp. 765–783. Available at: https://www.sciencedirect.com/science/article/abs/pii/S1551741125002530 (Accessed: 23 July 2026).</w:t>
      </w:r>
    </w:p>
    <w:p w14:paraId="546DB748" w14:textId="77777777" w:rsidR="00FC35EE" w:rsidRDefault="00000000">
      <w:pPr>
        <w:spacing w:after="200"/>
      </w:pPr>
      <w:proofErr w:type="spellStart"/>
      <w:r>
        <w:t>Aryasinghe</w:t>
      </w:r>
      <w:proofErr w:type="spellEnd"/>
      <w:r>
        <w:t>, S., Averill, P., Waithe, C., Ibuanokpe, S., Newby-Mayers, R., Lakhdar, N., Amine Sylla, M., Cox, E., Das, S. and Mayer, E. (2025) ‘Improving the maternity experience for Black, African, Caribbean and mixed-Black families in an integrated care system: a multigroup community and interprofessional co-production prioritisation exercise using nominal group technique’, BMJ Quality &amp; Safety, 34(5), pp. 305–316. Available at: https://qualitysafety.bmj.com/content/34/5/305 (Accessed: 23 July 2026).</w:t>
      </w:r>
    </w:p>
    <w:p w14:paraId="101D2FC8" w14:textId="77777777" w:rsidR="00FC35EE" w:rsidRDefault="00000000">
      <w:pPr>
        <w:spacing w:after="200"/>
      </w:pPr>
      <w:r>
        <w:t xml:space="preserve">Beecham, E., Brady, G., Iqbal, S., Fatima, Q., Arshad, S., </w:t>
      </w:r>
      <w:proofErr w:type="spellStart"/>
      <w:r>
        <w:t>Bondaronek</w:t>
      </w:r>
      <w:proofErr w:type="spellEnd"/>
      <w:r>
        <w:t xml:space="preserve">, P., O’Carroll, J., Glaser, S., </w:t>
      </w:r>
      <w:proofErr w:type="spellStart"/>
      <w:r>
        <w:t>Siassakos</w:t>
      </w:r>
      <w:proofErr w:type="spellEnd"/>
      <w:r>
        <w:t>, D., Gilchrist, K. and Dorey, J. (2025) ‘Systematic review of patient safety incident reporting practices in maternity care’, BMJ Open Quality, 14(4), e003432. Available at: https://bmjopenquality.bmj.com/content/bmjqir/14/4/e003432.full.pdf (Accessed: 9 June 2026).</w:t>
      </w:r>
    </w:p>
    <w:p w14:paraId="4ABED157" w14:textId="77777777" w:rsidR="00FC35EE" w:rsidRDefault="00000000">
      <w:pPr>
        <w:spacing w:after="200"/>
      </w:pPr>
      <w:r>
        <w:t xml:space="preserve">Brás, C.P.C., Ferreira, M.M.C. and Figueiredo, M.C.A.B. (2023) ‘Safety culture in obstetric nurses’ clinical practice’, </w:t>
      </w:r>
      <w:proofErr w:type="spellStart"/>
      <w:r>
        <w:t>Texto</w:t>
      </w:r>
      <w:proofErr w:type="spellEnd"/>
      <w:r>
        <w:t xml:space="preserve"> &amp; </w:t>
      </w:r>
      <w:proofErr w:type="spellStart"/>
      <w:r>
        <w:t>Contexto</w:t>
      </w:r>
      <w:proofErr w:type="spellEnd"/>
      <w:r>
        <w:t xml:space="preserve"> – Enfermagem, 32, e20220285. Available at: https://www.scielo.br/j/tce/a/GYNKcL7F3YWydpnmLFJsMrn/?lang=en (Accessed: 23 July 2026).</w:t>
      </w:r>
    </w:p>
    <w:p w14:paraId="1571CD9A" w14:textId="77777777" w:rsidR="00FC35EE" w:rsidRDefault="00000000">
      <w:pPr>
        <w:spacing w:after="200"/>
      </w:pPr>
      <w:r>
        <w:t>Care Quality Commission (2025) The state of health care and adult social care in England 2024/25. London: CQC. Available at: https://www.cqc.org.uk/publications/major-report/state-care (Accessed: 9 June 2026).</w:t>
      </w:r>
    </w:p>
    <w:p w14:paraId="49E93C00" w14:textId="77777777" w:rsidR="00FC35EE" w:rsidRDefault="00000000">
      <w:pPr>
        <w:spacing w:after="200"/>
      </w:pPr>
      <w:r>
        <w:t>Dixon-Woods, M. (2022) ‘Learning from maternity service failures at East Kent Hospitals’, BMJ, 379, o2755. Available at: https://www.bmj.com/content/379/bmj.o2755.full (Accessed: 9 June 2026).</w:t>
      </w:r>
    </w:p>
    <w:p w14:paraId="13AFA88A" w14:textId="77777777" w:rsidR="00FC35EE" w:rsidRDefault="00000000">
      <w:pPr>
        <w:spacing w:after="200"/>
      </w:pPr>
      <w:r>
        <w:t xml:space="preserve">Fekadu, G., Muir, R., Tobiano, G., </w:t>
      </w:r>
      <w:proofErr w:type="spellStart"/>
      <w:r>
        <w:t>Bime</w:t>
      </w:r>
      <w:proofErr w:type="spellEnd"/>
      <w:r>
        <w:t xml:space="preserve">, A.E., Ireland, M.J. and Marshall, A.P. (2025) ‘Patient safety culture in resource-limited healthcare settings: a multicentre survey’, </w:t>
      </w:r>
      <w:proofErr w:type="spellStart"/>
      <w:r>
        <w:t>PLoS</w:t>
      </w:r>
      <w:proofErr w:type="spellEnd"/>
      <w:r>
        <w:t xml:space="preserve"> ONE, 20(6), </w:t>
      </w:r>
      <w:r>
        <w:lastRenderedPageBreak/>
        <w:t>e0326320. Available at: https://journals.plos.org/plosone/article?id=10.1371/journal.pone.0326320 (Accessed: 23 July 2026).</w:t>
      </w:r>
    </w:p>
    <w:p w14:paraId="54E1761F" w14:textId="77777777" w:rsidR="00FC35EE" w:rsidRDefault="00000000">
      <w:pPr>
        <w:spacing w:after="200"/>
      </w:pPr>
      <w:r>
        <w:t>Foley, C., McCourt, C. and Yuill, C. (2025) ‘An exploration of midwives’ perceptions of the Ockenden review: a qualitative study’, Sexual &amp; Reproductive Healthcare, 46, 101166. Available at: https://www.sciencedirect.com/science/article/pii/S1877575625001041 (Accessed: 9 June 2026).</w:t>
      </w:r>
    </w:p>
    <w:p w14:paraId="687D61BF" w14:textId="77777777" w:rsidR="00FC35EE" w:rsidRDefault="00000000">
      <w:pPr>
        <w:spacing w:after="200"/>
      </w:pPr>
      <w:r>
        <w:t xml:space="preserve">Haskins, H.E. and Roets, L. (2022) ‘Nurse leadership: Sustaining a culture of safety’, Health SA </w:t>
      </w:r>
      <w:proofErr w:type="spellStart"/>
      <w:r>
        <w:t>Gesondheid</w:t>
      </w:r>
      <w:proofErr w:type="spellEnd"/>
      <w:r>
        <w:t>, 27, a2009. Available at: https://www.scielo.org.za/pdf/hsa/v27/48.pdf (Accessed: 9 June 2026).</w:t>
      </w:r>
    </w:p>
    <w:p w14:paraId="2D1BB81A" w14:textId="77777777" w:rsidR="00FC35EE" w:rsidRDefault="00000000">
      <w:pPr>
        <w:spacing w:after="200"/>
      </w:pPr>
      <w:r>
        <w:t>Hassan, N.A.H., Rahman, H.A., Knights, J., Hashim, S., Sharbini, S. and Abdul-Mumin, K.H. (2024) ‘Cultivating patient safety culture in midwifery practices through incident reporting’, British Journal of Midwifery, 32(7), pp. 388–394. Available at: https://www.magonlinelibrary.com/doi/abs/10.12968/bjom.2024.32.7.388 (Accessed: 23 July 2026).</w:t>
      </w:r>
    </w:p>
    <w:p w14:paraId="1B727D83" w14:textId="77777777" w:rsidR="00FC35EE" w:rsidRDefault="00000000">
      <w:pPr>
        <w:spacing w:after="200"/>
      </w:pPr>
      <w:r>
        <w:t>Iacobucci, G. (2023) ‘Inquiry into maternity failings at Nottingham trust expands’, BMJ, 382, p.1598. Available at: https://www.bmj.com/content/382/bmj.p1598.full (Accessed: 9 June 2026).</w:t>
      </w:r>
    </w:p>
    <w:p w14:paraId="1245C9AF" w14:textId="77777777" w:rsidR="00FC35EE" w:rsidRDefault="00000000">
      <w:pPr>
        <w:spacing w:after="200"/>
      </w:pPr>
      <w:proofErr w:type="spellStart"/>
      <w:r>
        <w:t>Javornická</w:t>
      </w:r>
      <w:proofErr w:type="spellEnd"/>
      <w:r>
        <w:t xml:space="preserve">, D., Folkvord, S.M.E., </w:t>
      </w:r>
      <w:proofErr w:type="spellStart"/>
      <w:r>
        <w:t>Jaeken</w:t>
      </w:r>
      <w:proofErr w:type="spellEnd"/>
      <w:r>
        <w:t xml:space="preserve">, A., </w:t>
      </w:r>
      <w:proofErr w:type="spellStart"/>
      <w:r>
        <w:t>Krčméryová</w:t>
      </w:r>
      <w:proofErr w:type="spellEnd"/>
      <w:r>
        <w:t xml:space="preserve">, T., </w:t>
      </w:r>
      <w:proofErr w:type="spellStart"/>
      <w:r>
        <w:t>Kisvetrová</w:t>
      </w:r>
      <w:proofErr w:type="spellEnd"/>
      <w:r>
        <w:t>, H. and Steen, M. (2025) ‘Exploring safety aspects of maternity care through the lens of midwifery students’ clinical experiences in Belgium, Czech Republic, Estonia, Norway, Slovakia: a qualitative study’, BMC Nursing, 24(1), 766. Available at: https://link.springer.com/article/10.1186/s12912-025-03296-2 (Accessed: 23 July 2026).</w:t>
      </w:r>
    </w:p>
    <w:p w14:paraId="1A56EFCE" w14:textId="77777777" w:rsidR="00FC35EE" w:rsidRDefault="00000000">
      <w:pPr>
        <w:spacing w:after="200"/>
      </w:pPr>
      <w:r>
        <w:t>Karp, C., Edwards, E.M. and Tappis, H. (2024) ‘Quality improvement in maternal and reproductive health services’, BMC Pregnancy and Childbirth, 24(1), 21. Available at: https://link.springer.com/article/10.1186/s12884-023-06207-y (Accessed: 23 July 2026).</w:t>
      </w:r>
    </w:p>
    <w:p w14:paraId="143A7247" w14:textId="77777777" w:rsidR="00FC35EE" w:rsidRDefault="00000000">
      <w:pPr>
        <w:spacing w:after="200"/>
      </w:pPr>
      <w:r>
        <w:t xml:space="preserve">Kirkup, B. (2022) Maternity and neonatal services in East Kent: ‘Reading the </w:t>
      </w:r>
      <w:proofErr w:type="gramStart"/>
      <w:r>
        <w:t>signals’</w:t>
      </w:r>
      <w:proofErr w:type="gramEnd"/>
      <w:r>
        <w:t>. London: Department of Health and Social Care. Available at: https://assets.publishing.service.gov.uk/media/61f2d6e9e90e0703769a9f1a/Reading_the_sign</w:t>
      </w:r>
      <w:r>
        <w:lastRenderedPageBreak/>
        <w:t>als_maternity_and_neonatal_services_in_East_Kent_the_report_of_the_independent_investigation.pdf (Accessed: 9 June 2026).</w:t>
      </w:r>
    </w:p>
    <w:p w14:paraId="213EC95D" w14:textId="77777777" w:rsidR="00FC35EE" w:rsidRDefault="00000000">
      <w:pPr>
        <w:spacing w:after="200"/>
      </w:pPr>
      <w:r>
        <w:t>Kumari, P., Singh, M., Sinha, S., Ranjan, R., Sharma, P., Maitra, C. and Bansal, S. (2023) ‘Observation of a quality improvement initiative to contextually adapt and use Robson classification in real time to collect data around CS delivery and to develop strategies to reduce CS rate’, BMJ Open Quality, 12(Suppl 3). Available at: https://pmc.ncbi.nlm.nih.gov/articles/PMC10603507/ (Accessed: 23 July 2026).</w:t>
      </w:r>
    </w:p>
    <w:p w14:paraId="00BFB7C6" w14:textId="77777777" w:rsidR="00FC35EE" w:rsidRDefault="00000000">
      <w:pPr>
        <w:spacing w:after="200"/>
      </w:pPr>
      <w:r>
        <w:t>Liberati, E.G., Tarrant, C., Willars, J., Draycott, T., Winter, C., Kuberska, K., Paton, A., Marjanovic, S., Leach, B., Lichten, C., Hocking, L., Ball, S. and Dixon-Woods, M. (2021) ‘Seven features of safety in maternity units: a framework based on multisite ethnography and stakeholder consultation’, BMJ Quality &amp; Safety, 30(6), pp. 444–454. Available at: https://qualitysafety.bmj.com/content/30/6/444 (Accessed: 23 July 2026).</w:t>
      </w:r>
    </w:p>
    <w:p w14:paraId="55F9E93D" w14:textId="77777777" w:rsidR="00FC35EE" w:rsidRDefault="00000000">
      <w:pPr>
        <w:spacing w:after="200"/>
      </w:pPr>
      <w:r>
        <w:t>Mackintosh, N., Chew, S., Duncan, P., Hill, M., Kelly, T., Sutton, L., Willars, J. and Tarrant, C. (2025) ‘Working to support cultures of safety in maternity and neonatal services: a qualitative interview study with service leaders and unit/safety leads’, Midwifery, 145, 104179. Available at: https://www.sciencedirect.com/science/article/pii/S0266613825001792 (Accessed: 23 July 2026).</w:t>
      </w:r>
    </w:p>
    <w:p w14:paraId="6F75BFD8" w14:textId="77777777" w:rsidR="00FC35EE" w:rsidRDefault="00000000">
      <w:pPr>
        <w:spacing w:after="200"/>
      </w:pPr>
      <w:r>
        <w:t>McGowan, J., Attal, B., Kuhn, I., Hinton, L., Draycott, T., Martin, G.P. and Dixon-Woods, M. (2024) ‘Quality and reporting of large-scale improvement programmes: a review of maternity initiatives in the English NHS, 2010–2023’, BMJ Quality &amp; Safety, 33(11), pp. 704–715. Available at: https://qualitysafety.bmj.com/content/33/11/704 (Accessed: 23 July 2026).</w:t>
      </w:r>
    </w:p>
    <w:p w14:paraId="134DC259" w14:textId="77777777" w:rsidR="00FC35EE" w:rsidRDefault="00000000">
      <w:pPr>
        <w:spacing w:after="200"/>
      </w:pPr>
      <w:r>
        <w:t>Naz, S., Saleem, S., Islam, Z., Bano, A. and Zaidi, S. (2022) ‘Obstetric triage improvement process using the Donabedian model of quality care: a quality improvement initiative’, BMJ Open Quality, 11(2), e001483. Available at: https://bmjopenquality.bmj.com/content/11/2/e001483 (Accessed: 23 July 2026).</w:t>
      </w:r>
    </w:p>
    <w:p w14:paraId="292593FE" w14:textId="77777777" w:rsidR="00FC35EE" w:rsidRDefault="00000000">
      <w:pPr>
        <w:spacing w:after="200"/>
      </w:pPr>
      <w:r>
        <w:t>NHS England (2023) Terms of reference: Independent maternity review – Nottingham University Hospitals NHS Trust. Available at: https://www.england.nhs.uk/midlands/about/independent-maternity-review-into-nottingham-university-hospitals-nhs-trust/ (Accessed: 9 June 2026).</w:t>
      </w:r>
    </w:p>
    <w:p w14:paraId="21AB51F0" w14:textId="77777777" w:rsidR="00FC35EE" w:rsidRDefault="00000000">
      <w:pPr>
        <w:spacing w:after="200"/>
      </w:pPr>
      <w:r>
        <w:lastRenderedPageBreak/>
        <w:t>NHS England (2025) NHS Patient Safety Strategy: Progress and priorities. Available at: https://www.england.nhs.uk/patient-safety/the-nhs-patient-safety-strategy/ (Accessed: 9 June 2026).</w:t>
      </w:r>
    </w:p>
    <w:p w14:paraId="447335C9" w14:textId="77777777" w:rsidR="00FC35EE" w:rsidRDefault="00000000">
      <w:pPr>
        <w:spacing w:after="200"/>
      </w:pPr>
      <w:r>
        <w:t>Ockenden, D. (2022) Final report of the independent review of maternity services at the Shrewsbury and Telford Hospital NHS Trust. London: Department of Health and Social Care. Available at: https://www.gov.uk/government/publications/final-report-of-the-ockenden-review (Accessed: 9 June 2026).</w:t>
      </w:r>
    </w:p>
    <w:p w14:paraId="12E33272" w14:textId="77777777" w:rsidR="00FC35EE" w:rsidRDefault="00000000">
      <w:pPr>
        <w:spacing w:after="200"/>
      </w:pPr>
      <w:r>
        <w:t>Ranade, M., Jain, S., Shivkumar, P.V., Gupta, S. and Jain, M. (2024) ‘Quality improvement initiative: improving obstetric triaging practices in a rural maternal hospital in central India’, BMJ Open Quality, 13(Suppl 1), e001870. Available at: https://bmjopenquality.bmj.com/content/13/Suppl_1/e001870 (Accessed: 23 July 2026).</w:t>
      </w:r>
    </w:p>
    <w:p w14:paraId="3112EB66" w14:textId="77777777" w:rsidR="00FC35EE" w:rsidRDefault="00000000">
      <w:pPr>
        <w:spacing w:after="200"/>
      </w:pPr>
      <w:r>
        <w:t xml:space="preserve">Reid, H.E., Smith, D.M., Widdows, K. and </w:t>
      </w:r>
      <w:proofErr w:type="spellStart"/>
      <w:r>
        <w:t>Heazell</w:t>
      </w:r>
      <w:proofErr w:type="spellEnd"/>
      <w:r>
        <w:t>, A.E. (2025) ‘Service users’ experiences of maternity care in England informed by the Saving Babies’ Lives Care Bundle Version 2: A reflexive thematic analysis’, BMJ Quality &amp; Safety (advance online publication). Available at: https://qualitysafety.bmj.com/content/early/2025/08/23/bmjqs-2025-018582 (Accessed: 23 July 2026).</w:t>
      </w:r>
    </w:p>
    <w:p w14:paraId="3DDD736F" w14:textId="77777777" w:rsidR="00FC35EE" w:rsidRDefault="00000000">
      <w:pPr>
        <w:spacing w:after="200"/>
      </w:pPr>
      <w:r>
        <w:t xml:space="preserve">Staines, A., </w:t>
      </w:r>
      <w:proofErr w:type="spellStart"/>
      <w:r>
        <w:t>Lécureux</w:t>
      </w:r>
      <w:proofErr w:type="spellEnd"/>
      <w:r>
        <w:t xml:space="preserve">, E., Rubin, P., Baralon, C. and Farin, A. (2020) ‘Impact of </w:t>
      </w:r>
      <w:proofErr w:type="spellStart"/>
      <w:r>
        <w:t>TeamSTEPPS</w:t>
      </w:r>
      <w:proofErr w:type="spellEnd"/>
      <w:r>
        <w:t xml:space="preserve"> on patient safety culture in a Swiss maternity ward’, International Journal for Quality in Health Care, 32(9), pp. 618–624. Available at: https://academic.oup.com/intqhc/article-abstract/32/9/618/5536103 (Accessed: 23 July 2026).</w:t>
      </w:r>
    </w:p>
    <w:p w14:paraId="73A238D2" w14:textId="77777777" w:rsidR="00FC35EE" w:rsidRDefault="00000000">
      <w:pPr>
        <w:spacing w:after="200"/>
      </w:pPr>
      <w:r>
        <w:t>Titi, M.A., Baksh, M. and Al-Hussein, M. (2021) ‘Navigating changes and maintaining gains in patient safety culture: a longitudinal study’, BMJ Open, 11(3), e044116. Available at: https://bmjopen.bmj.com/content/11/3/e044116 (Accessed: 9 June 2026).</w:t>
      </w:r>
    </w:p>
    <w:p w14:paraId="316AC5C7" w14:textId="77777777" w:rsidR="00FC35EE" w:rsidRDefault="00000000">
      <w:pPr>
        <w:spacing w:after="200"/>
      </w:pPr>
      <w:r>
        <w:t>Wiegmann, D.A., Wood, L.J., Cohen, T.N. and Shappell, S.A. (2022) ‘Understanding the “Swiss Cheese Model” and its application to patient safety’, Journal of Patient Safety, 18(2), pp. 119–123. Available at: https://pmc.ncbi.nlm.nih.gov/articles/PMC8514562/pdf/nihms-1651282.pdf (Accessed: 9 June 2026).</w:t>
      </w:r>
    </w:p>
    <w:sectPr w:rsidR="00FC35EE">
      <w:headerReference w:type="default" r:id="rId13"/>
      <w:footerReference w:type="defaul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CB5698" w14:textId="77777777" w:rsidR="00C110A9" w:rsidRDefault="00C110A9">
      <w:pPr>
        <w:spacing w:before="0" w:after="0" w:line="240" w:lineRule="auto"/>
      </w:pPr>
      <w:r>
        <w:separator/>
      </w:r>
    </w:p>
  </w:endnote>
  <w:endnote w:type="continuationSeparator" w:id="0">
    <w:p w14:paraId="6B484AF4" w14:textId="77777777" w:rsidR="00C110A9" w:rsidRDefault="00C110A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8813997"/>
      <w:docPartObj>
        <w:docPartGallery w:val="Page Numbers (Bottom of Page)"/>
        <w:docPartUnique/>
      </w:docPartObj>
    </w:sdtPr>
    <w:sdtEndPr>
      <w:rPr>
        <w:noProof/>
      </w:rPr>
    </w:sdtEndPr>
    <w:sdtContent>
      <w:p w14:paraId="1EEE6850" w14:textId="4478F2EE" w:rsidR="00817758" w:rsidRDefault="008177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5AA830" w14:textId="77777777" w:rsidR="00817758" w:rsidRDefault="008177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9579324"/>
      <w:docPartObj>
        <w:docPartGallery w:val="Page Numbers (Bottom of Page)"/>
        <w:docPartUnique/>
      </w:docPartObj>
    </w:sdtPr>
    <w:sdtEndPr>
      <w:rPr>
        <w:noProof/>
        <w:sz w:val="20"/>
        <w:szCs w:val="20"/>
      </w:rPr>
    </w:sdtEndPr>
    <w:sdtContent>
      <w:p w14:paraId="77EE7E00" w14:textId="4FEFF283" w:rsidR="005324CA" w:rsidRPr="005324CA" w:rsidRDefault="005324CA">
        <w:pPr>
          <w:pStyle w:val="Footer"/>
          <w:jc w:val="right"/>
          <w:rPr>
            <w:sz w:val="20"/>
            <w:szCs w:val="20"/>
          </w:rPr>
        </w:pPr>
        <w:r w:rsidRPr="005324CA">
          <w:rPr>
            <w:sz w:val="20"/>
            <w:szCs w:val="20"/>
          </w:rPr>
          <w:fldChar w:fldCharType="begin"/>
        </w:r>
        <w:r w:rsidRPr="005324CA">
          <w:rPr>
            <w:sz w:val="20"/>
            <w:szCs w:val="20"/>
          </w:rPr>
          <w:instrText xml:space="preserve"> PAGE   \* MERGEFORMAT </w:instrText>
        </w:r>
        <w:r w:rsidRPr="005324CA">
          <w:rPr>
            <w:sz w:val="20"/>
            <w:szCs w:val="20"/>
          </w:rPr>
          <w:fldChar w:fldCharType="separate"/>
        </w:r>
        <w:r w:rsidRPr="005324CA">
          <w:rPr>
            <w:noProof/>
            <w:sz w:val="20"/>
            <w:szCs w:val="20"/>
          </w:rPr>
          <w:t>2</w:t>
        </w:r>
        <w:r w:rsidRPr="005324CA">
          <w:rPr>
            <w:noProof/>
            <w:sz w:val="20"/>
            <w:szCs w:val="20"/>
          </w:rPr>
          <w:fldChar w:fldCharType="end"/>
        </w:r>
      </w:p>
    </w:sdtContent>
  </w:sdt>
  <w:p w14:paraId="600290E1" w14:textId="1E427E28" w:rsidR="00FC35EE" w:rsidRDefault="00FC35EE" w:rsidP="0089098D">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D69C6" w14:textId="77777777" w:rsidR="00C110A9" w:rsidRDefault="00C110A9">
      <w:pPr>
        <w:spacing w:before="0" w:after="0" w:line="240" w:lineRule="auto"/>
      </w:pPr>
      <w:r>
        <w:separator/>
      </w:r>
    </w:p>
  </w:footnote>
  <w:footnote w:type="continuationSeparator" w:id="0">
    <w:p w14:paraId="334BC544" w14:textId="77777777" w:rsidR="00C110A9" w:rsidRDefault="00C110A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7BB0A2" w14:textId="11A99D9A" w:rsidR="00FC35EE" w:rsidRPr="0089098D" w:rsidRDefault="00FC35EE" w:rsidP="008909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D33A5"/>
    <w:multiLevelType w:val="hybridMultilevel"/>
    <w:tmpl w:val="DF8EE0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FBC5B6A"/>
    <w:multiLevelType w:val="hybridMultilevel"/>
    <w:tmpl w:val="A8BA75FC"/>
    <w:lvl w:ilvl="0" w:tplc="F61EA8C2">
      <w:numFmt w:val="bullet"/>
      <w:lvlText w:val="•"/>
      <w:lvlJc w:val="left"/>
      <w:pPr>
        <w:ind w:left="768" w:hanging="408"/>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045E5C"/>
    <w:multiLevelType w:val="hybridMultilevel"/>
    <w:tmpl w:val="5CFA3874"/>
    <w:lvl w:ilvl="0" w:tplc="44C22A30">
      <w:start w:val="1"/>
      <w:numFmt w:val="bullet"/>
      <w:lvlText w:val="●"/>
      <w:lvlJc w:val="left"/>
      <w:pPr>
        <w:ind w:left="720" w:hanging="360"/>
      </w:pPr>
    </w:lvl>
    <w:lvl w:ilvl="1" w:tplc="C7CC7896">
      <w:start w:val="1"/>
      <w:numFmt w:val="bullet"/>
      <w:lvlText w:val="○"/>
      <w:lvlJc w:val="left"/>
      <w:pPr>
        <w:ind w:left="1440" w:hanging="360"/>
      </w:pPr>
    </w:lvl>
    <w:lvl w:ilvl="2" w:tplc="8FBEEE9C">
      <w:start w:val="1"/>
      <w:numFmt w:val="bullet"/>
      <w:lvlText w:val="■"/>
      <w:lvlJc w:val="left"/>
      <w:pPr>
        <w:ind w:left="2160" w:hanging="360"/>
      </w:pPr>
    </w:lvl>
    <w:lvl w:ilvl="3" w:tplc="767AA86E">
      <w:start w:val="1"/>
      <w:numFmt w:val="bullet"/>
      <w:lvlText w:val="●"/>
      <w:lvlJc w:val="left"/>
      <w:pPr>
        <w:ind w:left="2880" w:hanging="360"/>
      </w:pPr>
    </w:lvl>
    <w:lvl w:ilvl="4" w:tplc="0B7CF614">
      <w:start w:val="1"/>
      <w:numFmt w:val="bullet"/>
      <w:lvlText w:val="○"/>
      <w:lvlJc w:val="left"/>
      <w:pPr>
        <w:ind w:left="3600" w:hanging="360"/>
      </w:pPr>
    </w:lvl>
    <w:lvl w:ilvl="5" w:tplc="27264DBA">
      <w:start w:val="1"/>
      <w:numFmt w:val="bullet"/>
      <w:lvlText w:val="■"/>
      <w:lvlJc w:val="left"/>
      <w:pPr>
        <w:ind w:left="4320" w:hanging="360"/>
      </w:pPr>
    </w:lvl>
    <w:lvl w:ilvl="6" w:tplc="473AF136">
      <w:start w:val="1"/>
      <w:numFmt w:val="bullet"/>
      <w:lvlText w:val="●"/>
      <w:lvlJc w:val="left"/>
      <w:pPr>
        <w:ind w:left="5040" w:hanging="360"/>
      </w:pPr>
    </w:lvl>
    <w:lvl w:ilvl="7" w:tplc="67D8300C">
      <w:start w:val="1"/>
      <w:numFmt w:val="bullet"/>
      <w:lvlText w:val="●"/>
      <w:lvlJc w:val="left"/>
      <w:pPr>
        <w:ind w:left="5760" w:hanging="360"/>
      </w:pPr>
    </w:lvl>
    <w:lvl w:ilvl="8" w:tplc="C08C41EA">
      <w:start w:val="1"/>
      <w:numFmt w:val="bullet"/>
      <w:lvlText w:val="●"/>
      <w:lvlJc w:val="left"/>
      <w:pPr>
        <w:ind w:left="6480" w:hanging="360"/>
      </w:pPr>
    </w:lvl>
  </w:abstractNum>
  <w:abstractNum w:abstractNumId="3" w15:restartNumberingAfterBreak="0">
    <w:nsid w:val="2297448C"/>
    <w:multiLevelType w:val="hybridMultilevel"/>
    <w:tmpl w:val="D53E254A"/>
    <w:lvl w:ilvl="0" w:tplc="0CE8A0DE">
      <w:numFmt w:val="bullet"/>
      <w:lvlText w:val="➢"/>
      <w:lvlJc w:val="left"/>
      <w:pPr>
        <w:ind w:left="720" w:hanging="360"/>
      </w:pPr>
      <w:rPr>
        <w:rFonts w:ascii="Segoe UI Symbol" w:eastAsia="Segoe UI Symbol" w:hAnsi="Segoe UI Symbol" w:cs="Segoe UI Symbol" w:hint="default"/>
        <w:b w:val="0"/>
        <w:bCs w:val="0"/>
        <w:i w:val="0"/>
        <w:iCs w:val="0"/>
        <w:spacing w:val="0"/>
        <w:w w:val="82"/>
        <w:sz w:val="20"/>
        <w:szCs w:val="20"/>
        <w:lang w:val="en-US" w:eastAsia="en-US" w:bidi="ar-SA"/>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0D36D36"/>
    <w:multiLevelType w:val="hybridMultilevel"/>
    <w:tmpl w:val="1384FD7E"/>
    <w:lvl w:ilvl="0" w:tplc="0CE8A0DE">
      <w:numFmt w:val="bullet"/>
      <w:lvlText w:val="➢"/>
      <w:lvlJc w:val="left"/>
      <w:pPr>
        <w:ind w:left="720" w:hanging="360"/>
      </w:pPr>
      <w:rPr>
        <w:rFonts w:ascii="Segoe UI Symbol" w:eastAsia="Segoe UI Symbol" w:hAnsi="Segoe UI Symbol" w:cs="Segoe UI Symbol" w:hint="default"/>
        <w:b w:val="0"/>
        <w:bCs w:val="0"/>
        <w:i w:val="0"/>
        <w:iCs w:val="0"/>
        <w:spacing w:val="0"/>
        <w:w w:val="82"/>
        <w:sz w:val="20"/>
        <w:szCs w:val="20"/>
        <w:lang w:val="en-US" w:eastAsia="en-US" w:bidi="ar-SA"/>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3442AE2"/>
    <w:multiLevelType w:val="hybridMultilevel"/>
    <w:tmpl w:val="004A55F2"/>
    <w:lvl w:ilvl="0" w:tplc="0CE8A0DE">
      <w:numFmt w:val="bullet"/>
      <w:lvlText w:val="➢"/>
      <w:lvlJc w:val="left"/>
      <w:pPr>
        <w:ind w:left="720" w:hanging="360"/>
      </w:pPr>
      <w:rPr>
        <w:rFonts w:ascii="Segoe UI Symbol" w:eastAsia="Segoe UI Symbol" w:hAnsi="Segoe UI Symbol" w:cs="Segoe UI Symbol" w:hint="default"/>
        <w:b w:val="0"/>
        <w:bCs w:val="0"/>
        <w:i w:val="0"/>
        <w:iCs w:val="0"/>
        <w:spacing w:val="0"/>
        <w:w w:val="82"/>
        <w:sz w:val="20"/>
        <w:szCs w:val="20"/>
        <w:lang w:val="en-US" w:eastAsia="en-US" w:bidi="ar-SA"/>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18709005">
    <w:abstractNumId w:val="2"/>
    <w:lvlOverride w:ilvl="0">
      <w:startOverride w:val="1"/>
    </w:lvlOverride>
  </w:num>
  <w:num w:numId="2" w16cid:durableId="2061588142">
    <w:abstractNumId w:val="0"/>
  </w:num>
  <w:num w:numId="3" w16cid:durableId="2052991238">
    <w:abstractNumId w:val="5"/>
  </w:num>
  <w:num w:numId="4" w16cid:durableId="838275615">
    <w:abstractNumId w:val="4"/>
  </w:num>
  <w:num w:numId="5" w16cid:durableId="1878663269">
    <w:abstractNumId w:val="1"/>
  </w:num>
  <w:num w:numId="6" w16cid:durableId="21408776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35EE"/>
    <w:rsid w:val="00036E65"/>
    <w:rsid w:val="000D0A5F"/>
    <w:rsid w:val="00122FEE"/>
    <w:rsid w:val="00321F32"/>
    <w:rsid w:val="00323FDB"/>
    <w:rsid w:val="005324CA"/>
    <w:rsid w:val="007379E2"/>
    <w:rsid w:val="007600E8"/>
    <w:rsid w:val="00817758"/>
    <w:rsid w:val="0089098D"/>
    <w:rsid w:val="00981A55"/>
    <w:rsid w:val="009D432F"/>
    <w:rsid w:val="00A42A44"/>
    <w:rsid w:val="00BC2EB3"/>
    <w:rsid w:val="00C110A9"/>
    <w:rsid w:val="00D774E3"/>
    <w:rsid w:val="00F75D56"/>
    <w:rsid w:val="00F960B6"/>
    <w:rsid w:val="00FC35E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C632E"/>
  <w15:docId w15:val="{6AD5DBB1-5479-4306-873B-E4EDBB162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0E8"/>
    <w:pPr>
      <w:spacing w:before="120" w:after="120" w:line="360" w:lineRule="auto"/>
      <w:jc w:val="both"/>
    </w:pPr>
  </w:style>
  <w:style w:type="paragraph" w:styleId="Heading1">
    <w:name w:val="heading 1"/>
    <w:uiPriority w:val="9"/>
    <w:qFormat/>
    <w:pPr>
      <w:spacing w:before="360" w:after="240"/>
      <w:outlineLvl w:val="0"/>
    </w:pPr>
    <w:rPr>
      <w:b/>
      <w:bCs/>
      <w:sz w:val="28"/>
      <w:szCs w:val="28"/>
    </w:rPr>
  </w:style>
  <w:style w:type="paragraph" w:styleId="Heading2">
    <w:name w:val="heading 2"/>
    <w:uiPriority w:val="9"/>
    <w:unhideWhenUsed/>
    <w:qFormat/>
    <w:pPr>
      <w:spacing w:before="280" w:after="180"/>
      <w:outlineLvl w:val="1"/>
    </w:pPr>
    <w:rPr>
      <w:b/>
      <w:bCs/>
      <w:sz w:val="26"/>
      <w:szCs w:val="26"/>
    </w:rPr>
  </w:style>
  <w:style w:type="paragraph" w:styleId="Heading3">
    <w:name w:val="heading 3"/>
    <w:uiPriority w:val="9"/>
    <w:unhideWhenUsed/>
    <w:qFormat/>
    <w:pPr>
      <w:spacing w:before="240" w:after="120"/>
      <w:outlineLvl w:val="2"/>
    </w:pPr>
    <w:rPr>
      <w:b/>
      <w:bCs/>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89098D"/>
    <w:pPr>
      <w:tabs>
        <w:tab w:val="center" w:pos="4513"/>
        <w:tab w:val="right" w:pos="9026"/>
      </w:tabs>
      <w:spacing w:before="0" w:after="0" w:line="240" w:lineRule="auto"/>
    </w:pPr>
    <w:rPr>
      <w:szCs w:val="30"/>
    </w:rPr>
  </w:style>
  <w:style w:type="character" w:customStyle="1" w:styleId="HeaderChar">
    <w:name w:val="Header Char"/>
    <w:basedOn w:val="DefaultParagraphFont"/>
    <w:link w:val="Header"/>
    <w:uiPriority w:val="99"/>
    <w:rsid w:val="0089098D"/>
    <w:rPr>
      <w:szCs w:val="30"/>
    </w:rPr>
  </w:style>
  <w:style w:type="paragraph" w:styleId="Footer">
    <w:name w:val="footer"/>
    <w:basedOn w:val="Normal"/>
    <w:link w:val="FooterChar"/>
    <w:uiPriority w:val="99"/>
    <w:unhideWhenUsed/>
    <w:rsid w:val="0089098D"/>
    <w:pPr>
      <w:tabs>
        <w:tab w:val="center" w:pos="4513"/>
        <w:tab w:val="right" w:pos="9026"/>
      </w:tabs>
      <w:spacing w:before="0" w:after="0" w:line="240" w:lineRule="auto"/>
    </w:pPr>
    <w:rPr>
      <w:szCs w:val="30"/>
    </w:rPr>
  </w:style>
  <w:style w:type="character" w:customStyle="1" w:styleId="FooterChar">
    <w:name w:val="Footer Char"/>
    <w:basedOn w:val="DefaultParagraphFont"/>
    <w:link w:val="Footer"/>
    <w:uiPriority w:val="99"/>
    <w:rsid w:val="0089098D"/>
    <w:rPr>
      <w:szCs w:val="30"/>
    </w:rPr>
  </w:style>
  <w:style w:type="table" w:styleId="TableGrid">
    <w:name w:val="Table Grid"/>
    <w:basedOn w:val="TableNormal"/>
    <w:uiPriority w:val="39"/>
    <w:rsid w:val="00F960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324CA"/>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5324CA"/>
    <w:pPr>
      <w:spacing w:after="100"/>
    </w:pPr>
    <w:rPr>
      <w:szCs w:val="30"/>
    </w:rPr>
  </w:style>
  <w:style w:type="paragraph" w:styleId="TOC2">
    <w:name w:val="toc 2"/>
    <w:basedOn w:val="Normal"/>
    <w:next w:val="Normal"/>
    <w:autoRedefine/>
    <w:uiPriority w:val="39"/>
    <w:unhideWhenUsed/>
    <w:rsid w:val="005324CA"/>
    <w:pPr>
      <w:spacing w:after="100"/>
      <w:ind w:left="240"/>
    </w:pPr>
    <w:rPr>
      <w:szCs w:val="30"/>
    </w:rPr>
  </w:style>
  <w:style w:type="paragraph" w:styleId="TOC3">
    <w:name w:val="toc 3"/>
    <w:basedOn w:val="Normal"/>
    <w:next w:val="Normal"/>
    <w:autoRedefine/>
    <w:uiPriority w:val="39"/>
    <w:unhideWhenUsed/>
    <w:rsid w:val="005324CA"/>
    <w:pPr>
      <w:spacing w:after="100"/>
      <w:ind w:left="480"/>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AB1DF0-E0D0-486D-A47B-05AA20ED8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17</Pages>
  <Words>4993</Words>
  <Characters>28462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2026-07-23T14:00:00Z</dcterms:created>
  <dcterms:modified xsi:type="dcterms:W3CDTF">2026-07-24T04:23:00Z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9c24cb2a-b427-4e0b-a2d1-c85957b72401</vt:lpwstr>
  </property>
</Properties>
</file>