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A985" w14:textId="362C938C" w:rsidR="008A3723" w:rsidRDefault="00992FAC" w:rsidP="00992FAC">
      <w:pPr>
        <w:ind w:left="2160"/>
        <w:rPr>
          <w:rFonts w:ascii="Arial" w:hAnsi="Arial" w:cs="Arial"/>
          <w:sz w:val="22"/>
          <w:szCs w:val="22"/>
        </w:rPr>
      </w:pPr>
      <w:r>
        <w:rPr>
          <w:rFonts w:ascii="Arial" w:hAnsi="Arial" w:cs="Arial"/>
          <w:sz w:val="22"/>
          <w:szCs w:val="22"/>
        </w:rPr>
        <w:t xml:space="preserve">                    </w:t>
      </w:r>
      <w:r w:rsidR="005953E3">
        <w:rPr>
          <w:rFonts w:ascii="Arial" w:hAnsi="Arial" w:cs="Arial"/>
          <w:sz w:val="22"/>
          <w:szCs w:val="22"/>
        </w:rPr>
        <w:t>Mona Alexa Costescu</w:t>
      </w:r>
    </w:p>
    <w:p w14:paraId="7005543F" w14:textId="77777777" w:rsidR="007046F3" w:rsidRDefault="007046F3" w:rsidP="007046F3">
      <w:pPr>
        <w:pStyle w:val="p1"/>
        <w:ind w:left="3600"/>
        <w:rPr>
          <w:rStyle w:val="s1"/>
        </w:rPr>
      </w:pPr>
      <w:r>
        <w:rPr>
          <w:rStyle w:val="s1"/>
        </w:rPr>
        <w:t xml:space="preserve"> </w:t>
      </w:r>
    </w:p>
    <w:p w14:paraId="5364853B" w14:textId="77777777" w:rsidR="007046F3" w:rsidRDefault="007046F3" w:rsidP="007046F3">
      <w:pPr>
        <w:pStyle w:val="p1"/>
        <w:ind w:left="3600"/>
        <w:rPr>
          <w:rStyle w:val="s1"/>
        </w:rPr>
      </w:pPr>
    </w:p>
    <w:p w14:paraId="13D7FA90" w14:textId="77777777" w:rsidR="007046F3" w:rsidRDefault="007046F3" w:rsidP="007046F3">
      <w:pPr>
        <w:pStyle w:val="p1"/>
        <w:ind w:left="3600"/>
        <w:rPr>
          <w:rStyle w:val="s1"/>
        </w:rPr>
      </w:pPr>
    </w:p>
    <w:p w14:paraId="1E1FAB99" w14:textId="77777777" w:rsidR="007046F3" w:rsidRDefault="007046F3" w:rsidP="007046F3">
      <w:pPr>
        <w:pStyle w:val="p1"/>
        <w:ind w:left="3600"/>
        <w:rPr>
          <w:rStyle w:val="s1"/>
        </w:rPr>
      </w:pPr>
    </w:p>
    <w:p w14:paraId="412A42D7" w14:textId="4B70F061" w:rsidR="007046F3" w:rsidRDefault="00992FAC" w:rsidP="00992FAC">
      <w:pPr>
        <w:pStyle w:val="p1"/>
        <w:ind w:left="1440"/>
      </w:pPr>
      <w:r>
        <w:rPr>
          <w:rStyle w:val="s1"/>
        </w:rPr>
        <w:t xml:space="preserve">                                            </w:t>
      </w:r>
      <w:r w:rsidR="007046F3">
        <w:rPr>
          <w:rStyle w:val="s1"/>
        </w:rPr>
        <w:t>Student ID: 2412771</w:t>
      </w:r>
    </w:p>
    <w:p w14:paraId="601362BB" w14:textId="77777777" w:rsidR="007F2541" w:rsidRDefault="007F2541" w:rsidP="0052074E">
      <w:pPr>
        <w:ind w:left="3600"/>
        <w:rPr>
          <w:rFonts w:ascii="Arial" w:hAnsi="Arial" w:cs="Arial"/>
          <w:sz w:val="22"/>
          <w:szCs w:val="22"/>
        </w:rPr>
      </w:pPr>
    </w:p>
    <w:p w14:paraId="75927982" w14:textId="77777777" w:rsidR="00992FAC" w:rsidRDefault="007046F3" w:rsidP="007046F3">
      <w:pPr>
        <w:ind w:left="2160"/>
        <w:rPr>
          <w:rFonts w:ascii="Arial" w:hAnsi="Arial" w:cs="Arial"/>
          <w:sz w:val="22"/>
          <w:szCs w:val="22"/>
        </w:rPr>
      </w:pPr>
      <w:r>
        <w:rPr>
          <w:rFonts w:ascii="Arial" w:hAnsi="Arial" w:cs="Arial"/>
          <w:sz w:val="22"/>
          <w:szCs w:val="22"/>
        </w:rPr>
        <w:t xml:space="preserve">     </w:t>
      </w:r>
      <w:r w:rsidR="00992FAC">
        <w:rPr>
          <w:rFonts w:ascii="Arial" w:hAnsi="Arial" w:cs="Arial"/>
          <w:sz w:val="22"/>
          <w:szCs w:val="22"/>
        </w:rPr>
        <w:t xml:space="preserve"> </w:t>
      </w:r>
    </w:p>
    <w:p w14:paraId="01AD4748" w14:textId="77777777" w:rsidR="00992FAC" w:rsidRDefault="00992FAC" w:rsidP="007046F3">
      <w:pPr>
        <w:ind w:left="2160"/>
        <w:rPr>
          <w:rFonts w:ascii="Arial" w:hAnsi="Arial" w:cs="Arial"/>
          <w:sz w:val="22"/>
          <w:szCs w:val="22"/>
        </w:rPr>
      </w:pPr>
    </w:p>
    <w:p w14:paraId="6DD97179" w14:textId="61ABCEDC" w:rsidR="00D007C0" w:rsidRDefault="00AD4EE1" w:rsidP="007046F3">
      <w:pPr>
        <w:ind w:left="2160"/>
        <w:rPr>
          <w:rFonts w:ascii="Arial" w:hAnsi="Arial" w:cs="Arial"/>
          <w:sz w:val="22"/>
          <w:szCs w:val="22"/>
        </w:rPr>
      </w:pPr>
      <w:r>
        <w:rPr>
          <w:rFonts w:ascii="Arial" w:hAnsi="Arial" w:cs="Arial"/>
          <w:sz w:val="22"/>
          <w:szCs w:val="22"/>
        </w:rPr>
        <w:t xml:space="preserve">  </w:t>
      </w:r>
      <w:r w:rsidR="00D007C0">
        <w:rPr>
          <w:rFonts w:ascii="Arial" w:hAnsi="Arial" w:cs="Arial"/>
          <w:sz w:val="22"/>
          <w:szCs w:val="22"/>
        </w:rPr>
        <w:t xml:space="preserve">Principles of Health And Social Care Practice </w:t>
      </w:r>
    </w:p>
    <w:p w14:paraId="1A0AECF3" w14:textId="77777777" w:rsidR="007F2541" w:rsidRPr="005953E3" w:rsidRDefault="007F2541" w:rsidP="00AF5118">
      <w:pPr>
        <w:ind w:left="2880"/>
        <w:rPr>
          <w:rFonts w:ascii="Arial" w:hAnsi="Arial" w:cs="Arial"/>
          <w:sz w:val="22"/>
          <w:szCs w:val="22"/>
        </w:rPr>
      </w:pPr>
    </w:p>
    <w:p w14:paraId="184CFCB8" w14:textId="31A3CA83" w:rsidR="008A3723" w:rsidRPr="00130129" w:rsidRDefault="007F2541" w:rsidP="00130129">
      <w:pPr>
        <w:ind w:left="3600"/>
        <w:rPr>
          <w:rFonts w:ascii="Arial" w:hAnsi="Arial" w:cs="Arial"/>
          <w:sz w:val="22"/>
          <w:szCs w:val="22"/>
        </w:rPr>
      </w:pPr>
      <w:r>
        <w:rPr>
          <w:rFonts w:ascii="Arial" w:hAnsi="Arial" w:cs="Arial"/>
          <w:sz w:val="22"/>
          <w:szCs w:val="22"/>
        </w:rPr>
        <w:t xml:space="preserve">     </w:t>
      </w:r>
      <w:r w:rsidR="00130129">
        <w:rPr>
          <w:rFonts w:ascii="Arial" w:hAnsi="Arial" w:cs="Arial"/>
          <w:sz w:val="22"/>
          <w:szCs w:val="22"/>
        </w:rPr>
        <w:t>B</w:t>
      </w:r>
      <w:r w:rsidR="00C11ADA">
        <w:rPr>
          <w:rFonts w:ascii="Arial" w:hAnsi="Arial" w:cs="Arial"/>
          <w:sz w:val="22"/>
          <w:szCs w:val="22"/>
        </w:rPr>
        <w:t>MHP5016</w:t>
      </w:r>
    </w:p>
    <w:p w14:paraId="61D02322" w14:textId="77777777" w:rsidR="008A3723" w:rsidRDefault="008A3723">
      <w:pPr>
        <w:rPr>
          <w:rFonts w:ascii="Arial" w:hAnsi="Arial" w:cs="Arial"/>
          <w:b/>
          <w:bCs/>
          <w:sz w:val="22"/>
          <w:szCs w:val="22"/>
          <w:u w:val="single"/>
        </w:rPr>
      </w:pPr>
    </w:p>
    <w:p w14:paraId="2E180ADA" w14:textId="77777777" w:rsidR="008A3723" w:rsidRDefault="008A3723">
      <w:pPr>
        <w:rPr>
          <w:rFonts w:ascii="Arial" w:hAnsi="Arial" w:cs="Arial"/>
          <w:b/>
          <w:bCs/>
          <w:sz w:val="22"/>
          <w:szCs w:val="22"/>
          <w:u w:val="single"/>
        </w:rPr>
      </w:pPr>
    </w:p>
    <w:p w14:paraId="227A973D" w14:textId="77777777" w:rsidR="008A3723" w:rsidRDefault="008A3723">
      <w:pPr>
        <w:rPr>
          <w:rFonts w:ascii="Arial" w:hAnsi="Arial" w:cs="Arial"/>
          <w:b/>
          <w:bCs/>
          <w:sz w:val="22"/>
          <w:szCs w:val="22"/>
          <w:u w:val="single"/>
        </w:rPr>
      </w:pPr>
    </w:p>
    <w:tbl>
      <w:tblPr>
        <w:tblW w:w="0" w:type="auto"/>
        <w:jc w:val="center"/>
        <w:tblCellSpacing w:w="0" w:type="dxa"/>
        <w:tblCellMar>
          <w:left w:w="0" w:type="dxa"/>
          <w:right w:w="0" w:type="dxa"/>
        </w:tblCellMar>
        <w:tblLook w:val="04A0" w:firstRow="1" w:lastRow="0" w:firstColumn="1" w:lastColumn="0" w:noHBand="0" w:noVBand="1"/>
      </w:tblPr>
      <w:tblGrid>
        <w:gridCol w:w="6"/>
        <w:gridCol w:w="4451"/>
      </w:tblGrid>
      <w:tr w:rsidR="00F67ADD" w:rsidRPr="00F67ADD" w14:paraId="4B1892B9" w14:textId="77777777" w:rsidTr="00F26F3A">
        <w:trPr>
          <w:tblCellSpacing w:w="0" w:type="dxa"/>
          <w:jc w:val="center"/>
        </w:trPr>
        <w:tc>
          <w:tcPr>
            <w:tcW w:w="0" w:type="auto"/>
            <w:hideMark/>
          </w:tcPr>
          <w:p w14:paraId="118A5086" w14:textId="77777777" w:rsidR="00F67ADD" w:rsidRPr="00F67ADD" w:rsidRDefault="00F67ADD" w:rsidP="00F67ADD">
            <w:pPr>
              <w:spacing w:after="0" w:line="240" w:lineRule="auto"/>
              <w:rPr>
                <w:rFonts w:ascii="Times New Roman" w:hAnsi="Times New Roman" w:cs="Times New Roman"/>
                <w:kern w:val="0"/>
                <w14:ligatures w14:val="none"/>
              </w:rPr>
            </w:pPr>
          </w:p>
        </w:tc>
        <w:tc>
          <w:tcPr>
            <w:tcW w:w="0" w:type="auto"/>
            <w:hideMark/>
          </w:tcPr>
          <w:p w14:paraId="6881EF1D" w14:textId="0DA4920E" w:rsidR="00F67ADD" w:rsidRPr="00F26F3A" w:rsidRDefault="00F67ADD" w:rsidP="00F67ADD">
            <w:pPr>
              <w:spacing w:after="0" w:line="240" w:lineRule="auto"/>
              <w:rPr>
                <w:rFonts w:ascii="Arial" w:hAnsi="Arial" w:cs="Arial"/>
                <w:kern w:val="0"/>
                <w:sz w:val="22"/>
                <w:szCs w:val="22"/>
                <w14:ligatures w14:val="none"/>
              </w:rPr>
            </w:pPr>
            <w:r w:rsidRPr="00F26F3A">
              <w:rPr>
                <w:rFonts w:ascii="Arial" w:hAnsi="Arial" w:cs="Arial"/>
                <w:kern w:val="0"/>
                <w:sz w:val="22"/>
                <w:szCs w:val="22"/>
                <w14:ligatures w14:val="none"/>
              </w:rPr>
              <w:t>Component 1: Written Assignment (Reflective</w:t>
            </w:r>
          </w:p>
          <w:p w14:paraId="5BBF0B12" w14:textId="77777777" w:rsidR="00F67ADD" w:rsidRPr="00F26F3A" w:rsidRDefault="00F67ADD" w:rsidP="00F67ADD">
            <w:pPr>
              <w:spacing w:after="0" w:line="240" w:lineRule="auto"/>
              <w:rPr>
                <w:rFonts w:ascii="Arial" w:hAnsi="Arial" w:cs="Arial"/>
                <w:kern w:val="0"/>
                <w:sz w:val="22"/>
                <w:szCs w:val="22"/>
                <w14:ligatures w14:val="none"/>
              </w:rPr>
            </w:pPr>
            <w:r w:rsidRPr="00F26F3A">
              <w:rPr>
                <w:rFonts w:ascii="Arial" w:hAnsi="Arial" w:cs="Arial"/>
                <w:kern w:val="0"/>
                <w:sz w:val="22"/>
                <w:szCs w:val="22"/>
                <w14:ligatures w14:val="none"/>
              </w:rPr>
              <w:t>Report)</w:t>
            </w:r>
          </w:p>
        </w:tc>
      </w:tr>
    </w:tbl>
    <w:p w14:paraId="6D15E4BF" w14:textId="77777777" w:rsidR="008A3723" w:rsidRPr="00F67ADD" w:rsidRDefault="008A3723" w:rsidP="00F67ADD">
      <w:pPr>
        <w:ind w:left="2880"/>
        <w:rPr>
          <w:rFonts w:ascii="Arial" w:hAnsi="Arial" w:cs="Arial"/>
          <w:b/>
          <w:bCs/>
          <w:sz w:val="22"/>
          <w:szCs w:val="22"/>
          <w:u w:val="single"/>
        </w:rPr>
      </w:pPr>
    </w:p>
    <w:p w14:paraId="0FCB175A" w14:textId="77777777" w:rsidR="008A3723" w:rsidRPr="00F67ADD" w:rsidRDefault="008A3723" w:rsidP="00F67ADD">
      <w:pPr>
        <w:ind w:left="2880"/>
        <w:rPr>
          <w:rFonts w:ascii="Arial" w:hAnsi="Arial" w:cs="Arial"/>
          <w:b/>
          <w:bCs/>
          <w:sz w:val="22"/>
          <w:szCs w:val="22"/>
          <w:u w:val="single"/>
        </w:rPr>
      </w:pPr>
    </w:p>
    <w:p w14:paraId="5574B0AC" w14:textId="77777777" w:rsidR="008A3723" w:rsidRDefault="008A3723">
      <w:pPr>
        <w:rPr>
          <w:rFonts w:ascii="Arial" w:hAnsi="Arial" w:cs="Arial"/>
          <w:b/>
          <w:bCs/>
          <w:sz w:val="22"/>
          <w:szCs w:val="22"/>
          <w:u w:val="single"/>
        </w:rPr>
      </w:pPr>
    </w:p>
    <w:p w14:paraId="4629E6E3" w14:textId="77777777" w:rsidR="008A3723" w:rsidRDefault="008A3723">
      <w:pPr>
        <w:rPr>
          <w:rFonts w:ascii="Arial" w:hAnsi="Arial" w:cs="Arial"/>
          <w:b/>
          <w:bCs/>
          <w:sz w:val="22"/>
          <w:szCs w:val="22"/>
          <w:u w:val="single"/>
        </w:rPr>
      </w:pPr>
    </w:p>
    <w:p w14:paraId="11A3E88B" w14:textId="77777777" w:rsidR="008A3723" w:rsidRDefault="008A3723">
      <w:pPr>
        <w:rPr>
          <w:rFonts w:ascii="Arial" w:hAnsi="Arial" w:cs="Arial"/>
          <w:b/>
          <w:bCs/>
          <w:sz w:val="22"/>
          <w:szCs w:val="22"/>
          <w:u w:val="single"/>
        </w:rPr>
      </w:pPr>
    </w:p>
    <w:p w14:paraId="65494AC8" w14:textId="77777777" w:rsidR="008A3723" w:rsidRDefault="008A3723">
      <w:pPr>
        <w:rPr>
          <w:rFonts w:ascii="Arial" w:hAnsi="Arial" w:cs="Arial"/>
          <w:b/>
          <w:bCs/>
          <w:sz w:val="22"/>
          <w:szCs w:val="22"/>
          <w:u w:val="single"/>
        </w:rPr>
      </w:pPr>
    </w:p>
    <w:p w14:paraId="2F4BE3B0" w14:textId="77777777" w:rsidR="008A3723" w:rsidRDefault="008A3723">
      <w:pPr>
        <w:rPr>
          <w:rFonts w:ascii="Arial" w:hAnsi="Arial" w:cs="Arial"/>
          <w:b/>
          <w:bCs/>
          <w:sz w:val="22"/>
          <w:szCs w:val="22"/>
          <w:u w:val="single"/>
        </w:rPr>
      </w:pPr>
    </w:p>
    <w:p w14:paraId="4CF6430A" w14:textId="77777777" w:rsidR="008A3723" w:rsidRDefault="008A3723">
      <w:pPr>
        <w:rPr>
          <w:rFonts w:ascii="Arial" w:hAnsi="Arial" w:cs="Arial"/>
          <w:b/>
          <w:bCs/>
          <w:sz w:val="22"/>
          <w:szCs w:val="22"/>
          <w:u w:val="single"/>
        </w:rPr>
      </w:pPr>
    </w:p>
    <w:p w14:paraId="4AE11DAE" w14:textId="77777777" w:rsidR="008A3723" w:rsidRDefault="008A3723">
      <w:pPr>
        <w:rPr>
          <w:rFonts w:ascii="Arial" w:hAnsi="Arial" w:cs="Arial"/>
          <w:b/>
          <w:bCs/>
          <w:sz w:val="22"/>
          <w:szCs w:val="22"/>
          <w:u w:val="single"/>
        </w:rPr>
      </w:pPr>
    </w:p>
    <w:p w14:paraId="5FCE9F4A" w14:textId="77777777" w:rsidR="008A3723" w:rsidRDefault="008A3723">
      <w:pPr>
        <w:rPr>
          <w:rFonts w:ascii="Arial" w:hAnsi="Arial" w:cs="Arial"/>
          <w:b/>
          <w:bCs/>
          <w:sz w:val="22"/>
          <w:szCs w:val="22"/>
          <w:u w:val="single"/>
        </w:rPr>
      </w:pPr>
    </w:p>
    <w:p w14:paraId="687436B8" w14:textId="77777777" w:rsidR="008A3723" w:rsidRDefault="008A3723">
      <w:pPr>
        <w:rPr>
          <w:rFonts w:ascii="Arial" w:hAnsi="Arial" w:cs="Arial"/>
          <w:b/>
          <w:bCs/>
          <w:sz w:val="22"/>
          <w:szCs w:val="22"/>
          <w:u w:val="single"/>
        </w:rPr>
      </w:pPr>
    </w:p>
    <w:p w14:paraId="147310CC" w14:textId="77777777" w:rsidR="008A3723" w:rsidRDefault="008A3723">
      <w:pPr>
        <w:rPr>
          <w:rFonts w:ascii="Arial" w:hAnsi="Arial" w:cs="Arial"/>
          <w:b/>
          <w:bCs/>
          <w:sz w:val="22"/>
          <w:szCs w:val="22"/>
          <w:u w:val="single"/>
        </w:rPr>
      </w:pPr>
    </w:p>
    <w:p w14:paraId="594C15A0" w14:textId="77777777" w:rsidR="008A3723" w:rsidRDefault="008A3723">
      <w:pPr>
        <w:rPr>
          <w:rFonts w:ascii="Arial" w:hAnsi="Arial" w:cs="Arial"/>
          <w:b/>
          <w:bCs/>
          <w:sz w:val="22"/>
          <w:szCs w:val="22"/>
          <w:u w:val="single"/>
        </w:rPr>
      </w:pPr>
    </w:p>
    <w:p w14:paraId="48112BBB" w14:textId="77777777" w:rsidR="006D1FD6" w:rsidRDefault="006D1FD6">
      <w:pPr>
        <w:rPr>
          <w:rFonts w:ascii="Arial" w:hAnsi="Arial" w:cs="Arial"/>
          <w:b/>
          <w:bCs/>
          <w:sz w:val="22"/>
          <w:szCs w:val="22"/>
          <w:u w:val="single"/>
        </w:rPr>
      </w:pPr>
    </w:p>
    <w:p w14:paraId="6103E75A" w14:textId="77777777" w:rsidR="006D1FD6" w:rsidRDefault="006D1FD6">
      <w:pPr>
        <w:rPr>
          <w:rFonts w:ascii="Arial" w:hAnsi="Arial" w:cs="Arial"/>
          <w:b/>
          <w:bCs/>
          <w:sz w:val="22"/>
          <w:szCs w:val="22"/>
          <w:u w:val="single"/>
        </w:rPr>
      </w:pPr>
    </w:p>
    <w:p w14:paraId="43AA4F96" w14:textId="77777777" w:rsidR="006D1FD6" w:rsidRDefault="006D1FD6">
      <w:pPr>
        <w:rPr>
          <w:rFonts w:ascii="Arial" w:hAnsi="Arial" w:cs="Arial"/>
          <w:b/>
          <w:bCs/>
          <w:sz w:val="22"/>
          <w:szCs w:val="22"/>
          <w:u w:val="single"/>
        </w:rPr>
      </w:pPr>
    </w:p>
    <w:p w14:paraId="052705E6" w14:textId="77777777" w:rsidR="006D1FD6" w:rsidRDefault="006D1FD6">
      <w:pPr>
        <w:rPr>
          <w:rFonts w:ascii="Arial" w:hAnsi="Arial" w:cs="Arial"/>
          <w:b/>
          <w:bCs/>
          <w:sz w:val="22"/>
          <w:szCs w:val="22"/>
          <w:u w:val="single"/>
        </w:rPr>
      </w:pPr>
    </w:p>
    <w:p w14:paraId="0EF26716" w14:textId="77777777" w:rsidR="006D1FD6" w:rsidRDefault="006D1FD6">
      <w:pPr>
        <w:rPr>
          <w:rFonts w:ascii="Arial" w:hAnsi="Arial" w:cs="Arial"/>
          <w:b/>
          <w:bCs/>
          <w:sz w:val="22"/>
          <w:szCs w:val="22"/>
          <w:u w:val="single"/>
        </w:rPr>
      </w:pPr>
    </w:p>
    <w:p w14:paraId="594EE479" w14:textId="77777777" w:rsidR="006D1FD6" w:rsidRDefault="006D1FD6">
      <w:pPr>
        <w:rPr>
          <w:rFonts w:ascii="Arial" w:hAnsi="Arial" w:cs="Arial"/>
          <w:b/>
          <w:bCs/>
          <w:sz w:val="22"/>
          <w:szCs w:val="22"/>
          <w:u w:val="single"/>
        </w:rPr>
      </w:pPr>
    </w:p>
    <w:p w14:paraId="0C8474F2" w14:textId="04695E2F" w:rsidR="00A224C7" w:rsidRPr="00BF36E2" w:rsidRDefault="008A3723">
      <w:pPr>
        <w:rPr>
          <w:rFonts w:ascii="Arial" w:hAnsi="Arial" w:cs="Arial"/>
          <w:b/>
          <w:bCs/>
          <w:sz w:val="22"/>
          <w:szCs w:val="22"/>
          <w:u w:val="single"/>
        </w:rPr>
      </w:pPr>
      <w:r w:rsidRPr="00BF36E2">
        <w:rPr>
          <w:rFonts w:ascii="Arial" w:hAnsi="Arial" w:cs="Arial"/>
          <w:b/>
          <w:bCs/>
          <w:sz w:val="22"/>
          <w:szCs w:val="22"/>
          <w:u w:val="single"/>
        </w:rPr>
        <w:t>Reflection on the Importance of Principles of Health and Social Care</w:t>
      </w:r>
    </w:p>
    <w:p w14:paraId="406D270C" w14:textId="77777777" w:rsidR="0031138D" w:rsidRPr="00BF36E2" w:rsidRDefault="0031138D">
      <w:pPr>
        <w:rPr>
          <w:rFonts w:ascii="Arial" w:hAnsi="Arial" w:cs="Arial"/>
          <w:b/>
          <w:bCs/>
          <w:sz w:val="22"/>
          <w:szCs w:val="22"/>
          <w:u w:val="single"/>
        </w:rPr>
      </w:pPr>
    </w:p>
    <w:p w14:paraId="2DA8F2D4"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The principles of person-centred care, partnership working and ethics are foundational to contemporary UK health and social care practice. They are not merely aspirational values but legally embedded expectations that shape policy, professional conduct and service delivery. Their integration ensures quality, safety, dignity and accountability across all systems of care, providing a consistent framework for both practitioners and service users. These principles also guide decision-making, helping professionals navigate complex situations while maintaining high standards.</w:t>
      </w:r>
    </w:p>
    <w:p w14:paraId="45787E11"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p>
    <w:p w14:paraId="3A891DDB"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Person-centred care represents a significant paradigm shift from traditional paternalistic, service-led models to approaches grounded in individual autonomy and holistic wellbeing. The Care Act 2014 places wellbeing at the centre of adult social care, mandating that practitioners promote personal dignity, control, and participation in decision-making (Department of Health and Social Care (DHSC), 2014). This emphasis on personalisation reflects Maslow’s (1943) Hierarchy of Needs, which conceptualises wellbeing as layered and holistic, encompassing not only physical health but also psychological security, belonging, self-esteem and personal fulfilment. Health and social care professionals are therefore required to consider the full spectrum of an individual’s needs, recognising that wellbeing extends beyond basic physiological stability. However, critics argue that policy rhetoric around personalisation often exceeds available resources, raising important questions about the fidelity of implementation (</w:t>
      </w:r>
      <w:proofErr w:type="spellStart"/>
      <w:r w:rsidRPr="00BF36E2">
        <w:rPr>
          <w:rFonts w:ascii="Arial" w:hAnsi="Arial" w:cs="Arial"/>
          <w:kern w:val="0"/>
          <w:sz w:val="22"/>
          <w:szCs w:val="22"/>
          <w14:ligatures w14:val="none"/>
        </w:rPr>
        <w:t>Glasby</w:t>
      </w:r>
      <w:proofErr w:type="spellEnd"/>
      <w:r w:rsidRPr="00BF36E2">
        <w:rPr>
          <w:rFonts w:ascii="Arial" w:hAnsi="Arial" w:cs="Arial"/>
          <w:kern w:val="0"/>
          <w:sz w:val="22"/>
          <w:szCs w:val="22"/>
          <w14:ligatures w14:val="none"/>
        </w:rPr>
        <w:t xml:space="preserve"> and Dickinson, 2014). Thus, while person-centred care is ethically compelling and professionally desirable, its practical effectiveness is closely tied to structural support and resource allocation within the system.</w:t>
      </w:r>
    </w:p>
    <w:p w14:paraId="394B1F91"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p>
    <w:p w14:paraId="1206E2AF"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Partnership working further enhances the quality of care by reducing fragmentation across services. The Health and Care Act 2022 formalised Integrated Care Systems (ICSs), emphasising collaboration between NHS bodies, local authorities and voluntary sectors (DHSC, 2022). Partnership working aligns with systems theory, recognising that complex health and social care needs cannot be addressed in isolation. Coordinated, multidisciplinary collaboration has been shown to improve patient safety, continuity of care and overall service outcomes (Reeves et al., 2017). Nevertheless, partnership working is not without challenges. Professional hierarchies, information governance concerns and organisational silos can all hinder effective collaboration, demonstrating that structural integration alone is insufficient. Successful partnership requires both organisational change and a cultural commitment to shared responsibility and open communication.</w:t>
      </w:r>
    </w:p>
    <w:p w14:paraId="2D33015B"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p>
    <w:p w14:paraId="18C7D93A"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 xml:space="preserve">Ethics underpins both person-centred care and partnership working. Beauchamp and Childress (2019) identify autonomy, beneficence, non-maleficence and justice as guiding principles of biomedical ethics. In UK practice, these principles intersect with statutory frameworks such as the Mental Capacity Act 2005, which protects individual autonomy while safeguarding vulnerable people. Ethical reasoning becomes particularly salient in situations </w:t>
      </w:r>
      <w:r w:rsidRPr="00BF36E2">
        <w:rPr>
          <w:rFonts w:ascii="Arial" w:hAnsi="Arial" w:cs="Arial"/>
          <w:kern w:val="0"/>
          <w:sz w:val="22"/>
          <w:szCs w:val="22"/>
          <w14:ligatures w14:val="none"/>
        </w:rPr>
        <w:lastRenderedPageBreak/>
        <w:t>involving risk, end-of-life care or safeguarding. The Nursing and Midwifery Council (NMC) Code (2018) operationalises these ethical standards by requiring professionals to prioritise people and practise with integrity.</w:t>
      </w:r>
    </w:p>
    <w:p w14:paraId="45E53F64" w14:textId="77777777"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p>
    <w:p w14:paraId="06BDB773" w14:textId="1660C30D" w:rsidR="006D1FD6" w:rsidRPr="00BF36E2" w:rsidRDefault="006D1FD6" w:rsidP="006D1FD6">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Collectively, these principles support high-quality care by promoting accountability, transparency and shared responsibility. They create a structured approach to navigating moral uncertainty, although tensions can arise between autonomy and risk management, particularly in resource-limited contexts. Reflective practice and professional judgement are therefore essential to applying these principles effectively. Ultimately, person-centred care, partnership working and ethics function as interconnected pillars of quality within UK health and social care, shaping both policy architecture and everyday professional practice. By reinforcing each other, they ensure that care is delivered safely, respectfully and in alignment with both legal requirements and moral imperatives</w:t>
      </w:r>
      <w:r w:rsidR="00AC1C65" w:rsidRPr="00BF36E2">
        <w:rPr>
          <w:rFonts w:ascii="Arial" w:hAnsi="Arial" w:cs="Arial"/>
          <w:kern w:val="0"/>
          <w:sz w:val="22"/>
          <w:szCs w:val="22"/>
          <w14:ligatures w14:val="none"/>
        </w:rPr>
        <w:t>.</w:t>
      </w:r>
    </w:p>
    <w:p w14:paraId="314D650B" w14:textId="77777777" w:rsidR="00C82D18" w:rsidRPr="00BF36E2" w:rsidRDefault="00C82D18" w:rsidP="006D1FD6">
      <w:pPr>
        <w:spacing w:before="100" w:beforeAutospacing="1" w:after="100" w:afterAutospacing="1" w:line="240" w:lineRule="auto"/>
        <w:rPr>
          <w:rFonts w:ascii="Arial" w:hAnsi="Arial" w:cs="Arial"/>
          <w:kern w:val="0"/>
          <w:sz w:val="22"/>
          <w:szCs w:val="22"/>
          <w14:ligatures w14:val="none"/>
        </w:rPr>
      </w:pPr>
    </w:p>
    <w:p w14:paraId="480E1108" w14:textId="3F31F457" w:rsidR="00C82D18" w:rsidRPr="00BF36E2" w:rsidRDefault="00AF1714" w:rsidP="006D1FD6">
      <w:pPr>
        <w:spacing w:before="100" w:beforeAutospacing="1" w:after="100" w:afterAutospacing="1" w:line="240" w:lineRule="auto"/>
        <w:rPr>
          <w:rFonts w:ascii="Arial" w:hAnsi="Arial" w:cs="Arial"/>
          <w:b/>
          <w:bCs/>
          <w:kern w:val="0"/>
          <w:sz w:val="22"/>
          <w:szCs w:val="22"/>
          <w:u w:val="single"/>
          <w14:ligatures w14:val="none"/>
        </w:rPr>
      </w:pPr>
      <w:r w:rsidRPr="00BF36E2">
        <w:rPr>
          <w:rFonts w:ascii="Arial" w:hAnsi="Arial" w:cs="Arial"/>
          <w:b/>
          <w:bCs/>
          <w:kern w:val="0"/>
          <w:sz w:val="22"/>
          <w:szCs w:val="22"/>
          <w:u w:val="single"/>
          <w14:ligatures w14:val="none"/>
        </w:rPr>
        <w:t xml:space="preserve">Practical Examples of Concepts in Practice </w:t>
      </w:r>
    </w:p>
    <w:p w14:paraId="2745ACD0" w14:textId="77777777" w:rsidR="00C82D18" w:rsidRPr="00BF36E2" w:rsidRDefault="00C82D18" w:rsidP="006D1FD6">
      <w:pPr>
        <w:spacing w:before="100" w:beforeAutospacing="1" w:after="100" w:afterAutospacing="1" w:line="240" w:lineRule="auto"/>
        <w:rPr>
          <w:rFonts w:ascii="Arial" w:hAnsi="Arial" w:cs="Arial"/>
          <w:kern w:val="0"/>
          <w:sz w:val="22"/>
          <w:szCs w:val="22"/>
          <w14:ligatures w14:val="none"/>
        </w:rPr>
      </w:pPr>
    </w:p>
    <w:p w14:paraId="1957C2D2" w14:textId="77777777" w:rsidR="00C82D18" w:rsidRPr="00BF36E2" w:rsidRDefault="00C82D18" w:rsidP="006D1FD6">
      <w:pPr>
        <w:spacing w:before="100" w:beforeAutospacing="1" w:after="100" w:afterAutospacing="1" w:line="240" w:lineRule="auto"/>
        <w:rPr>
          <w:rFonts w:ascii="Arial" w:hAnsi="Arial" w:cs="Arial"/>
          <w:kern w:val="0"/>
          <w:sz w:val="22"/>
          <w:szCs w:val="22"/>
          <w14:ligatures w14:val="none"/>
        </w:rPr>
      </w:pPr>
    </w:p>
    <w:p w14:paraId="213277FF"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 xml:space="preserve">practical example of these principles in action can be observed in hospital discharge planning for an older adult with multiple </w:t>
      </w:r>
      <w:proofErr w:type="spellStart"/>
      <w:r w:rsidRPr="00BF36E2">
        <w:rPr>
          <w:rFonts w:ascii="Arial" w:hAnsi="Arial" w:cs="Arial"/>
          <w:kern w:val="0"/>
          <w:sz w:val="22"/>
          <w:szCs w:val="22"/>
          <w14:ligatures w14:val="none"/>
        </w:rPr>
        <w:t>comorbidities</w:t>
      </w:r>
      <w:proofErr w:type="spellEnd"/>
      <w:r w:rsidRPr="00BF36E2">
        <w:rPr>
          <w:rFonts w:ascii="Arial" w:hAnsi="Arial" w:cs="Arial"/>
          <w:kern w:val="0"/>
          <w:sz w:val="22"/>
          <w:szCs w:val="22"/>
          <w14:ligatures w14:val="none"/>
        </w:rPr>
        <w:t xml:space="preserve"> and early-stage dementia. Such cases present clinical, ethical and organisational complexity, requiring careful coordination and professional judgement to ensure the individual’s needs are fully considered throughout the discharge process.</w:t>
      </w:r>
    </w:p>
    <w:p w14:paraId="28322C02"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p>
    <w:p w14:paraId="27CF0F50"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In one scenario (anonymised), an older individual was admitted following a fall. A task-focused approach might prioritise rapid discharge solely to free acute bed capacity. However, a person-centred approach required a detailed assessment of physical safety, cognitive capacity and social circumstances to determine the most appropriate plan. Under the Care Act 2014, local authorities have a statutory duty to assess care and support needs holistically (DHSC, 2014). The multidisciplinary team therefore conducted a needs assessment, involving physiotherapists, occupational therapists, social workers and family members. This collaborative approach ensured that all aspects of the individual’s wellbeing, including mobility, functional independence, social support and emotional security, were fully considered before any decisions about discharge were made.</w:t>
      </w:r>
    </w:p>
    <w:p w14:paraId="4D8B2795"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p>
    <w:p w14:paraId="6E7A6FD2"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 xml:space="preserve">The Mental Capacity Act 2005 provided a legal framework for guiding decision-making regarding consent. A capacity assessment confirmed that the individual retained decision-making ability. Respecting autonomy meant acknowledging the individual’s preference to return home rather than enter residential care. Nevertheless, ethical tension arose between autonomy and non-maleficence, given the potential risk of further falls and associated harm. Following NICE (2021) shared decision-making guidance, professionals discussed the risks openly with both the individual and family, enabling the collaborative development of a care plan. This plan included home adaptations, community physiotherapy support and </w:t>
      </w:r>
      <w:proofErr w:type="spellStart"/>
      <w:r w:rsidRPr="00BF36E2">
        <w:rPr>
          <w:rFonts w:ascii="Arial" w:hAnsi="Arial" w:cs="Arial"/>
          <w:kern w:val="0"/>
          <w:sz w:val="22"/>
          <w:szCs w:val="22"/>
          <w14:ligatures w14:val="none"/>
        </w:rPr>
        <w:t>telecare</w:t>
      </w:r>
      <w:proofErr w:type="spellEnd"/>
      <w:r w:rsidRPr="00BF36E2">
        <w:rPr>
          <w:rFonts w:ascii="Arial" w:hAnsi="Arial" w:cs="Arial"/>
          <w:kern w:val="0"/>
          <w:sz w:val="22"/>
          <w:szCs w:val="22"/>
          <w14:ligatures w14:val="none"/>
        </w:rPr>
        <w:t xml:space="preserve"> </w:t>
      </w:r>
      <w:r w:rsidRPr="00BF36E2">
        <w:rPr>
          <w:rFonts w:ascii="Arial" w:hAnsi="Arial" w:cs="Arial"/>
          <w:kern w:val="0"/>
          <w:sz w:val="22"/>
          <w:szCs w:val="22"/>
          <w14:ligatures w14:val="none"/>
        </w:rPr>
        <w:lastRenderedPageBreak/>
        <w:t>monitoring, designed to reduce risk while respecting the individual’s choices and promoting independence.</w:t>
      </w:r>
    </w:p>
    <w:p w14:paraId="6A20AC52"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p>
    <w:p w14:paraId="027FA853"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 xml:space="preserve">Partnership working was critical to the success of discharge planning. The Health and Care Act 2022 promotes integrated discharge models that reduce delayed transfers of care (DHSC, 2022). Effective communication and collaboration between hospital and community services ensured continuity of care, allowing each professional to understand responsibilities and maintain consistent support. Research indicates that structured </w:t>
      </w:r>
      <w:proofErr w:type="spellStart"/>
      <w:r w:rsidRPr="00BF36E2">
        <w:rPr>
          <w:rFonts w:ascii="Arial" w:hAnsi="Arial" w:cs="Arial"/>
          <w:kern w:val="0"/>
          <w:sz w:val="22"/>
          <w:szCs w:val="22"/>
          <w14:ligatures w14:val="none"/>
        </w:rPr>
        <w:t>interprofessional</w:t>
      </w:r>
      <w:proofErr w:type="spellEnd"/>
      <w:r w:rsidRPr="00BF36E2">
        <w:rPr>
          <w:rFonts w:ascii="Arial" w:hAnsi="Arial" w:cs="Arial"/>
          <w:kern w:val="0"/>
          <w:sz w:val="22"/>
          <w:szCs w:val="22"/>
          <w14:ligatures w14:val="none"/>
        </w:rPr>
        <w:t xml:space="preserve"> collaboration reduces readmission rates and improves patient satisfaction (Reeves et al., 2017). In this case, partnership working enabled a smooth transition from hospital to home, minimising gaps in care and preventing potential complications.</w:t>
      </w:r>
    </w:p>
    <w:p w14:paraId="76692628"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p>
    <w:p w14:paraId="3AE9BA9B"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Ethical principles guided professional judgement throughout the process. Justice required equitable access to rehabilitation resources, while beneficence required acting in the individual’s best interests without overriding expressed wishes. Thompson (2016) emphasises that anti-discriminatory practice is integral to ethical care, particularly for older adults who may be vulnerable to age-related bias. By applying ethical reasoning alongside person-centred care and collaborative working, the team was able to balance safety, autonomy and fairness in decision-making.</w:t>
      </w:r>
    </w:p>
    <w:p w14:paraId="33A89045"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p>
    <w:p w14:paraId="64B3773D" w14:textId="77777777" w:rsidR="00C82D18" w:rsidRPr="00BF36E2" w:rsidRDefault="00C82D18" w:rsidP="00C82D18">
      <w:pPr>
        <w:spacing w:before="100" w:beforeAutospacing="1" w:after="100" w:afterAutospacing="1" w:line="240" w:lineRule="auto"/>
        <w:rPr>
          <w:rFonts w:ascii="Arial" w:hAnsi="Arial" w:cs="Arial"/>
          <w:kern w:val="0"/>
          <w:sz w:val="22"/>
          <w:szCs w:val="22"/>
          <w14:ligatures w14:val="none"/>
        </w:rPr>
      </w:pPr>
      <w:r w:rsidRPr="00BF36E2">
        <w:rPr>
          <w:rFonts w:ascii="Arial" w:hAnsi="Arial" w:cs="Arial"/>
          <w:kern w:val="0"/>
          <w:sz w:val="22"/>
          <w:szCs w:val="22"/>
          <w14:ligatures w14:val="none"/>
        </w:rPr>
        <w:t>The outcome was positive: the individual returned home with structured support in place and did not require readmission within six months. This example demonstrates that applying person-centred care, partnership working and ethical reasoning can balance competing priorities while ensuring safe, high-quality care. Nevertheless, such approaches are resource-intensive, and workforce shortages challenge sustainability, highlighting the need for alignment between policy and operational capacity. Overall, this case illustrates how theory, legislation and professional codes converge in practice and underscores the importance of nuanced professional judgement rather than procedural compliance alone.</w:t>
      </w:r>
    </w:p>
    <w:p w14:paraId="68C6B7EE" w14:textId="77777777" w:rsidR="00F4733C" w:rsidRPr="00BF36E2" w:rsidRDefault="00F4733C" w:rsidP="00C82D18">
      <w:pPr>
        <w:spacing w:before="100" w:beforeAutospacing="1" w:after="100" w:afterAutospacing="1" w:line="240" w:lineRule="auto"/>
        <w:rPr>
          <w:rFonts w:ascii="Arial" w:hAnsi="Arial" w:cs="Arial"/>
          <w:kern w:val="0"/>
          <w:sz w:val="22"/>
          <w:szCs w:val="22"/>
          <w14:ligatures w14:val="none"/>
        </w:rPr>
      </w:pPr>
    </w:p>
    <w:p w14:paraId="334B494F" w14:textId="77777777" w:rsidR="00F4733C" w:rsidRPr="00BF36E2" w:rsidRDefault="00F4733C" w:rsidP="00C82D18">
      <w:pPr>
        <w:spacing w:before="100" w:beforeAutospacing="1" w:after="100" w:afterAutospacing="1" w:line="240" w:lineRule="auto"/>
        <w:rPr>
          <w:rFonts w:ascii="Arial" w:hAnsi="Arial" w:cs="Arial"/>
          <w:kern w:val="0"/>
          <w:sz w:val="22"/>
          <w:szCs w:val="22"/>
          <w14:ligatures w14:val="none"/>
        </w:rPr>
      </w:pPr>
    </w:p>
    <w:p w14:paraId="2115EEC0" w14:textId="77777777" w:rsidR="008408BD" w:rsidRPr="008408BD" w:rsidRDefault="008408BD" w:rsidP="008408BD">
      <w:pPr>
        <w:spacing w:before="100" w:beforeAutospacing="1" w:after="100" w:afterAutospacing="1" w:line="240" w:lineRule="auto"/>
        <w:outlineLvl w:val="0"/>
        <w:rPr>
          <w:rFonts w:ascii="Arial" w:eastAsia="Times New Roman" w:hAnsi="Arial" w:cs="Arial"/>
          <w:b/>
          <w:bCs/>
          <w:kern w:val="36"/>
          <w:sz w:val="22"/>
          <w:szCs w:val="22"/>
          <w:u w:val="single"/>
          <w14:ligatures w14:val="none"/>
        </w:rPr>
      </w:pPr>
      <w:r w:rsidRPr="008408BD">
        <w:rPr>
          <w:rFonts w:ascii="Arial" w:eastAsia="Times New Roman" w:hAnsi="Arial" w:cs="Arial"/>
          <w:b/>
          <w:bCs/>
          <w:kern w:val="36"/>
          <w:sz w:val="22"/>
          <w:szCs w:val="22"/>
          <w:u w:val="single"/>
          <w14:ligatures w14:val="none"/>
        </w:rPr>
        <w:t>Self-Reflection as a Health and Social Care Professional</w:t>
      </w:r>
    </w:p>
    <w:p w14:paraId="6AFF118F" w14:textId="446D4CAA" w:rsidR="00F4733C" w:rsidRPr="00BF36E2" w:rsidRDefault="00F4733C" w:rsidP="00C82D18">
      <w:pPr>
        <w:spacing w:before="100" w:beforeAutospacing="1" w:after="100" w:afterAutospacing="1" w:line="240" w:lineRule="auto"/>
        <w:rPr>
          <w:rFonts w:ascii="Arial" w:hAnsi="Arial" w:cs="Arial"/>
          <w:kern w:val="0"/>
          <w:sz w:val="22"/>
          <w:szCs w:val="22"/>
          <w14:ligatures w14:val="none"/>
        </w:rPr>
      </w:pPr>
    </w:p>
    <w:p w14:paraId="7AD53ABB"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Reflecting on my professional development, I recognise that person-centred care, partnership working and ethics profoundly shape my daily practice and professional identity. These principles do not merely inform isolated tasks; they underpin how I communicate with service users, document care, collaborate with colleagues, and make complex decisions. They also guide my personal approach to professional growth, influencing both the practical and moral dimensions of my practice. By consciously embedding these principles, I aim to provide care that is safe, equitable and responsive to the holistic needs of individuals.</w:t>
      </w:r>
    </w:p>
    <w:p w14:paraId="613B0434"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301D2ADD" w14:textId="77777777" w:rsidR="00F4733C" w:rsidRPr="00F4733C" w:rsidRDefault="00F4733C" w:rsidP="00F4733C">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F4733C">
        <w:rPr>
          <w:rFonts w:ascii="Arial" w:eastAsia="Times New Roman" w:hAnsi="Arial" w:cs="Arial"/>
          <w:b/>
          <w:bCs/>
          <w:kern w:val="0"/>
          <w:sz w:val="22"/>
          <w:szCs w:val="22"/>
          <w:u w:val="single"/>
          <w14:ligatures w14:val="none"/>
        </w:rPr>
        <w:lastRenderedPageBreak/>
        <w:t>Person-Centred Practice in My Role</w:t>
      </w:r>
    </w:p>
    <w:p w14:paraId="6A02304E" w14:textId="77777777" w:rsidR="00F4733C" w:rsidRPr="00F4733C" w:rsidRDefault="00F4733C" w:rsidP="00F4733C">
      <w:pPr>
        <w:spacing w:before="100" w:beforeAutospacing="1" w:after="100" w:afterAutospacing="1" w:line="240" w:lineRule="auto"/>
        <w:rPr>
          <w:rFonts w:ascii="Arial" w:hAnsi="Arial" w:cs="Arial"/>
          <w:kern w:val="0"/>
          <w:sz w:val="22"/>
          <w:szCs w:val="22"/>
          <w:u w:val="single"/>
          <w14:ligatures w14:val="none"/>
        </w:rPr>
      </w:pPr>
    </w:p>
    <w:p w14:paraId="7104203C"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In my day-to-day interactions, I strive to ensure that service users feel genuinely heard, respected and understood. Person-centred care requires far more than polite or courteous communication; it demands active listening, empathy, patience and flexibility. Maslow’s (1943) theory reminds me that underlying factors such as anxiety, insecurity, social isolation or disrupted routines may undermine a service user’s engagement with care or treatment. Recognising these influences encourages me to prioritise trust-building before initiating complex interventions. By establishing a rapport and demonstrating genuine concern for an individual’s wellbeing, I can create an environment in which they feel empowered to participate fully in decisions affecting their health and care.</w:t>
      </w:r>
    </w:p>
    <w:p w14:paraId="4655A052"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5DF453A9"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The Nursing and Midwifery Council (NMC) Code (2018) requires professionals to treat people as unique individuals and uphold their dignity at all times. In practice, I strive to involve service users actively in care planning discussions, explaining options in accessible, clear language and checking that they understand potential benefits and risks. This process helps to ensure that decisions are collaborative rather than prescriptive. Despite this, I acknowledge that time pressures and competing workload demands sometimes limit the depth of engagement I can achieve. Such constraints create tension between efficiency and meaningful participation. To address this, I plan to undertake continuing professional development (CPD) in advanced communication strategies, including motivational interviewing and trauma-informed practice, so that I can consistently maintain high standards of person-centred care even in time-limited scenarios.</w:t>
      </w:r>
    </w:p>
    <w:p w14:paraId="013A6D7D"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398707E3" w14:textId="16D65C31" w:rsidR="00F4733C" w:rsidRPr="00F4733C" w:rsidRDefault="00F4733C" w:rsidP="00F4733C">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F4733C">
        <w:rPr>
          <w:rFonts w:ascii="Arial" w:eastAsia="Times New Roman" w:hAnsi="Arial" w:cs="Arial"/>
          <w:b/>
          <w:bCs/>
          <w:kern w:val="0"/>
          <w:sz w:val="22"/>
          <w:szCs w:val="22"/>
          <w:u w:val="single"/>
          <w14:ligatures w14:val="none"/>
        </w:rPr>
        <w:t xml:space="preserve">Partnership Working and </w:t>
      </w:r>
      <w:r w:rsidR="00DF5BCC" w:rsidRPr="00BF36E2">
        <w:rPr>
          <w:rFonts w:ascii="Arial" w:eastAsia="Times New Roman" w:hAnsi="Arial" w:cs="Arial"/>
          <w:b/>
          <w:bCs/>
          <w:kern w:val="0"/>
          <w:sz w:val="22"/>
          <w:szCs w:val="22"/>
          <w:u w:val="single"/>
          <w14:ligatures w14:val="none"/>
        </w:rPr>
        <w:t>Inter-professional</w:t>
      </w:r>
      <w:r w:rsidRPr="00F4733C">
        <w:rPr>
          <w:rFonts w:ascii="Arial" w:eastAsia="Times New Roman" w:hAnsi="Arial" w:cs="Arial"/>
          <w:b/>
          <w:bCs/>
          <w:kern w:val="0"/>
          <w:sz w:val="22"/>
          <w:szCs w:val="22"/>
          <w:u w:val="single"/>
          <w14:ligatures w14:val="none"/>
        </w:rPr>
        <w:t xml:space="preserve"> Collaboration</w:t>
      </w:r>
    </w:p>
    <w:p w14:paraId="0C466124"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03096093"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Partnership working is central to my professional environment, where multidisciplinary teamwork is routine and essential. I communicate regularly with nurses, social workers, occupational therapists, physiotherapists, and other allied health professionals to coordinate care effectively. Reeves et al. (2017) highlight that effective teamwork depends on shared goals, mutual respect, clear role boundaries and open communication. I believe my own strengths in this area include reliability, clarity in written documentation, and respectful, constructive verbal communication. These attributes contribute to the smooth operation of the multidisciplinary team and enhance outcomes for service users.</w:t>
      </w:r>
    </w:p>
    <w:p w14:paraId="19CA8740"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09B35D4D"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 xml:space="preserve">Nevertheless, I recognise an area for growth in confidently contributing during multidisciplinary meetings. Hierarchical dynamics, in which senior staff or dominant personalities may overshadow other perspectives, can occasionally discourage assertive input from less experienced professionals. </w:t>
      </w:r>
      <w:proofErr w:type="spellStart"/>
      <w:r w:rsidRPr="00F4733C">
        <w:rPr>
          <w:rFonts w:ascii="Arial" w:hAnsi="Arial" w:cs="Arial"/>
          <w:kern w:val="0"/>
          <w:sz w:val="22"/>
          <w:szCs w:val="22"/>
          <w14:ligatures w14:val="none"/>
        </w:rPr>
        <w:t>Glasby</w:t>
      </w:r>
      <w:proofErr w:type="spellEnd"/>
      <w:r w:rsidRPr="00F4733C">
        <w:rPr>
          <w:rFonts w:ascii="Arial" w:hAnsi="Arial" w:cs="Arial"/>
          <w:kern w:val="0"/>
          <w:sz w:val="22"/>
          <w:szCs w:val="22"/>
          <w14:ligatures w14:val="none"/>
        </w:rPr>
        <w:t xml:space="preserve"> and Dickinson (2014) argue that partnership working requires cultural change as well as structural reform. To strengthen my leadership capacity and ability to contribute meaningfully in these settings, I intend to seek mentorship, engage with peer support networks, and undertake leadership training. Developing assertiveness and confidence will allow me to advocate more effectively for </w:t>
      </w:r>
      <w:r w:rsidRPr="00F4733C">
        <w:rPr>
          <w:rFonts w:ascii="Arial" w:hAnsi="Arial" w:cs="Arial"/>
          <w:kern w:val="0"/>
          <w:sz w:val="22"/>
          <w:szCs w:val="22"/>
          <w14:ligatures w14:val="none"/>
        </w:rPr>
        <w:lastRenderedPageBreak/>
        <w:t>service users, uphold ethical standards and ensure that their voices are represented in collective decision-making.</w:t>
      </w:r>
    </w:p>
    <w:p w14:paraId="410EFC2F"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76ED6D2A" w14:textId="77777777" w:rsidR="00F4733C" w:rsidRPr="00F4733C" w:rsidRDefault="00F4733C" w:rsidP="00F4733C">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F4733C">
        <w:rPr>
          <w:rFonts w:ascii="Arial" w:eastAsia="Times New Roman" w:hAnsi="Arial" w:cs="Arial"/>
          <w:b/>
          <w:bCs/>
          <w:kern w:val="0"/>
          <w:sz w:val="22"/>
          <w:szCs w:val="22"/>
          <w:u w:val="single"/>
          <w14:ligatures w14:val="none"/>
        </w:rPr>
        <w:t>Ethical Decision-Making and Professional Accountability</w:t>
      </w:r>
    </w:p>
    <w:p w14:paraId="0D81D926"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49744811"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Ethical dilemmas are an inherent part of practice, particularly when balancing autonomy with risk management. The Mental Capacity Act 2005 provides a statutory framework for supporting decision-making, yet ethical reasoning often extends beyond simple legal compliance. Beauchamp and Childress (2019) emphasise that ethical principles must be weighed contextually, considering the unique circumstances and values of each service user. For example, when a service user declines recommended treatment, I must respect their autonomy while documenting risks clearly and ensuring that appropriate measures are in place to mitigate potential harm.</w:t>
      </w:r>
    </w:p>
    <w:p w14:paraId="0CFD9609"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77719349"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I am also mindful of the importance of anti-discriminatory practice. Thompson (2016) highlights structural inequalities and potential biases within care systems. Reflecting on my own unconscious biases and personal assumptions is therefore an ongoing responsibility. By engaging in critical self-reflection, I can identify areas where my attitudes or behaviours might unintentionally disadvantage a service user and take steps to address them. To strengthen my cultural competence, I plan to engage in equality and diversity training, ensuring that my practice consistently aligns with principles of fairness and respect for all individuals.</w:t>
      </w:r>
    </w:p>
    <w:p w14:paraId="5B2C4450"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4C45A760" w14:textId="77777777" w:rsidR="00F4733C" w:rsidRPr="00F4733C" w:rsidRDefault="00F4733C" w:rsidP="00F4733C">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F4733C">
        <w:rPr>
          <w:rFonts w:ascii="Arial" w:eastAsia="Times New Roman" w:hAnsi="Arial" w:cs="Arial"/>
          <w:b/>
          <w:bCs/>
          <w:kern w:val="0"/>
          <w:sz w:val="22"/>
          <w:szCs w:val="22"/>
          <w:u w:val="single"/>
          <w14:ligatures w14:val="none"/>
        </w:rPr>
        <w:t>Strengths and Areas for Development</w:t>
      </w:r>
    </w:p>
    <w:p w14:paraId="2732E073"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65D955B2"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Through reflection, I have identified several key strengths that support my professional practice:</w:t>
      </w:r>
    </w:p>
    <w:p w14:paraId="5DB97729" w14:textId="77777777" w:rsidR="00F4733C" w:rsidRPr="00F4733C" w:rsidRDefault="00F4733C" w:rsidP="00F4733C">
      <w:pPr>
        <w:numPr>
          <w:ilvl w:val="0"/>
          <w:numId w:val="4"/>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Empathy and active listening, which allow me to understand and respond to service users’ needs effectively.</w:t>
      </w:r>
    </w:p>
    <w:p w14:paraId="2F1D5682" w14:textId="77777777" w:rsidR="00F4733C" w:rsidRPr="00F4733C" w:rsidRDefault="00F4733C" w:rsidP="00F4733C">
      <w:pPr>
        <w:numPr>
          <w:ilvl w:val="0"/>
          <w:numId w:val="4"/>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Commitment to ethical integrity, ensuring that care decisions are made with honesty and fairness.</w:t>
      </w:r>
    </w:p>
    <w:p w14:paraId="138C8150" w14:textId="77777777" w:rsidR="00F4733C" w:rsidRPr="00F4733C" w:rsidRDefault="00F4733C" w:rsidP="00F4733C">
      <w:pPr>
        <w:numPr>
          <w:ilvl w:val="0"/>
          <w:numId w:val="4"/>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Effective written documentation, which supports continuity of care and accountability.</w:t>
      </w:r>
    </w:p>
    <w:p w14:paraId="10498380" w14:textId="77777777" w:rsidR="00F4733C" w:rsidRPr="00F4733C" w:rsidRDefault="00F4733C" w:rsidP="00F4733C">
      <w:pPr>
        <w:numPr>
          <w:ilvl w:val="0"/>
          <w:numId w:val="4"/>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Respect for confidentiality and safeguarding duties, protecting vulnerable individuals and maintaining trust.</w:t>
      </w:r>
    </w:p>
    <w:p w14:paraId="6F468A22"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002E22E1"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At the same time, I have identified areas for further development:</w:t>
      </w:r>
    </w:p>
    <w:p w14:paraId="04FCD434" w14:textId="77777777" w:rsidR="00F4733C" w:rsidRPr="00F4733C" w:rsidRDefault="00F4733C" w:rsidP="00F4733C">
      <w:pPr>
        <w:numPr>
          <w:ilvl w:val="0"/>
          <w:numId w:val="5"/>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Increased confidence in leadership roles, to contribute more assertively in multidisciplinary decision-making.</w:t>
      </w:r>
    </w:p>
    <w:p w14:paraId="726586C9" w14:textId="77777777" w:rsidR="00F4733C" w:rsidRPr="00F4733C" w:rsidRDefault="00F4733C" w:rsidP="00F4733C">
      <w:pPr>
        <w:numPr>
          <w:ilvl w:val="0"/>
          <w:numId w:val="5"/>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lastRenderedPageBreak/>
        <w:t>Greater policy literacy regarding integrated care systems, to navigate structural reforms and statutory responsibilities with greater clarity.</w:t>
      </w:r>
    </w:p>
    <w:p w14:paraId="3BF0C890" w14:textId="77777777" w:rsidR="00F4733C" w:rsidRPr="00F4733C" w:rsidRDefault="00F4733C" w:rsidP="00F4733C">
      <w:pPr>
        <w:numPr>
          <w:ilvl w:val="0"/>
          <w:numId w:val="5"/>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Enhanced resilience under workload pressures, to maintain high-quality, person-centred practice consistently.</w:t>
      </w:r>
    </w:p>
    <w:p w14:paraId="1F4B1375"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1E362C7F"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To address these areas, I plan to:</w:t>
      </w:r>
    </w:p>
    <w:p w14:paraId="1F55D86F" w14:textId="77777777" w:rsidR="00F4733C" w:rsidRPr="00F4733C" w:rsidRDefault="00F4733C" w:rsidP="00F4733C">
      <w:pPr>
        <w:numPr>
          <w:ilvl w:val="0"/>
          <w:numId w:val="6"/>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Undertake annual safeguarding and capacity assessment updates to remain legally and professionally current.</w:t>
      </w:r>
    </w:p>
    <w:p w14:paraId="3B5CDB10" w14:textId="77777777" w:rsidR="00F4733C" w:rsidRPr="00F4733C" w:rsidRDefault="00F4733C" w:rsidP="00F4733C">
      <w:pPr>
        <w:numPr>
          <w:ilvl w:val="0"/>
          <w:numId w:val="6"/>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Engage with NICE guidance to remain evidence-informed and responsive to best practice.</w:t>
      </w:r>
    </w:p>
    <w:p w14:paraId="744CCC40" w14:textId="77777777" w:rsidR="00F4733C" w:rsidRPr="00F4733C" w:rsidRDefault="00F4733C" w:rsidP="00F4733C">
      <w:pPr>
        <w:numPr>
          <w:ilvl w:val="0"/>
          <w:numId w:val="6"/>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Participate in reflective supervision sessions to support critical self-analysis and personal growth.</w:t>
      </w:r>
    </w:p>
    <w:p w14:paraId="4144B27A" w14:textId="77777777" w:rsidR="00F4733C" w:rsidRPr="00F4733C" w:rsidRDefault="00F4733C" w:rsidP="00F4733C">
      <w:pPr>
        <w:numPr>
          <w:ilvl w:val="0"/>
          <w:numId w:val="6"/>
        </w:num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Enrol in postgraduate modules on leadership in integrated care, enhancing skills to operate effectively in complex team environments.</w:t>
      </w:r>
    </w:p>
    <w:p w14:paraId="037FDC7F"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5B3AB65F" w14:textId="77777777" w:rsidR="00F4733C" w:rsidRPr="00F4733C" w:rsidRDefault="00F4733C" w:rsidP="00F4733C">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F4733C">
        <w:rPr>
          <w:rFonts w:ascii="Arial" w:eastAsia="Times New Roman" w:hAnsi="Arial" w:cs="Arial"/>
          <w:b/>
          <w:bCs/>
          <w:kern w:val="0"/>
          <w:sz w:val="22"/>
          <w:szCs w:val="22"/>
          <w:u w:val="single"/>
          <w14:ligatures w14:val="none"/>
        </w:rPr>
        <w:t>Broader Professional Identity</w:t>
      </w:r>
    </w:p>
    <w:p w14:paraId="76734A3A"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3FF38C9B"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Critically, I recognise the limits of my knowledge. Complex safeguarding cases or end-of-life decisions require multidisciplinary expertise, and acknowledging these limits strengthens rather than weakens professional accountability. The Health and Care Act 2022 signals ongoing structural reform in UK health and social care, reinforcing the necessity of lifelong learning.</w:t>
      </w:r>
    </w:p>
    <w:p w14:paraId="7D65E19C"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488D0C91"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Person-centred care reminds me that each individual’s narrative matters, shaping my approach to assessment, communication and decision-making. Partnership working reinforces the value of collective responsibility and shared accountability. Ethics provides a moral compass guiding my decisions under conditions of uncertainty. Together, these principles shape my aspiration to practise not merely competently but conscientiously, reflectively and responsibly.</w:t>
      </w:r>
    </w:p>
    <w:p w14:paraId="6627E9EB" w14:textId="77777777" w:rsidR="00F4733C" w:rsidRPr="00F4733C" w:rsidRDefault="00F4733C" w:rsidP="00F4733C">
      <w:pPr>
        <w:spacing w:before="100" w:beforeAutospacing="1" w:after="100" w:afterAutospacing="1" w:line="240" w:lineRule="auto"/>
        <w:rPr>
          <w:rFonts w:ascii="Arial" w:hAnsi="Arial" w:cs="Arial"/>
          <w:kern w:val="0"/>
          <w:sz w:val="22"/>
          <w:szCs w:val="22"/>
          <w14:ligatures w14:val="none"/>
        </w:rPr>
      </w:pPr>
    </w:p>
    <w:p w14:paraId="2445D502" w14:textId="77777777" w:rsidR="00F4733C" w:rsidRDefault="00F4733C" w:rsidP="00F4733C">
      <w:pPr>
        <w:spacing w:before="100" w:beforeAutospacing="1" w:after="100" w:afterAutospacing="1" w:line="240" w:lineRule="auto"/>
        <w:rPr>
          <w:rFonts w:ascii="Arial" w:hAnsi="Arial" w:cs="Arial"/>
          <w:kern w:val="0"/>
          <w:sz w:val="22"/>
          <w:szCs w:val="22"/>
          <w14:ligatures w14:val="none"/>
        </w:rPr>
      </w:pPr>
      <w:r w:rsidRPr="00F4733C">
        <w:rPr>
          <w:rFonts w:ascii="Arial" w:hAnsi="Arial" w:cs="Arial"/>
          <w:kern w:val="0"/>
          <w:sz w:val="22"/>
          <w:szCs w:val="22"/>
          <w14:ligatures w14:val="none"/>
        </w:rPr>
        <w:t>By embedding theory, legislation and reflective learning into my daily practice, I aim to contribute to care that is safe, equitable and compassionate while continuously developing my professional capabilities, ensuring that I can respond effectively to the evolving needs of service users and the wider health and social care system.</w:t>
      </w:r>
    </w:p>
    <w:p w14:paraId="0D82F6E7" w14:textId="77777777" w:rsidR="00225F8F" w:rsidRDefault="00225F8F" w:rsidP="00F4733C">
      <w:pPr>
        <w:spacing w:before="100" w:beforeAutospacing="1" w:after="100" w:afterAutospacing="1" w:line="240" w:lineRule="auto"/>
        <w:rPr>
          <w:rFonts w:ascii="Arial" w:hAnsi="Arial" w:cs="Arial"/>
          <w:kern w:val="0"/>
          <w:sz w:val="22"/>
          <w:szCs w:val="22"/>
          <w14:ligatures w14:val="none"/>
        </w:rPr>
      </w:pPr>
    </w:p>
    <w:p w14:paraId="55A6F42A" w14:textId="77777777" w:rsidR="00225F8F" w:rsidRDefault="00225F8F" w:rsidP="00F4733C">
      <w:pPr>
        <w:spacing w:before="100" w:beforeAutospacing="1" w:after="100" w:afterAutospacing="1" w:line="240" w:lineRule="auto"/>
        <w:rPr>
          <w:rFonts w:ascii="Arial" w:hAnsi="Arial" w:cs="Arial"/>
          <w:kern w:val="0"/>
          <w:sz w:val="22"/>
          <w:szCs w:val="22"/>
          <w14:ligatures w14:val="none"/>
        </w:rPr>
      </w:pPr>
    </w:p>
    <w:p w14:paraId="6559A025" w14:textId="77777777" w:rsidR="00073CCA" w:rsidRDefault="00073CCA" w:rsidP="00F4733C">
      <w:pPr>
        <w:spacing w:before="100" w:beforeAutospacing="1" w:after="100" w:afterAutospacing="1" w:line="240" w:lineRule="auto"/>
        <w:rPr>
          <w:rFonts w:ascii="Arial" w:hAnsi="Arial" w:cs="Arial"/>
          <w:kern w:val="0"/>
          <w:sz w:val="22"/>
          <w:szCs w:val="22"/>
          <w14:ligatures w14:val="none"/>
        </w:rPr>
      </w:pPr>
    </w:p>
    <w:p w14:paraId="20BA654E" w14:textId="77777777" w:rsidR="00E225EF" w:rsidRDefault="00E225EF" w:rsidP="00073CCA">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D8FB64D" w14:textId="10DA45F4" w:rsidR="00073CCA" w:rsidRPr="00073CCA" w:rsidRDefault="00073CCA" w:rsidP="00073CCA">
      <w:pPr>
        <w:spacing w:before="100" w:beforeAutospacing="1" w:after="100" w:afterAutospacing="1" w:line="240" w:lineRule="auto"/>
        <w:outlineLvl w:val="0"/>
        <w:rPr>
          <w:rFonts w:ascii="Arial" w:eastAsia="Times New Roman" w:hAnsi="Arial" w:cs="Arial"/>
          <w:b/>
          <w:bCs/>
          <w:kern w:val="36"/>
          <w:sz w:val="22"/>
          <w:szCs w:val="22"/>
          <w14:ligatures w14:val="none"/>
        </w:rPr>
      </w:pPr>
      <w:r w:rsidRPr="00073CCA">
        <w:rPr>
          <w:rFonts w:ascii="Arial" w:eastAsia="Times New Roman" w:hAnsi="Arial" w:cs="Arial"/>
          <w:b/>
          <w:bCs/>
          <w:kern w:val="36"/>
          <w:sz w:val="22"/>
          <w:szCs w:val="22"/>
          <w14:ligatures w14:val="none"/>
        </w:rPr>
        <w:lastRenderedPageBreak/>
        <w:t>Reference List (Harvard Style)</w:t>
      </w:r>
    </w:p>
    <w:p w14:paraId="5D5161D1"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16227176"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 xml:space="preserve">Beauchamp, T.L. and Childress, J.F. (2019) Principles of Biomedical Ethics. 8th </w:t>
      </w:r>
      <w:proofErr w:type="spellStart"/>
      <w:r w:rsidRPr="00073CCA">
        <w:rPr>
          <w:rFonts w:ascii="Arial" w:hAnsi="Arial" w:cs="Arial"/>
          <w:kern w:val="0"/>
          <w:sz w:val="22"/>
          <w:szCs w:val="22"/>
          <w14:ligatures w14:val="none"/>
        </w:rPr>
        <w:t>edn</w:t>
      </w:r>
      <w:proofErr w:type="spellEnd"/>
      <w:r w:rsidRPr="00073CCA">
        <w:rPr>
          <w:rFonts w:ascii="Arial" w:hAnsi="Arial" w:cs="Arial"/>
          <w:kern w:val="0"/>
          <w:sz w:val="22"/>
          <w:szCs w:val="22"/>
          <w14:ligatures w14:val="none"/>
        </w:rPr>
        <w:t>. Oxford: Oxford University Press.</w:t>
      </w:r>
    </w:p>
    <w:p w14:paraId="426769E0"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14557E16"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Department of Health and Social Care (2014) Care Act 2014. London: HMSO.</w:t>
      </w:r>
    </w:p>
    <w:p w14:paraId="2ED2BEF3"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65F44984"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Department of Health and Social Care (2022) Health and Care Act 2022. London: HMSO.</w:t>
      </w:r>
    </w:p>
    <w:p w14:paraId="67B5339A"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2D89954E"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roofErr w:type="spellStart"/>
      <w:r w:rsidRPr="00073CCA">
        <w:rPr>
          <w:rFonts w:ascii="Arial" w:hAnsi="Arial" w:cs="Arial"/>
          <w:kern w:val="0"/>
          <w:sz w:val="22"/>
          <w:szCs w:val="22"/>
          <w14:ligatures w14:val="none"/>
        </w:rPr>
        <w:t>Glasby</w:t>
      </w:r>
      <w:proofErr w:type="spellEnd"/>
      <w:r w:rsidRPr="00073CCA">
        <w:rPr>
          <w:rFonts w:ascii="Arial" w:hAnsi="Arial" w:cs="Arial"/>
          <w:kern w:val="0"/>
          <w:sz w:val="22"/>
          <w:szCs w:val="22"/>
          <w14:ligatures w14:val="none"/>
        </w:rPr>
        <w:t>, J. and Dickinson, H. (2014) Partnership Working in Health and Social Care. Bristol: Policy Press.</w:t>
      </w:r>
    </w:p>
    <w:p w14:paraId="12319C91"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1450283E"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roofErr w:type="spellStart"/>
      <w:r w:rsidRPr="00073CCA">
        <w:rPr>
          <w:rFonts w:ascii="Arial" w:hAnsi="Arial" w:cs="Arial"/>
          <w:kern w:val="0"/>
          <w:sz w:val="22"/>
          <w:szCs w:val="22"/>
          <w14:ligatures w14:val="none"/>
        </w:rPr>
        <w:t>Kitwood</w:t>
      </w:r>
      <w:proofErr w:type="spellEnd"/>
      <w:r w:rsidRPr="00073CCA">
        <w:rPr>
          <w:rFonts w:ascii="Arial" w:hAnsi="Arial" w:cs="Arial"/>
          <w:kern w:val="0"/>
          <w:sz w:val="22"/>
          <w:szCs w:val="22"/>
          <w14:ligatures w14:val="none"/>
        </w:rPr>
        <w:t>, T. (1997) Dementia Reconsidered: The Person Comes First. Buckingham: Open University Press.</w:t>
      </w:r>
    </w:p>
    <w:p w14:paraId="62248386"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2DD6A3F1"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Maslow, A.H. (1943) ‘A Theory of Human Motivation’, Psychological Review, 50(4), pp. 370–396.</w:t>
      </w:r>
    </w:p>
    <w:p w14:paraId="1E5C1C7C"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4EBD82E9"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National Institute for Health and Care Excellence (2021) Shared Decision Making (NG197). London: NICE.</w:t>
      </w:r>
    </w:p>
    <w:p w14:paraId="5753F185"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4A656317"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Nursing and Midwifery Council (2018) The Code: Professional Standards of Practice and Behaviour for Nurses, Midwives and Nursing Associates. London: NMC.</w:t>
      </w:r>
    </w:p>
    <w:p w14:paraId="2E975926"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7F43E0F1"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O’Hagan, K. (2011) Cultural Competence in the Caring Professions. London: Jessica Kingsley Publishers.</w:t>
      </w:r>
    </w:p>
    <w:p w14:paraId="6A196B18" w14:textId="77777777"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p>
    <w:p w14:paraId="5C0B91C3" w14:textId="3806F7EE" w:rsidR="001833B2"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 xml:space="preserve">Reeves, S., </w:t>
      </w:r>
      <w:proofErr w:type="spellStart"/>
      <w:r w:rsidRPr="00073CCA">
        <w:rPr>
          <w:rFonts w:ascii="Arial" w:hAnsi="Arial" w:cs="Arial"/>
          <w:kern w:val="0"/>
          <w:sz w:val="22"/>
          <w:szCs w:val="22"/>
          <w14:ligatures w14:val="none"/>
        </w:rPr>
        <w:t>Pelone</w:t>
      </w:r>
      <w:proofErr w:type="spellEnd"/>
      <w:r w:rsidRPr="00073CCA">
        <w:rPr>
          <w:rFonts w:ascii="Arial" w:hAnsi="Arial" w:cs="Arial"/>
          <w:kern w:val="0"/>
          <w:sz w:val="22"/>
          <w:szCs w:val="22"/>
          <w14:ligatures w14:val="none"/>
        </w:rPr>
        <w:t xml:space="preserve">, F., Harrison, R., Goldman, J. and </w:t>
      </w:r>
      <w:proofErr w:type="spellStart"/>
      <w:r w:rsidRPr="00073CCA">
        <w:rPr>
          <w:rFonts w:ascii="Arial" w:hAnsi="Arial" w:cs="Arial"/>
          <w:kern w:val="0"/>
          <w:sz w:val="22"/>
          <w:szCs w:val="22"/>
          <w14:ligatures w14:val="none"/>
        </w:rPr>
        <w:t>Zwarenstein</w:t>
      </w:r>
      <w:proofErr w:type="spellEnd"/>
      <w:r w:rsidRPr="00073CCA">
        <w:rPr>
          <w:rFonts w:ascii="Arial" w:hAnsi="Arial" w:cs="Arial"/>
          <w:kern w:val="0"/>
          <w:sz w:val="22"/>
          <w:szCs w:val="22"/>
          <w14:ligatures w14:val="none"/>
        </w:rPr>
        <w:t>, M. (2017) ‘</w:t>
      </w:r>
      <w:proofErr w:type="spellStart"/>
      <w:r w:rsidRPr="00073CCA">
        <w:rPr>
          <w:rFonts w:ascii="Arial" w:hAnsi="Arial" w:cs="Arial"/>
          <w:kern w:val="0"/>
          <w:sz w:val="22"/>
          <w:szCs w:val="22"/>
          <w14:ligatures w14:val="none"/>
        </w:rPr>
        <w:t>Interprofessional</w:t>
      </w:r>
      <w:proofErr w:type="spellEnd"/>
      <w:r w:rsidRPr="00073CCA">
        <w:rPr>
          <w:rFonts w:ascii="Arial" w:hAnsi="Arial" w:cs="Arial"/>
          <w:kern w:val="0"/>
          <w:sz w:val="22"/>
          <w:szCs w:val="22"/>
          <w14:ligatures w14:val="none"/>
        </w:rPr>
        <w:t xml:space="preserve"> collaboration to improve professional practice and healthcare outcomes’, Cochrane Database of Systematic Reviews, 6(6).</w:t>
      </w:r>
    </w:p>
    <w:p w14:paraId="50E2528E" w14:textId="77777777" w:rsidR="00E225EF" w:rsidRDefault="00E225EF" w:rsidP="00073CCA">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 xml:space="preserve"> </w:t>
      </w:r>
    </w:p>
    <w:p w14:paraId="50C78230" w14:textId="77777777" w:rsidR="00E225EF" w:rsidRDefault="00E225EF" w:rsidP="00073CCA">
      <w:pPr>
        <w:spacing w:before="100" w:beforeAutospacing="1" w:after="100" w:afterAutospacing="1" w:line="240" w:lineRule="auto"/>
        <w:rPr>
          <w:rFonts w:ascii="Arial" w:hAnsi="Arial" w:cs="Arial"/>
          <w:kern w:val="0"/>
          <w:sz w:val="22"/>
          <w:szCs w:val="22"/>
          <w14:ligatures w14:val="none"/>
        </w:rPr>
      </w:pPr>
    </w:p>
    <w:p w14:paraId="4FC475E1" w14:textId="15860055" w:rsidR="00073CCA" w:rsidRPr="00073CCA" w:rsidRDefault="00073CCA" w:rsidP="00073CCA">
      <w:pPr>
        <w:spacing w:before="100" w:beforeAutospacing="1" w:after="100" w:afterAutospacing="1" w:line="240" w:lineRule="auto"/>
        <w:rPr>
          <w:rFonts w:ascii="Arial" w:hAnsi="Arial" w:cs="Arial"/>
          <w:kern w:val="0"/>
          <w:sz w:val="22"/>
          <w:szCs w:val="22"/>
          <w14:ligatures w14:val="none"/>
        </w:rPr>
      </w:pPr>
      <w:r w:rsidRPr="00073CCA">
        <w:rPr>
          <w:rFonts w:ascii="Arial" w:hAnsi="Arial" w:cs="Arial"/>
          <w:kern w:val="0"/>
          <w:sz w:val="22"/>
          <w:szCs w:val="22"/>
          <w14:ligatures w14:val="none"/>
        </w:rPr>
        <w:t xml:space="preserve">Thompson, N. (2016) Anti-Discriminatory Practice. 6th </w:t>
      </w:r>
      <w:proofErr w:type="spellStart"/>
      <w:r w:rsidRPr="00073CCA">
        <w:rPr>
          <w:rFonts w:ascii="Arial" w:hAnsi="Arial" w:cs="Arial"/>
          <w:kern w:val="0"/>
          <w:sz w:val="22"/>
          <w:szCs w:val="22"/>
          <w14:ligatures w14:val="none"/>
        </w:rPr>
        <w:t>edn</w:t>
      </w:r>
      <w:proofErr w:type="spellEnd"/>
      <w:r w:rsidRPr="00073CCA">
        <w:rPr>
          <w:rFonts w:ascii="Arial" w:hAnsi="Arial" w:cs="Arial"/>
          <w:kern w:val="0"/>
          <w:sz w:val="22"/>
          <w:szCs w:val="22"/>
          <w14:ligatures w14:val="none"/>
        </w:rPr>
        <w:t xml:space="preserve">. London: </w:t>
      </w:r>
      <w:proofErr w:type="spellStart"/>
      <w:r w:rsidRPr="00073CCA">
        <w:rPr>
          <w:rFonts w:ascii="Arial" w:hAnsi="Arial" w:cs="Arial"/>
          <w:kern w:val="0"/>
          <w:sz w:val="22"/>
          <w:szCs w:val="22"/>
          <w14:ligatures w14:val="none"/>
        </w:rPr>
        <w:t>Palgrave</w:t>
      </w:r>
      <w:proofErr w:type="spellEnd"/>
      <w:r w:rsidRPr="00073CCA">
        <w:rPr>
          <w:rFonts w:ascii="Arial" w:hAnsi="Arial" w:cs="Arial"/>
          <w:kern w:val="0"/>
          <w:sz w:val="22"/>
          <w:szCs w:val="22"/>
          <w14:ligatures w14:val="none"/>
        </w:rPr>
        <w:t>.</w:t>
      </w:r>
    </w:p>
    <w:p w14:paraId="4D0ABFF6" w14:textId="77777777" w:rsidR="001833B2" w:rsidRPr="00F4733C" w:rsidRDefault="001833B2" w:rsidP="00F4733C">
      <w:pPr>
        <w:spacing w:before="100" w:beforeAutospacing="1" w:after="100" w:afterAutospacing="1" w:line="240" w:lineRule="auto"/>
        <w:rPr>
          <w:rFonts w:ascii="Arial" w:hAnsi="Arial" w:cs="Arial"/>
          <w:kern w:val="0"/>
          <w:sz w:val="22"/>
          <w:szCs w:val="22"/>
          <w14:ligatures w14:val="none"/>
        </w:rPr>
      </w:pPr>
    </w:p>
    <w:p w14:paraId="28342DB0" w14:textId="77777777" w:rsidR="00F4733C" w:rsidRPr="001833B2" w:rsidRDefault="00F4733C" w:rsidP="00C82D18">
      <w:pPr>
        <w:spacing w:before="100" w:beforeAutospacing="1" w:after="100" w:afterAutospacing="1" w:line="240" w:lineRule="auto"/>
        <w:rPr>
          <w:rFonts w:ascii="Arial" w:hAnsi="Arial" w:cs="Arial"/>
          <w:kern w:val="0"/>
          <w:sz w:val="22"/>
          <w:szCs w:val="22"/>
          <w14:ligatures w14:val="none"/>
        </w:rPr>
      </w:pPr>
    </w:p>
    <w:p w14:paraId="53F246A3" w14:textId="77777777" w:rsidR="00C82D18" w:rsidRPr="001833B2" w:rsidRDefault="00C82D18" w:rsidP="00C82D18">
      <w:pPr>
        <w:rPr>
          <w:rFonts w:ascii="Arial" w:hAnsi="Arial" w:cs="Arial"/>
          <w:sz w:val="22"/>
          <w:szCs w:val="22"/>
        </w:rPr>
      </w:pPr>
    </w:p>
    <w:p w14:paraId="79934106" w14:textId="77777777" w:rsidR="00C82D18" w:rsidRPr="001833B2" w:rsidRDefault="00C82D18" w:rsidP="006D1FD6">
      <w:pPr>
        <w:spacing w:before="100" w:beforeAutospacing="1" w:after="100" w:afterAutospacing="1" w:line="240" w:lineRule="auto"/>
        <w:rPr>
          <w:rFonts w:ascii="Arial" w:hAnsi="Arial" w:cs="Arial"/>
          <w:kern w:val="0"/>
          <w:sz w:val="22"/>
          <w:szCs w:val="22"/>
          <w14:ligatures w14:val="none"/>
        </w:rPr>
      </w:pPr>
    </w:p>
    <w:p w14:paraId="61FF1263" w14:textId="77777777" w:rsidR="0031138D" w:rsidRPr="001833B2" w:rsidRDefault="0031138D">
      <w:pPr>
        <w:rPr>
          <w:rFonts w:ascii="Arial" w:hAnsi="Arial" w:cs="Arial"/>
          <w:sz w:val="22"/>
          <w:szCs w:val="22"/>
        </w:rPr>
      </w:pPr>
    </w:p>
    <w:sectPr w:rsidR="0031138D" w:rsidRPr="00183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B5B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D01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4F79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BC18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E57B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940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915491">
    <w:abstractNumId w:val="0"/>
  </w:num>
  <w:num w:numId="2" w16cid:durableId="261882781">
    <w:abstractNumId w:val="1"/>
  </w:num>
  <w:num w:numId="3" w16cid:durableId="1810247188">
    <w:abstractNumId w:val="3"/>
  </w:num>
  <w:num w:numId="4" w16cid:durableId="233778370">
    <w:abstractNumId w:val="5"/>
  </w:num>
  <w:num w:numId="5" w16cid:durableId="1740787742">
    <w:abstractNumId w:val="2"/>
  </w:num>
  <w:num w:numId="6" w16cid:durableId="703676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4C7"/>
    <w:rsid w:val="00073CCA"/>
    <w:rsid w:val="00130129"/>
    <w:rsid w:val="001833B2"/>
    <w:rsid w:val="00225F8F"/>
    <w:rsid w:val="0031138D"/>
    <w:rsid w:val="0052074E"/>
    <w:rsid w:val="005953E3"/>
    <w:rsid w:val="0061278C"/>
    <w:rsid w:val="00685300"/>
    <w:rsid w:val="006D1FD6"/>
    <w:rsid w:val="007046F3"/>
    <w:rsid w:val="007F2541"/>
    <w:rsid w:val="008408BD"/>
    <w:rsid w:val="008A3723"/>
    <w:rsid w:val="00992FAC"/>
    <w:rsid w:val="00A224C7"/>
    <w:rsid w:val="00AC1C65"/>
    <w:rsid w:val="00AD4EE1"/>
    <w:rsid w:val="00AF1714"/>
    <w:rsid w:val="00AF5118"/>
    <w:rsid w:val="00BF36E2"/>
    <w:rsid w:val="00C110CE"/>
    <w:rsid w:val="00C11ADA"/>
    <w:rsid w:val="00C4655A"/>
    <w:rsid w:val="00C65F56"/>
    <w:rsid w:val="00C82D18"/>
    <w:rsid w:val="00D007C0"/>
    <w:rsid w:val="00D87562"/>
    <w:rsid w:val="00DF5BCC"/>
    <w:rsid w:val="00E20EBC"/>
    <w:rsid w:val="00E225EF"/>
    <w:rsid w:val="00F26F3A"/>
    <w:rsid w:val="00F4733C"/>
    <w:rsid w:val="00F6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7681B8"/>
  <w15:chartTrackingRefBased/>
  <w15:docId w15:val="{0CF8F232-5C18-594D-92C5-D1D7453DA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4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24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24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24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24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24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4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4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4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4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24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24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24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24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2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4C7"/>
    <w:rPr>
      <w:rFonts w:eastAsiaTheme="majorEastAsia" w:cstheme="majorBidi"/>
      <w:color w:val="272727" w:themeColor="text1" w:themeTint="D8"/>
    </w:rPr>
  </w:style>
  <w:style w:type="paragraph" w:styleId="Title">
    <w:name w:val="Title"/>
    <w:basedOn w:val="Normal"/>
    <w:next w:val="Normal"/>
    <w:link w:val="TitleChar"/>
    <w:uiPriority w:val="10"/>
    <w:qFormat/>
    <w:rsid w:val="00A224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4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4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4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4C7"/>
    <w:pPr>
      <w:spacing w:before="160"/>
      <w:jc w:val="center"/>
    </w:pPr>
    <w:rPr>
      <w:i/>
      <w:iCs/>
      <w:color w:val="404040" w:themeColor="text1" w:themeTint="BF"/>
    </w:rPr>
  </w:style>
  <w:style w:type="character" w:customStyle="1" w:styleId="QuoteChar">
    <w:name w:val="Quote Char"/>
    <w:basedOn w:val="DefaultParagraphFont"/>
    <w:link w:val="Quote"/>
    <w:uiPriority w:val="29"/>
    <w:rsid w:val="00A224C7"/>
    <w:rPr>
      <w:i/>
      <w:iCs/>
      <w:color w:val="404040" w:themeColor="text1" w:themeTint="BF"/>
    </w:rPr>
  </w:style>
  <w:style w:type="paragraph" w:styleId="ListParagraph">
    <w:name w:val="List Paragraph"/>
    <w:basedOn w:val="Normal"/>
    <w:uiPriority w:val="34"/>
    <w:qFormat/>
    <w:rsid w:val="00A224C7"/>
    <w:pPr>
      <w:ind w:left="720"/>
      <w:contextualSpacing/>
    </w:pPr>
  </w:style>
  <w:style w:type="character" w:styleId="IntenseEmphasis">
    <w:name w:val="Intense Emphasis"/>
    <w:basedOn w:val="DefaultParagraphFont"/>
    <w:uiPriority w:val="21"/>
    <w:qFormat/>
    <w:rsid w:val="00A224C7"/>
    <w:rPr>
      <w:i/>
      <w:iCs/>
      <w:color w:val="2F5496" w:themeColor="accent1" w:themeShade="BF"/>
    </w:rPr>
  </w:style>
  <w:style w:type="paragraph" w:styleId="IntenseQuote">
    <w:name w:val="Intense Quote"/>
    <w:basedOn w:val="Normal"/>
    <w:next w:val="Normal"/>
    <w:link w:val="IntenseQuoteChar"/>
    <w:uiPriority w:val="30"/>
    <w:qFormat/>
    <w:rsid w:val="00A224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24C7"/>
    <w:rPr>
      <w:i/>
      <w:iCs/>
      <w:color w:val="2F5496" w:themeColor="accent1" w:themeShade="BF"/>
    </w:rPr>
  </w:style>
  <w:style w:type="character" w:styleId="IntenseReference">
    <w:name w:val="Intense Reference"/>
    <w:basedOn w:val="DefaultParagraphFont"/>
    <w:uiPriority w:val="32"/>
    <w:qFormat/>
    <w:rsid w:val="00A224C7"/>
    <w:rPr>
      <w:b/>
      <w:bCs/>
      <w:smallCaps/>
      <w:color w:val="2F5496" w:themeColor="accent1" w:themeShade="BF"/>
      <w:spacing w:val="5"/>
    </w:rPr>
  </w:style>
  <w:style w:type="paragraph" w:customStyle="1" w:styleId="p1">
    <w:name w:val="p1"/>
    <w:basedOn w:val="Normal"/>
    <w:rsid w:val="007046F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7046F3"/>
    <w:rPr>
      <w:rFonts w:ascii="Helvetica" w:hAnsi="Helvetica" w:hint="default"/>
      <w:b w:val="0"/>
      <w:bCs w:val="0"/>
      <w:i w:val="0"/>
      <w:iCs w:val="0"/>
      <w:sz w:val="18"/>
      <w:szCs w:val="18"/>
    </w:rPr>
  </w:style>
  <w:style w:type="paragraph" w:customStyle="1" w:styleId="p2">
    <w:name w:val="p2"/>
    <w:basedOn w:val="Normal"/>
    <w:rsid w:val="00D87562"/>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073CCA"/>
  </w:style>
  <w:style w:type="paragraph" w:customStyle="1" w:styleId="p3">
    <w:name w:val="p3"/>
    <w:basedOn w:val="Normal"/>
    <w:rsid w:val="00073CC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73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2670</Words>
  <Characters>15220</Characters>
  <Application>Microsoft Office Word</Application>
  <DocSecurity>0</DocSecurity>
  <Lines>126</Lines>
  <Paragraphs>35</Paragraphs>
  <ScaleCrop>false</ScaleCrop>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Lissa</dc:creator>
  <cp:keywords/>
  <dc:description/>
  <cp:lastModifiedBy>Alexa Lissa</cp:lastModifiedBy>
  <cp:revision>2</cp:revision>
  <dcterms:created xsi:type="dcterms:W3CDTF">2026-03-01T21:11:00Z</dcterms:created>
  <dcterms:modified xsi:type="dcterms:W3CDTF">2026-03-01T21:11:00Z</dcterms:modified>
</cp:coreProperties>
</file>