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A8A2A" w14:textId="77777777"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t>Mary Bowen-Perkins</w:t>
      </w:r>
      <w:r w:rsidR="00BD07BF">
        <w:rPr>
          <w:rFonts w:ascii="Georgia" w:hAnsi="Georgia"/>
          <w:sz w:val="24"/>
          <w:szCs w:val="24"/>
        </w:rPr>
        <w:t xml:space="preserve"> (1601141)</w:t>
      </w:r>
    </w:p>
    <w:p w14:paraId="7333601F" w14:textId="7392AE44" w:rsidR="00026059" w:rsidRPr="00863CDE" w:rsidRDefault="00024247" w:rsidP="00817A44">
      <w:pPr>
        <w:spacing w:after="0" w:line="480" w:lineRule="auto"/>
        <w:rPr>
          <w:rFonts w:ascii="Georgia" w:hAnsi="Georgia"/>
          <w:sz w:val="24"/>
          <w:szCs w:val="24"/>
        </w:rPr>
      </w:pPr>
      <w:r>
        <w:rPr>
          <w:rFonts w:ascii="Georgia" w:hAnsi="Georgia"/>
          <w:sz w:val="24"/>
          <w:szCs w:val="24"/>
        </w:rPr>
        <w:t>Dreams and Nightmares: Exploring Utopian and Dystopian Writing (HPEN6010)</w:t>
      </w:r>
    </w:p>
    <w:p w14:paraId="272E1493" w14:textId="1DB9A010" w:rsidR="00E7589F" w:rsidRDefault="00024247" w:rsidP="00817A44">
      <w:pPr>
        <w:spacing w:after="0" w:line="480" w:lineRule="auto"/>
        <w:rPr>
          <w:rFonts w:ascii="Georgia" w:hAnsi="Georgia"/>
          <w:sz w:val="24"/>
          <w:szCs w:val="24"/>
        </w:rPr>
      </w:pPr>
      <w:r>
        <w:rPr>
          <w:rFonts w:ascii="Georgia" w:hAnsi="Georgia"/>
          <w:sz w:val="24"/>
          <w:szCs w:val="24"/>
        </w:rPr>
        <w:t>4</w:t>
      </w:r>
      <w:r w:rsidRPr="00024247">
        <w:rPr>
          <w:rFonts w:ascii="Georgia" w:hAnsi="Georgia"/>
          <w:sz w:val="24"/>
          <w:szCs w:val="24"/>
          <w:vertAlign w:val="superscript"/>
        </w:rPr>
        <w:t>th</w:t>
      </w:r>
      <w:r>
        <w:rPr>
          <w:rFonts w:ascii="Georgia" w:hAnsi="Georgia"/>
          <w:sz w:val="24"/>
          <w:szCs w:val="24"/>
        </w:rPr>
        <w:t xml:space="preserve"> November 2018</w:t>
      </w:r>
    </w:p>
    <w:p w14:paraId="753E4B91" w14:textId="77777777" w:rsidR="00024247" w:rsidRPr="00024247" w:rsidRDefault="00024247" w:rsidP="00817A44">
      <w:pPr>
        <w:spacing w:after="0" w:line="480" w:lineRule="auto"/>
        <w:rPr>
          <w:rFonts w:ascii="Georgia" w:hAnsi="Georgia"/>
          <w:sz w:val="24"/>
          <w:szCs w:val="24"/>
        </w:rPr>
      </w:pPr>
    </w:p>
    <w:p w14:paraId="2DD82073" w14:textId="750DB6BA" w:rsidR="00F82D04" w:rsidRPr="00BA7FAC" w:rsidRDefault="0056442C" w:rsidP="00673D20">
      <w:pPr>
        <w:shd w:val="clear" w:color="auto" w:fill="FFFFFF"/>
        <w:tabs>
          <w:tab w:val="left" w:pos="6945"/>
        </w:tabs>
        <w:spacing w:line="480" w:lineRule="auto"/>
        <w:jc w:val="center"/>
        <w:rPr>
          <w:rFonts w:ascii="Georgia" w:hAnsi="Georgia"/>
          <w:i/>
          <w:sz w:val="32"/>
          <w:szCs w:val="32"/>
        </w:rPr>
      </w:pPr>
      <w:r w:rsidRPr="00BA7FAC">
        <w:rPr>
          <w:rFonts w:ascii="Georgia" w:hAnsi="Georgia"/>
          <w:sz w:val="32"/>
          <w:szCs w:val="32"/>
        </w:rPr>
        <w:t>F</w:t>
      </w:r>
      <w:r w:rsidR="000F2E7A" w:rsidRPr="00BA7FAC">
        <w:rPr>
          <w:rFonts w:ascii="Georgia" w:hAnsi="Georgia"/>
          <w:sz w:val="32"/>
          <w:szCs w:val="32"/>
        </w:rPr>
        <w:t xml:space="preserve">ashioning Identity: </w:t>
      </w:r>
      <w:r w:rsidR="00964AB9" w:rsidRPr="00BA7FAC">
        <w:rPr>
          <w:rFonts w:ascii="Georgia" w:hAnsi="Georgia"/>
          <w:sz w:val="32"/>
          <w:szCs w:val="32"/>
        </w:rPr>
        <w:t>Uniformity</w:t>
      </w:r>
      <w:r w:rsidR="000F2E7A" w:rsidRPr="00BA7FAC">
        <w:rPr>
          <w:rFonts w:ascii="Georgia" w:hAnsi="Georgia"/>
          <w:sz w:val="32"/>
          <w:szCs w:val="32"/>
        </w:rPr>
        <w:t xml:space="preserve">, Gender, and the Body in </w:t>
      </w:r>
      <w:proofErr w:type="spellStart"/>
      <w:r w:rsidR="00B56651" w:rsidRPr="00BA7FAC">
        <w:rPr>
          <w:rFonts w:ascii="Georgia" w:hAnsi="Georgia"/>
          <w:i/>
          <w:sz w:val="32"/>
          <w:szCs w:val="32"/>
        </w:rPr>
        <w:t>Herland</w:t>
      </w:r>
      <w:proofErr w:type="spellEnd"/>
      <w:r w:rsidR="000F2E7A" w:rsidRPr="00BA7FAC">
        <w:rPr>
          <w:rFonts w:ascii="Georgia" w:hAnsi="Georgia"/>
          <w:sz w:val="32"/>
          <w:szCs w:val="32"/>
        </w:rPr>
        <w:t xml:space="preserve"> and </w:t>
      </w:r>
      <w:r w:rsidR="00B56651" w:rsidRPr="00BA7FAC">
        <w:rPr>
          <w:rFonts w:ascii="Georgia" w:hAnsi="Georgia"/>
          <w:i/>
          <w:sz w:val="32"/>
          <w:szCs w:val="32"/>
        </w:rPr>
        <w:t>Nineteen-Eighty-Four</w:t>
      </w:r>
    </w:p>
    <w:p w14:paraId="16754990" w14:textId="3D5230FC" w:rsidR="002427CB" w:rsidRDefault="000F2E7A" w:rsidP="002427CB">
      <w:pPr>
        <w:shd w:val="clear" w:color="auto" w:fill="FFFFFF"/>
        <w:tabs>
          <w:tab w:val="left" w:pos="1080"/>
        </w:tabs>
        <w:spacing w:after="0" w:line="240" w:lineRule="auto"/>
        <w:jc w:val="both"/>
        <w:rPr>
          <w:rFonts w:ascii="Georgia" w:hAnsi="Georgia"/>
          <w:i/>
          <w:sz w:val="24"/>
          <w:szCs w:val="24"/>
        </w:rPr>
      </w:pPr>
      <w:r w:rsidRPr="000F2E7A">
        <w:rPr>
          <w:rFonts w:ascii="Georgia" w:hAnsi="Georgia"/>
          <w:i/>
          <w:sz w:val="24"/>
          <w:szCs w:val="24"/>
        </w:rPr>
        <w:t xml:space="preserve"> ‘Vain trifles as they seem, clothes have, they say, more important offices than merely to keep us warm. They change our view of the world and the world’s view of us.’</w:t>
      </w:r>
      <w:r w:rsidR="002427CB" w:rsidRPr="002427CB">
        <w:rPr>
          <w:rStyle w:val="FootnoteReference"/>
          <w:rFonts w:ascii="Georgia" w:hAnsi="Georgia"/>
          <w:i/>
          <w:sz w:val="24"/>
          <w:szCs w:val="24"/>
        </w:rPr>
        <w:t xml:space="preserve"> </w:t>
      </w:r>
      <w:r w:rsidR="002427CB">
        <w:rPr>
          <w:rStyle w:val="FootnoteReference"/>
          <w:rFonts w:ascii="Georgia" w:hAnsi="Georgia"/>
          <w:i/>
          <w:sz w:val="24"/>
          <w:szCs w:val="24"/>
        </w:rPr>
        <w:footnoteReference w:id="1"/>
      </w:r>
    </w:p>
    <w:p w14:paraId="15E2076A" w14:textId="77777777" w:rsidR="002D5459" w:rsidRDefault="002D5459" w:rsidP="002D5459">
      <w:pPr>
        <w:shd w:val="clear" w:color="auto" w:fill="FFFFFF"/>
        <w:tabs>
          <w:tab w:val="left" w:pos="1080"/>
        </w:tabs>
        <w:spacing w:after="0" w:line="240" w:lineRule="auto"/>
        <w:jc w:val="both"/>
        <w:rPr>
          <w:rFonts w:ascii="Georgia" w:hAnsi="Georgia"/>
          <w:i/>
          <w:sz w:val="24"/>
          <w:szCs w:val="24"/>
        </w:rPr>
      </w:pPr>
    </w:p>
    <w:p w14:paraId="43EC93B2" w14:textId="479767C8" w:rsidR="002D5459" w:rsidRDefault="00673D20" w:rsidP="002D5459">
      <w:pPr>
        <w:shd w:val="clear" w:color="auto" w:fill="FFFFFF"/>
        <w:tabs>
          <w:tab w:val="left" w:pos="1080"/>
        </w:tabs>
        <w:spacing w:after="0" w:line="240" w:lineRule="auto"/>
        <w:jc w:val="both"/>
        <w:rPr>
          <w:rFonts w:ascii="Georgia" w:hAnsi="Georgia"/>
          <w:i/>
          <w:sz w:val="24"/>
          <w:szCs w:val="24"/>
        </w:rPr>
      </w:pPr>
      <w:r>
        <w:rPr>
          <w:rFonts w:ascii="Georgia" w:hAnsi="Georgia"/>
          <w:i/>
          <w:sz w:val="24"/>
          <w:szCs w:val="24"/>
        </w:rPr>
        <w:tab/>
      </w:r>
      <w:r w:rsidR="000F2E7A" w:rsidRPr="000F2E7A">
        <w:rPr>
          <w:rFonts w:ascii="Georgia" w:hAnsi="Georgia"/>
          <w:i/>
          <w:sz w:val="24"/>
          <w:szCs w:val="24"/>
        </w:rPr>
        <w:t xml:space="preserve"> – Virginia Woolf</w:t>
      </w:r>
    </w:p>
    <w:p w14:paraId="7BADFA30" w14:textId="77777777" w:rsidR="002D5459" w:rsidRPr="000F2E7A" w:rsidRDefault="002D5459" w:rsidP="002D5459">
      <w:pPr>
        <w:shd w:val="clear" w:color="auto" w:fill="FFFFFF"/>
        <w:tabs>
          <w:tab w:val="left" w:pos="1080"/>
        </w:tabs>
        <w:spacing w:after="0" w:line="240" w:lineRule="auto"/>
        <w:jc w:val="both"/>
        <w:rPr>
          <w:rFonts w:ascii="Georgia" w:hAnsi="Georgia"/>
          <w:i/>
          <w:sz w:val="24"/>
          <w:szCs w:val="24"/>
        </w:rPr>
      </w:pPr>
    </w:p>
    <w:p w14:paraId="6A3C2650" w14:textId="000652F6" w:rsidR="000F2E7A" w:rsidRPr="000F2E7A" w:rsidRDefault="001439EB" w:rsidP="002D5459">
      <w:pPr>
        <w:shd w:val="clear" w:color="auto" w:fill="FFFFFF"/>
        <w:tabs>
          <w:tab w:val="left" w:pos="1080"/>
        </w:tabs>
        <w:spacing w:before="240" w:after="0" w:line="480" w:lineRule="auto"/>
        <w:jc w:val="both"/>
        <w:rPr>
          <w:rFonts w:ascii="Georgia" w:hAnsi="Georgia"/>
          <w:sz w:val="24"/>
          <w:szCs w:val="24"/>
        </w:rPr>
      </w:pPr>
      <w:r>
        <w:rPr>
          <w:rFonts w:ascii="Georgia" w:hAnsi="Georgia"/>
          <w:sz w:val="24"/>
          <w:szCs w:val="24"/>
        </w:rPr>
        <w:t>Clothing</w:t>
      </w:r>
      <w:r w:rsidR="000F2E7A" w:rsidRPr="000F2E7A">
        <w:rPr>
          <w:rFonts w:ascii="Georgia" w:hAnsi="Georgia"/>
          <w:sz w:val="24"/>
          <w:szCs w:val="24"/>
        </w:rPr>
        <w:t xml:space="preserve"> and personal style hold great significance in society. For an individual, the way a person dresses can be </w:t>
      </w:r>
      <w:r w:rsidR="005B6618">
        <w:rPr>
          <w:rFonts w:ascii="Georgia" w:hAnsi="Georgia"/>
          <w:sz w:val="24"/>
          <w:szCs w:val="24"/>
        </w:rPr>
        <w:t xml:space="preserve">an </w:t>
      </w:r>
      <w:r w:rsidR="000F2E7A" w:rsidRPr="000F2E7A">
        <w:rPr>
          <w:rFonts w:ascii="Georgia" w:hAnsi="Georgia"/>
          <w:sz w:val="24"/>
          <w:szCs w:val="24"/>
        </w:rPr>
        <w:t xml:space="preserve">expression of self. For people in a group, it can show a collective identity. For subcultures, it can indicate both membership of a group as well as rebellion against societal norms. </w:t>
      </w:r>
      <w:r w:rsidR="006552E4">
        <w:rPr>
          <w:rFonts w:ascii="Georgia" w:hAnsi="Georgia"/>
          <w:sz w:val="24"/>
          <w:szCs w:val="24"/>
        </w:rPr>
        <w:t xml:space="preserve">In his seminal essay on dress, ‘Fashion’, sociologist Georg Simmel declared that </w:t>
      </w:r>
      <w:r w:rsidR="006552E4" w:rsidRPr="000F2E7A">
        <w:rPr>
          <w:rFonts w:ascii="Georgia" w:hAnsi="Georgia"/>
          <w:sz w:val="24"/>
          <w:szCs w:val="24"/>
        </w:rPr>
        <w:t xml:space="preserve">‘Fashion is the imitation of a given example and satisfies the demand for social adaptation; </w:t>
      </w:r>
      <w:r w:rsidR="001A0D97">
        <w:rPr>
          <w:rFonts w:ascii="Georgia" w:hAnsi="Georgia"/>
          <w:sz w:val="24"/>
          <w:szCs w:val="24"/>
        </w:rPr>
        <w:t>[…]</w:t>
      </w:r>
      <w:r w:rsidR="006552E4" w:rsidRPr="000F2E7A">
        <w:rPr>
          <w:rFonts w:ascii="Georgia" w:hAnsi="Georgia"/>
          <w:sz w:val="24"/>
          <w:szCs w:val="24"/>
        </w:rPr>
        <w:t xml:space="preserve"> it furnishes a general condition, which resolves the conduct of every individual into a mere example.’</w:t>
      </w:r>
      <w:r w:rsidR="006552E4">
        <w:rPr>
          <w:rStyle w:val="FootnoteReference"/>
          <w:rFonts w:ascii="Georgia" w:hAnsi="Georgia"/>
          <w:sz w:val="24"/>
          <w:szCs w:val="24"/>
        </w:rPr>
        <w:footnoteReference w:id="2"/>
      </w:r>
      <w:r w:rsidR="006552E4">
        <w:rPr>
          <w:rFonts w:ascii="Georgia" w:hAnsi="Georgia"/>
          <w:sz w:val="24"/>
          <w:szCs w:val="24"/>
        </w:rPr>
        <w:t xml:space="preserve"> Therefore dress</w:t>
      </w:r>
      <w:r w:rsidR="00E8396B">
        <w:rPr>
          <w:rFonts w:ascii="Georgia" w:hAnsi="Georgia"/>
          <w:sz w:val="24"/>
          <w:szCs w:val="24"/>
        </w:rPr>
        <w:t xml:space="preserve"> – with its </w:t>
      </w:r>
      <w:r w:rsidR="006A0FEB">
        <w:rPr>
          <w:rFonts w:ascii="Georgia" w:hAnsi="Georgia"/>
          <w:sz w:val="24"/>
          <w:szCs w:val="24"/>
        </w:rPr>
        <w:t xml:space="preserve">relationship to social adaptation and conformity – </w:t>
      </w:r>
      <w:r w:rsidR="006552E4">
        <w:rPr>
          <w:rFonts w:ascii="Georgia" w:hAnsi="Georgia"/>
          <w:sz w:val="24"/>
          <w:szCs w:val="24"/>
        </w:rPr>
        <w:t>is an important tool for societies</w:t>
      </w:r>
      <w:r w:rsidR="00B56651">
        <w:rPr>
          <w:rFonts w:ascii="Georgia" w:hAnsi="Georgia"/>
          <w:sz w:val="24"/>
          <w:szCs w:val="24"/>
        </w:rPr>
        <w:t xml:space="preserve">, as well as for those who wish to represent them. </w:t>
      </w:r>
      <w:r w:rsidR="006A0FEB">
        <w:rPr>
          <w:rFonts w:ascii="Georgia" w:hAnsi="Georgia"/>
          <w:sz w:val="24"/>
          <w:szCs w:val="24"/>
        </w:rPr>
        <w:t>F</w:t>
      </w:r>
      <w:r w:rsidR="000F2E7A" w:rsidRPr="000F2E7A">
        <w:rPr>
          <w:rFonts w:ascii="Georgia" w:hAnsi="Georgia"/>
          <w:sz w:val="24"/>
          <w:szCs w:val="24"/>
        </w:rPr>
        <w:t xml:space="preserve">or authors who wish to construct an imaginary world, as in the case of writers of dystopian and utopian fiction, the fashion of their world’s people can be a valuable tool for signalling to the readers the values of their society. This is particularly true for expressions of gender and sexuality through fashion, as the performative aspect </w:t>
      </w:r>
      <w:r w:rsidR="000F2E7A" w:rsidRPr="000F2E7A">
        <w:rPr>
          <w:rFonts w:ascii="Georgia" w:hAnsi="Georgia"/>
          <w:sz w:val="24"/>
          <w:szCs w:val="24"/>
        </w:rPr>
        <w:lastRenderedPageBreak/>
        <w:t xml:space="preserve">of dress has long been tied to sex and gender representation. Two </w:t>
      </w:r>
      <w:r w:rsidR="003C5219">
        <w:rPr>
          <w:rFonts w:ascii="Georgia" w:hAnsi="Georgia"/>
          <w:sz w:val="24"/>
          <w:szCs w:val="24"/>
        </w:rPr>
        <w:t xml:space="preserve">such </w:t>
      </w:r>
      <w:r w:rsidR="000F2E7A" w:rsidRPr="000F2E7A">
        <w:rPr>
          <w:rFonts w:ascii="Georgia" w:hAnsi="Georgia"/>
          <w:sz w:val="24"/>
          <w:szCs w:val="24"/>
        </w:rPr>
        <w:t xml:space="preserve">utopian/dystopian texts which make use of this connection between fashion and society are Charlotte Perkins Gilman’s </w:t>
      </w:r>
      <w:proofErr w:type="spellStart"/>
      <w:r w:rsidR="00B56651" w:rsidRPr="00B56651">
        <w:rPr>
          <w:rFonts w:ascii="Georgia" w:hAnsi="Georgia"/>
          <w:i/>
          <w:sz w:val="24"/>
          <w:szCs w:val="24"/>
        </w:rPr>
        <w:t>Herland</w:t>
      </w:r>
      <w:proofErr w:type="spellEnd"/>
      <w:r w:rsidR="000F2E7A" w:rsidRPr="000F2E7A">
        <w:rPr>
          <w:rFonts w:ascii="Georgia" w:hAnsi="Georgia"/>
          <w:sz w:val="24"/>
          <w:szCs w:val="24"/>
        </w:rPr>
        <w:t xml:space="preserve"> and George Orwell’s </w:t>
      </w:r>
      <w:r w:rsidR="00B56651" w:rsidRPr="00B56651">
        <w:rPr>
          <w:rFonts w:ascii="Georgia" w:hAnsi="Georgia"/>
          <w:i/>
          <w:sz w:val="24"/>
          <w:szCs w:val="24"/>
        </w:rPr>
        <w:t>Nineteen-Eighty-Four</w:t>
      </w:r>
      <w:r w:rsidR="000F2E7A" w:rsidRPr="000F2E7A">
        <w:rPr>
          <w:rFonts w:ascii="Georgia" w:hAnsi="Georgia"/>
          <w:sz w:val="24"/>
          <w:szCs w:val="24"/>
        </w:rPr>
        <w:t xml:space="preserve">. While both novels present drastically different fictional worlds, they have in common their use of clothing and style as a symbol to </w:t>
      </w:r>
      <w:r w:rsidR="000D7BA3">
        <w:rPr>
          <w:rFonts w:ascii="Georgia" w:hAnsi="Georgia"/>
          <w:sz w:val="24"/>
          <w:szCs w:val="24"/>
        </w:rPr>
        <w:t>illustrate</w:t>
      </w:r>
      <w:r w:rsidR="000F2E7A" w:rsidRPr="000F2E7A">
        <w:rPr>
          <w:rFonts w:ascii="Georgia" w:hAnsi="Georgia"/>
          <w:sz w:val="24"/>
          <w:szCs w:val="24"/>
        </w:rPr>
        <w:t xml:space="preserve"> </w:t>
      </w:r>
      <w:r w:rsidR="000D7BA3">
        <w:rPr>
          <w:rFonts w:ascii="Georgia" w:hAnsi="Georgia"/>
          <w:sz w:val="24"/>
          <w:szCs w:val="24"/>
        </w:rPr>
        <w:t>aspects</w:t>
      </w:r>
      <w:r w:rsidR="000F2E7A" w:rsidRPr="000F2E7A">
        <w:rPr>
          <w:rFonts w:ascii="Georgia" w:hAnsi="Georgia"/>
          <w:sz w:val="24"/>
          <w:szCs w:val="24"/>
        </w:rPr>
        <w:t xml:space="preserve"> of their societies (both real and imaginary). This essay will aim to consider the symbolism of fashion in both texts and how they relate to the authors’ representations of their respective worlds, with particularly attention to their connection to gender and sexuality. While </w:t>
      </w:r>
      <w:proofErr w:type="spellStart"/>
      <w:r w:rsidR="00B56651" w:rsidRPr="00B56651">
        <w:rPr>
          <w:rFonts w:ascii="Georgia" w:hAnsi="Georgia"/>
          <w:i/>
          <w:sz w:val="24"/>
          <w:szCs w:val="24"/>
        </w:rPr>
        <w:t>Herland</w:t>
      </w:r>
      <w:proofErr w:type="spellEnd"/>
      <w:r w:rsidR="000F2E7A" w:rsidRPr="000F2E7A">
        <w:rPr>
          <w:rFonts w:ascii="Georgia" w:hAnsi="Georgia"/>
          <w:sz w:val="24"/>
          <w:szCs w:val="24"/>
        </w:rPr>
        <w:t xml:space="preserve"> and </w:t>
      </w:r>
      <w:r w:rsidR="00B56651" w:rsidRPr="00B56651">
        <w:rPr>
          <w:rFonts w:ascii="Georgia" w:hAnsi="Georgia"/>
          <w:i/>
          <w:sz w:val="24"/>
          <w:szCs w:val="24"/>
        </w:rPr>
        <w:t>Nineteen-Eighty-Four</w:t>
      </w:r>
      <w:r w:rsidR="000F2E7A" w:rsidRPr="000F2E7A">
        <w:rPr>
          <w:rFonts w:ascii="Georgia" w:hAnsi="Georgia"/>
          <w:sz w:val="24"/>
          <w:szCs w:val="24"/>
        </w:rPr>
        <w:t xml:space="preserve"> contrast each other in many ways, they can both show us how representations of </w:t>
      </w:r>
      <w:r w:rsidR="00083261">
        <w:rPr>
          <w:rFonts w:ascii="Georgia" w:hAnsi="Georgia"/>
          <w:sz w:val="24"/>
          <w:szCs w:val="24"/>
        </w:rPr>
        <w:t>dress</w:t>
      </w:r>
      <w:r w:rsidR="000F2E7A" w:rsidRPr="000F2E7A">
        <w:rPr>
          <w:rFonts w:ascii="Georgia" w:hAnsi="Georgia"/>
          <w:sz w:val="24"/>
          <w:szCs w:val="24"/>
        </w:rPr>
        <w:t xml:space="preserve"> can illuminate our readings of both utopian and dystopian fiction.</w:t>
      </w:r>
      <w:r w:rsidR="00083261">
        <w:rPr>
          <w:rStyle w:val="FootnoteReference"/>
          <w:rFonts w:ascii="Georgia" w:hAnsi="Georgia"/>
          <w:sz w:val="24"/>
          <w:szCs w:val="24"/>
        </w:rPr>
        <w:footnoteReference w:id="3"/>
      </w:r>
      <w:r w:rsidR="000F2E7A" w:rsidRPr="000F2E7A">
        <w:rPr>
          <w:rFonts w:ascii="Georgia" w:hAnsi="Georgia"/>
          <w:sz w:val="24"/>
          <w:szCs w:val="24"/>
        </w:rPr>
        <w:t xml:space="preserve"> </w:t>
      </w:r>
    </w:p>
    <w:p w14:paraId="2096AB93" w14:textId="07911BBE"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ab/>
        <w:t xml:space="preserve">To understand the importance of dress in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we should first consider the background of its author. Charlotte Perkins Gilman, besides being a fiction writer, was also a renowned economist, active feminist, and advocate for social reform. One of her subjects of interest was style, specifically how women’s </w:t>
      </w:r>
      <w:r w:rsidR="00083261">
        <w:rPr>
          <w:rFonts w:ascii="Georgia" w:hAnsi="Georgia"/>
          <w:sz w:val="24"/>
          <w:szCs w:val="24"/>
        </w:rPr>
        <w:t>dress</w:t>
      </w:r>
      <w:r w:rsidRPr="000F2E7A">
        <w:rPr>
          <w:rFonts w:ascii="Georgia" w:hAnsi="Georgia"/>
          <w:sz w:val="24"/>
          <w:szCs w:val="24"/>
        </w:rPr>
        <w:t xml:space="preserve"> is influenced by society. Her thoughts on the topic were published in a series of articles for the </w:t>
      </w:r>
      <w:r w:rsidRPr="000F2E7A">
        <w:rPr>
          <w:rFonts w:ascii="Georgia" w:hAnsi="Georgia"/>
          <w:i/>
          <w:sz w:val="24"/>
          <w:szCs w:val="24"/>
        </w:rPr>
        <w:t>Forerunner</w:t>
      </w:r>
      <w:r w:rsidRPr="000F2E7A">
        <w:rPr>
          <w:rFonts w:ascii="Georgia" w:hAnsi="Georgia"/>
          <w:sz w:val="24"/>
          <w:szCs w:val="24"/>
        </w:rPr>
        <w:t xml:space="preserve"> magazine and later collected under the title </w:t>
      </w:r>
      <w:r w:rsidRPr="000F2E7A">
        <w:rPr>
          <w:rFonts w:ascii="Georgia" w:hAnsi="Georgia"/>
          <w:i/>
          <w:sz w:val="24"/>
          <w:szCs w:val="24"/>
        </w:rPr>
        <w:t>The Dress of Women: A Critical Introduction to the Symbolism and Sociology of Clothing</w:t>
      </w:r>
      <w:r w:rsidRPr="000F2E7A">
        <w:rPr>
          <w:rFonts w:ascii="Georgia" w:hAnsi="Georgia"/>
          <w:sz w:val="24"/>
          <w:szCs w:val="24"/>
        </w:rPr>
        <w:t>. In the prefatory note to the book, Perkins Gilman wrote, ‘Cloth is a social tissue […] The more solitary we live, the less we think of clothing; the more we crowd and mingle in “society,” the more we think  of it.’</w:t>
      </w:r>
      <w:r w:rsidRPr="000F2E7A">
        <w:rPr>
          <w:rFonts w:ascii="Georgia" w:hAnsi="Georgia"/>
          <w:sz w:val="24"/>
          <w:szCs w:val="24"/>
          <w:vertAlign w:val="superscript"/>
        </w:rPr>
        <w:footnoteReference w:id="4"/>
      </w:r>
      <w:r w:rsidRPr="000F2E7A">
        <w:rPr>
          <w:rFonts w:ascii="Georgia" w:hAnsi="Georgia"/>
          <w:sz w:val="24"/>
          <w:szCs w:val="24"/>
        </w:rPr>
        <w:t xml:space="preserve"> Perkins Gilman would have thus been acutely aware of the significance of how the women in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dressed, and how this would reflect upon the fictional society of which they were a part. </w:t>
      </w:r>
    </w:p>
    <w:p w14:paraId="4F40D814" w14:textId="30294B1D"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lastRenderedPageBreak/>
        <w:tab/>
        <w:t xml:space="preserve">In </w:t>
      </w:r>
      <w:proofErr w:type="spellStart"/>
      <w:r w:rsidR="005300F6">
        <w:rPr>
          <w:rFonts w:ascii="Georgia" w:hAnsi="Georgia"/>
          <w:sz w:val="24"/>
          <w:szCs w:val="24"/>
        </w:rPr>
        <w:t>Herland</w:t>
      </w:r>
      <w:proofErr w:type="spellEnd"/>
      <w:r w:rsidRPr="000F2E7A">
        <w:rPr>
          <w:rFonts w:ascii="Georgia" w:hAnsi="Georgia"/>
          <w:sz w:val="24"/>
          <w:szCs w:val="24"/>
        </w:rPr>
        <w:t xml:space="preserve">, women have lived without men for roughly 2000 years, reproducing </w:t>
      </w:r>
      <w:r w:rsidR="00083261">
        <w:rPr>
          <w:rFonts w:ascii="Georgia" w:hAnsi="Georgia"/>
          <w:sz w:val="24"/>
          <w:szCs w:val="24"/>
        </w:rPr>
        <w:t>asexually</w:t>
      </w:r>
      <w:r w:rsidRPr="000F2E7A">
        <w:rPr>
          <w:rFonts w:ascii="Georgia" w:hAnsi="Georgia"/>
          <w:sz w:val="24"/>
          <w:szCs w:val="24"/>
        </w:rPr>
        <w:t>. Perkins Gilman uses this wom</w:t>
      </w:r>
      <w:r w:rsidR="00083261">
        <w:rPr>
          <w:rFonts w:ascii="Georgia" w:hAnsi="Georgia"/>
          <w:sz w:val="24"/>
          <w:szCs w:val="24"/>
        </w:rPr>
        <w:t>e</w:t>
      </w:r>
      <w:r w:rsidRPr="000F2E7A">
        <w:rPr>
          <w:rFonts w:ascii="Georgia" w:hAnsi="Georgia"/>
          <w:sz w:val="24"/>
          <w:szCs w:val="24"/>
        </w:rPr>
        <w:t>n-only society as an example of an alternate history, providing a vision of how women might behave and organise themselves without male influence</w:t>
      </w:r>
      <w:r w:rsidR="00573548">
        <w:rPr>
          <w:rFonts w:ascii="Georgia" w:hAnsi="Georgia"/>
          <w:sz w:val="24"/>
          <w:szCs w:val="24"/>
        </w:rPr>
        <w:t xml:space="preserve"> – including influence on dress</w:t>
      </w:r>
      <w:r w:rsidRPr="000F2E7A">
        <w:rPr>
          <w:rFonts w:ascii="Georgia" w:hAnsi="Georgia"/>
          <w:sz w:val="24"/>
          <w:szCs w:val="24"/>
        </w:rPr>
        <w:t xml:space="preserve">. When it comes to clothing and beauty, the women of </w:t>
      </w:r>
      <w:proofErr w:type="spellStart"/>
      <w:r w:rsidR="00B56651" w:rsidRPr="005300F6">
        <w:rPr>
          <w:rFonts w:ascii="Georgia" w:hAnsi="Georgia"/>
          <w:sz w:val="24"/>
          <w:szCs w:val="24"/>
        </w:rPr>
        <w:t>Herland</w:t>
      </w:r>
      <w:proofErr w:type="spellEnd"/>
      <w:r w:rsidRPr="000F2E7A">
        <w:rPr>
          <w:rFonts w:ascii="Georgia" w:hAnsi="Georgia"/>
          <w:sz w:val="24"/>
          <w:szCs w:val="24"/>
        </w:rPr>
        <w:t xml:space="preserve"> value practicality above decoration, which comes as a great shock to the three men who visit their country. Upon their arrival, they encounter a group of women with ‘short hair, hatless, loose, and shining; a suit of some light firms tuff, the closest of tunics and </w:t>
      </w:r>
      <w:proofErr w:type="spellStart"/>
      <w:r w:rsidRPr="000F2E7A">
        <w:rPr>
          <w:rFonts w:ascii="Georgia" w:hAnsi="Georgia"/>
          <w:sz w:val="24"/>
          <w:szCs w:val="24"/>
        </w:rPr>
        <w:t>kneebreeches</w:t>
      </w:r>
      <w:proofErr w:type="spellEnd"/>
      <w:r w:rsidRPr="000F2E7A">
        <w:rPr>
          <w:rFonts w:ascii="Georgia" w:hAnsi="Georgia"/>
          <w:sz w:val="24"/>
          <w:szCs w:val="24"/>
        </w:rPr>
        <w:t>, met by trim gaiters’.</w:t>
      </w:r>
      <w:r w:rsidRPr="000F2E7A">
        <w:rPr>
          <w:rFonts w:ascii="Georgia" w:hAnsi="Georgia"/>
          <w:sz w:val="24"/>
          <w:szCs w:val="24"/>
          <w:vertAlign w:val="superscript"/>
        </w:rPr>
        <w:footnoteReference w:id="5"/>
      </w:r>
      <w:r w:rsidRPr="000F2E7A">
        <w:rPr>
          <w:rFonts w:ascii="Georgia" w:hAnsi="Georgia"/>
          <w:sz w:val="24"/>
          <w:szCs w:val="24"/>
        </w:rPr>
        <w:t xml:space="preserve"> Their clothing is not particularly masculine, nor is it completely devoid of aesthetic qualities</w:t>
      </w:r>
      <w:r w:rsidR="00573548">
        <w:rPr>
          <w:rFonts w:ascii="Georgia" w:hAnsi="Georgia"/>
          <w:sz w:val="24"/>
          <w:szCs w:val="24"/>
        </w:rPr>
        <w:t>,</w:t>
      </w:r>
      <w:r w:rsidRPr="000F2E7A">
        <w:rPr>
          <w:rFonts w:ascii="Georgia" w:hAnsi="Georgia"/>
          <w:sz w:val="24"/>
          <w:szCs w:val="24"/>
        </w:rPr>
        <w:t xml:space="preserve"> as the girls’ outfits are described as being brightly coloured, but the male protagonists are nevertheless unnerved by the apparent lack of femininity in their style of dress. The men </w:t>
      </w:r>
      <w:proofErr w:type="gramStart"/>
      <w:r w:rsidR="005300F6">
        <w:rPr>
          <w:rFonts w:ascii="Georgia" w:hAnsi="Georgia"/>
          <w:sz w:val="24"/>
          <w:szCs w:val="24"/>
        </w:rPr>
        <w:t>actually</w:t>
      </w:r>
      <w:r w:rsidRPr="000F2E7A">
        <w:rPr>
          <w:rFonts w:ascii="Georgia" w:hAnsi="Georgia"/>
          <w:sz w:val="24"/>
          <w:szCs w:val="24"/>
        </w:rPr>
        <w:t xml:space="preserve"> mistake</w:t>
      </w:r>
      <w:proofErr w:type="gramEnd"/>
      <w:r w:rsidRPr="000F2E7A">
        <w:rPr>
          <w:rFonts w:ascii="Georgia" w:hAnsi="Georgia"/>
          <w:sz w:val="24"/>
          <w:szCs w:val="24"/>
        </w:rPr>
        <w:t xml:space="preserve"> them for boys</w:t>
      </w:r>
      <w:r w:rsidR="005300F6">
        <w:rPr>
          <w:rFonts w:ascii="Georgia" w:hAnsi="Georgia"/>
          <w:sz w:val="24"/>
          <w:szCs w:val="24"/>
        </w:rPr>
        <w:t xml:space="preserve"> initially</w:t>
      </w:r>
      <w:r w:rsidRPr="000F2E7A">
        <w:rPr>
          <w:rFonts w:ascii="Georgia" w:hAnsi="Georgia"/>
          <w:sz w:val="24"/>
          <w:szCs w:val="24"/>
        </w:rPr>
        <w:t>, only to realise they are women due to their ‘beauty’</w:t>
      </w:r>
      <w:r w:rsidR="00AF4194">
        <w:rPr>
          <w:rFonts w:ascii="Georgia" w:hAnsi="Georgia"/>
          <w:sz w:val="24"/>
          <w:szCs w:val="24"/>
        </w:rPr>
        <w:t xml:space="preserve"> (p. 17).</w:t>
      </w:r>
      <w:r w:rsidRPr="000F2E7A">
        <w:rPr>
          <w:rFonts w:ascii="Georgia" w:hAnsi="Georgia"/>
          <w:sz w:val="24"/>
          <w:szCs w:val="24"/>
        </w:rPr>
        <w:t xml:space="preserve"> </w:t>
      </w:r>
    </w:p>
    <w:p w14:paraId="05AE6185" w14:textId="3F8D65B5" w:rsidR="000F2E7A" w:rsidRPr="000F2E7A" w:rsidRDefault="00215464" w:rsidP="000F2E7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0F2E7A" w:rsidRPr="000F2E7A">
        <w:rPr>
          <w:rFonts w:ascii="Georgia" w:hAnsi="Georgia"/>
          <w:sz w:val="24"/>
          <w:szCs w:val="24"/>
        </w:rPr>
        <w:t>As the men later discover, the women’s clothes are also full of pockets: ‘these women had pockets in surprising number and variety. They were in all their garments, and the middle on</w:t>
      </w:r>
      <w:r w:rsidR="00573548" w:rsidRPr="00AF4194">
        <w:rPr>
          <w:rFonts w:ascii="Georgia" w:hAnsi="Georgia"/>
          <w:sz w:val="24"/>
          <w:szCs w:val="24"/>
        </w:rPr>
        <w:t>e</w:t>
      </w:r>
      <w:r w:rsidR="000F2E7A" w:rsidRPr="000F2E7A">
        <w:rPr>
          <w:rFonts w:ascii="Georgia" w:hAnsi="Georgia"/>
          <w:sz w:val="24"/>
          <w:szCs w:val="24"/>
        </w:rPr>
        <w:t xml:space="preserve"> </w:t>
      </w:r>
      <w:proofErr w:type="gramStart"/>
      <w:r w:rsidR="000F2E7A" w:rsidRPr="000F2E7A">
        <w:rPr>
          <w:rFonts w:ascii="Georgia" w:hAnsi="Georgia"/>
          <w:sz w:val="24"/>
          <w:szCs w:val="24"/>
        </w:rPr>
        <w:t>in particular was</w:t>
      </w:r>
      <w:proofErr w:type="gramEnd"/>
      <w:r w:rsidR="000F2E7A" w:rsidRPr="000F2E7A">
        <w:rPr>
          <w:rFonts w:ascii="Georgia" w:hAnsi="Georgia"/>
          <w:sz w:val="24"/>
          <w:szCs w:val="24"/>
        </w:rPr>
        <w:t xml:space="preserve"> shingled with them.’</w:t>
      </w:r>
      <w:r w:rsidR="00AF4194" w:rsidRPr="00AF4194">
        <w:rPr>
          <w:rFonts w:ascii="Georgia" w:hAnsi="Georgia"/>
          <w:sz w:val="24"/>
          <w:szCs w:val="24"/>
        </w:rPr>
        <w:t xml:space="preserve"> (p. 39). </w:t>
      </w:r>
      <w:r w:rsidR="000F2E7A" w:rsidRPr="000F2E7A">
        <w:rPr>
          <w:rFonts w:ascii="Georgia" w:hAnsi="Georgia"/>
          <w:sz w:val="24"/>
          <w:szCs w:val="24"/>
        </w:rPr>
        <w:t xml:space="preserve">There is obviously a practical purpose for these, seeing as it would allow the active workers of </w:t>
      </w:r>
      <w:proofErr w:type="spellStart"/>
      <w:r w:rsidR="00B56651" w:rsidRPr="00B56651">
        <w:rPr>
          <w:rFonts w:ascii="Georgia" w:hAnsi="Georgia"/>
          <w:i/>
          <w:sz w:val="24"/>
          <w:szCs w:val="24"/>
        </w:rPr>
        <w:t>Herland</w:t>
      </w:r>
      <w:proofErr w:type="spellEnd"/>
      <w:r w:rsidR="000F2E7A" w:rsidRPr="000F2E7A">
        <w:rPr>
          <w:rFonts w:ascii="Georgia" w:hAnsi="Georgia"/>
          <w:sz w:val="24"/>
          <w:szCs w:val="24"/>
        </w:rPr>
        <w:t xml:space="preserve"> to carry tools and other materials easily, but that does not make them any less politically significant. Since the Victorian era, pockets </w:t>
      </w:r>
      <w:proofErr w:type="gramStart"/>
      <w:r w:rsidR="000F2E7A" w:rsidRPr="000F2E7A">
        <w:rPr>
          <w:rFonts w:ascii="Georgia" w:hAnsi="Georgia"/>
          <w:sz w:val="24"/>
          <w:szCs w:val="24"/>
        </w:rPr>
        <w:t>were seen as</w:t>
      </w:r>
      <w:proofErr w:type="gramEnd"/>
      <w:r w:rsidR="000F2E7A" w:rsidRPr="000F2E7A">
        <w:rPr>
          <w:rFonts w:ascii="Georgia" w:hAnsi="Georgia"/>
          <w:sz w:val="24"/>
          <w:szCs w:val="24"/>
        </w:rPr>
        <w:t xml:space="preserve"> a distinctly male feature of clothing, one which was seen as unfeminine when adopted by women. </w:t>
      </w:r>
      <w:r>
        <w:rPr>
          <w:rFonts w:ascii="Georgia" w:hAnsi="Georgia"/>
          <w:sz w:val="24"/>
          <w:szCs w:val="24"/>
        </w:rPr>
        <w:t xml:space="preserve">Christopher Todd Matthews </w:t>
      </w:r>
      <w:r w:rsidR="000F2E7A" w:rsidRPr="000F2E7A">
        <w:rPr>
          <w:rFonts w:ascii="Georgia" w:hAnsi="Georgia"/>
          <w:sz w:val="24"/>
          <w:szCs w:val="24"/>
        </w:rPr>
        <w:t xml:space="preserve">writes that, ‘The question of who gets pockets and how thereby becomes more than a footnote of fashion history: it becomes part of the broader history of bodies and </w:t>
      </w:r>
      <w:r w:rsidR="000F2E7A" w:rsidRPr="000F2E7A">
        <w:rPr>
          <w:rFonts w:ascii="Georgia" w:hAnsi="Georgia"/>
          <w:sz w:val="24"/>
          <w:szCs w:val="24"/>
        </w:rPr>
        <w:lastRenderedPageBreak/>
        <w:t>their gendered meanings in public space.’</w:t>
      </w:r>
      <w:r w:rsidR="000F2E7A" w:rsidRPr="000F2E7A">
        <w:rPr>
          <w:rFonts w:ascii="Georgia" w:hAnsi="Georgia"/>
          <w:sz w:val="24"/>
          <w:szCs w:val="24"/>
          <w:vertAlign w:val="superscript"/>
        </w:rPr>
        <w:footnoteReference w:id="6"/>
      </w:r>
      <w:r w:rsidR="000F2E7A" w:rsidRPr="000F2E7A">
        <w:rPr>
          <w:rFonts w:ascii="Georgia" w:hAnsi="Georgia"/>
          <w:sz w:val="24"/>
          <w:szCs w:val="24"/>
        </w:rPr>
        <w:t xml:space="preserve"> Pockets</w:t>
      </w:r>
      <w:r w:rsidR="005300F6">
        <w:rPr>
          <w:rFonts w:ascii="Georgia" w:hAnsi="Georgia"/>
          <w:sz w:val="24"/>
          <w:szCs w:val="24"/>
        </w:rPr>
        <w:t xml:space="preserve"> then</w:t>
      </w:r>
      <w:r w:rsidR="005300F6" w:rsidRPr="000F2E7A">
        <w:rPr>
          <w:rFonts w:ascii="Georgia" w:hAnsi="Georgia"/>
          <w:sz w:val="24"/>
          <w:szCs w:val="24"/>
        </w:rPr>
        <w:t xml:space="preserve"> </w:t>
      </w:r>
      <w:r w:rsidR="005300F6">
        <w:rPr>
          <w:rFonts w:ascii="Georgia" w:hAnsi="Georgia"/>
          <w:sz w:val="24"/>
          <w:szCs w:val="24"/>
        </w:rPr>
        <w:t xml:space="preserve">are </w:t>
      </w:r>
      <w:r w:rsidR="000F2E7A" w:rsidRPr="000F2E7A">
        <w:rPr>
          <w:rFonts w:ascii="Georgia" w:hAnsi="Georgia"/>
          <w:sz w:val="24"/>
          <w:szCs w:val="24"/>
        </w:rPr>
        <w:t xml:space="preserve">not just significant in themselves but symbolic of the larger issue of gendered clothing and fashion as a signifier of social conformity (or lack thereof). In the 18th century, pockets were perceived as a threat to gender norms when worn by women. </w:t>
      </w:r>
      <w:r>
        <w:rPr>
          <w:rFonts w:ascii="Georgia" w:hAnsi="Georgia"/>
          <w:sz w:val="24"/>
          <w:szCs w:val="24"/>
        </w:rPr>
        <w:t>Matthews</w:t>
      </w:r>
      <w:r w:rsidR="000F2E7A" w:rsidRPr="000F2E7A">
        <w:rPr>
          <w:rFonts w:ascii="Georgia" w:hAnsi="Georgia"/>
          <w:sz w:val="24"/>
          <w:szCs w:val="24"/>
        </w:rPr>
        <w:t xml:space="preserve"> states that ‘women were typically dissuaded from the use of internal pockets and perceived as troubled when equipped with them […] pockets, as signs of being equipped for public movement, were so antithetical to the feminine ideal that they were imagined to disfigure the sign of that ideal, the well-dressed female body.’</w:t>
      </w:r>
      <w:r w:rsidR="000F2E7A" w:rsidRPr="000F2E7A">
        <w:rPr>
          <w:rFonts w:ascii="Georgia" w:hAnsi="Georgia"/>
          <w:sz w:val="24"/>
          <w:szCs w:val="24"/>
          <w:vertAlign w:val="superscript"/>
        </w:rPr>
        <w:footnoteReference w:id="7"/>
      </w:r>
      <w:r w:rsidR="000F2E7A" w:rsidRPr="000F2E7A">
        <w:rPr>
          <w:rFonts w:ascii="Georgia" w:hAnsi="Georgia"/>
          <w:sz w:val="24"/>
          <w:szCs w:val="24"/>
          <w:vertAlign w:val="superscript"/>
        </w:rPr>
        <w:t xml:space="preserve"> </w:t>
      </w:r>
      <w:r w:rsidR="00573548" w:rsidRPr="00AF4194">
        <w:rPr>
          <w:rFonts w:ascii="Georgia" w:hAnsi="Georgia"/>
          <w:sz w:val="24"/>
          <w:szCs w:val="24"/>
        </w:rPr>
        <w:t>Towards the end of the eighteenth-century, pockets began to be associated with the New Women, who reclaimed them as a feminist act</w:t>
      </w:r>
      <w:r>
        <w:rPr>
          <w:rFonts w:ascii="Georgia" w:hAnsi="Georgia"/>
          <w:sz w:val="24"/>
          <w:szCs w:val="24"/>
        </w:rPr>
        <w:t>.</w:t>
      </w:r>
      <w:r w:rsidR="00573548" w:rsidRPr="00215464">
        <w:rPr>
          <w:rStyle w:val="FootnoteReference"/>
          <w:rFonts w:ascii="Georgia" w:hAnsi="Georgia"/>
          <w:sz w:val="24"/>
          <w:szCs w:val="24"/>
        </w:rPr>
        <w:footnoteReference w:id="8"/>
      </w:r>
      <w:r w:rsidR="00895B07" w:rsidRPr="00AF4194">
        <w:rPr>
          <w:rFonts w:ascii="Georgia" w:hAnsi="Georgia"/>
          <w:sz w:val="24"/>
          <w:szCs w:val="24"/>
        </w:rPr>
        <w:t xml:space="preserve"> </w:t>
      </w:r>
      <w:r>
        <w:rPr>
          <w:rFonts w:ascii="Georgia" w:hAnsi="Georgia"/>
          <w:sz w:val="24"/>
          <w:szCs w:val="24"/>
        </w:rPr>
        <w:t>Given the cultural climate which Perkins Gilman was writing in, the fact that she chose to explicitly mention pockets in the narrative is most likely not incidental.</w:t>
      </w:r>
    </w:p>
    <w:p w14:paraId="0DDFCE29" w14:textId="60E04361" w:rsidR="000F2E7A" w:rsidRPr="000F2E7A" w:rsidRDefault="00573548" w:rsidP="000F2E7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895B07">
        <w:rPr>
          <w:rFonts w:ascii="Georgia" w:hAnsi="Georgia"/>
          <w:sz w:val="24"/>
          <w:szCs w:val="24"/>
        </w:rPr>
        <w:t>The</w:t>
      </w:r>
      <w:r w:rsidR="000F2E7A" w:rsidRPr="000F2E7A">
        <w:rPr>
          <w:rFonts w:ascii="Georgia" w:hAnsi="Georgia"/>
          <w:sz w:val="24"/>
          <w:szCs w:val="24"/>
        </w:rPr>
        <w:t xml:space="preserve"> presence of pockets in the dress of </w:t>
      </w:r>
      <w:proofErr w:type="spellStart"/>
      <w:r w:rsidR="00B56651" w:rsidRPr="00134FA5">
        <w:rPr>
          <w:rFonts w:ascii="Georgia" w:hAnsi="Georgia"/>
          <w:sz w:val="24"/>
          <w:szCs w:val="24"/>
        </w:rPr>
        <w:t>Herland</w:t>
      </w:r>
      <w:proofErr w:type="spellEnd"/>
      <w:r w:rsidR="000F2E7A" w:rsidRPr="000F2E7A">
        <w:rPr>
          <w:rFonts w:ascii="Georgia" w:hAnsi="Georgia"/>
          <w:sz w:val="24"/>
          <w:szCs w:val="24"/>
        </w:rPr>
        <w:t xml:space="preserve"> is but one example of the central fashion ideology of their country: practicality over aesthetics, and particularly over appealing to men. Seeing as the women of </w:t>
      </w:r>
      <w:proofErr w:type="spellStart"/>
      <w:r w:rsidR="00B56651" w:rsidRPr="00134FA5">
        <w:rPr>
          <w:rFonts w:ascii="Georgia" w:hAnsi="Georgia"/>
          <w:sz w:val="24"/>
          <w:szCs w:val="24"/>
        </w:rPr>
        <w:t>Herland</w:t>
      </w:r>
      <w:proofErr w:type="spellEnd"/>
      <w:r w:rsidR="000F2E7A" w:rsidRPr="000F2E7A">
        <w:rPr>
          <w:rFonts w:ascii="Georgia" w:hAnsi="Georgia"/>
          <w:sz w:val="24"/>
          <w:szCs w:val="24"/>
        </w:rPr>
        <w:t xml:space="preserve"> have been without men for 2000 years, it makes sense that their style has evolved with little regard for what men might think of it. However, this does not stop the men who visit </w:t>
      </w:r>
      <w:proofErr w:type="spellStart"/>
      <w:r w:rsidR="00B56651" w:rsidRPr="00134FA5">
        <w:rPr>
          <w:rFonts w:ascii="Georgia" w:hAnsi="Georgia"/>
          <w:sz w:val="24"/>
          <w:szCs w:val="24"/>
        </w:rPr>
        <w:t>Herland</w:t>
      </w:r>
      <w:proofErr w:type="spellEnd"/>
      <w:r w:rsidR="000F2E7A" w:rsidRPr="000F2E7A">
        <w:rPr>
          <w:rFonts w:ascii="Georgia" w:hAnsi="Georgia"/>
          <w:sz w:val="24"/>
          <w:szCs w:val="24"/>
        </w:rPr>
        <w:t xml:space="preserve"> from being shocked at the idea. In voicing their objections to the style of the native women, the men illustrate the contrast between their clothing and that of women in the </w:t>
      </w:r>
      <w:r w:rsidR="00215464">
        <w:rPr>
          <w:rFonts w:ascii="Georgia" w:hAnsi="Georgia"/>
          <w:sz w:val="24"/>
          <w:szCs w:val="24"/>
        </w:rPr>
        <w:t>outside</w:t>
      </w:r>
      <w:r w:rsidR="000F2E7A" w:rsidRPr="000F2E7A">
        <w:rPr>
          <w:rFonts w:ascii="Georgia" w:hAnsi="Georgia"/>
          <w:sz w:val="24"/>
          <w:szCs w:val="24"/>
        </w:rPr>
        <w:t xml:space="preserve"> (Western) world. Nowhere does this contrast become more evident than in the discussion about hats. </w:t>
      </w:r>
    </w:p>
    <w:p w14:paraId="5DF4C020" w14:textId="679F18E6" w:rsidR="000F2E7A" w:rsidRPr="000F2E7A" w:rsidRDefault="000F2E7A" w:rsidP="004D4A14">
      <w:pPr>
        <w:shd w:val="clear" w:color="auto" w:fill="FFFFFF"/>
        <w:tabs>
          <w:tab w:val="left" w:pos="1080"/>
        </w:tabs>
        <w:spacing w:after="0" w:line="240" w:lineRule="auto"/>
        <w:ind w:left="720" w:right="720"/>
        <w:jc w:val="both"/>
        <w:rPr>
          <w:rFonts w:ascii="Georgia" w:hAnsi="Georgia"/>
          <w:sz w:val="24"/>
          <w:szCs w:val="24"/>
        </w:rPr>
      </w:pPr>
      <w:r w:rsidRPr="000F2E7A">
        <w:rPr>
          <w:rFonts w:ascii="Georgia" w:hAnsi="Georgia"/>
          <w:sz w:val="24"/>
          <w:szCs w:val="24"/>
        </w:rPr>
        <w:t xml:space="preserve">While we were discussing birds, Terry asked them if they used feathers for their hats, and they seemed amused at the idea. He made a few sketches of our women’s hats, with plumes and quills and those various tickling things </w:t>
      </w:r>
      <w:r w:rsidRPr="000F2E7A">
        <w:rPr>
          <w:rFonts w:ascii="Georgia" w:hAnsi="Georgia"/>
          <w:sz w:val="24"/>
          <w:szCs w:val="24"/>
        </w:rPr>
        <w:lastRenderedPageBreak/>
        <w:t xml:space="preserve">that stick out so far; and they were eagerly interested, as at everything about our women. </w:t>
      </w:r>
    </w:p>
    <w:p w14:paraId="117B8589" w14:textId="1685BDD4" w:rsidR="000F2E7A" w:rsidRPr="000F2E7A" w:rsidRDefault="00215464" w:rsidP="004D4A14">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As for them, they said they only wore hats for shade when working in the sun; and those were big light straw hats, something like those used in China and Japan. In cold weather they wore caps or hoods. </w:t>
      </w:r>
    </w:p>
    <w:p w14:paraId="4ABEA08D" w14:textId="23D01C79" w:rsidR="000F2E7A" w:rsidRPr="000F2E7A" w:rsidRDefault="00215464" w:rsidP="004D4A14">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“But for decorative purposes—don’t you think they would be becoming?” pursued Terry, making as pretty a picture as he could of a lady with a plumed hat. </w:t>
      </w:r>
    </w:p>
    <w:p w14:paraId="0E221B84" w14:textId="01E1191D" w:rsidR="000F2E7A" w:rsidRPr="000F2E7A" w:rsidRDefault="00215464" w:rsidP="004D4A14">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They by no means agreed to that, asking quite simply if the men wore the same kind. We hastened to assure her that they did not—drew for them our kind of headgear. </w:t>
      </w:r>
    </w:p>
    <w:p w14:paraId="4D8645B5" w14:textId="338D2821" w:rsidR="000F2E7A" w:rsidRPr="000F2E7A" w:rsidRDefault="00215464" w:rsidP="004D4A14">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“And do no men wear feathers in their hats?” </w:t>
      </w:r>
    </w:p>
    <w:p w14:paraId="332D17C8" w14:textId="4949557A" w:rsidR="000F2E7A" w:rsidRPr="000F2E7A" w:rsidRDefault="00215464" w:rsidP="004D4A14">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“Only Indians,” Jeff explained. “Savages, you know.” And he sketched a war bonnet to show them. </w:t>
      </w:r>
    </w:p>
    <w:p w14:paraId="63F62421" w14:textId="1D6111D9" w:rsidR="000F2E7A" w:rsidRPr="000F2E7A" w:rsidRDefault="00215464" w:rsidP="004D4A14">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“And soldiers,” I added, drawing a military hat with plumes. </w:t>
      </w:r>
    </w:p>
    <w:p w14:paraId="74D4E2F9" w14:textId="2FF67438" w:rsidR="000F2E7A" w:rsidRPr="000F2E7A" w:rsidRDefault="00215464" w:rsidP="004D4A14">
      <w:pPr>
        <w:shd w:val="clear" w:color="auto" w:fill="FFFFFF"/>
        <w:tabs>
          <w:tab w:val="left" w:pos="1080"/>
        </w:tabs>
        <w:spacing w:line="240" w:lineRule="auto"/>
        <w:ind w:left="720" w:right="720"/>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They never expressed horror or disapproval, nor indeed much surprise—just a keen interest. </w:t>
      </w:r>
      <w:r w:rsidR="00B372DE" w:rsidRPr="00B372DE">
        <w:rPr>
          <w:rFonts w:ascii="Georgia" w:hAnsi="Georgia"/>
          <w:sz w:val="24"/>
          <w:szCs w:val="24"/>
        </w:rPr>
        <w:t>(pp. 51-2)</w:t>
      </w:r>
    </w:p>
    <w:p w14:paraId="26145442" w14:textId="60893F92" w:rsidR="000F2E7A" w:rsidRPr="000F2E7A" w:rsidRDefault="000F2E7A" w:rsidP="004D4A14">
      <w:pPr>
        <w:shd w:val="clear" w:color="auto" w:fill="FFFFFF"/>
        <w:tabs>
          <w:tab w:val="left" w:pos="1080"/>
        </w:tabs>
        <w:spacing w:line="480" w:lineRule="auto"/>
        <w:jc w:val="both"/>
        <w:rPr>
          <w:rFonts w:ascii="Georgia" w:hAnsi="Georgia"/>
          <w:sz w:val="24"/>
          <w:szCs w:val="24"/>
        </w:rPr>
      </w:pPr>
      <w:r w:rsidRPr="000F2E7A">
        <w:rPr>
          <w:rFonts w:ascii="Georgia" w:hAnsi="Georgia"/>
          <w:sz w:val="24"/>
          <w:szCs w:val="24"/>
        </w:rPr>
        <w:t xml:space="preserve">The three men – and Terry in particular – at first find it hard to comprehend that the women of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dress for their own needs, with no regard to what would be considered attractive to the male gaze. Within her own society’s influence on women’s clothing, which prioritised gender conformity and male approval over practicality or comfort, Perkins Gilman saw hats as a particularly bad example of the gendered double standards which existed: ‘While every article of [a woman's] attire, from the innermost to the outermost, is modified not only by sex-distinction but by the constant fret of change in order to please and hold the varying taste of the male; the hat more than any other article shows this double pressure.’</w:t>
      </w:r>
      <w:r w:rsidRPr="000F2E7A">
        <w:rPr>
          <w:rFonts w:ascii="Georgia" w:hAnsi="Georgia"/>
          <w:sz w:val="24"/>
          <w:szCs w:val="24"/>
          <w:vertAlign w:val="superscript"/>
        </w:rPr>
        <w:footnoteReference w:id="9"/>
      </w:r>
      <w:r w:rsidRPr="000F2E7A">
        <w:rPr>
          <w:rFonts w:ascii="Georgia" w:hAnsi="Georgia"/>
          <w:sz w:val="24"/>
          <w:szCs w:val="24"/>
        </w:rPr>
        <w:t xml:space="preserve"> Perkins Gilman bemoans the fact that while men’s hats are largely uniform and understated, women’s hats are extravagant, subject to male tastes rather than women’s, and so impractical as to get in the way of everyday life. </w:t>
      </w:r>
      <w:r w:rsidR="00215464">
        <w:rPr>
          <w:rFonts w:ascii="Georgia" w:hAnsi="Georgia"/>
          <w:sz w:val="24"/>
          <w:szCs w:val="24"/>
        </w:rPr>
        <w:t>Unlike in Perkins Gilman’s world</w:t>
      </w:r>
      <w:r w:rsidRPr="000F2E7A">
        <w:rPr>
          <w:rFonts w:ascii="Georgia" w:hAnsi="Georgia"/>
          <w:sz w:val="24"/>
          <w:szCs w:val="24"/>
        </w:rPr>
        <w:t xml:space="preserve">, the women of </w:t>
      </w:r>
      <w:proofErr w:type="spellStart"/>
      <w:r w:rsidR="00B56651" w:rsidRPr="00134FA5">
        <w:rPr>
          <w:rFonts w:ascii="Georgia" w:hAnsi="Georgia"/>
          <w:sz w:val="24"/>
          <w:szCs w:val="24"/>
        </w:rPr>
        <w:t>Herland</w:t>
      </w:r>
      <w:proofErr w:type="spellEnd"/>
      <w:r w:rsidRPr="000F2E7A">
        <w:rPr>
          <w:rFonts w:ascii="Georgia" w:hAnsi="Georgia"/>
          <w:sz w:val="24"/>
          <w:szCs w:val="24"/>
        </w:rPr>
        <w:t xml:space="preserve"> wear no hats except those which serve a practical purpose. </w:t>
      </w:r>
    </w:p>
    <w:p w14:paraId="74F12DBB" w14:textId="44D68F08"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lastRenderedPageBreak/>
        <w:tab/>
      </w:r>
      <w:r w:rsidR="00215464">
        <w:rPr>
          <w:rFonts w:ascii="Georgia" w:hAnsi="Georgia"/>
          <w:sz w:val="24"/>
          <w:szCs w:val="24"/>
        </w:rPr>
        <w:t>Because of the sharp contrast to the ‘real’ world of the readers, t</w:t>
      </w:r>
      <w:r w:rsidRPr="000F2E7A">
        <w:rPr>
          <w:rFonts w:ascii="Georgia" w:hAnsi="Georgia"/>
          <w:sz w:val="24"/>
          <w:szCs w:val="24"/>
        </w:rPr>
        <w:t xml:space="preserve">he fashion of </w:t>
      </w:r>
      <w:proofErr w:type="spellStart"/>
      <w:r w:rsidR="00B56651" w:rsidRPr="00B56651">
        <w:rPr>
          <w:rFonts w:ascii="Georgia" w:hAnsi="Georgia"/>
          <w:i/>
          <w:sz w:val="24"/>
          <w:szCs w:val="24"/>
        </w:rPr>
        <w:t>Herland</w:t>
      </w:r>
      <w:r w:rsidRPr="000F2E7A">
        <w:rPr>
          <w:rFonts w:ascii="Georgia" w:hAnsi="Georgia"/>
          <w:sz w:val="24"/>
          <w:szCs w:val="24"/>
        </w:rPr>
        <w:t>’s</w:t>
      </w:r>
      <w:proofErr w:type="spellEnd"/>
      <w:r w:rsidRPr="000F2E7A">
        <w:rPr>
          <w:rFonts w:ascii="Georgia" w:hAnsi="Georgia"/>
          <w:sz w:val="24"/>
          <w:szCs w:val="24"/>
        </w:rPr>
        <w:t xml:space="preserve"> androgyny and practicality makes it seem revolutionary to readers. This is inextricably tied up with the fact that the women of </w:t>
      </w:r>
      <w:proofErr w:type="spellStart"/>
      <w:r w:rsidR="00B56651" w:rsidRPr="00134FA5">
        <w:rPr>
          <w:rFonts w:ascii="Georgia" w:hAnsi="Georgia"/>
          <w:sz w:val="24"/>
          <w:szCs w:val="24"/>
        </w:rPr>
        <w:t>Herland</w:t>
      </w:r>
      <w:proofErr w:type="spellEnd"/>
      <w:r w:rsidRPr="000F2E7A">
        <w:rPr>
          <w:rFonts w:ascii="Georgia" w:hAnsi="Georgia"/>
          <w:sz w:val="24"/>
          <w:szCs w:val="24"/>
        </w:rPr>
        <w:t xml:space="preserve"> are apparently universally disinterested in sex – because of this, they have no desire to please the men which arrive there. It is this chastity that apparently sets them apart from real-life women, freeing them from the constraints of patriarchal fashion. In </w:t>
      </w:r>
      <w:r w:rsidR="00B56651" w:rsidRPr="00B56651">
        <w:rPr>
          <w:rFonts w:ascii="Georgia" w:hAnsi="Georgia"/>
          <w:i/>
          <w:sz w:val="24"/>
          <w:szCs w:val="24"/>
        </w:rPr>
        <w:t>Nineteen-Eighty-Four</w:t>
      </w:r>
      <w:r w:rsidRPr="000F2E7A">
        <w:rPr>
          <w:rFonts w:ascii="Georgia" w:hAnsi="Georgia"/>
          <w:sz w:val="24"/>
          <w:szCs w:val="24"/>
        </w:rPr>
        <w:t xml:space="preserve">, the situation is almost reversed. </w:t>
      </w:r>
    </w:p>
    <w:p w14:paraId="63746341" w14:textId="1EB54D10"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ab/>
        <w:t xml:space="preserve">While Perkins Gilman’s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is a work of utopian fiction, </w:t>
      </w:r>
      <w:r w:rsidR="00B56651" w:rsidRPr="00B56651">
        <w:rPr>
          <w:rFonts w:ascii="Georgia" w:hAnsi="Georgia"/>
          <w:i/>
          <w:sz w:val="24"/>
          <w:szCs w:val="24"/>
        </w:rPr>
        <w:t>Nineteen-Eighty-Four</w:t>
      </w:r>
      <w:r w:rsidRPr="000F2E7A">
        <w:rPr>
          <w:rFonts w:ascii="Georgia" w:hAnsi="Georgia"/>
          <w:sz w:val="24"/>
          <w:szCs w:val="24"/>
        </w:rPr>
        <w:t xml:space="preserve"> is blatantly dystopian. So even though the worlds which the two novels depict are similar in certain ways – especially </w:t>
      </w:r>
      <w:proofErr w:type="gramStart"/>
      <w:r w:rsidRPr="000F2E7A">
        <w:rPr>
          <w:rFonts w:ascii="Georgia" w:hAnsi="Georgia"/>
          <w:sz w:val="24"/>
          <w:szCs w:val="24"/>
        </w:rPr>
        <w:t>with regard to</w:t>
      </w:r>
      <w:proofErr w:type="gramEnd"/>
      <w:r w:rsidRPr="000F2E7A">
        <w:rPr>
          <w:rFonts w:ascii="Georgia" w:hAnsi="Georgia"/>
          <w:sz w:val="24"/>
          <w:szCs w:val="24"/>
        </w:rPr>
        <w:t xml:space="preserve"> fashion – the ways in which Perkins Gilman and Orwell respond to these shared elements is markedly different. As in </w:t>
      </w:r>
      <w:proofErr w:type="spellStart"/>
      <w:r w:rsidR="00B56651" w:rsidRPr="0060678E">
        <w:rPr>
          <w:rFonts w:ascii="Georgia" w:hAnsi="Georgia"/>
          <w:sz w:val="24"/>
          <w:szCs w:val="24"/>
        </w:rPr>
        <w:t>Herland</w:t>
      </w:r>
      <w:proofErr w:type="spellEnd"/>
      <w:r w:rsidRPr="000F2E7A">
        <w:rPr>
          <w:rFonts w:ascii="Georgia" w:hAnsi="Georgia"/>
          <w:sz w:val="24"/>
          <w:szCs w:val="24"/>
        </w:rPr>
        <w:t xml:space="preserve">, the population of Orwell’s fictional dystopia Oceania dress similarly and practically. However, unlike in </w:t>
      </w:r>
      <w:proofErr w:type="spellStart"/>
      <w:r w:rsidR="00B56651" w:rsidRPr="0060678E">
        <w:rPr>
          <w:rFonts w:ascii="Georgia" w:hAnsi="Georgia"/>
          <w:sz w:val="24"/>
          <w:szCs w:val="24"/>
        </w:rPr>
        <w:t>Herland</w:t>
      </w:r>
      <w:proofErr w:type="spellEnd"/>
      <w:r w:rsidRPr="000F2E7A">
        <w:rPr>
          <w:rFonts w:ascii="Georgia" w:hAnsi="Georgia"/>
          <w:sz w:val="24"/>
          <w:szCs w:val="24"/>
        </w:rPr>
        <w:t xml:space="preserve">, this is not presented as a positive alternative to real-life trends. In contrast, the prescribed fashion of Oceania is but one facet of the dystopia’s life-draining control over the population, reducing them to members of units without </w:t>
      </w:r>
      <w:r w:rsidR="00543470">
        <w:rPr>
          <w:rFonts w:ascii="Georgia" w:hAnsi="Georgia"/>
          <w:sz w:val="24"/>
          <w:szCs w:val="24"/>
        </w:rPr>
        <w:t>personal</w:t>
      </w:r>
      <w:r w:rsidRPr="000F2E7A">
        <w:rPr>
          <w:rFonts w:ascii="Georgia" w:hAnsi="Georgia"/>
          <w:sz w:val="24"/>
          <w:szCs w:val="24"/>
        </w:rPr>
        <w:t xml:space="preserve"> feelings o</w:t>
      </w:r>
      <w:r w:rsidR="00543470">
        <w:rPr>
          <w:rFonts w:ascii="Georgia" w:hAnsi="Georgia"/>
          <w:sz w:val="24"/>
          <w:szCs w:val="24"/>
        </w:rPr>
        <w:t>r</w:t>
      </w:r>
      <w:r w:rsidRPr="000F2E7A">
        <w:rPr>
          <w:rFonts w:ascii="Georgia" w:hAnsi="Georgia"/>
          <w:sz w:val="24"/>
          <w:szCs w:val="24"/>
        </w:rPr>
        <w:t xml:space="preserve"> emotions. </w:t>
      </w:r>
    </w:p>
    <w:p w14:paraId="23BDC985" w14:textId="77777777" w:rsidR="006A3E40" w:rsidRDefault="00543470" w:rsidP="000F2E7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0F2E7A" w:rsidRPr="000F2E7A">
        <w:rPr>
          <w:rFonts w:ascii="Georgia" w:hAnsi="Georgia"/>
          <w:sz w:val="24"/>
          <w:szCs w:val="24"/>
        </w:rPr>
        <w:t xml:space="preserve">Outside of the ‘proles’, who apparently have slightly more freedom over their personal style, most groups of people in Oceania have their own uniform. The members of the party, of which the protagonist Winston is a part, dress in blue overalls. Those in the ‘Spies’, a nationalist group for younger people in the state, wear ‘blue shorts, grey shirts, and red </w:t>
      </w:r>
      <w:proofErr w:type="gramStart"/>
      <w:r w:rsidR="000F2E7A" w:rsidRPr="000F2E7A">
        <w:rPr>
          <w:rFonts w:ascii="Georgia" w:hAnsi="Georgia"/>
          <w:sz w:val="24"/>
          <w:szCs w:val="24"/>
        </w:rPr>
        <w:t>neckerchiefs’</w:t>
      </w:r>
      <w:proofErr w:type="gramEnd"/>
      <w:r w:rsidR="000F2E7A" w:rsidRPr="000F2E7A">
        <w:rPr>
          <w:rFonts w:ascii="Georgia" w:hAnsi="Georgia"/>
          <w:sz w:val="24"/>
          <w:szCs w:val="24"/>
        </w:rPr>
        <w:t>.</w:t>
      </w:r>
      <w:r w:rsidR="000F2E7A" w:rsidRPr="000F2E7A">
        <w:rPr>
          <w:rFonts w:ascii="Georgia" w:hAnsi="Georgia"/>
          <w:sz w:val="24"/>
          <w:szCs w:val="24"/>
          <w:vertAlign w:val="superscript"/>
        </w:rPr>
        <w:footnoteReference w:id="10"/>
      </w:r>
      <w:r w:rsidR="000F2E7A" w:rsidRPr="000F2E7A">
        <w:rPr>
          <w:rFonts w:ascii="Georgia" w:hAnsi="Georgia"/>
          <w:sz w:val="24"/>
          <w:szCs w:val="24"/>
        </w:rPr>
        <w:t xml:space="preserve"> Members of the Junior Anti-Sex League likewise wear red sashes, while city guards wear black uniforms. The effect of this is to create identities that </w:t>
      </w:r>
      <w:r w:rsidR="000F2E7A" w:rsidRPr="000F2E7A">
        <w:rPr>
          <w:rFonts w:ascii="Georgia" w:hAnsi="Georgia"/>
          <w:sz w:val="24"/>
          <w:szCs w:val="24"/>
        </w:rPr>
        <w:lastRenderedPageBreak/>
        <w:t>are based around state-organised groups, rather than any personal affiliation. Even groups which the citizens of Oceania are encouraged to hate, such as the caricatures of capitalists and the Eurasian prisoners, have distinctive group outfits. The prisoners are described collectively as wearing ‘shabby greenish uniforms’</w:t>
      </w:r>
      <w:r w:rsidR="00B372DE">
        <w:rPr>
          <w:rFonts w:ascii="Georgia" w:hAnsi="Georgia"/>
          <w:sz w:val="24"/>
          <w:szCs w:val="24"/>
        </w:rPr>
        <w:t xml:space="preserve"> (p. 115).</w:t>
      </w:r>
      <w:r w:rsidR="000F2E7A" w:rsidRPr="000F2E7A">
        <w:rPr>
          <w:rFonts w:ascii="Georgia" w:hAnsi="Georgia"/>
          <w:sz w:val="24"/>
          <w:szCs w:val="24"/>
        </w:rPr>
        <w:t xml:space="preserve"> Combined with their ‘Mongolian faces’, the way the Eurasians are presented to the citizens of Oceania means they match up easily with the caricatures of </w:t>
      </w:r>
      <w:r w:rsidR="006A3E40">
        <w:rPr>
          <w:rFonts w:ascii="Georgia" w:hAnsi="Georgia"/>
          <w:sz w:val="24"/>
          <w:szCs w:val="24"/>
        </w:rPr>
        <w:t>demonised</w:t>
      </w:r>
      <w:r w:rsidR="000F2E7A" w:rsidRPr="000F2E7A">
        <w:rPr>
          <w:rFonts w:ascii="Georgia" w:hAnsi="Georgia"/>
          <w:sz w:val="24"/>
          <w:szCs w:val="24"/>
        </w:rPr>
        <w:t xml:space="preserve"> Eurasian soldiers which are repeatedly shown to Oceanians. For example, during Hate Week, posters depicting a Eurasian soldier with an ‘expressionless Mongolian face’ are distributed throughout Airstrip One</w:t>
      </w:r>
      <w:r w:rsidR="00B372DE">
        <w:rPr>
          <w:rFonts w:ascii="Georgia" w:hAnsi="Georgia"/>
          <w:sz w:val="24"/>
          <w:szCs w:val="24"/>
        </w:rPr>
        <w:t xml:space="preserve"> (p. 149).</w:t>
      </w:r>
      <w:r w:rsidR="000F2E7A" w:rsidRPr="000F2E7A">
        <w:rPr>
          <w:rFonts w:ascii="Georgia" w:hAnsi="Georgia"/>
          <w:sz w:val="24"/>
          <w:szCs w:val="24"/>
        </w:rPr>
        <w:t xml:space="preserve"> The Oceanian propaganda against the Eurasians is so powerful that even when seeing real, individual Eurasians, the citizens are still able to view them as extensions of the Eurasian soldier archetype. Likewise, children in Oceania are brought up with a </w:t>
      </w:r>
      <w:proofErr w:type="gramStart"/>
      <w:r w:rsidR="000F2E7A" w:rsidRPr="000F2E7A">
        <w:rPr>
          <w:rFonts w:ascii="Georgia" w:hAnsi="Georgia"/>
          <w:sz w:val="24"/>
          <w:szCs w:val="24"/>
        </w:rPr>
        <w:t>particular image</w:t>
      </w:r>
      <w:proofErr w:type="gramEnd"/>
      <w:r w:rsidR="000F2E7A" w:rsidRPr="000F2E7A">
        <w:rPr>
          <w:rFonts w:ascii="Georgia" w:hAnsi="Georgia"/>
          <w:sz w:val="24"/>
          <w:szCs w:val="24"/>
        </w:rPr>
        <w:t xml:space="preserve"> of capitalists in mind. As Winston copies from a textbook</w:t>
      </w:r>
      <w:r w:rsidR="006A3E40">
        <w:rPr>
          <w:rFonts w:ascii="Georgia" w:hAnsi="Georgia"/>
          <w:sz w:val="24"/>
          <w:szCs w:val="24"/>
        </w:rPr>
        <w:t>:</w:t>
      </w:r>
    </w:p>
    <w:p w14:paraId="734DA02A" w14:textId="03475736" w:rsidR="006A3E40" w:rsidRDefault="000F2E7A" w:rsidP="004D4A14">
      <w:pPr>
        <w:shd w:val="clear" w:color="auto" w:fill="FFFFFF"/>
        <w:tabs>
          <w:tab w:val="left" w:pos="1080"/>
        </w:tabs>
        <w:spacing w:line="240" w:lineRule="auto"/>
        <w:ind w:left="720" w:right="720"/>
        <w:jc w:val="both"/>
        <w:rPr>
          <w:rFonts w:ascii="Georgia" w:hAnsi="Georgia"/>
          <w:sz w:val="24"/>
          <w:szCs w:val="24"/>
        </w:rPr>
      </w:pPr>
      <w:r w:rsidRPr="000F2E7A">
        <w:rPr>
          <w:rFonts w:ascii="Georgia" w:hAnsi="Georgia"/>
          <w:sz w:val="24"/>
          <w:szCs w:val="24"/>
        </w:rPr>
        <w:t xml:space="preserve">[The capitalists] were fat, ugly men with wicked faces, like the one in the picture on the opposite page. You can see that he is dressed in a long black coat which was called a frock coat, and a queer, shiny hat shaped like a stovepipe, which was called a top hat. This was the uniform of the capitalists, and no one else </w:t>
      </w:r>
      <w:proofErr w:type="gramStart"/>
      <w:r w:rsidRPr="000F2E7A">
        <w:rPr>
          <w:rFonts w:ascii="Georgia" w:hAnsi="Georgia"/>
          <w:sz w:val="24"/>
          <w:szCs w:val="24"/>
        </w:rPr>
        <w:t>was allowed to</w:t>
      </w:r>
      <w:proofErr w:type="gramEnd"/>
      <w:r w:rsidRPr="000F2E7A">
        <w:rPr>
          <w:rFonts w:ascii="Georgia" w:hAnsi="Georgia"/>
          <w:sz w:val="24"/>
          <w:szCs w:val="24"/>
        </w:rPr>
        <w:t xml:space="preserve"> wear it</w:t>
      </w:r>
      <w:r w:rsidR="00B372DE">
        <w:rPr>
          <w:rFonts w:ascii="Georgia" w:hAnsi="Georgia"/>
          <w:sz w:val="24"/>
          <w:szCs w:val="24"/>
        </w:rPr>
        <w:t xml:space="preserve"> (p. 72-3).</w:t>
      </w:r>
    </w:p>
    <w:p w14:paraId="0310AC6D" w14:textId="04065DC1"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 xml:space="preserve">As with the Eurasian soldier, this depiction of the capitalists as having a </w:t>
      </w:r>
      <w:proofErr w:type="gramStart"/>
      <w:r w:rsidRPr="000F2E7A">
        <w:rPr>
          <w:rFonts w:ascii="Georgia" w:hAnsi="Georgia"/>
          <w:sz w:val="24"/>
          <w:szCs w:val="24"/>
        </w:rPr>
        <w:t>particular uniform</w:t>
      </w:r>
      <w:proofErr w:type="gramEnd"/>
      <w:r w:rsidRPr="000F2E7A">
        <w:rPr>
          <w:rFonts w:ascii="Georgia" w:hAnsi="Georgia"/>
          <w:sz w:val="24"/>
          <w:szCs w:val="24"/>
        </w:rPr>
        <w:t xml:space="preserve"> serves to give a visual image of a stereotype, one which the citizens of Oceania can project their hatred of a group onto.</w:t>
      </w:r>
    </w:p>
    <w:p w14:paraId="71132CC5" w14:textId="77777777" w:rsidR="00BB1067" w:rsidRDefault="000F2E7A" w:rsidP="00BB1067">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ab/>
        <w:t xml:space="preserve">The party of </w:t>
      </w:r>
      <w:r w:rsidR="00B56651" w:rsidRPr="00B56651">
        <w:rPr>
          <w:rFonts w:ascii="Georgia" w:hAnsi="Georgia"/>
          <w:i/>
          <w:sz w:val="24"/>
          <w:szCs w:val="24"/>
        </w:rPr>
        <w:t>Nineteen-Eighty-Four</w:t>
      </w:r>
      <w:r w:rsidRPr="000F2E7A">
        <w:rPr>
          <w:rFonts w:ascii="Georgia" w:hAnsi="Georgia"/>
          <w:sz w:val="24"/>
          <w:szCs w:val="24"/>
        </w:rPr>
        <w:t xml:space="preserve"> uses uniforms to literally cover up the personal identity of the people wearing them, reducing them from humans to symbols of a collective. </w:t>
      </w:r>
      <w:r w:rsidR="007404CE">
        <w:rPr>
          <w:rFonts w:ascii="Georgia" w:hAnsi="Georgia"/>
          <w:sz w:val="24"/>
          <w:szCs w:val="24"/>
        </w:rPr>
        <w:t xml:space="preserve">In concealing the body, they try to conceal the </w:t>
      </w:r>
      <w:r w:rsidR="00BB1067">
        <w:rPr>
          <w:rFonts w:ascii="Georgia" w:hAnsi="Georgia"/>
          <w:sz w:val="24"/>
          <w:szCs w:val="24"/>
        </w:rPr>
        <w:t>mind</w:t>
      </w:r>
      <w:r w:rsidR="007404CE">
        <w:rPr>
          <w:rFonts w:ascii="Georgia" w:hAnsi="Georgia"/>
          <w:sz w:val="24"/>
          <w:szCs w:val="24"/>
        </w:rPr>
        <w:t xml:space="preserve">. </w:t>
      </w:r>
      <w:r w:rsidRPr="000F2E7A">
        <w:rPr>
          <w:rFonts w:ascii="Georgia" w:hAnsi="Georgia"/>
          <w:sz w:val="24"/>
          <w:szCs w:val="24"/>
        </w:rPr>
        <w:t>Th</w:t>
      </w:r>
      <w:r w:rsidR="007404CE">
        <w:rPr>
          <w:rFonts w:ascii="Georgia" w:hAnsi="Georgia"/>
          <w:sz w:val="24"/>
          <w:szCs w:val="24"/>
        </w:rPr>
        <w:t>is control of the body is critical</w:t>
      </w:r>
      <w:r w:rsidRPr="000F2E7A">
        <w:rPr>
          <w:rFonts w:ascii="Georgia" w:hAnsi="Georgia"/>
          <w:sz w:val="24"/>
          <w:szCs w:val="24"/>
        </w:rPr>
        <w:t xml:space="preserve">. As Naomi Jacobs writes in her analysis of the body in </w:t>
      </w:r>
      <w:r w:rsidR="00B56651" w:rsidRPr="00B56651">
        <w:rPr>
          <w:rFonts w:ascii="Georgia" w:hAnsi="Georgia"/>
          <w:i/>
          <w:sz w:val="24"/>
          <w:szCs w:val="24"/>
        </w:rPr>
        <w:t>Nineteen-Eighty-Four</w:t>
      </w:r>
      <w:r w:rsidRPr="000F2E7A">
        <w:rPr>
          <w:rFonts w:ascii="Georgia" w:hAnsi="Georgia"/>
          <w:sz w:val="24"/>
          <w:szCs w:val="24"/>
        </w:rPr>
        <w:t xml:space="preserve">, </w:t>
      </w:r>
    </w:p>
    <w:p w14:paraId="55A40BF9" w14:textId="090760CE" w:rsidR="000F2E7A" w:rsidRPr="000F2E7A" w:rsidRDefault="000F2E7A" w:rsidP="004D4A14">
      <w:pPr>
        <w:shd w:val="clear" w:color="auto" w:fill="FFFFFF"/>
        <w:tabs>
          <w:tab w:val="left" w:pos="1080"/>
        </w:tabs>
        <w:spacing w:line="240" w:lineRule="auto"/>
        <w:ind w:left="720" w:right="720"/>
        <w:jc w:val="both"/>
        <w:rPr>
          <w:rFonts w:ascii="Georgia" w:hAnsi="Georgia"/>
          <w:sz w:val="24"/>
          <w:szCs w:val="24"/>
        </w:rPr>
      </w:pPr>
      <w:r w:rsidRPr="000F2E7A">
        <w:rPr>
          <w:rFonts w:ascii="Georgia" w:hAnsi="Georgia"/>
          <w:sz w:val="24"/>
          <w:szCs w:val="24"/>
        </w:rPr>
        <w:t xml:space="preserve">The problem of the body is central to Utopian literature, which attempts to reconcile the desires of individual bodies with the needs of the body politic; at the heart of the Utopian </w:t>
      </w:r>
      <w:proofErr w:type="spellStart"/>
      <w:r w:rsidRPr="000F2E7A">
        <w:rPr>
          <w:rFonts w:ascii="Georgia" w:hAnsi="Georgia"/>
          <w:sz w:val="24"/>
          <w:szCs w:val="24"/>
        </w:rPr>
        <w:t>endeavor</w:t>
      </w:r>
      <w:proofErr w:type="spellEnd"/>
      <w:r w:rsidRPr="000F2E7A">
        <w:rPr>
          <w:rFonts w:ascii="Georgia" w:hAnsi="Georgia"/>
          <w:sz w:val="24"/>
          <w:szCs w:val="24"/>
        </w:rPr>
        <w:t xml:space="preserve"> is the projection of new ways to manage </w:t>
      </w:r>
      <w:r w:rsidRPr="000F2E7A">
        <w:rPr>
          <w:rFonts w:ascii="Georgia" w:hAnsi="Georgia"/>
          <w:sz w:val="24"/>
          <w:szCs w:val="24"/>
        </w:rPr>
        <w:lastRenderedPageBreak/>
        <w:t>populations of human bodies and to re-form the individual body, with its inchoate and often antisocial drives. […] The body itself must be the locus of Utopian or dystopian transformation, whether that transformation is to be brought about by liberating the body or by more effectively subduing it.</w:t>
      </w:r>
      <w:r w:rsidRPr="000F2E7A">
        <w:rPr>
          <w:rFonts w:ascii="Georgia" w:hAnsi="Georgia"/>
          <w:sz w:val="24"/>
          <w:szCs w:val="24"/>
          <w:vertAlign w:val="superscript"/>
        </w:rPr>
        <w:footnoteReference w:id="11"/>
      </w:r>
      <w:r w:rsidRPr="000F2E7A">
        <w:rPr>
          <w:rFonts w:ascii="Georgia" w:hAnsi="Georgia"/>
          <w:sz w:val="24"/>
          <w:szCs w:val="24"/>
        </w:rPr>
        <w:t xml:space="preserve"> </w:t>
      </w:r>
    </w:p>
    <w:p w14:paraId="3EA6706C" w14:textId="77777777" w:rsidR="00BB1067"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 xml:space="preserve">Interestingly, while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and </w:t>
      </w:r>
      <w:r w:rsidR="00B56651" w:rsidRPr="00B56651">
        <w:rPr>
          <w:rFonts w:ascii="Georgia" w:hAnsi="Georgia"/>
          <w:i/>
          <w:sz w:val="24"/>
          <w:szCs w:val="24"/>
        </w:rPr>
        <w:t>Nineteen-Eighty-Four</w:t>
      </w:r>
      <w:r w:rsidRPr="000F2E7A">
        <w:rPr>
          <w:rFonts w:ascii="Georgia" w:hAnsi="Georgia"/>
          <w:sz w:val="24"/>
          <w:szCs w:val="24"/>
        </w:rPr>
        <w:t xml:space="preserve"> both depict worlds of reduced personal style choices, largely homogenous dress, and practical clothing, the society of the former is aimed at liberating the body, while the latter subdues it. Key to the difference are </w:t>
      </w:r>
      <w:proofErr w:type="spellStart"/>
      <w:r w:rsidR="00BB1067">
        <w:rPr>
          <w:rFonts w:ascii="Georgia" w:hAnsi="Georgia"/>
          <w:sz w:val="24"/>
          <w:szCs w:val="24"/>
        </w:rPr>
        <w:t>Herland</w:t>
      </w:r>
      <w:proofErr w:type="spellEnd"/>
      <w:r w:rsidRPr="000F2E7A">
        <w:rPr>
          <w:rFonts w:ascii="Georgia" w:hAnsi="Georgia"/>
          <w:sz w:val="24"/>
          <w:szCs w:val="24"/>
        </w:rPr>
        <w:t xml:space="preserve"> and Oceania’s respective attitudes to sex, and how those relate to the feelings of their citizens. In </w:t>
      </w:r>
      <w:proofErr w:type="spellStart"/>
      <w:r w:rsidR="00B56651" w:rsidRPr="00BB1067">
        <w:rPr>
          <w:rFonts w:ascii="Georgia" w:hAnsi="Georgia"/>
          <w:sz w:val="24"/>
          <w:szCs w:val="24"/>
        </w:rPr>
        <w:t>Herland</w:t>
      </w:r>
      <w:proofErr w:type="spellEnd"/>
      <w:r w:rsidRPr="000F2E7A">
        <w:rPr>
          <w:rFonts w:ascii="Georgia" w:hAnsi="Georgia"/>
          <w:sz w:val="24"/>
          <w:szCs w:val="24"/>
        </w:rPr>
        <w:t xml:space="preserve">, women do not experience sexual desire, and </w:t>
      </w:r>
      <w:proofErr w:type="gramStart"/>
      <w:r w:rsidRPr="000F2E7A">
        <w:rPr>
          <w:rFonts w:ascii="Georgia" w:hAnsi="Georgia"/>
          <w:sz w:val="24"/>
          <w:szCs w:val="24"/>
        </w:rPr>
        <w:t>all of</w:t>
      </w:r>
      <w:proofErr w:type="gramEnd"/>
      <w:r w:rsidRPr="000F2E7A">
        <w:rPr>
          <w:rFonts w:ascii="Georgia" w:hAnsi="Georgia"/>
          <w:sz w:val="24"/>
          <w:szCs w:val="24"/>
        </w:rPr>
        <w:t xml:space="preserve"> their natural feelings are channelled into their collaboration in the improvement of their country. In contrast, in </w:t>
      </w:r>
      <w:r w:rsidR="00B56651" w:rsidRPr="00B56651">
        <w:rPr>
          <w:rFonts w:ascii="Georgia" w:hAnsi="Georgia"/>
          <w:i/>
          <w:sz w:val="24"/>
          <w:szCs w:val="24"/>
        </w:rPr>
        <w:t>Nineteen-Eighty-Four</w:t>
      </w:r>
      <w:r w:rsidRPr="000F2E7A">
        <w:rPr>
          <w:rFonts w:ascii="Georgia" w:hAnsi="Georgia"/>
          <w:sz w:val="24"/>
          <w:szCs w:val="24"/>
        </w:rPr>
        <w:t xml:space="preserve"> sexual urges are still very much present, </w:t>
      </w:r>
      <w:r w:rsidR="007404CE">
        <w:rPr>
          <w:rFonts w:ascii="Georgia" w:hAnsi="Georgia"/>
          <w:sz w:val="24"/>
          <w:szCs w:val="24"/>
        </w:rPr>
        <w:t>but they</w:t>
      </w:r>
      <w:r w:rsidRPr="000F2E7A">
        <w:rPr>
          <w:rFonts w:ascii="Georgia" w:hAnsi="Georgia"/>
          <w:sz w:val="24"/>
          <w:szCs w:val="24"/>
        </w:rPr>
        <w:t xml:space="preserve"> are condemned by the Party and suppressed by its citizens: </w:t>
      </w:r>
    </w:p>
    <w:p w14:paraId="1F250DBA" w14:textId="77777777" w:rsidR="00BB1067" w:rsidRDefault="000F2E7A" w:rsidP="004D4A14">
      <w:pPr>
        <w:shd w:val="clear" w:color="auto" w:fill="FFFFFF"/>
        <w:tabs>
          <w:tab w:val="left" w:pos="1080"/>
        </w:tabs>
        <w:spacing w:line="240" w:lineRule="auto"/>
        <w:ind w:left="720" w:right="720"/>
        <w:jc w:val="both"/>
        <w:rPr>
          <w:rFonts w:ascii="Georgia" w:hAnsi="Georgia"/>
          <w:sz w:val="24"/>
          <w:szCs w:val="24"/>
        </w:rPr>
      </w:pPr>
      <w:r w:rsidRPr="000F2E7A">
        <w:rPr>
          <w:rFonts w:ascii="Georgia" w:hAnsi="Georgia"/>
          <w:sz w:val="24"/>
          <w:szCs w:val="24"/>
        </w:rPr>
        <w:t>The aim of the Party was not merely to prevent men and women from forming</w:t>
      </w:r>
      <w:r w:rsidR="007404CE">
        <w:rPr>
          <w:rFonts w:ascii="Georgia" w:hAnsi="Georgia"/>
          <w:sz w:val="24"/>
          <w:szCs w:val="24"/>
        </w:rPr>
        <w:t xml:space="preserve"> </w:t>
      </w:r>
      <w:r w:rsidRPr="000F2E7A">
        <w:rPr>
          <w:rFonts w:ascii="Georgia" w:hAnsi="Georgia"/>
          <w:sz w:val="24"/>
          <w:szCs w:val="24"/>
        </w:rPr>
        <w:t>loyalties which it might not be able to control. Its real, undeclared purpose was to remove all pleasure from the sexual act. Not love so much as eroticism was the enemy, inside marriage as well as outside it</w:t>
      </w:r>
      <w:r w:rsidR="00B372DE">
        <w:rPr>
          <w:rFonts w:ascii="Georgia" w:hAnsi="Georgia"/>
          <w:sz w:val="24"/>
          <w:szCs w:val="24"/>
        </w:rPr>
        <w:t>’ (p. 65)</w:t>
      </w:r>
    </w:p>
    <w:p w14:paraId="015E8D69" w14:textId="637874C8"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 xml:space="preserve"> This means that sex becomes a revolutionary act, one which symbolises the liberation of both the body and of human emotions under the state. As Winston writes in his diary, ‘The sexual act, successfully performed, was rebellion. Desire was thoughtcrime</w:t>
      </w:r>
      <w:r w:rsidR="00B372DE">
        <w:rPr>
          <w:rFonts w:ascii="Georgia" w:hAnsi="Georgia"/>
          <w:sz w:val="24"/>
          <w:szCs w:val="24"/>
        </w:rPr>
        <w:t>’ (p. 68).</w:t>
      </w:r>
    </w:p>
    <w:p w14:paraId="09E8557A" w14:textId="77777777" w:rsidR="006D17D7"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ab/>
        <w:t xml:space="preserve">Nevertheless, the physical and mental aspects are of equal importance for sex in </w:t>
      </w:r>
      <w:r w:rsidR="00B56651" w:rsidRPr="00B56651">
        <w:rPr>
          <w:rFonts w:ascii="Georgia" w:hAnsi="Georgia"/>
          <w:i/>
          <w:sz w:val="24"/>
          <w:szCs w:val="24"/>
        </w:rPr>
        <w:t>Nineteen-Eighty-Four</w:t>
      </w:r>
      <w:r w:rsidRPr="000F2E7A">
        <w:rPr>
          <w:rFonts w:ascii="Georgia" w:hAnsi="Georgia"/>
          <w:sz w:val="24"/>
          <w:szCs w:val="24"/>
        </w:rPr>
        <w:t xml:space="preserve"> to be revolutionary. There are two types of sex depicted in the novel: </w:t>
      </w:r>
      <w:r w:rsidR="007404CE">
        <w:rPr>
          <w:rFonts w:ascii="Georgia" w:hAnsi="Georgia"/>
          <w:sz w:val="24"/>
          <w:szCs w:val="24"/>
        </w:rPr>
        <w:t>that which is</w:t>
      </w:r>
      <w:r w:rsidRPr="000F2E7A">
        <w:rPr>
          <w:rFonts w:ascii="Georgia" w:hAnsi="Georgia"/>
          <w:sz w:val="24"/>
          <w:szCs w:val="24"/>
        </w:rPr>
        <w:t xml:space="preserve"> devoid of emotion, simply done as a service to the Party; and that which comes out of genuine </w:t>
      </w:r>
      <w:r w:rsidR="007404CE">
        <w:rPr>
          <w:rFonts w:ascii="Georgia" w:hAnsi="Georgia"/>
          <w:sz w:val="24"/>
          <w:szCs w:val="24"/>
        </w:rPr>
        <w:t>desire</w:t>
      </w:r>
      <w:r w:rsidRPr="000F2E7A">
        <w:rPr>
          <w:rFonts w:ascii="Georgia" w:hAnsi="Georgia"/>
          <w:sz w:val="24"/>
          <w:szCs w:val="24"/>
        </w:rPr>
        <w:t xml:space="preserve"> and is therefore a form of rebellion. For Winston, these two varieties of sex are personified in the two women he has relationships with: Katherine and Julia. Through their contrasting attitudes to sex, they become Winston’s personal </w:t>
      </w:r>
      <w:r w:rsidRPr="000F2E7A">
        <w:rPr>
          <w:rFonts w:ascii="Georgia" w:hAnsi="Georgia"/>
          <w:sz w:val="24"/>
          <w:szCs w:val="24"/>
        </w:rPr>
        <w:lastRenderedPageBreak/>
        <w:t xml:space="preserve">Madonna/whore dichotomy, in which enjoying sex is tied to defiance of the party. Beatrix Campbell summarises the opposing representations of Katherine and Julia thus: </w:t>
      </w:r>
    </w:p>
    <w:p w14:paraId="23639D9C" w14:textId="3123ED35" w:rsidR="000F2E7A" w:rsidRPr="000F2E7A" w:rsidRDefault="000F2E7A" w:rsidP="004D4A14">
      <w:pPr>
        <w:shd w:val="clear" w:color="auto" w:fill="FFFFFF"/>
        <w:tabs>
          <w:tab w:val="left" w:pos="1080"/>
        </w:tabs>
        <w:spacing w:line="240" w:lineRule="auto"/>
        <w:ind w:left="720" w:right="720"/>
        <w:jc w:val="both"/>
        <w:rPr>
          <w:rFonts w:ascii="Georgia" w:hAnsi="Georgia"/>
          <w:sz w:val="24"/>
          <w:szCs w:val="24"/>
        </w:rPr>
      </w:pPr>
      <w:r w:rsidRPr="000F2E7A">
        <w:rPr>
          <w:rFonts w:ascii="Georgia" w:hAnsi="Georgia"/>
          <w:sz w:val="24"/>
          <w:szCs w:val="24"/>
        </w:rPr>
        <w:t>In a curiously sexual politics, he counterposes Julia’s revolutionary rapaciousness with his former wife Katherine’s puritanism. Her party loyalty is expressed in her frigidity. Julia’s delicious revolt is consummated in her illicit collection of make-up: throwing off the uniform of the party she dons the mantle of femininity.</w:t>
      </w:r>
      <w:r w:rsidRPr="000F2E7A">
        <w:rPr>
          <w:rFonts w:ascii="Georgia" w:hAnsi="Georgia"/>
          <w:sz w:val="24"/>
          <w:szCs w:val="24"/>
          <w:vertAlign w:val="superscript"/>
        </w:rPr>
        <w:footnoteReference w:id="12"/>
      </w:r>
    </w:p>
    <w:p w14:paraId="3FA22072" w14:textId="7A673642" w:rsidR="000F2E7A" w:rsidRPr="000F2E7A" w:rsidRDefault="000F2E7A" w:rsidP="000F2E7A">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 xml:space="preserve">Besides Julia, the only other women which Winston describes as wearing makeup are the proles, who are not subject to the Party’s prohibitions against it. Before meeting Julia, he </w:t>
      </w:r>
      <w:r w:rsidR="007404CE">
        <w:rPr>
          <w:rFonts w:ascii="Georgia" w:hAnsi="Georgia"/>
          <w:sz w:val="24"/>
          <w:szCs w:val="24"/>
        </w:rPr>
        <w:t>writes about</w:t>
      </w:r>
      <w:r w:rsidRPr="000F2E7A">
        <w:rPr>
          <w:rFonts w:ascii="Georgia" w:hAnsi="Georgia"/>
          <w:sz w:val="24"/>
          <w:szCs w:val="24"/>
        </w:rPr>
        <w:t xml:space="preserve"> brief encounter he had with a prostitute. Crucially, Winston is drawn most of all to her makeup. He writes, ‘She had a young face, painted very thick. It was really the paint that appealed to me, the whiteness of it, like a mask, and the bright red lips. Party women never paint their faces</w:t>
      </w:r>
      <w:r w:rsidR="00B372DE">
        <w:rPr>
          <w:rFonts w:ascii="Georgia" w:hAnsi="Georgia"/>
          <w:sz w:val="24"/>
          <w:szCs w:val="24"/>
        </w:rPr>
        <w:t>’ (p. 63).</w:t>
      </w:r>
      <w:r w:rsidRPr="000F2E7A">
        <w:rPr>
          <w:rFonts w:ascii="Georgia" w:hAnsi="Georgia"/>
          <w:sz w:val="24"/>
          <w:szCs w:val="24"/>
        </w:rPr>
        <w:t xml:space="preserve"> Makeup, when worn by women, is the antithesis of the Party uniform. It represents acceptance of the old, pre-Oceanian feminine role, which in turn hearkens back to male-female relationships based on sexual attraction. When Julia presents herself to Winston in a full face of makeup, he mentally acknowledges that the most important thing is how feminine it makes her look: ‘With just a few dabs of colour in the right places she had become not only very much prettier, but, above all, far more feminine</w:t>
      </w:r>
      <w:r w:rsidR="004C5954">
        <w:rPr>
          <w:rFonts w:ascii="Georgia" w:hAnsi="Georgia"/>
          <w:sz w:val="24"/>
          <w:szCs w:val="24"/>
        </w:rPr>
        <w:t xml:space="preserve">’ (p.142). </w:t>
      </w:r>
      <w:r w:rsidRPr="000F2E7A">
        <w:rPr>
          <w:rFonts w:ascii="Georgia" w:hAnsi="Georgia"/>
          <w:sz w:val="24"/>
          <w:szCs w:val="24"/>
        </w:rPr>
        <w:t>Almost immediately after that passage, Julia drives the point home by declaring</w:t>
      </w:r>
      <w:r w:rsidR="007404CE">
        <w:rPr>
          <w:rFonts w:ascii="Georgia" w:hAnsi="Georgia"/>
          <w:sz w:val="24"/>
          <w:szCs w:val="24"/>
        </w:rPr>
        <w:t>,</w:t>
      </w:r>
      <w:r w:rsidRPr="000F2E7A">
        <w:rPr>
          <w:rFonts w:ascii="Georgia" w:hAnsi="Georgia"/>
          <w:sz w:val="24"/>
          <w:szCs w:val="24"/>
        </w:rPr>
        <w:t xml:space="preserve"> ‘I'm going to get hold of a real woman's frock from somewhere and wear it instead of these bloody trousers. I'll wear silk stockings and high-heeled shoes! In this room I'm going to be a woman, not a Party comrade</w:t>
      </w:r>
      <w:r w:rsidR="00B372DE">
        <w:rPr>
          <w:rFonts w:ascii="Georgia" w:hAnsi="Georgia"/>
          <w:sz w:val="24"/>
          <w:szCs w:val="24"/>
        </w:rPr>
        <w:t>’ (p. 142).</w:t>
      </w:r>
      <w:r w:rsidRPr="000F2E7A">
        <w:rPr>
          <w:rFonts w:ascii="Georgia" w:hAnsi="Georgia"/>
          <w:sz w:val="24"/>
          <w:szCs w:val="24"/>
        </w:rPr>
        <w:t xml:space="preserve"> The </w:t>
      </w:r>
      <w:r w:rsidRPr="000F2E7A">
        <w:rPr>
          <w:rFonts w:ascii="Georgia" w:hAnsi="Georgia"/>
          <w:sz w:val="24"/>
          <w:szCs w:val="24"/>
        </w:rPr>
        <w:lastRenderedPageBreak/>
        <w:t xml:space="preserve">divide is clear – you can be a woman or a Party </w:t>
      </w:r>
      <w:r w:rsidR="00041908">
        <w:rPr>
          <w:rFonts w:ascii="Georgia" w:hAnsi="Georgia"/>
          <w:sz w:val="24"/>
          <w:szCs w:val="24"/>
        </w:rPr>
        <w:t>member</w:t>
      </w:r>
      <w:r w:rsidRPr="000F2E7A">
        <w:rPr>
          <w:rFonts w:ascii="Georgia" w:hAnsi="Georgia"/>
          <w:sz w:val="24"/>
          <w:szCs w:val="24"/>
        </w:rPr>
        <w:t xml:space="preserve">, but the two identities are mutually exclusive. </w:t>
      </w:r>
    </w:p>
    <w:p w14:paraId="2D8C2CF1" w14:textId="4238CD98" w:rsidR="000F2E7A" w:rsidRPr="000F2E7A" w:rsidRDefault="000F2E7A" w:rsidP="00FA383F">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ab/>
        <w:t xml:space="preserve">In both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and </w:t>
      </w:r>
      <w:r w:rsidR="00B56651" w:rsidRPr="00B56651">
        <w:rPr>
          <w:rFonts w:ascii="Georgia" w:hAnsi="Georgia"/>
          <w:i/>
          <w:sz w:val="24"/>
          <w:szCs w:val="24"/>
        </w:rPr>
        <w:t>Nineteen-Eighty-Four</w:t>
      </w:r>
      <w:r w:rsidRPr="000F2E7A">
        <w:rPr>
          <w:rFonts w:ascii="Georgia" w:hAnsi="Georgia"/>
          <w:sz w:val="24"/>
          <w:szCs w:val="24"/>
        </w:rPr>
        <w:t xml:space="preserve">, physical femininity (at least as it appears </w:t>
      </w:r>
      <w:r w:rsidR="004C5954">
        <w:rPr>
          <w:rFonts w:ascii="Georgia" w:hAnsi="Georgia"/>
          <w:sz w:val="24"/>
          <w:szCs w:val="24"/>
        </w:rPr>
        <w:t xml:space="preserve">to </w:t>
      </w:r>
      <w:r w:rsidRPr="000F2E7A">
        <w:rPr>
          <w:rFonts w:ascii="Georgia" w:hAnsi="Georgia"/>
          <w:sz w:val="24"/>
          <w:szCs w:val="24"/>
        </w:rPr>
        <w:t xml:space="preserve">the male characters) is presented as something artificial, manufactured through </w:t>
      </w:r>
      <w:r w:rsidR="007404CE">
        <w:rPr>
          <w:rFonts w:ascii="Georgia" w:hAnsi="Georgia"/>
          <w:sz w:val="24"/>
          <w:szCs w:val="24"/>
        </w:rPr>
        <w:t>dress</w:t>
      </w:r>
      <w:r w:rsidRPr="000F2E7A">
        <w:rPr>
          <w:rFonts w:ascii="Georgia" w:hAnsi="Georgia"/>
          <w:sz w:val="24"/>
          <w:szCs w:val="24"/>
        </w:rPr>
        <w:t xml:space="preserve">. However, the place that such femininity plays in the two novels is drastically different. In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it is a restrictive, illogical hindrance which women should naturally be glad to be free from. In </w:t>
      </w:r>
      <w:r w:rsidR="00B56651" w:rsidRPr="00B56651">
        <w:rPr>
          <w:rFonts w:ascii="Georgia" w:hAnsi="Georgia"/>
          <w:i/>
          <w:sz w:val="24"/>
          <w:szCs w:val="24"/>
        </w:rPr>
        <w:t>Nineteen-Eighty-Four</w:t>
      </w:r>
      <w:r w:rsidRPr="000F2E7A">
        <w:rPr>
          <w:rFonts w:ascii="Georgia" w:hAnsi="Georgia"/>
          <w:sz w:val="24"/>
          <w:szCs w:val="24"/>
        </w:rPr>
        <w:t xml:space="preserve">, it is an illicit quality whose obtainment represents defiance against the party. Yet in both books, it is connected to the male gaze and sexual attraction. It is assumed in both cases that a woman would wear makeup and feminine clothing for the purpose of attracting a man; it is simply that in </w:t>
      </w:r>
      <w:proofErr w:type="spellStart"/>
      <w:r w:rsidR="00B56651" w:rsidRPr="00B56651">
        <w:rPr>
          <w:rFonts w:ascii="Georgia" w:hAnsi="Georgia"/>
          <w:i/>
          <w:sz w:val="24"/>
          <w:szCs w:val="24"/>
        </w:rPr>
        <w:t>Herland</w:t>
      </w:r>
      <w:proofErr w:type="spellEnd"/>
      <w:r w:rsidRPr="000F2E7A">
        <w:rPr>
          <w:rFonts w:ascii="Georgia" w:hAnsi="Georgia"/>
          <w:sz w:val="24"/>
          <w:szCs w:val="24"/>
        </w:rPr>
        <w:t xml:space="preserve"> this is not something women want, while in </w:t>
      </w:r>
      <w:r w:rsidR="00B56651" w:rsidRPr="00B56651">
        <w:rPr>
          <w:rFonts w:ascii="Georgia" w:hAnsi="Georgia"/>
          <w:i/>
          <w:sz w:val="24"/>
          <w:szCs w:val="24"/>
        </w:rPr>
        <w:t>Nineteen-Eighty-Four</w:t>
      </w:r>
      <w:r w:rsidRPr="000F2E7A">
        <w:rPr>
          <w:rFonts w:ascii="Georgia" w:hAnsi="Georgia"/>
          <w:sz w:val="24"/>
          <w:szCs w:val="24"/>
        </w:rPr>
        <w:t xml:space="preserve"> it is not something women are allowed.  </w:t>
      </w:r>
      <w:r w:rsidR="004C5954">
        <w:rPr>
          <w:rFonts w:ascii="Georgia" w:hAnsi="Georgia"/>
          <w:sz w:val="24"/>
          <w:szCs w:val="24"/>
        </w:rPr>
        <w:t xml:space="preserve">Yet despite their difference, </w:t>
      </w:r>
      <w:r w:rsidRPr="000F2E7A">
        <w:rPr>
          <w:rFonts w:ascii="Georgia" w:hAnsi="Georgia"/>
          <w:sz w:val="24"/>
          <w:szCs w:val="24"/>
        </w:rPr>
        <w:t xml:space="preserve">the point remains that we </w:t>
      </w:r>
      <w:proofErr w:type="gramStart"/>
      <w:r w:rsidRPr="000F2E7A">
        <w:rPr>
          <w:rFonts w:ascii="Georgia" w:hAnsi="Georgia"/>
          <w:sz w:val="24"/>
          <w:szCs w:val="24"/>
        </w:rPr>
        <w:t>are able to</w:t>
      </w:r>
      <w:proofErr w:type="gramEnd"/>
      <w:r w:rsidRPr="000F2E7A">
        <w:rPr>
          <w:rFonts w:ascii="Georgia" w:hAnsi="Georgia"/>
          <w:sz w:val="24"/>
          <w:szCs w:val="24"/>
        </w:rPr>
        <w:t xml:space="preserve"> analyse these novels (and their respective utopias and dystopias) based on their representation of fashion and beauty. </w:t>
      </w:r>
      <w:r w:rsidR="00142220">
        <w:rPr>
          <w:rFonts w:ascii="Georgia" w:hAnsi="Georgia"/>
          <w:sz w:val="24"/>
          <w:szCs w:val="24"/>
        </w:rPr>
        <w:t xml:space="preserve">Dress, both in real life and novels, can provide great insight into social norms, particularly those connected to sex and gender. </w:t>
      </w:r>
      <w:r w:rsidRPr="000F2E7A">
        <w:rPr>
          <w:rFonts w:ascii="Georgia" w:hAnsi="Georgia"/>
          <w:sz w:val="24"/>
          <w:szCs w:val="24"/>
        </w:rPr>
        <w:t xml:space="preserve">While </w:t>
      </w:r>
      <w:r w:rsidR="00142220">
        <w:rPr>
          <w:rFonts w:ascii="Georgia" w:hAnsi="Georgia"/>
          <w:sz w:val="24"/>
          <w:szCs w:val="24"/>
        </w:rPr>
        <w:t xml:space="preserve">fashion </w:t>
      </w:r>
      <w:r w:rsidRPr="000F2E7A">
        <w:rPr>
          <w:rFonts w:ascii="Georgia" w:hAnsi="Georgia"/>
          <w:sz w:val="24"/>
          <w:szCs w:val="24"/>
        </w:rPr>
        <w:t xml:space="preserve">may often </w:t>
      </w:r>
      <w:r w:rsidR="00F0044B">
        <w:rPr>
          <w:rFonts w:ascii="Georgia" w:hAnsi="Georgia"/>
          <w:sz w:val="24"/>
          <w:szCs w:val="24"/>
        </w:rPr>
        <w:t>be</w:t>
      </w:r>
      <w:bookmarkStart w:id="0" w:name="_GoBack"/>
      <w:bookmarkEnd w:id="0"/>
      <w:r w:rsidRPr="000F2E7A">
        <w:rPr>
          <w:rFonts w:ascii="Georgia" w:hAnsi="Georgia"/>
          <w:sz w:val="24"/>
          <w:szCs w:val="24"/>
        </w:rPr>
        <w:t xml:space="preserve"> seen as </w:t>
      </w:r>
      <w:r w:rsidR="00142220">
        <w:rPr>
          <w:rFonts w:ascii="Georgia" w:hAnsi="Georgia"/>
          <w:sz w:val="24"/>
          <w:szCs w:val="24"/>
        </w:rPr>
        <w:t xml:space="preserve">a </w:t>
      </w:r>
      <w:r w:rsidRPr="000F2E7A">
        <w:rPr>
          <w:rFonts w:ascii="Georgia" w:hAnsi="Georgia"/>
          <w:sz w:val="24"/>
          <w:szCs w:val="24"/>
        </w:rPr>
        <w:t xml:space="preserve">shallow or meaningless </w:t>
      </w:r>
      <w:r w:rsidR="00142220">
        <w:rPr>
          <w:rFonts w:ascii="Georgia" w:hAnsi="Georgia"/>
          <w:sz w:val="24"/>
          <w:szCs w:val="24"/>
        </w:rPr>
        <w:t>topic</w:t>
      </w:r>
      <w:r w:rsidRPr="000F2E7A">
        <w:rPr>
          <w:rFonts w:ascii="Georgia" w:hAnsi="Georgia"/>
          <w:sz w:val="24"/>
          <w:szCs w:val="24"/>
        </w:rPr>
        <w:t xml:space="preserve">, the truth is </w:t>
      </w:r>
      <w:r w:rsidR="00142220">
        <w:rPr>
          <w:rFonts w:ascii="Georgia" w:hAnsi="Georgia"/>
          <w:sz w:val="24"/>
          <w:szCs w:val="24"/>
        </w:rPr>
        <w:t>it has</w:t>
      </w:r>
      <w:r w:rsidRPr="000F2E7A">
        <w:rPr>
          <w:rFonts w:ascii="Georgia" w:hAnsi="Georgia"/>
          <w:sz w:val="24"/>
          <w:szCs w:val="24"/>
        </w:rPr>
        <w:t xml:space="preserve"> a lot to tell us about the societ</w:t>
      </w:r>
      <w:r w:rsidR="00173CD1">
        <w:rPr>
          <w:rFonts w:ascii="Georgia" w:hAnsi="Georgia"/>
          <w:sz w:val="24"/>
          <w:szCs w:val="24"/>
        </w:rPr>
        <w:t>y</w:t>
      </w:r>
      <w:r w:rsidRPr="000F2E7A">
        <w:rPr>
          <w:rFonts w:ascii="Georgia" w:hAnsi="Georgia"/>
          <w:sz w:val="24"/>
          <w:szCs w:val="24"/>
        </w:rPr>
        <w:t xml:space="preserve"> </w:t>
      </w:r>
      <w:r w:rsidR="00142220">
        <w:rPr>
          <w:rFonts w:ascii="Georgia" w:hAnsi="Georgia"/>
          <w:sz w:val="24"/>
          <w:szCs w:val="24"/>
        </w:rPr>
        <w:t>it</w:t>
      </w:r>
      <w:r w:rsidRPr="000F2E7A">
        <w:rPr>
          <w:rFonts w:ascii="Georgia" w:hAnsi="Georgia"/>
          <w:sz w:val="24"/>
          <w:szCs w:val="24"/>
        </w:rPr>
        <w:t xml:space="preserve"> come</w:t>
      </w:r>
      <w:r w:rsidR="00142220">
        <w:rPr>
          <w:rFonts w:ascii="Georgia" w:hAnsi="Georgia"/>
          <w:sz w:val="24"/>
          <w:szCs w:val="24"/>
        </w:rPr>
        <w:t>s</w:t>
      </w:r>
      <w:r w:rsidRPr="000F2E7A">
        <w:rPr>
          <w:rFonts w:ascii="Georgia" w:hAnsi="Georgia"/>
          <w:sz w:val="24"/>
          <w:szCs w:val="24"/>
        </w:rPr>
        <w:t xml:space="preserve"> from – whether real or fictional.</w:t>
      </w:r>
    </w:p>
    <w:p w14:paraId="6CBBBEA0" w14:textId="126D4FDA" w:rsidR="0042210E" w:rsidRDefault="000F2E7A" w:rsidP="00B372DE">
      <w:pPr>
        <w:shd w:val="clear" w:color="auto" w:fill="FFFFFF"/>
        <w:tabs>
          <w:tab w:val="left" w:pos="1080"/>
        </w:tabs>
        <w:spacing w:after="0" w:line="480" w:lineRule="auto"/>
        <w:jc w:val="both"/>
        <w:rPr>
          <w:rFonts w:ascii="Georgia" w:hAnsi="Georgia"/>
          <w:sz w:val="24"/>
          <w:szCs w:val="24"/>
        </w:rPr>
      </w:pPr>
      <w:r w:rsidRPr="000F2E7A">
        <w:rPr>
          <w:rFonts w:ascii="Georgia" w:hAnsi="Georgia"/>
          <w:sz w:val="24"/>
          <w:szCs w:val="24"/>
        </w:rPr>
        <w:tab/>
      </w:r>
    </w:p>
    <w:p w14:paraId="069D1D4A" w14:textId="0BD17A65" w:rsidR="00B372DE" w:rsidRDefault="00B372DE" w:rsidP="00B372DE">
      <w:pPr>
        <w:shd w:val="clear" w:color="auto" w:fill="FFFFFF"/>
        <w:tabs>
          <w:tab w:val="left" w:pos="1080"/>
        </w:tabs>
        <w:spacing w:after="0" w:line="480" w:lineRule="auto"/>
        <w:jc w:val="both"/>
        <w:rPr>
          <w:rFonts w:ascii="Georgia" w:hAnsi="Georgia"/>
          <w:sz w:val="28"/>
          <w:szCs w:val="28"/>
        </w:rPr>
      </w:pPr>
    </w:p>
    <w:p w14:paraId="7E513A39" w14:textId="0D338C21" w:rsidR="00E8110B" w:rsidRDefault="00E8110B" w:rsidP="00B372DE">
      <w:pPr>
        <w:shd w:val="clear" w:color="auto" w:fill="FFFFFF"/>
        <w:tabs>
          <w:tab w:val="left" w:pos="1080"/>
        </w:tabs>
        <w:spacing w:after="0" w:line="480" w:lineRule="auto"/>
        <w:jc w:val="both"/>
        <w:rPr>
          <w:rFonts w:ascii="Georgia" w:hAnsi="Georgia"/>
          <w:sz w:val="28"/>
          <w:szCs w:val="28"/>
        </w:rPr>
      </w:pPr>
    </w:p>
    <w:p w14:paraId="0D93855D" w14:textId="6F6FFD2D" w:rsidR="00E8110B" w:rsidRDefault="00E8110B" w:rsidP="00B372DE">
      <w:pPr>
        <w:shd w:val="clear" w:color="auto" w:fill="FFFFFF"/>
        <w:tabs>
          <w:tab w:val="left" w:pos="1080"/>
        </w:tabs>
        <w:spacing w:after="0" w:line="480" w:lineRule="auto"/>
        <w:jc w:val="both"/>
        <w:rPr>
          <w:rFonts w:ascii="Georgia" w:hAnsi="Georgia"/>
          <w:sz w:val="28"/>
          <w:szCs w:val="28"/>
        </w:rPr>
      </w:pPr>
    </w:p>
    <w:p w14:paraId="3650909F" w14:textId="4BC9058B" w:rsidR="00E8110B" w:rsidRDefault="00E8110B" w:rsidP="00B372DE">
      <w:pPr>
        <w:shd w:val="clear" w:color="auto" w:fill="FFFFFF"/>
        <w:tabs>
          <w:tab w:val="left" w:pos="1080"/>
        </w:tabs>
        <w:spacing w:after="0" w:line="480" w:lineRule="auto"/>
        <w:jc w:val="both"/>
        <w:rPr>
          <w:rFonts w:ascii="Georgia" w:hAnsi="Georgia"/>
          <w:sz w:val="28"/>
          <w:szCs w:val="28"/>
        </w:rPr>
      </w:pPr>
    </w:p>
    <w:p w14:paraId="5778A5B1" w14:textId="77777777" w:rsidR="004D4A14" w:rsidRDefault="004D4A14" w:rsidP="00B372DE">
      <w:pPr>
        <w:shd w:val="clear" w:color="auto" w:fill="FFFFFF"/>
        <w:tabs>
          <w:tab w:val="left" w:pos="1080"/>
        </w:tabs>
        <w:spacing w:after="0" w:line="480" w:lineRule="auto"/>
        <w:jc w:val="both"/>
        <w:rPr>
          <w:rFonts w:ascii="Georgia" w:hAnsi="Georgia"/>
          <w:sz w:val="28"/>
          <w:szCs w:val="28"/>
        </w:rPr>
      </w:pPr>
    </w:p>
    <w:p w14:paraId="09E8B3F2" w14:textId="52A053DB" w:rsidR="001259E8" w:rsidRPr="00674647" w:rsidRDefault="0014185B" w:rsidP="00674647">
      <w:pPr>
        <w:spacing w:line="480" w:lineRule="auto"/>
        <w:jc w:val="center"/>
        <w:rPr>
          <w:rFonts w:ascii="Georgia" w:hAnsi="Georgia"/>
          <w:sz w:val="24"/>
          <w:szCs w:val="24"/>
        </w:rPr>
      </w:pPr>
      <w:r w:rsidRPr="00863CDE">
        <w:rPr>
          <w:rFonts w:ascii="Georgia" w:hAnsi="Georgia"/>
          <w:sz w:val="28"/>
          <w:szCs w:val="28"/>
        </w:rPr>
        <w:lastRenderedPageBreak/>
        <w:t>Bibliography</w:t>
      </w:r>
    </w:p>
    <w:p w14:paraId="3F4C13D2" w14:textId="29D278C2" w:rsidR="001259E8" w:rsidRPr="001259E8" w:rsidRDefault="001259E8" w:rsidP="00A43047">
      <w:pPr>
        <w:spacing w:after="0" w:line="480" w:lineRule="auto"/>
        <w:ind w:left="360" w:hanging="360"/>
        <w:jc w:val="both"/>
        <w:rPr>
          <w:rFonts w:ascii="Georgia" w:hAnsi="Georgia"/>
        </w:rPr>
      </w:pPr>
      <w:r w:rsidRPr="001259E8">
        <w:rPr>
          <w:rFonts w:ascii="Georgia" w:hAnsi="Georgia"/>
        </w:rPr>
        <w:t xml:space="preserve">Campbell, Beatrix, ‘Orwell – Paterfamilias or Big Brother?’, in </w:t>
      </w:r>
      <w:r w:rsidRPr="001259E8">
        <w:rPr>
          <w:rFonts w:ascii="Georgia" w:hAnsi="Georgia"/>
          <w:i/>
        </w:rPr>
        <w:t xml:space="preserve">George Orwell: Contemporary Critical Essays </w:t>
      </w:r>
      <w:r w:rsidRPr="001259E8">
        <w:rPr>
          <w:rFonts w:ascii="Georgia" w:hAnsi="Georgia"/>
        </w:rPr>
        <w:t>(Basingstoke: Macmillan Press, 1998</w:t>
      </w:r>
      <w:r w:rsidR="006B7633">
        <w:rPr>
          <w:rFonts w:ascii="Georgia" w:hAnsi="Georgia"/>
        </w:rPr>
        <w:t>)</w:t>
      </w:r>
    </w:p>
    <w:p w14:paraId="64A12F03" w14:textId="77777777" w:rsidR="001259E8" w:rsidRPr="001259E8" w:rsidRDefault="001259E8" w:rsidP="00AF3C6A">
      <w:pPr>
        <w:spacing w:after="0" w:line="480" w:lineRule="auto"/>
        <w:ind w:left="360" w:hanging="360"/>
        <w:jc w:val="both"/>
        <w:rPr>
          <w:rFonts w:ascii="Georgia" w:hAnsi="Georgia"/>
        </w:rPr>
      </w:pPr>
      <w:r w:rsidRPr="001259E8">
        <w:rPr>
          <w:rFonts w:ascii="Georgia" w:hAnsi="Georgia"/>
        </w:rPr>
        <w:t xml:space="preserve">Ferns, Chris, </w:t>
      </w:r>
      <w:r w:rsidRPr="0005737E">
        <w:rPr>
          <w:rFonts w:ascii="Georgia" w:hAnsi="Georgia"/>
          <w:i/>
        </w:rPr>
        <w:t xml:space="preserve">Narrating Utopia </w:t>
      </w:r>
      <w:r w:rsidRPr="001259E8">
        <w:rPr>
          <w:rFonts w:ascii="Georgia" w:hAnsi="Georgia"/>
        </w:rPr>
        <w:t>(Liverpool: Liverpool University Press, 1999)</w:t>
      </w:r>
    </w:p>
    <w:p w14:paraId="16956A1F" w14:textId="77777777" w:rsidR="001259E8" w:rsidRPr="001259E8" w:rsidRDefault="001259E8" w:rsidP="00172CA2">
      <w:pPr>
        <w:spacing w:after="0" w:line="480" w:lineRule="auto"/>
        <w:ind w:left="360" w:hanging="360"/>
        <w:jc w:val="both"/>
        <w:rPr>
          <w:rFonts w:ascii="Georgia" w:hAnsi="Georgia"/>
        </w:rPr>
      </w:pPr>
      <w:r w:rsidRPr="001259E8">
        <w:rPr>
          <w:rFonts w:ascii="Georgia" w:hAnsi="Georgia"/>
        </w:rPr>
        <w:t xml:space="preserve">Finkelstein, Joanne, </w:t>
      </w:r>
      <w:r w:rsidRPr="001259E8">
        <w:rPr>
          <w:rFonts w:ascii="Georgia" w:hAnsi="Georgia"/>
          <w:i/>
        </w:rPr>
        <w:t>Fashion: An Introduction</w:t>
      </w:r>
      <w:r w:rsidRPr="001259E8">
        <w:rPr>
          <w:rFonts w:ascii="Georgia" w:hAnsi="Georgia"/>
        </w:rPr>
        <w:t xml:space="preserve"> (New York: NYU Press, 1998)</w:t>
      </w:r>
    </w:p>
    <w:p w14:paraId="7D14ED8B" w14:textId="5879839C" w:rsidR="001259E8" w:rsidRDefault="001259E8" w:rsidP="00F06991">
      <w:pPr>
        <w:pStyle w:val="FootnoteText"/>
        <w:rPr>
          <w:rFonts w:ascii="Georgia" w:hAnsi="Georgia"/>
          <w:sz w:val="22"/>
          <w:szCs w:val="22"/>
        </w:rPr>
      </w:pPr>
      <w:r w:rsidRPr="001259E8">
        <w:rPr>
          <w:rFonts w:ascii="Georgia" w:hAnsi="Georgia"/>
          <w:sz w:val="22"/>
          <w:szCs w:val="22"/>
        </w:rPr>
        <w:t xml:space="preserve">Matthews, Christopher Todd, ‘Form and Deformity: The Trouble with Victorian Pockets’, </w:t>
      </w:r>
      <w:r w:rsidRPr="001259E8">
        <w:rPr>
          <w:rFonts w:ascii="Georgia" w:hAnsi="Georgia"/>
          <w:i/>
          <w:iCs/>
          <w:sz w:val="22"/>
          <w:szCs w:val="22"/>
        </w:rPr>
        <w:t>Victorian Studies,</w:t>
      </w:r>
      <w:r w:rsidRPr="001259E8">
        <w:rPr>
          <w:rFonts w:ascii="Georgia" w:hAnsi="Georgia"/>
          <w:sz w:val="22"/>
          <w:szCs w:val="22"/>
        </w:rPr>
        <w:t xml:space="preserve"> </w:t>
      </w:r>
      <w:r w:rsidRPr="001259E8">
        <w:rPr>
          <w:rFonts w:ascii="Georgia" w:hAnsi="Georgia"/>
          <w:i/>
          <w:iCs/>
          <w:sz w:val="22"/>
          <w:szCs w:val="22"/>
        </w:rPr>
        <w:t>52</w:t>
      </w:r>
      <w:r w:rsidRPr="001259E8">
        <w:rPr>
          <w:rFonts w:ascii="Georgia" w:hAnsi="Georgia"/>
          <w:sz w:val="22"/>
          <w:szCs w:val="22"/>
        </w:rPr>
        <w:t>(4)</w:t>
      </w:r>
      <w:r w:rsidR="00F80917">
        <w:rPr>
          <w:rFonts w:ascii="Georgia" w:hAnsi="Georgia"/>
          <w:sz w:val="22"/>
          <w:szCs w:val="22"/>
        </w:rPr>
        <w:t>, (2010)</w:t>
      </w:r>
      <w:r w:rsidRPr="001259E8">
        <w:rPr>
          <w:rFonts w:ascii="Georgia" w:hAnsi="Georgia"/>
          <w:sz w:val="22"/>
          <w:szCs w:val="22"/>
        </w:rPr>
        <w:t xml:space="preserve"> 561-590</w:t>
      </w:r>
    </w:p>
    <w:p w14:paraId="47C98DEB" w14:textId="77777777" w:rsidR="001259E8" w:rsidRPr="001259E8" w:rsidRDefault="001259E8" w:rsidP="00F06991">
      <w:pPr>
        <w:pStyle w:val="FootnoteText"/>
        <w:rPr>
          <w:rFonts w:ascii="Georgia" w:hAnsi="Georgia"/>
          <w:sz w:val="22"/>
          <w:szCs w:val="22"/>
        </w:rPr>
      </w:pPr>
    </w:p>
    <w:p w14:paraId="26E9D5E0" w14:textId="0B508F52" w:rsidR="001259E8" w:rsidRDefault="001259E8" w:rsidP="00F06991">
      <w:pPr>
        <w:pStyle w:val="FootnoteText"/>
        <w:rPr>
          <w:rFonts w:ascii="Georgia" w:hAnsi="Georgia"/>
          <w:sz w:val="22"/>
          <w:szCs w:val="22"/>
        </w:rPr>
      </w:pPr>
      <w:r w:rsidRPr="001259E8">
        <w:rPr>
          <w:rFonts w:ascii="Georgia" w:hAnsi="Georgia"/>
          <w:sz w:val="22"/>
          <w:szCs w:val="22"/>
        </w:rPr>
        <w:t xml:space="preserve">Myers, Janet, ‘Picking the New Woman’s Pockets’, </w:t>
      </w:r>
      <w:r w:rsidRPr="0005737E">
        <w:rPr>
          <w:rFonts w:ascii="Georgia" w:hAnsi="Georgia"/>
          <w:i/>
          <w:sz w:val="22"/>
          <w:szCs w:val="22"/>
        </w:rPr>
        <w:t>Nineteenth-Century Gender Studies</w:t>
      </w:r>
      <w:r w:rsidRPr="001259E8">
        <w:rPr>
          <w:rFonts w:ascii="Georgia" w:hAnsi="Georgia"/>
          <w:sz w:val="22"/>
          <w:szCs w:val="22"/>
        </w:rPr>
        <w:t xml:space="preserve">, 10(1), </w:t>
      </w:r>
      <w:r w:rsidR="00F80917">
        <w:rPr>
          <w:rFonts w:ascii="Georgia" w:hAnsi="Georgia"/>
          <w:sz w:val="22"/>
          <w:szCs w:val="22"/>
        </w:rPr>
        <w:t>(</w:t>
      </w:r>
      <w:r w:rsidRPr="001259E8">
        <w:rPr>
          <w:rFonts w:ascii="Georgia" w:hAnsi="Georgia"/>
          <w:sz w:val="22"/>
          <w:szCs w:val="22"/>
        </w:rPr>
        <w:t>2014</w:t>
      </w:r>
      <w:r w:rsidR="00F80917">
        <w:rPr>
          <w:rFonts w:ascii="Georgia" w:hAnsi="Georgia"/>
          <w:sz w:val="22"/>
          <w:szCs w:val="22"/>
        </w:rPr>
        <w:t>)</w:t>
      </w:r>
      <w:r w:rsidRPr="001259E8">
        <w:rPr>
          <w:rFonts w:ascii="Georgia" w:hAnsi="Georgia"/>
          <w:sz w:val="22"/>
          <w:szCs w:val="22"/>
        </w:rPr>
        <w:t xml:space="preserve"> 1-20</w:t>
      </w:r>
    </w:p>
    <w:p w14:paraId="79394481" w14:textId="77777777" w:rsidR="001259E8" w:rsidRPr="001259E8" w:rsidRDefault="001259E8" w:rsidP="00F06991">
      <w:pPr>
        <w:pStyle w:val="FootnoteText"/>
        <w:rPr>
          <w:rFonts w:ascii="Georgia" w:hAnsi="Georgia"/>
          <w:sz w:val="22"/>
          <w:szCs w:val="22"/>
        </w:rPr>
      </w:pPr>
    </w:p>
    <w:p w14:paraId="73BEA6E6" w14:textId="77777777" w:rsidR="001259E8" w:rsidRPr="00172CA2" w:rsidRDefault="001259E8" w:rsidP="00172CA2">
      <w:pPr>
        <w:spacing w:after="0" w:line="480" w:lineRule="auto"/>
        <w:ind w:left="360" w:hanging="360"/>
        <w:jc w:val="both"/>
        <w:rPr>
          <w:rFonts w:ascii="Georgia" w:hAnsi="Georgia"/>
          <w:lang w:val="en-US"/>
        </w:rPr>
      </w:pPr>
      <w:r w:rsidRPr="001259E8">
        <w:rPr>
          <w:rFonts w:ascii="Georgia" w:hAnsi="Georgia"/>
          <w:lang w:val="en-US"/>
        </w:rPr>
        <w:t xml:space="preserve">Orwell, George, </w:t>
      </w:r>
      <w:r w:rsidRPr="001259E8">
        <w:rPr>
          <w:rFonts w:ascii="Georgia" w:hAnsi="Georgia"/>
          <w:i/>
          <w:lang w:val="en-US"/>
        </w:rPr>
        <w:t>Nineteen-Eighty-Four</w:t>
      </w:r>
      <w:r w:rsidRPr="001259E8">
        <w:rPr>
          <w:rFonts w:ascii="Georgia" w:hAnsi="Georgia"/>
          <w:lang w:val="en-US"/>
        </w:rPr>
        <w:t xml:space="preserve"> (New York: Signet Classics, n.d.)</w:t>
      </w:r>
    </w:p>
    <w:p w14:paraId="7415AC0E" w14:textId="248DDE13" w:rsidR="001259E8" w:rsidRPr="001259E8" w:rsidRDefault="001259E8" w:rsidP="00172CA2">
      <w:pPr>
        <w:spacing w:after="0" w:line="480" w:lineRule="auto"/>
        <w:ind w:left="360" w:hanging="360"/>
        <w:jc w:val="both"/>
        <w:rPr>
          <w:rFonts w:ascii="Georgia" w:hAnsi="Georgia"/>
        </w:rPr>
      </w:pPr>
      <w:r w:rsidRPr="001259E8">
        <w:rPr>
          <w:rFonts w:ascii="Georgia" w:hAnsi="Georgia"/>
        </w:rPr>
        <w:t>Perkins Gilman, Charlotte, ‘</w:t>
      </w:r>
      <w:proofErr w:type="spellStart"/>
      <w:r w:rsidRPr="006B7633">
        <w:rPr>
          <w:rFonts w:ascii="Georgia" w:hAnsi="Georgia"/>
        </w:rPr>
        <w:t>Herland</w:t>
      </w:r>
      <w:proofErr w:type="spellEnd"/>
      <w:r w:rsidRPr="006B7633">
        <w:rPr>
          <w:rFonts w:ascii="Georgia" w:hAnsi="Georgia"/>
        </w:rPr>
        <w:t>’</w:t>
      </w:r>
      <w:r w:rsidRPr="001259E8">
        <w:rPr>
          <w:rFonts w:ascii="Georgia" w:hAnsi="Georgia"/>
        </w:rPr>
        <w:t xml:space="preserve"> in </w:t>
      </w:r>
      <w:r w:rsidRPr="001259E8">
        <w:rPr>
          <w:rFonts w:ascii="Georgia" w:hAnsi="Georgia"/>
          <w:i/>
        </w:rPr>
        <w:t xml:space="preserve">The Yellow Wall-Paper, </w:t>
      </w:r>
      <w:proofErr w:type="spellStart"/>
      <w:r w:rsidRPr="001259E8">
        <w:rPr>
          <w:rFonts w:ascii="Georgia" w:hAnsi="Georgia"/>
          <w:i/>
        </w:rPr>
        <w:t>Herland</w:t>
      </w:r>
      <w:proofErr w:type="spellEnd"/>
      <w:r w:rsidRPr="001259E8">
        <w:rPr>
          <w:rFonts w:ascii="Georgia" w:hAnsi="Georgia"/>
          <w:i/>
        </w:rPr>
        <w:t>, and Selected Writing</w:t>
      </w:r>
      <w:r w:rsidRPr="001259E8">
        <w:rPr>
          <w:rFonts w:ascii="Georgia" w:hAnsi="Georgia"/>
        </w:rPr>
        <w:t xml:space="preserve"> (New York: Penguin Classics, 2007)</w:t>
      </w:r>
    </w:p>
    <w:p w14:paraId="7E768181" w14:textId="77777777" w:rsidR="001259E8" w:rsidRPr="001259E8" w:rsidRDefault="001259E8" w:rsidP="00172CA2">
      <w:pPr>
        <w:spacing w:after="0" w:line="480" w:lineRule="auto"/>
        <w:ind w:left="360" w:hanging="360"/>
        <w:jc w:val="both"/>
        <w:rPr>
          <w:rFonts w:ascii="Georgia" w:hAnsi="Georgia"/>
        </w:rPr>
      </w:pPr>
      <w:r w:rsidRPr="001259E8">
        <w:rPr>
          <w:rFonts w:ascii="Georgia" w:hAnsi="Georgia"/>
        </w:rPr>
        <w:t xml:space="preserve">Perkins Gilman, Charlotte, </w:t>
      </w:r>
      <w:r w:rsidRPr="0005737E">
        <w:rPr>
          <w:rFonts w:ascii="Georgia" w:hAnsi="Georgia"/>
          <w:i/>
        </w:rPr>
        <w:t>The Dress of Women</w:t>
      </w:r>
      <w:r w:rsidRPr="001259E8">
        <w:rPr>
          <w:rFonts w:ascii="Georgia" w:hAnsi="Georgia"/>
        </w:rPr>
        <w:t xml:space="preserve"> (Westport: Greenwood Press, 2002)</w:t>
      </w:r>
    </w:p>
    <w:p w14:paraId="23532BC6" w14:textId="77777777" w:rsidR="001259E8" w:rsidRPr="001259E8" w:rsidRDefault="001259E8" w:rsidP="00AF3C6A">
      <w:pPr>
        <w:spacing w:after="0" w:line="480" w:lineRule="auto"/>
        <w:ind w:left="360" w:hanging="360"/>
        <w:jc w:val="both"/>
        <w:rPr>
          <w:rFonts w:ascii="Georgia" w:hAnsi="Georgia"/>
        </w:rPr>
      </w:pPr>
      <w:r w:rsidRPr="001259E8">
        <w:rPr>
          <w:rFonts w:ascii="Georgia" w:hAnsi="Georgia"/>
        </w:rPr>
        <w:t xml:space="preserve">Ribeiro, Aileen, </w:t>
      </w:r>
      <w:r w:rsidRPr="0005737E">
        <w:rPr>
          <w:rFonts w:ascii="Georgia" w:hAnsi="Georgia"/>
          <w:i/>
        </w:rPr>
        <w:t>Dress and Morality</w:t>
      </w:r>
      <w:r w:rsidRPr="001259E8">
        <w:rPr>
          <w:rFonts w:ascii="Georgia" w:hAnsi="Georgia"/>
        </w:rPr>
        <w:t xml:space="preserve"> (London: Berg, 2003)</w:t>
      </w:r>
    </w:p>
    <w:p w14:paraId="48C312C9" w14:textId="0819B31B" w:rsidR="001259E8" w:rsidRPr="001259E8" w:rsidRDefault="001259E8" w:rsidP="00172CA2">
      <w:pPr>
        <w:spacing w:after="0" w:line="480" w:lineRule="auto"/>
        <w:ind w:left="360" w:hanging="360"/>
        <w:jc w:val="both"/>
        <w:rPr>
          <w:rFonts w:ascii="Georgia" w:hAnsi="Georgia"/>
        </w:rPr>
      </w:pPr>
      <w:r w:rsidRPr="001259E8">
        <w:rPr>
          <w:rFonts w:ascii="Georgia" w:hAnsi="Georgia"/>
        </w:rPr>
        <w:t xml:space="preserve">Simmel, Georg, ‘Fashion’, </w:t>
      </w:r>
      <w:r w:rsidRPr="001259E8">
        <w:rPr>
          <w:rFonts w:ascii="Georgia" w:hAnsi="Georgia"/>
          <w:i/>
          <w:iCs/>
        </w:rPr>
        <w:t xml:space="preserve">American Journal of Sociology, </w:t>
      </w:r>
      <w:r w:rsidRPr="00645531">
        <w:rPr>
          <w:rFonts w:ascii="Georgia" w:hAnsi="Georgia"/>
        </w:rPr>
        <w:t>62</w:t>
      </w:r>
      <w:r w:rsidRPr="001259E8">
        <w:rPr>
          <w:rFonts w:ascii="Georgia" w:hAnsi="Georgia"/>
        </w:rPr>
        <w:t>(</w:t>
      </w:r>
      <w:r w:rsidRPr="00645531">
        <w:rPr>
          <w:rFonts w:ascii="Georgia" w:hAnsi="Georgia"/>
        </w:rPr>
        <w:t>6</w:t>
      </w:r>
      <w:r w:rsidRPr="001259E8">
        <w:rPr>
          <w:rFonts w:ascii="Georgia" w:hAnsi="Georgia"/>
        </w:rPr>
        <w:t>),</w:t>
      </w:r>
      <w:r w:rsidRPr="00645531">
        <w:rPr>
          <w:rFonts w:ascii="Georgia" w:hAnsi="Georgia"/>
        </w:rPr>
        <w:t xml:space="preserve"> </w:t>
      </w:r>
      <w:r w:rsidR="00F80917">
        <w:rPr>
          <w:rFonts w:ascii="Georgia" w:hAnsi="Georgia"/>
        </w:rPr>
        <w:t>(</w:t>
      </w:r>
      <w:r w:rsidRPr="00645531">
        <w:rPr>
          <w:rFonts w:ascii="Georgia" w:hAnsi="Georgia"/>
        </w:rPr>
        <w:t>1957</w:t>
      </w:r>
      <w:r w:rsidR="00F80917">
        <w:rPr>
          <w:rFonts w:ascii="Georgia" w:hAnsi="Georgia"/>
        </w:rPr>
        <w:t>)</w:t>
      </w:r>
      <w:r w:rsidRPr="00645531">
        <w:rPr>
          <w:rFonts w:ascii="Georgia" w:hAnsi="Georgia"/>
        </w:rPr>
        <w:t xml:space="preserve"> 541-558</w:t>
      </w:r>
    </w:p>
    <w:p w14:paraId="7EB48A46" w14:textId="22A0271A" w:rsidR="001259E8" w:rsidRPr="001259E8" w:rsidRDefault="001259E8" w:rsidP="00AF3C6A">
      <w:pPr>
        <w:spacing w:after="0" w:line="480" w:lineRule="auto"/>
        <w:ind w:left="360" w:hanging="360"/>
        <w:jc w:val="both"/>
        <w:rPr>
          <w:rFonts w:ascii="Georgia" w:hAnsi="Georgia"/>
        </w:rPr>
      </w:pPr>
      <w:proofErr w:type="spellStart"/>
      <w:r w:rsidRPr="001259E8">
        <w:rPr>
          <w:rFonts w:ascii="Georgia" w:hAnsi="Georgia"/>
        </w:rPr>
        <w:t>Tirohl</w:t>
      </w:r>
      <w:proofErr w:type="spellEnd"/>
      <w:r w:rsidRPr="001259E8">
        <w:rPr>
          <w:rFonts w:ascii="Georgia" w:hAnsi="Georgia"/>
        </w:rPr>
        <w:t xml:space="preserve">, Blu. </w:t>
      </w:r>
      <w:proofErr w:type="gramStart"/>
      <w:r w:rsidRPr="001259E8">
        <w:rPr>
          <w:rFonts w:ascii="Georgia" w:hAnsi="Georgia"/>
        </w:rPr>
        <w:t>‘”We</w:t>
      </w:r>
      <w:proofErr w:type="gramEnd"/>
      <w:r w:rsidRPr="001259E8">
        <w:rPr>
          <w:rFonts w:ascii="Georgia" w:hAnsi="Georgia"/>
        </w:rPr>
        <w:t xml:space="preserve"> are the dead...you are the dead”. An examination of sexuality as a weapon of revolt in Orwell's Nineteen Eighty-Four’, </w:t>
      </w:r>
      <w:r w:rsidRPr="0005737E">
        <w:rPr>
          <w:rFonts w:ascii="Georgia" w:hAnsi="Georgia"/>
          <w:i/>
        </w:rPr>
        <w:t>Journal of Gender Studies</w:t>
      </w:r>
      <w:r w:rsidR="0005737E">
        <w:rPr>
          <w:rFonts w:ascii="Georgia" w:hAnsi="Georgia"/>
          <w:i/>
        </w:rPr>
        <w:t>,</w:t>
      </w:r>
      <w:r w:rsidRPr="001259E8">
        <w:rPr>
          <w:rFonts w:ascii="Georgia" w:hAnsi="Georgia"/>
        </w:rPr>
        <w:t xml:space="preserve"> 9(1) </w:t>
      </w:r>
      <w:r w:rsidR="00F80917">
        <w:rPr>
          <w:rFonts w:ascii="Georgia" w:hAnsi="Georgia"/>
        </w:rPr>
        <w:t>(</w:t>
      </w:r>
      <w:r w:rsidRPr="001259E8">
        <w:rPr>
          <w:rFonts w:ascii="Georgia" w:hAnsi="Georgia"/>
        </w:rPr>
        <w:t>2000</w:t>
      </w:r>
      <w:r w:rsidR="00F80917">
        <w:rPr>
          <w:rFonts w:ascii="Georgia" w:hAnsi="Georgia"/>
        </w:rPr>
        <w:t>)</w:t>
      </w:r>
      <w:r w:rsidRPr="001259E8">
        <w:rPr>
          <w:rFonts w:ascii="Georgia" w:hAnsi="Georgia"/>
        </w:rPr>
        <w:t xml:space="preserve"> 55-61.</w:t>
      </w:r>
    </w:p>
    <w:p w14:paraId="6F2996CA" w14:textId="77777777" w:rsidR="001259E8" w:rsidRPr="001259E8" w:rsidRDefault="001259E8" w:rsidP="00172CA2">
      <w:pPr>
        <w:spacing w:after="0" w:line="480" w:lineRule="auto"/>
        <w:ind w:left="360" w:hanging="360"/>
        <w:jc w:val="both"/>
        <w:rPr>
          <w:rFonts w:ascii="Georgia" w:hAnsi="Georgia"/>
        </w:rPr>
      </w:pPr>
      <w:r w:rsidRPr="001259E8">
        <w:rPr>
          <w:rFonts w:ascii="Georgia" w:hAnsi="Georgia"/>
        </w:rPr>
        <w:t xml:space="preserve">Woolf, Virginia, </w:t>
      </w:r>
      <w:r w:rsidRPr="001259E8">
        <w:rPr>
          <w:rFonts w:ascii="Georgia" w:hAnsi="Georgia"/>
          <w:i/>
        </w:rPr>
        <w:t>Orlando</w:t>
      </w:r>
      <w:r w:rsidRPr="001259E8">
        <w:rPr>
          <w:rFonts w:ascii="Georgia" w:hAnsi="Georgia"/>
        </w:rPr>
        <w:t xml:space="preserve"> (Ware: Wordsworth Editions, 1995)</w:t>
      </w:r>
    </w:p>
    <w:sectPr w:rsidR="001259E8" w:rsidRPr="001259E8" w:rsidSect="007A6B7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813B5" w14:textId="77777777" w:rsidR="001420A5" w:rsidRDefault="001420A5" w:rsidP="007A6B7C">
      <w:pPr>
        <w:spacing w:after="0" w:line="240" w:lineRule="auto"/>
      </w:pPr>
      <w:r>
        <w:separator/>
      </w:r>
    </w:p>
  </w:endnote>
  <w:endnote w:type="continuationSeparator" w:id="0">
    <w:p w14:paraId="167E8923" w14:textId="77777777" w:rsidR="001420A5" w:rsidRDefault="001420A5"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B1A6B" w14:textId="77777777" w:rsidR="001420A5" w:rsidRDefault="001420A5" w:rsidP="007A6B7C">
      <w:pPr>
        <w:spacing w:after="0" w:line="240" w:lineRule="auto"/>
      </w:pPr>
      <w:r>
        <w:separator/>
      </w:r>
    </w:p>
  </w:footnote>
  <w:footnote w:type="continuationSeparator" w:id="0">
    <w:p w14:paraId="7A5AC423" w14:textId="77777777" w:rsidR="001420A5" w:rsidRDefault="001420A5" w:rsidP="007A6B7C">
      <w:pPr>
        <w:spacing w:after="0" w:line="240" w:lineRule="auto"/>
      </w:pPr>
      <w:r>
        <w:continuationSeparator/>
      </w:r>
    </w:p>
  </w:footnote>
  <w:footnote w:id="1">
    <w:p w14:paraId="2C93CDFD" w14:textId="77777777" w:rsidR="002427CB" w:rsidRDefault="002427CB" w:rsidP="002427CB">
      <w:pPr>
        <w:pStyle w:val="FootnoteText"/>
      </w:pPr>
      <w:r>
        <w:rPr>
          <w:rStyle w:val="FootnoteReference"/>
        </w:rPr>
        <w:footnoteRef/>
      </w:r>
      <w:r>
        <w:t xml:space="preserve"> Virginia Woolf, </w:t>
      </w:r>
      <w:r w:rsidRPr="009D0011">
        <w:rPr>
          <w:i/>
        </w:rPr>
        <w:t>Orlando</w:t>
      </w:r>
      <w:r>
        <w:t xml:space="preserve"> (Ware: Wordsworth Editions, 1995), p. 92.</w:t>
      </w:r>
    </w:p>
  </w:footnote>
  <w:footnote w:id="2">
    <w:p w14:paraId="2560CECF" w14:textId="015ACE54" w:rsidR="006552E4" w:rsidRDefault="006552E4">
      <w:pPr>
        <w:pStyle w:val="FootnoteText"/>
      </w:pPr>
      <w:r>
        <w:rPr>
          <w:rStyle w:val="FootnoteReference"/>
        </w:rPr>
        <w:footnoteRef/>
      </w:r>
      <w:r>
        <w:t xml:space="preserve"> Georg Simmel, ‘Fashion’,</w:t>
      </w:r>
      <w:r w:rsidR="00645531">
        <w:t xml:space="preserve"> </w:t>
      </w:r>
      <w:r w:rsidR="00645531" w:rsidRPr="00645531">
        <w:rPr>
          <w:i/>
          <w:iCs/>
        </w:rPr>
        <w:t>American Journal of Sociology</w:t>
      </w:r>
      <w:r w:rsidR="00645531">
        <w:rPr>
          <w:i/>
          <w:iCs/>
        </w:rPr>
        <w:t xml:space="preserve">, </w:t>
      </w:r>
      <w:r w:rsidR="00645531" w:rsidRPr="00645531">
        <w:t>62</w:t>
      </w:r>
      <w:r w:rsidR="00645531">
        <w:t>(</w:t>
      </w:r>
      <w:r w:rsidR="00645531" w:rsidRPr="00645531">
        <w:t>6</w:t>
      </w:r>
      <w:r w:rsidR="00645531">
        <w:t>),</w:t>
      </w:r>
      <w:r w:rsidR="00645531" w:rsidRPr="00645531">
        <w:t xml:space="preserve"> 1957</w:t>
      </w:r>
      <w:r w:rsidR="00645531">
        <w:t>,</w:t>
      </w:r>
      <w:r w:rsidR="00645531" w:rsidRPr="00645531">
        <w:t xml:space="preserve"> 541-558 </w:t>
      </w:r>
      <w:r w:rsidR="00645531">
        <w:t>(p. 543).</w:t>
      </w:r>
    </w:p>
  </w:footnote>
  <w:footnote w:id="3">
    <w:p w14:paraId="4BACEA3D" w14:textId="2A7DB5C4" w:rsidR="00083261" w:rsidRDefault="00083261">
      <w:pPr>
        <w:pStyle w:val="FootnoteText"/>
      </w:pPr>
      <w:r>
        <w:rPr>
          <w:rStyle w:val="FootnoteReference"/>
        </w:rPr>
        <w:footnoteRef/>
      </w:r>
      <w:r>
        <w:t xml:space="preserve"> </w:t>
      </w:r>
      <w:r w:rsidRPr="00083261">
        <w:t>Throughout this essay, for the sake of simplicity, the term ‘dress’ will be used to refer to both clothing and other forms of adornment, such as makeup.</w:t>
      </w:r>
    </w:p>
  </w:footnote>
  <w:footnote w:id="4">
    <w:p w14:paraId="103B83E5" w14:textId="67D1441D" w:rsidR="000F2E7A" w:rsidRDefault="000F2E7A" w:rsidP="000F2E7A">
      <w:pPr>
        <w:pStyle w:val="FootnoteText"/>
      </w:pPr>
      <w:r>
        <w:rPr>
          <w:rStyle w:val="FootnoteReference"/>
        </w:rPr>
        <w:footnoteRef/>
      </w:r>
      <w:r>
        <w:t xml:space="preserve"> </w:t>
      </w:r>
      <w:r w:rsidR="00AF4194">
        <w:t>Charlotte</w:t>
      </w:r>
      <w:r w:rsidR="0068659E">
        <w:t xml:space="preserve"> Perkins Gilman</w:t>
      </w:r>
      <w:r w:rsidR="00AF4194">
        <w:t xml:space="preserve">, </w:t>
      </w:r>
      <w:r w:rsidR="00AF4194" w:rsidRPr="00A229D9">
        <w:rPr>
          <w:i/>
        </w:rPr>
        <w:t>The Dress of Women</w:t>
      </w:r>
      <w:r w:rsidR="00AF4194">
        <w:t xml:space="preserve"> (Westport: Greenwood Press, 2002), p. 3.</w:t>
      </w:r>
    </w:p>
  </w:footnote>
  <w:footnote w:id="5">
    <w:p w14:paraId="563FB31E" w14:textId="29366AB1" w:rsidR="000F2E7A" w:rsidRDefault="000F2E7A" w:rsidP="000F2E7A">
      <w:pPr>
        <w:pStyle w:val="FootnoteText"/>
      </w:pPr>
      <w:r>
        <w:rPr>
          <w:rStyle w:val="FootnoteReference"/>
        </w:rPr>
        <w:footnoteRef/>
      </w:r>
      <w:r>
        <w:t xml:space="preserve"> </w:t>
      </w:r>
      <w:r w:rsidR="00AF4194">
        <w:t>Charlotte</w:t>
      </w:r>
      <w:r w:rsidR="0068659E">
        <w:t xml:space="preserve"> Perkins Gilman</w:t>
      </w:r>
      <w:r w:rsidR="00AF4194">
        <w:t>, ‘</w:t>
      </w:r>
      <w:proofErr w:type="spellStart"/>
      <w:r>
        <w:t>Herland</w:t>
      </w:r>
      <w:proofErr w:type="spellEnd"/>
      <w:r w:rsidR="00AF4194">
        <w:t xml:space="preserve">’ in </w:t>
      </w:r>
      <w:r w:rsidR="00AF4194" w:rsidRPr="00AF4194">
        <w:rPr>
          <w:i/>
        </w:rPr>
        <w:t xml:space="preserve">The Yellow Wall-Paper, </w:t>
      </w:r>
      <w:proofErr w:type="spellStart"/>
      <w:r w:rsidR="00AF4194" w:rsidRPr="00AF4194">
        <w:rPr>
          <w:i/>
        </w:rPr>
        <w:t>Herland</w:t>
      </w:r>
      <w:proofErr w:type="spellEnd"/>
      <w:r w:rsidR="00AF4194" w:rsidRPr="00AF4194">
        <w:rPr>
          <w:i/>
        </w:rPr>
        <w:t>, and Selected Writing</w:t>
      </w:r>
      <w:r w:rsidR="00AF4194">
        <w:t xml:space="preserve"> (New York: Penguin Classics, 2007)</w:t>
      </w:r>
      <w:r>
        <w:t>, p.17.</w:t>
      </w:r>
    </w:p>
  </w:footnote>
  <w:footnote w:id="6">
    <w:p w14:paraId="1147ED69" w14:textId="0B9D3F8A" w:rsidR="000F2E7A" w:rsidRDefault="000F2E7A" w:rsidP="000F2E7A">
      <w:pPr>
        <w:pStyle w:val="FootnoteText"/>
      </w:pPr>
      <w:r>
        <w:rPr>
          <w:rStyle w:val="FootnoteReference"/>
        </w:rPr>
        <w:footnoteRef/>
      </w:r>
      <w:r w:rsidR="00AF4194">
        <w:t xml:space="preserve"> Christopher Todd Matthews, ‘</w:t>
      </w:r>
      <w:r>
        <w:t>Form and Deformity</w:t>
      </w:r>
      <w:r w:rsidR="00AF4194">
        <w:t xml:space="preserve">: The Trouble with Victorian Pockets’, </w:t>
      </w:r>
      <w:r w:rsidR="00AF4194" w:rsidRPr="00AF4194">
        <w:rPr>
          <w:i/>
          <w:iCs/>
        </w:rPr>
        <w:t>Victorian Studies,</w:t>
      </w:r>
      <w:r w:rsidR="00AF4194" w:rsidRPr="00AF4194">
        <w:t xml:space="preserve"> </w:t>
      </w:r>
      <w:r w:rsidR="00AF4194" w:rsidRPr="00AF4194">
        <w:rPr>
          <w:i/>
          <w:iCs/>
        </w:rPr>
        <w:t>52</w:t>
      </w:r>
      <w:r w:rsidR="00AF4194">
        <w:t>(4)</w:t>
      </w:r>
      <w:r w:rsidR="00AF4194" w:rsidRPr="00AF4194">
        <w:t>, 561-590</w:t>
      </w:r>
      <w:r>
        <w:t xml:space="preserve"> </w:t>
      </w:r>
      <w:r w:rsidR="00AF4194">
        <w:t>(</w:t>
      </w:r>
      <w:r>
        <w:t>p. 566</w:t>
      </w:r>
      <w:r w:rsidR="00AF4194">
        <w:t>).</w:t>
      </w:r>
    </w:p>
  </w:footnote>
  <w:footnote w:id="7">
    <w:p w14:paraId="0F6B84CD" w14:textId="3BB25A45" w:rsidR="000F2E7A" w:rsidRDefault="000F2E7A" w:rsidP="000F2E7A">
      <w:pPr>
        <w:pStyle w:val="FootnoteText"/>
      </w:pPr>
      <w:r>
        <w:rPr>
          <w:rStyle w:val="FootnoteReference"/>
        </w:rPr>
        <w:footnoteRef/>
      </w:r>
      <w:r>
        <w:t xml:space="preserve"> Ibid. </w:t>
      </w:r>
      <w:r w:rsidR="00AF4194">
        <w:t>(</w:t>
      </w:r>
      <w:r>
        <w:t>p. 567</w:t>
      </w:r>
      <w:r w:rsidR="00AF4194">
        <w:t>)</w:t>
      </w:r>
      <w:r w:rsidR="00F06991">
        <w:t>.</w:t>
      </w:r>
    </w:p>
  </w:footnote>
  <w:footnote w:id="8">
    <w:p w14:paraId="239EC1CA" w14:textId="5C61CC36" w:rsidR="00573548" w:rsidRDefault="00573548">
      <w:pPr>
        <w:pStyle w:val="FootnoteText"/>
      </w:pPr>
      <w:r>
        <w:rPr>
          <w:rStyle w:val="FootnoteReference"/>
        </w:rPr>
        <w:footnoteRef/>
      </w:r>
      <w:r>
        <w:t xml:space="preserve"> </w:t>
      </w:r>
      <w:r w:rsidR="00F06991">
        <w:t>Janet Myers, ‘</w:t>
      </w:r>
      <w:r>
        <w:t>Picking the New Woman’s Pockets</w:t>
      </w:r>
      <w:r w:rsidR="00F06991">
        <w:t xml:space="preserve">’, </w:t>
      </w:r>
      <w:r w:rsidR="00F06991" w:rsidRPr="0068659E">
        <w:rPr>
          <w:i/>
        </w:rPr>
        <w:t>Nineteenth-Century Gender Studies</w:t>
      </w:r>
      <w:r w:rsidR="00F06991">
        <w:t>, 10(1), 2014, 1-20.</w:t>
      </w:r>
    </w:p>
  </w:footnote>
  <w:footnote w:id="9">
    <w:p w14:paraId="66BA1C4A" w14:textId="6D34A3E9" w:rsidR="000F2E7A" w:rsidRDefault="000F2E7A" w:rsidP="000F2E7A">
      <w:pPr>
        <w:pStyle w:val="FootnoteText"/>
      </w:pPr>
      <w:r>
        <w:rPr>
          <w:rStyle w:val="FootnoteReference"/>
        </w:rPr>
        <w:footnoteRef/>
      </w:r>
      <w:r>
        <w:t xml:space="preserve"> </w:t>
      </w:r>
      <w:r w:rsidR="00B372DE">
        <w:t xml:space="preserve">Perkins Gilman, </w:t>
      </w:r>
      <w:r w:rsidRPr="0068659E">
        <w:rPr>
          <w:i/>
        </w:rPr>
        <w:t>The Dress of Women,</w:t>
      </w:r>
      <w:r>
        <w:t xml:space="preserve"> p. 62.</w:t>
      </w:r>
    </w:p>
  </w:footnote>
  <w:footnote w:id="10">
    <w:p w14:paraId="0CDC245E" w14:textId="2D7D45E6" w:rsidR="000F2E7A" w:rsidRDefault="000F2E7A" w:rsidP="000F2E7A">
      <w:pPr>
        <w:pStyle w:val="FootnoteText"/>
      </w:pPr>
      <w:r>
        <w:rPr>
          <w:rStyle w:val="FootnoteReference"/>
        </w:rPr>
        <w:footnoteRef/>
      </w:r>
      <w:r>
        <w:t xml:space="preserve"> </w:t>
      </w:r>
      <w:r w:rsidR="00B372DE">
        <w:t xml:space="preserve">George Orwell, </w:t>
      </w:r>
      <w:r w:rsidRPr="0068659E">
        <w:rPr>
          <w:i/>
        </w:rPr>
        <w:t>Nineteen-Eighty-Four,</w:t>
      </w:r>
      <w:r>
        <w:t xml:space="preserve"> </w:t>
      </w:r>
      <w:r w:rsidR="00B372DE">
        <w:t xml:space="preserve">(New York: Signet Classics, n.d.), </w:t>
      </w:r>
      <w:r>
        <w:t>p. 23.</w:t>
      </w:r>
    </w:p>
  </w:footnote>
  <w:footnote w:id="11">
    <w:p w14:paraId="30005A7E" w14:textId="187A0C8F" w:rsidR="000F2E7A" w:rsidRDefault="000F2E7A" w:rsidP="000F2E7A">
      <w:pPr>
        <w:pStyle w:val="FootnoteText"/>
      </w:pPr>
      <w:r>
        <w:rPr>
          <w:rStyle w:val="FootnoteReference"/>
        </w:rPr>
        <w:footnoteRef/>
      </w:r>
      <w:r w:rsidR="0068659E">
        <w:t xml:space="preserve"> </w:t>
      </w:r>
      <w:r>
        <w:t>Naomi</w:t>
      </w:r>
      <w:r w:rsidR="0068659E">
        <w:t xml:space="preserve"> Jacobs</w:t>
      </w:r>
      <w:r>
        <w:t>, ‘</w:t>
      </w:r>
      <w:r w:rsidRPr="000959DD">
        <w:t>Dissent, Assent, and the Body in “Nineteen Eighty-Four”</w:t>
      </w:r>
      <w:r>
        <w:t>’</w:t>
      </w:r>
      <w:r w:rsidR="00B372DE">
        <w:t xml:space="preserve">, </w:t>
      </w:r>
      <w:r w:rsidR="00B372DE" w:rsidRPr="0068659E">
        <w:rPr>
          <w:i/>
        </w:rPr>
        <w:t>Utopian Studies</w:t>
      </w:r>
      <w:r w:rsidR="00B372DE">
        <w:t>, 18(1), 2007, 3-20 (p. 3)</w:t>
      </w:r>
    </w:p>
  </w:footnote>
  <w:footnote w:id="12">
    <w:p w14:paraId="2410966E" w14:textId="1D527CAD" w:rsidR="000F2E7A" w:rsidRDefault="000F2E7A" w:rsidP="000F2E7A">
      <w:r>
        <w:rPr>
          <w:rStyle w:val="FootnoteReference"/>
        </w:rPr>
        <w:footnoteRef/>
      </w:r>
      <w:r w:rsidRPr="0005149E">
        <w:t>Beatrix</w:t>
      </w:r>
      <w:r w:rsidR="0068659E">
        <w:t xml:space="preserve"> Campbell</w:t>
      </w:r>
      <w:r w:rsidRPr="0005149E">
        <w:t xml:space="preserve">, ‘Orwell – Paterfamilias or Big Brother?’, in </w:t>
      </w:r>
      <w:r w:rsidRPr="002E45FE">
        <w:rPr>
          <w:i/>
        </w:rPr>
        <w:t xml:space="preserve">George Orwell: Contemporary Critical Essays </w:t>
      </w:r>
      <w:r w:rsidRPr="0005149E">
        <w:t xml:space="preserve">(Basingstoke: Macmillan Press, 1998), </w:t>
      </w:r>
      <w:r w:rsidR="001259E8">
        <w:t>pp. 64-75 (</w:t>
      </w:r>
      <w:r w:rsidRPr="0005149E">
        <w:t>p. 71</w:t>
      </w:r>
      <w:r w:rsidR="001259E8">
        <w:t>)</w:t>
      </w:r>
      <w:r w:rsidRPr="000514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6DD48" w14:textId="4BBC18FD" w:rsidR="00BD7C68" w:rsidRPr="007A6B7C" w:rsidRDefault="00F55EC2">
    <w:pPr>
      <w:pStyle w:val="Header"/>
      <w:jc w:val="right"/>
      <w:rPr>
        <w:rFonts w:ascii="Georgia" w:hAnsi="Georgia"/>
        <w:sz w:val="24"/>
        <w:szCs w:val="24"/>
      </w:rPr>
    </w:pPr>
    <w:r>
      <w:rPr>
        <w:rFonts w:ascii="Georgia" w:hAnsi="Georgia"/>
        <w:sz w:val="24"/>
        <w:szCs w:val="24"/>
      </w:rPr>
      <w:t>1601141</w:t>
    </w:r>
    <w:r w:rsidR="00BD7C68" w:rsidRPr="007A6B7C">
      <w:rPr>
        <w:rFonts w:ascii="Georgia" w:hAnsi="Georgia"/>
        <w:sz w:val="24"/>
        <w:szCs w:val="24"/>
      </w:rPr>
      <w:t xml:space="preserve"> </w:t>
    </w:r>
    <w:sdt>
      <w:sdtPr>
        <w:rPr>
          <w:rFonts w:ascii="Georgia" w:hAnsi="Georgia"/>
          <w:sz w:val="24"/>
          <w:szCs w:val="24"/>
        </w:rPr>
        <w:id w:val="-120926646"/>
        <w:docPartObj>
          <w:docPartGallery w:val="Page Numbers (Top of Page)"/>
          <w:docPartUnique/>
        </w:docPartObj>
      </w:sdtPr>
      <w:sdtEndPr>
        <w:rPr>
          <w:noProof/>
        </w:rPr>
      </w:sdtEndPr>
      <w:sdtContent>
        <w:r w:rsidR="00BD7C68" w:rsidRPr="007A6B7C">
          <w:rPr>
            <w:rFonts w:ascii="Georgia" w:hAnsi="Georgia"/>
            <w:sz w:val="24"/>
            <w:szCs w:val="24"/>
          </w:rPr>
          <w:fldChar w:fldCharType="begin"/>
        </w:r>
        <w:r w:rsidR="00BD7C68" w:rsidRPr="007A6B7C">
          <w:rPr>
            <w:rFonts w:ascii="Georgia" w:hAnsi="Georgia"/>
            <w:sz w:val="24"/>
            <w:szCs w:val="24"/>
          </w:rPr>
          <w:instrText xml:space="preserve"> PAGE   \* MERGEFORMAT </w:instrText>
        </w:r>
        <w:r w:rsidR="00BD7C68" w:rsidRPr="007A6B7C">
          <w:rPr>
            <w:rFonts w:ascii="Georgia" w:hAnsi="Georgia"/>
            <w:sz w:val="24"/>
            <w:szCs w:val="24"/>
          </w:rPr>
          <w:fldChar w:fldCharType="separate"/>
        </w:r>
        <w:r w:rsidR="009D1AFA">
          <w:rPr>
            <w:rFonts w:ascii="Georgia" w:hAnsi="Georgia"/>
            <w:noProof/>
            <w:sz w:val="24"/>
            <w:szCs w:val="24"/>
          </w:rPr>
          <w:t>6</w:t>
        </w:r>
        <w:r w:rsidR="00BD7C68" w:rsidRPr="007A6B7C">
          <w:rPr>
            <w:rFonts w:ascii="Georgia" w:hAnsi="Georgia"/>
            <w:noProof/>
            <w:sz w:val="24"/>
            <w:szCs w:val="24"/>
          </w:rPr>
          <w:fldChar w:fldCharType="end"/>
        </w:r>
      </w:sdtContent>
    </w:sdt>
  </w:p>
  <w:p w14:paraId="466411DC" w14:textId="77777777" w:rsidR="00BD7C68" w:rsidRDefault="00BD7C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0"/>
  </w:num>
  <w:num w:numId="6">
    <w:abstractNumId w:val="6"/>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5B"/>
    <w:rsid w:val="00004998"/>
    <w:rsid w:val="00005AA6"/>
    <w:rsid w:val="00015364"/>
    <w:rsid w:val="000166E1"/>
    <w:rsid w:val="00017B3D"/>
    <w:rsid w:val="00020BA9"/>
    <w:rsid w:val="0002312F"/>
    <w:rsid w:val="00024247"/>
    <w:rsid w:val="00026059"/>
    <w:rsid w:val="00026E40"/>
    <w:rsid w:val="00027675"/>
    <w:rsid w:val="00027F0D"/>
    <w:rsid w:val="00041908"/>
    <w:rsid w:val="00041DCF"/>
    <w:rsid w:val="00057115"/>
    <w:rsid w:val="0005737E"/>
    <w:rsid w:val="000619D6"/>
    <w:rsid w:val="00062234"/>
    <w:rsid w:val="00066679"/>
    <w:rsid w:val="000670B3"/>
    <w:rsid w:val="000742C5"/>
    <w:rsid w:val="00077681"/>
    <w:rsid w:val="00083261"/>
    <w:rsid w:val="0008342E"/>
    <w:rsid w:val="0008436D"/>
    <w:rsid w:val="00086D8D"/>
    <w:rsid w:val="0009018E"/>
    <w:rsid w:val="00093F71"/>
    <w:rsid w:val="000A0B85"/>
    <w:rsid w:val="000A17E5"/>
    <w:rsid w:val="000A4199"/>
    <w:rsid w:val="000A6373"/>
    <w:rsid w:val="000A78BD"/>
    <w:rsid w:val="000B5DE0"/>
    <w:rsid w:val="000B7FF8"/>
    <w:rsid w:val="000C0E1A"/>
    <w:rsid w:val="000C2997"/>
    <w:rsid w:val="000C7A5B"/>
    <w:rsid w:val="000D19C8"/>
    <w:rsid w:val="000D259F"/>
    <w:rsid w:val="000D3D37"/>
    <w:rsid w:val="000D4407"/>
    <w:rsid w:val="000D454C"/>
    <w:rsid w:val="000D7155"/>
    <w:rsid w:val="000D718F"/>
    <w:rsid w:val="000D7AAB"/>
    <w:rsid w:val="000D7BA3"/>
    <w:rsid w:val="000E0987"/>
    <w:rsid w:val="000E12FF"/>
    <w:rsid w:val="000E24B9"/>
    <w:rsid w:val="000F0158"/>
    <w:rsid w:val="000F1705"/>
    <w:rsid w:val="000F2D7D"/>
    <w:rsid w:val="000F2E7A"/>
    <w:rsid w:val="000F44D1"/>
    <w:rsid w:val="0011062B"/>
    <w:rsid w:val="001108D6"/>
    <w:rsid w:val="001108EE"/>
    <w:rsid w:val="0011439D"/>
    <w:rsid w:val="00120986"/>
    <w:rsid w:val="001259E8"/>
    <w:rsid w:val="00134FA5"/>
    <w:rsid w:val="0014185B"/>
    <w:rsid w:val="001420A5"/>
    <w:rsid w:val="00142220"/>
    <w:rsid w:val="00143019"/>
    <w:rsid w:val="001439EB"/>
    <w:rsid w:val="00153FA3"/>
    <w:rsid w:val="00172CA2"/>
    <w:rsid w:val="00173CD1"/>
    <w:rsid w:val="001761B8"/>
    <w:rsid w:val="00181A5E"/>
    <w:rsid w:val="00183C98"/>
    <w:rsid w:val="00184321"/>
    <w:rsid w:val="00184469"/>
    <w:rsid w:val="00185ACA"/>
    <w:rsid w:val="001901A3"/>
    <w:rsid w:val="0019125D"/>
    <w:rsid w:val="001913EB"/>
    <w:rsid w:val="00195AD8"/>
    <w:rsid w:val="00196A57"/>
    <w:rsid w:val="00196B1C"/>
    <w:rsid w:val="00196BD3"/>
    <w:rsid w:val="0019757A"/>
    <w:rsid w:val="001A0D97"/>
    <w:rsid w:val="001A2BA3"/>
    <w:rsid w:val="001A35C4"/>
    <w:rsid w:val="001A39C4"/>
    <w:rsid w:val="001A7436"/>
    <w:rsid w:val="001B7AE4"/>
    <w:rsid w:val="001C2C2C"/>
    <w:rsid w:val="001C38F0"/>
    <w:rsid w:val="001C491D"/>
    <w:rsid w:val="001D1F7A"/>
    <w:rsid w:val="001D42D1"/>
    <w:rsid w:val="001D568C"/>
    <w:rsid w:val="001E12A2"/>
    <w:rsid w:val="001E4510"/>
    <w:rsid w:val="001E4AFD"/>
    <w:rsid w:val="001F301B"/>
    <w:rsid w:val="001F6B67"/>
    <w:rsid w:val="001F7B16"/>
    <w:rsid w:val="001F7C51"/>
    <w:rsid w:val="00215464"/>
    <w:rsid w:val="00215609"/>
    <w:rsid w:val="002213A9"/>
    <w:rsid w:val="00226ED8"/>
    <w:rsid w:val="00236CA9"/>
    <w:rsid w:val="00236F62"/>
    <w:rsid w:val="00237C31"/>
    <w:rsid w:val="002427CB"/>
    <w:rsid w:val="00243F4D"/>
    <w:rsid w:val="002462D2"/>
    <w:rsid w:val="002512CE"/>
    <w:rsid w:val="00251BB8"/>
    <w:rsid w:val="00254488"/>
    <w:rsid w:val="002629C9"/>
    <w:rsid w:val="00265000"/>
    <w:rsid w:val="0027077D"/>
    <w:rsid w:val="002709CA"/>
    <w:rsid w:val="00280EC9"/>
    <w:rsid w:val="00291146"/>
    <w:rsid w:val="002A2756"/>
    <w:rsid w:val="002B20EA"/>
    <w:rsid w:val="002B2203"/>
    <w:rsid w:val="002B52D3"/>
    <w:rsid w:val="002C0D76"/>
    <w:rsid w:val="002C5611"/>
    <w:rsid w:val="002C6549"/>
    <w:rsid w:val="002C7C8F"/>
    <w:rsid w:val="002D2DBD"/>
    <w:rsid w:val="002D5459"/>
    <w:rsid w:val="002D5DE7"/>
    <w:rsid w:val="002E1563"/>
    <w:rsid w:val="002E1E24"/>
    <w:rsid w:val="002E45FE"/>
    <w:rsid w:val="002E46E4"/>
    <w:rsid w:val="002F781F"/>
    <w:rsid w:val="00307C5D"/>
    <w:rsid w:val="00313CE8"/>
    <w:rsid w:val="003163F6"/>
    <w:rsid w:val="003209D9"/>
    <w:rsid w:val="003230BF"/>
    <w:rsid w:val="00323F5F"/>
    <w:rsid w:val="0032591B"/>
    <w:rsid w:val="00330275"/>
    <w:rsid w:val="0033190E"/>
    <w:rsid w:val="00332C8D"/>
    <w:rsid w:val="003377D1"/>
    <w:rsid w:val="003436F7"/>
    <w:rsid w:val="00344049"/>
    <w:rsid w:val="00347CEE"/>
    <w:rsid w:val="003527FE"/>
    <w:rsid w:val="003660AA"/>
    <w:rsid w:val="00367DBA"/>
    <w:rsid w:val="00370B37"/>
    <w:rsid w:val="00377CFF"/>
    <w:rsid w:val="00385327"/>
    <w:rsid w:val="00386BF9"/>
    <w:rsid w:val="00390413"/>
    <w:rsid w:val="00392064"/>
    <w:rsid w:val="003928AA"/>
    <w:rsid w:val="0039310C"/>
    <w:rsid w:val="003A4F26"/>
    <w:rsid w:val="003A520E"/>
    <w:rsid w:val="003A5366"/>
    <w:rsid w:val="003B5AE4"/>
    <w:rsid w:val="003B61A1"/>
    <w:rsid w:val="003C17A6"/>
    <w:rsid w:val="003C3F0D"/>
    <w:rsid w:val="003C5219"/>
    <w:rsid w:val="003D08EA"/>
    <w:rsid w:val="003D1B2E"/>
    <w:rsid w:val="003D1C3F"/>
    <w:rsid w:val="003F1307"/>
    <w:rsid w:val="003F16A6"/>
    <w:rsid w:val="003F3497"/>
    <w:rsid w:val="003F3705"/>
    <w:rsid w:val="004022EC"/>
    <w:rsid w:val="00404AA5"/>
    <w:rsid w:val="00405849"/>
    <w:rsid w:val="00406DAB"/>
    <w:rsid w:val="00407FA6"/>
    <w:rsid w:val="004103DD"/>
    <w:rsid w:val="00411036"/>
    <w:rsid w:val="0041109F"/>
    <w:rsid w:val="00412CD9"/>
    <w:rsid w:val="00413398"/>
    <w:rsid w:val="004141CE"/>
    <w:rsid w:val="00415D54"/>
    <w:rsid w:val="0042210E"/>
    <w:rsid w:val="00427231"/>
    <w:rsid w:val="00431099"/>
    <w:rsid w:val="00434C2D"/>
    <w:rsid w:val="00436090"/>
    <w:rsid w:val="004402B5"/>
    <w:rsid w:val="00443028"/>
    <w:rsid w:val="004436BA"/>
    <w:rsid w:val="00443B64"/>
    <w:rsid w:val="00447EF7"/>
    <w:rsid w:val="00452D95"/>
    <w:rsid w:val="00454BA5"/>
    <w:rsid w:val="00456578"/>
    <w:rsid w:val="004600E2"/>
    <w:rsid w:val="00472D07"/>
    <w:rsid w:val="004735DB"/>
    <w:rsid w:val="00474270"/>
    <w:rsid w:val="004779FC"/>
    <w:rsid w:val="00481A44"/>
    <w:rsid w:val="00485C81"/>
    <w:rsid w:val="0048635C"/>
    <w:rsid w:val="00491DFB"/>
    <w:rsid w:val="00491E44"/>
    <w:rsid w:val="00495541"/>
    <w:rsid w:val="004A1033"/>
    <w:rsid w:val="004A4FAA"/>
    <w:rsid w:val="004A56D1"/>
    <w:rsid w:val="004A77A3"/>
    <w:rsid w:val="004B1985"/>
    <w:rsid w:val="004B2216"/>
    <w:rsid w:val="004C0EED"/>
    <w:rsid w:val="004C110D"/>
    <w:rsid w:val="004C1950"/>
    <w:rsid w:val="004C1A2A"/>
    <w:rsid w:val="004C30B9"/>
    <w:rsid w:val="004C5954"/>
    <w:rsid w:val="004C6242"/>
    <w:rsid w:val="004D4A14"/>
    <w:rsid w:val="004D798E"/>
    <w:rsid w:val="004E3556"/>
    <w:rsid w:val="004E4272"/>
    <w:rsid w:val="004F17E1"/>
    <w:rsid w:val="00503A55"/>
    <w:rsid w:val="00507108"/>
    <w:rsid w:val="0051406B"/>
    <w:rsid w:val="00514C5B"/>
    <w:rsid w:val="005209F2"/>
    <w:rsid w:val="0052514B"/>
    <w:rsid w:val="005300F6"/>
    <w:rsid w:val="00531061"/>
    <w:rsid w:val="00536B7E"/>
    <w:rsid w:val="005429FF"/>
    <w:rsid w:val="00543470"/>
    <w:rsid w:val="0054415C"/>
    <w:rsid w:val="00545836"/>
    <w:rsid w:val="00550D70"/>
    <w:rsid w:val="00563496"/>
    <w:rsid w:val="0056442C"/>
    <w:rsid w:val="005653C8"/>
    <w:rsid w:val="00573548"/>
    <w:rsid w:val="00575AC1"/>
    <w:rsid w:val="00583D9B"/>
    <w:rsid w:val="00583E9A"/>
    <w:rsid w:val="00592EB8"/>
    <w:rsid w:val="00596C3C"/>
    <w:rsid w:val="005A3A37"/>
    <w:rsid w:val="005A7C41"/>
    <w:rsid w:val="005B11C5"/>
    <w:rsid w:val="005B1F3B"/>
    <w:rsid w:val="005B2CC0"/>
    <w:rsid w:val="005B6618"/>
    <w:rsid w:val="005B6DBF"/>
    <w:rsid w:val="005C1FBF"/>
    <w:rsid w:val="005C24B1"/>
    <w:rsid w:val="005C30BA"/>
    <w:rsid w:val="005C4747"/>
    <w:rsid w:val="005D2F10"/>
    <w:rsid w:val="005D6502"/>
    <w:rsid w:val="005E601E"/>
    <w:rsid w:val="005F0A51"/>
    <w:rsid w:val="005F53D8"/>
    <w:rsid w:val="006009BF"/>
    <w:rsid w:val="00602105"/>
    <w:rsid w:val="00605AE6"/>
    <w:rsid w:val="0060678E"/>
    <w:rsid w:val="00612EAB"/>
    <w:rsid w:val="00613A6D"/>
    <w:rsid w:val="00622942"/>
    <w:rsid w:val="0062318C"/>
    <w:rsid w:val="0062346B"/>
    <w:rsid w:val="006255B0"/>
    <w:rsid w:val="00625774"/>
    <w:rsid w:val="00626E9E"/>
    <w:rsid w:val="00631134"/>
    <w:rsid w:val="006315D5"/>
    <w:rsid w:val="00636EA7"/>
    <w:rsid w:val="00637E9A"/>
    <w:rsid w:val="00644DE8"/>
    <w:rsid w:val="00645531"/>
    <w:rsid w:val="00647986"/>
    <w:rsid w:val="00650E16"/>
    <w:rsid w:val="00651E18"/>
    <w:rsid w:val="00653DA6"/>
    <w:rsid w:val="006552E4"/>
    <w:rsid w:val="006567AC"/>
    <w:rsid w:val="00657B57"/>
    <w:rsid w:val="00661B59"/>
    <w:rsid w:val="00661C6F"/>
    <w:rsid w:val="00663CCE"/>
    <w:rsid w:val="00666FDD"/>
    <w:rsid w:val="00670F25"/>
    <w:rsid w:val="00671F34"/>
    <w:rsid w:val="006733A6"/>
    <w:rsid w:val="00673D20"/>
    <w:rsid w:val="00674647"/>
    <w:rsid w:val="00676213"/>
    <w:rsid w:val="00677460"/>
    <w:rsid w:val="00677CCE"/>
    <w:rsid w:val="00677E04"/>
    <w:rsid w:val="00681169"/>
    <w:rsid w:val="006820C4"/>
    <w:rsid w:val="0068297D"/>
    <w:rsid w:val="00684DAC"/>
    <w:rsid w:val="0068535D"/>
    <w:rsid w:val="0068659E"/>
    <w:rsid w:val="00686B4E"/>
    <w:rsid w:val="00686DCD"/>
    <w:rsid w:val="00691792"/>
    <w:rsid w:val="00692D5D"/>
    <w:rsid w:val="00692DEA"/>
    <w:rsid w:val="00695F92"/>
    <w:rsid w:val="006A0FEB"/>
    <w:rsid w:val="006A16DF"/>
    <w:rsid w:val="006A1A77"/>
    <w:rsid w:val="006A3E40"/>
    <w:rsid w:val="006A43ED"/>
    <w:rsid w:val="006A499C"/>
    <w:rsid w:val="006A5629"/>
    <w:rsid w:val="006A633E"/>
    <w:rsid w:val="006A6AAD"/>
    <w:rsid w:val="006B31CF"/>
    <w:rsid w:val="006B630A"/>
    <w:rsid w:val="006B71DC"/>
    <w:rsid w:val="006B75AA"/>
    <w:rsid w:val="006B7633"/>
    <w:rsid w:val="006D127B"/>
    <w:rsid w:val="006D17D7"/>
    <w:rsid w:val="006E0243"/>
    <w:rsid w:val="006F21C1"/>
    <w:rsid w:val="006F29AF"/>
    <w:rsid w:val="006F34BA"/>
    <w:rsid w:val="006F5F6D"/>
    <w:rsid w:val="006F64F6"/>
    <w:rsid w:val="00702EB5"/>
    <w:rsid w:val="00703402"/>
    <w:rsid w:val="007052C1"/>
    <w:rsid w:val="007053F5"/>
    <w:rsid w:val="007057F9"/>
    <w:rsid w:val="007070D6"/>
    <w:rsid w:val="007241DF"/>
    <w:rsid w:val="0072604B"/>
    <w:rsid w:val="007342DA"/>
    <w:rsid w:val="007404CE"/>
    <w:rsid w:val="00740B23"/>
    <w:rsid w:val="007424CB"/>
    <w:rsid w:val="00745E4D"/>
    <w:rsid w:val="00747542"/>
    <w:rsid w:val="0075495C"/>
    <w:rsid w:val="00754F25"/>
    <w:rsid w:val="00764F9F"/>
    <w:rsid w:val="00771B6C"/>
    <w:rsid w:val="00780953"/>
    <w:rsid w:val="00780CBE"/>
    <w:rsid w:val="007824CD"/>
    <w:rsid w:val="007840A4"/>
    <w:rsid w:val="00787FC4"/>
    <w:rsid w:val="007924B0"/>
    <w:rsid w:val="007A045D"/>
    <w:rsid w:val="007A08D1"/>
    <w:rsid w:val="007A6B7C"/>
    <w:rsid w:val="007A76F9"/>
    <w:rsid w:val="007B13AE"/>
    <w:rsid w:val="007B40E7"/>
    <w:rsid w:val="007B5067"/>
    <w:rsid w:val="007B585B"/>
    <w:rsid w:val="007B7142"/>
    <w:rsid w:val="007D364E"/>
    <w:rsid w:val="007D716C"/>
    <w:rsid w:val="007E0B8F"/>
    <w:rsid w:val="007E3BEE"/>
    <w:rsid w:val="007E5B74"/>
    <w:rsid w:val="007F324F"/>
    <w:rsid w:val="008079B7"/>
    <w:rsid w:val="00807A6F"/>
    <w:rsid w:val="00814811"/>
    <w:rsid w:val="00814D5D"/>
    <w:rsid w:val="00815110"/>
    <w:rsid w:val="008155CE"/>
    <w:rsid w:val="00815DD3"/>
    <w:rsid w:val="008164F1"/>
    <w:rsid w:val="00817A44"/>
    <w:rsid w:val="008200C3"/>
    <w:rsid w:val="00822D69"/>
    <w:rsid w:val="00826419"/>
    <w:rsid w:val="00830D7C"/>
    <w:rsid w:val="008318B7"/>
    <w:rsid w:val="00831AE8"/>
    <w:rsid w:val="00832C74"/>
    <w:rsid w:val="00832EF0"/>
    <w:rsid w:val="00834511"/>
    <w:rsid w:val="00841334"/>
    <w:rsid w:val="00842CB9"/>
    <w:rsid w:val="0085075A"/>
    <w:rsid w:val="00850885"/>
    <w:rsid w:val="00853719"/>
    <w:rsid w:val="00863CDE"/>
    <w:rsid w:val="00864A79"/>
    <w:rsid w:val="008662BE"/>
    <w:rsid w:val="0087361B"/>
    <w:rsid w:val="00873C28"/>
    <w:rsid w:val="00874BB8"/>
    <w:rsid w:val="0088155F"/>
    <w:rsid w:val="008841D9"/>
    <w:rsid w:val="00885BD7"/>
    <w:rsid w:val="00890603"/>
    <w:rsid w:val="00891A17"/>
    <w:rsid w:val="00895B07"/>
    <w:rsid w:val="00896194"/>
    <w:rsid w:val="008A14F1"/>
    <w:rsid w:val="008A173C"/>
    <w:rsid w:val="008A3B6B"/>
    <w:rsid w:val="008B25FA"/>
    <w:rsid w:val="008B5A72"/>
    <w:rsid w:val="008B5CB6"/>
    <w:rsid w:val="008B640A"/>
    <w:rsid w:val="008C1246"/>
    <w:rsid w:val="008D3AAC"/>
    <w:rsid w:val="008D3E83"/>
    <w:rsid w:val="008E1750"/>
    <w:rsid w:val="008E290F"/>
    <w:rsid w:val="008E2BF6"/>
    <w:rsid w:val="008E3607"/>
    <w:rsid w:val="008F15F8"/>
    <w:rsid w:val="008F252A"/>
    <w:rsid w:val="009023B6"/>
    <w:rsid w:val="009031DB"/>
    <w:rsid w:val="009059AF"/>
    <w:rsid w:val="00912119"/>
    <w:rsid w:val="009133D6"/>
    <w:rsid w:val="0091443C"/>
    <w:rsid w:val="00917DA5"/>
    <w:rsid w:val="0092043F"/>
    <w:rsid w:val="00920A77"/>
    <w:rsid w:val="00921634"/>
    <w:rsid w:val="00922842"/>
    <w:rsid w:val="0094410F"/>
    <w:rsid w:val="00951F06"/>
    <w:rsid w:val="00956DCC"/>
    <w:rsid w:val="00962A5D"/>
    <w:rsid w:val="00964AB9"/>
    <w:rsid w:val="009752B7"/>
    <w:rsid w:val="00975E85"/>
    <w:rsid w:val="009806E8"/>
    <w:rsid w:val="00982A6C"/>
    <w:rsid w:val="00986441"/>
    <w:rsid w:val="00986466"/>
    <w:rsid w:val="00986975"/>
    <w:rsid w:val="0099753F"/>
    <w:rsid w:val="009A0AA6"/>
    <w:rsid w:val="009A0B4B"/>
    <w:rsid w:val="009A1339"/>
    <w:rsid w:val="009A4BE2"/>
    <w:rsid w:val="009B0CF4"/>
    <w:rsid w:val="009B116D"/>
    <w:rsid w:val="009B1800"/>
    <w:rsid w:val="009C642F"/>
    <w:rsid w:val="009C68BE"/>
    <w:rsid w:val="009D0011"/>
    <w:rsid w:val="009D1AFA"/>
    <w:rsid w:val="009D239D"/>
    <w:rsid w:val="009D7837"/>
    <w:rsid w:val="009E56CD"/>
    <w:rsid w:val="009F0F12"/>
    <w:rsid w:val="009F6900"/>
    <w:rsid w:val="00A02B36"/>
    <w:rsid w:val="00A079DA"/>
    <w:rsid w:val="00A139E0"/>
    <w:rsid w:val="00A13A1F"/>
    <w:rsid w:val="00A13A32"/>
    <w:rsid w:val="00A15C75"/>
    <w:rsid w:val="00A229D9"/>
    <w:rsid w:val="00A22DD9"/>
    <w:rsid w:val="00A247D1"/>
    <w:rsid w:val="00A266CF"/>
    <w:rsid w:val="00A30C06"/>
    <w:rsid w:val="00A3166B"/>
    <w:rsid w:val="00A3554E"/>
    <w:rsid w:val="00A365E3"/>
    <w:rsid w:val="00A43047"/>
    <w:rsid w:val="00A43E4B"/>
    <w:rsid w:val="00A43FB3"/>
    <w:rsid w:val="00A46152"/>
    <w:rsid w:val="00A51960"/>
    <w:rsid w:val="00A522AF"/>
    <w:rsid w:val="00A54FB6"/>
    <w:rsid w:val="00A5567B"/>
    <w:rsid w:val="00A557EF"/>
    <w:rsid w:val="00A608B8"/>
    <w:rsid w:val="00A60F50"/>
    <w:rsid w:val="00A63EC1"/>
    <w:rsid w:val="00A64DB7"/>
    <w:rsid w:val="00A6600C"/>
    <w:rsid w:val="00A714D6"/>
    <w:rsid w:val="00A73EFF"/>
    <w:rsid w:val="00A77CDB"/>
    <w:rsid w:val="00A840DB"/>
    <w:rsid w:val="00A8539B"/>
    <w:rsid w:val="00A86BD5"/>
    <w:rsid w:val="00A90111"/>
    <w:rsid w:val="00A92745"/>
    <w:rsid w:val="00A93B33"/>
    <w:rsid w:val="00A96360"/>
    <w:rsid w:val="00A97F36"/>
    <w:rsid w:val="00AA25F8"/>
    <w:rsid w:val="00AA5792"/>
    <w:rsid w:val="00AA5D12"/>
    <w:rsid w:val="00AB0A43"/>
    <w:rsid w:val="00AB6FBE"/>
    <w:rsid w:val="00AC2AB1"/>
    <w:rsid w:val="00AC36A8"/>
    <w:rsid w:val="00AC4F2E"/>
    <w:rsid w:val="00AC6EF9"/>
    <w:rsid w:val="00AD376A"/>
    <w:rsid w:val="00AD6D00"/>
    <w:rsid w:val="00AE5059"/>
    <w:rsid w:val="00AF3C6A"/>
    <w:rsid w:val="00AF4194"/>
    <w:rsid w:val="00AF50D2"/>
    <w:rsid w:val="00AF51CF"/>
    <w:rsid w:val="00AF6AE5"/>
    <w:rsid w:val="00B04A4D"/>
    <w:rsid w:val="00B06BA3"/>
    <w:rsid w:val="00B215D6"/>
    <w:rsid w:val="00B228C6"/>
    <w:rsid w:val="00B258BC"/>
    <w:rsid w:val="00B31B8C"/>
    <w:rsid w:val="00B36FF7"/>
    <w:rsid w:val="00B371D8"/>
    <w:rsid w:val="00B372DE"/>
    <w:rsid w:val="00B37561"/>
    <w:rsid w:val="00B52C89"/>
    <w:rsid w:val="00B56651"/>
    <w:rsid w:val="00B61F25"/>
    <w:rsid w:val="00B63E90"/>
    <w:rsid w:val="00B71251"/>
    <w:rsid w:val="00B748B3"/>
    <w:rsid w:val="00B77681"/>
    <w:rsid w:val="00B84886"/>
    <w:rsid w:val="00B86A11"/>
    <w:rsid w:val="00BA08F3"/>
    <w:rsid w:val="00BA7FAC"/>
    <w:rsid w:val="00BB1067"/>
    <w:rsid w:val="00BB29CD"/>
    <w:rsid w:val="00BC09AD"/>
    <w:rsid w:val="00BC0C75"/>
    <w:rsid w:val="00BC13C1"/>
    <w:rsid w:val="00BC2599"/>
    <w:rsid w:val="00BC5C58"/>
    <w:rsid w:val="00BD07BF"/>
    <w:rsid w:val="00BD134D"/>
    <w:rsid w:val="00BD544E"/>
    <w:rsid w:val="00BD7C68"/>
    <w:rsid w:val="00BE12A3"/>
    <w:rsid w:val="00BE1AF1"/>
    <w:rsid w:val="00BE3841"/>
    <w:rsid w:val="00BE4D94"/>
    <w:rsid w:val="00BF2508"/>
    <w:rsid w:val="00BF7072"/>
    <w:rsid w:val="00C01BA1"/>
    <w:rsid w:val="00C06392"/>
    <w:rsid w:val="00C07D14"/>
    <w:rsid w:val="00C10F5F"/>
    <w:rsid w:val="00C11FE9"/>
    <w:rsid w:val="00C128D7"/>
    <w:rsid w:val="00C1462B"/>
    <w:rsid w:val="00C15A90"/>
    <w:rsid w:val="00C1603F"/>
    <w:rsid w:val="00C239CB"/>
    <w:rsid w:val="00C23E22"/>
    <w:rsid w:val="00C263F5"/>
    <w:rsid w:val="00C26C95"/>
    <w:rsid w:val="00C301E2"/>
    <w:rsid w:val="00C3248B"/>
    <w:rsid w:val="00C32BF3"/>
    <w:rsid w:val="00C3607C"/>
    <w:rsid w:val="00C423FB"/>
    <w:rsid w:val="00C63ED0"/>
    <w:rsid w:val="00C64B6D"/>
    <w:rsid w:val="00C64DA0"/>
    <w:rsid w:val="00C67F5A"/>
    <w:rsid w:val="00C70A0A"/>
    <w:rsid w:val="00C71C9D"/>
    <w:rsid w:val="00C74961"/>
    <w:rsid w:val="00C80FB1"/>
    <w:rsid w:val="00C82160"/>
    <w:rsid w:val="00C82852"/>
    <w:rsid w:val="00C82B26"/>
    <w:rsid w:val="00C84B53"/>
    <w:rsid w:val="00C864D3"/>
    <w:rsid w:val="00CA527E"/>
    <w:rsid w:val="00CC186E"/>
    <w:rsid w:val="00CC2A4E"/>
    <w:rsid w:val="00CC5890"/>
    <w:rsid w:val="00CC7D5A"/>
    <w:rsid w:val="00CD0EA7"/>
    <w:rsid w:val="00CD4437"/>
    <w:rsid w:val="00CD60E1"/>
    <w:rsid w:val="00CD62FD"/>
    <w:rsid w:val="00CE0B9F"/>
    <w:rsid w:val="00CE2DAB"/>
    <w:rsid w:val="00CE6838"/>
    <w:rsid w:val="00CF4EE0"/>
    <w:rsid w:val="00CF6234"/>
    <w:rsid w:val="00CF625A"/>
    <w:rsid w:val="00D03083"/>
    <w:rsid w:val="00D03F5A"/>
    <w:rsid w:val="00D07C1B"/>
    <w:rsid w:val="00D10532"/>
    <w:rsid w:val="00D10899"/>
    <w:rsid w:val="00D15056"/>
    <w:rsid w:val="00D22413"/>
    <w:rsid w:val="00D22D0A"/>
    <w:rsid w:val="00D238F4"/>
    <w:rsid w:val="00D25466"/>
    <w:rsid w:val="00D30816"/>
    <w:rsid w:val="00D3099B"/>
    <w:rsid w:val="00D338AD"/>
    <w:rsid w:val="00D33DE5"/>
    <w:rsid w:val="00D507E6"/>
    <w:rsid w:val="00D51ABE"/>
    <w:rsid w:val="00D55B08"/>
    <w:rsid w:val="00D5615B"/>
    <w:rsid w:val="00D64037"/>
    <w:rsid w:val="00D650E5"/>
    <w:rsid w:val="00D6787C"/>
    <w:rsid w:val="00D771DA"/>
    <w:rsid w:val="00D82D4E"/>
    <w:rsid w:val="00D8387C"/>
    <w:rsid w:val="00D83BA6"/>
    <w:rsid w:val="00D845D4"/>
    <w:rsid w:val="00DA33D9"/>
    <w:rsid w:val="00DA47FB"/>
    <w:rsid w:val="00DA6DEC"/>
    <w:rsid w:val="00DB3669"/>
    <w:rsid w:val="00DB4440"/>
    <w:rsid w:val="00DB792A"/>
    <w:rsid w:val="00DC5A03"/>
    <w:rsid w:val="00DC6D46"/>
    <w:rsid w:val="00DC7327"/>
    <w:rsid w:val="00DD5706"/>
    <w:rsid w:val="00DE5BF8"/>
    <w:rsid w:val="00DE7BC7"/>
    <w:rsid w:val="00DF6FC3"/>
    <w:rsid w:val="00E007B5"/>
    <w:rsid w:val="00E01768"/>
    <w:rsid w:val="00E037C3"/>
    <w:rsid w:val="00E107DD"/>
    <w:rsid w:val="00E10A97"/>
    <w:rsid w:val="00E11F02"/>
    <w:rsid w:val="00E13C7F"/>
    <w:rsid w:val="00E143BD"/>
    <w:rsid w:val="00E16944"/>
    <w:rsid w:val="00E22B2D"/>
    <w:rsid w:val="00E24018"/>
    <w:rsid w:val="00E3363D"/>
    <w:rsid w:val="00E33AB0"/>
    <w:rsid w:val="00E3446C"/>
    <w:rsid w:val="00E41299"/>
    <w:rsid w:val="00E44347"/>
    <w:rsid w:val="00E54146"/>
    <w:rsid w:val="00E60C6F"/>
    <w:rsid w:val="00E612C9"/>
    <w:rsid w:val="00E633F9"/>
    <w:rsid w:val="00E637C4"/>
    <w:rsid w:val="00E63EF8"/>
    <w:rsid w:val="00E66797"/>
    <w:rsid w:val="00E7393B"/>
    <w:rsid w:val="00E753F2"/>
    <w:rsid w:val="00E7589F"/>
    <w:rsid w:val="00E7762F"/>
    <w:rsid w:val="00E80ABB"/>
    <w:rsid w:val="00E8110B"/>
    <w:rsid w:val="00E8170D"/>
    <w:rsid w:val="00E8217C"/>
    <w:rsid w:val="00E82D75"/>
    <w:rsid w:val="00E8338B"/>
    <w:rsid w:val="00E8396B"/>
    <w:rsid w:val="00E84588"/>
    <w:rsid w:val="00E85935"/>
    <w:rsid w:val="00EA0FDE"/>
    <w:rsid w:val="00EA111E"/>
    <w:rsid w:val="00EA4A09"/>
    <w:rsid w:val="00EA60EE"/>
    <w:rsid w:val="00EB34DA"/>
    <w:rsid w:val="00EC06BB"/>
    <w:rsid w:val="00ED575B"/>
    <w:rsid w:val="00ED5921"/>
    <w:rsid w:val="00ED7448"/>
    <w:rsid w:val="00EE0436"/>
    <w:rsid w:val="00EE1856"/>
    <w:rsid w:val="00EE476D"/>
    <w:rsid w:val="00EE74A1"/>
    <w:rsid w:val="00EF1E37"/>
    <w:rsid w:val="00EF38E8"/>
    <w:rsid w:val="00EF73C0"/>
    <w:rsid w:val="00F0044B"/>
    <w:rsid w:val="00F00FD3"/>
    <w:rsid w:val="00F017FB"/>
    <w:rsid w:val="00F0241C"/>
    <w:rsid w:val="00F02CCA"/>
    <w:rsid w:val="00F0486C"/>
    <w:rsid w:val="00F06991"/>
    <w:rsid w:val="00F07159"/>
    <w:rsid w:val="00F14D86"/>
    <w:rsid w:val="00F21D11"/>
    <w:rsid w:val="00F21E85"/>
    <w:rsid w:val="00F255CA"/>
    <w:rsid w:val="00F3003B"/>
    <w:rsid w:val="00F34C6E"/>
    <w:rsid w:val="00F41A5A"/>
    <w:rsid w:val="00F47335"/>
    <w:rsid w:val="00F548D0"/>
    <w:rsid w:val="00F55EC2"/>
    <w:rsid w:val="00F5665B"/>
    <w:rsid w:val="00F70E89"/>
    <w:rsid w:val="00F80917"/>
    <w:rsid w:val="00F82D04"/>
    <w:rsid w:val="00F836DA"/>
    <w:rsid w:val="00F86F74"/>
    <w:rsid w:val="00F9183F"/>
    <w:rsid w:val="00F922C2"/>
    <w:rsid w:val="00F949B6"/>
    <w:rsid w:val="00FA0111"/>
    <w:rsid w:val="00FA0802"/>
    <w:rsid w:val="00FA2B64"/>
    <w:rsid w:val="00FA383F"/>
    <w:rsid w:val="00FA47D6"/>
    <w:rsid w:val="00FA47E0"/>
    <w:rsid w:val="00FB1C22"/>
    <w:rsid w:val="00FB3B4C"/>
    <w:rsid w:val="00FB3BD6"/>
    <w:rsid w:val="00FB5C67"/>
    <w:rsid w:val="00FB63AA"/>
    <w:rsid w:val="00FC0309"/>
    <w:rsid w:val="00FC3D86"/>
    <w:rsid w:val="00FC4AFA"/>
    <w:rsid w:val="00FC4D9D"/>
    <w:rsid w:val="00FC79B7"/>
    <w:rsid w:val="00FD146D"/>
    <w:rsid w:val="00FD2717"/>
    <w:rsid w:val="00FD3D41"/>
    <w:rsid w:val="00FE01C4"/>
    <w:rsid w:val="00FE4EB0"/>
    <w:rsid w:val="00FE5B48"/>
    <w:rsid w:val="00FE6477"/>
    <w:rsid w:val="00FE71D0"/>
    <w:rsid w:val="00FF0F39"/>
    <w:rsid w:val="00FF224C"/>
    <w:rsid w:val="00FF6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24C5D"/>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200016760">
      <w:bodyDiv w:val="1"/>
      <w:marLeft w:val="0"/>
      <w:marRight w:val="0"/>
      <w:marTop w:val="0"/>
      <w:marBottom w:val="0"/>
      <w:divBdr>
        <w:top w:val="none" w:sz="0" w:space="0" w:color="auto"/>
        <w:left w:val="none" w:sz="0" w:space="0" w:color="auto"/>
        <w:bottom w:val="none" w:sz="0" w:space="0" w:color="auto"/>
        <w:right w:val="none" w:sz="0" w:space="0" w:color="auto"/>
      </w:divBdr>
    </w:div>
    <w:div w:id="256212862">
      <w:bodyDiv w:val="1"/>
      <w:marLeft w:val="0"/>
      <w:marRight w:val="0"/>
      <w:marTop w:val="0"/>
      <w:marBottom w:val="0"/>
      <w:divBdr>
        <w:top w:val="none" w:sz="0" w:space="0" w:color="auto"/>
        <w:left w:val="none" w:sz="0" w:space="0" w:color="auto"/>
        <w:bottom w:val="none" w:sz="0" w:space="0" w:color="auto"/>
        <w:right w:val="none" w:sz="0" w:space="0" w:color="auto"/>
      </w:divBdr>
    </w:div>
    <w:div w:id="404304755">
      <w:bodyDiv w:val="1"/>
      <w:marLeft w:val="0"/>
      <w:marRight w:val="0"/>
      <w:marTop w:val="0"/>
      <w:marBottom w:val="0"/>
      <w:divBdr>
        <w:top w:val="none" w:sz="0" w:space="0" w:color="auto"/>
        <w:left w:val="none" w:sz="0" w:space="0" w:color="auto"/>
        <w:bottom w:val="none" w:sz="0" w:space="0" w:color="auto"/>
        <w:right w:val="none" w:sz="0" w:space="0" w:color="auto"/>
      </w:divBdr>
      <w:divsChild>
        <w:div w:id="895507983">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1027605367">
      <w:bodyDiv w:val="1"/>
      <w:marLeft w:val="0"/>
      <w:marRight w:val="0"/>
      <w:marTop w:val="0"/>
      <w:marBottom w:val="0"/>
      <w:divBdr>
        <w:top w:val="none" w:sz="0" w:space="0" w:color="auto"/>
        <w:left w:val="none" w:sz="0" w:space="0" w:color="auto"/>
        <w:bottom w:val="none" w:sz="0" w:space="0" w:color="auto"/>
        <w:right w:val="none" w:sz="0" w:space="0" w:color="auto"/>
      </w:divBdr>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065295465">
      <w:bodyDiv w:val="1"/>
      <w:marLeft w:val="0"/>
      <w:marRight w:val="0"/>
      <w:marTop w:val="0"/>
      <w:marBottom w:val="0"/>
      <w:divBdr>
        <w:top w:val="none" w:sz="0" w:space="0" w:color="auto"/>
        <w:left w:val="none" w:sz="0" w:space="0" w:color="auto"/>
        <w:bottom w:val="none" w:sz="0" w:space="0" w:color="auto"/>
        <w:right w:val="none" w:sz="0" w:space="0" w:color="auto"/>
      </w:divBdr>
    </w:div>
    <w:div w:id="1397440073">
      <w:bodyDiv w:val="1"/>
      <w:marLeft w:val="0"/>
      <w:marRight w:val="0"/>
      <w:marTop w:val="0"/>
      <w:marBottom w:val="0"/>
      <w:divBdr>
        <w:top w:val="none" w:sz="0" w:space="0" w:color="auto"/>
        <w:left w:val="none" w:sz="0" w:space="0" w:color="auto"/>
        <w:bottom w:val="none" w:sz="0" w:space="0" w:color="auto"/>
        <w:right w:val="none" w:sz="0" w:space="0" w:color="auto"/>
      </w:divBdr>
      <w:divsChild>
        <w:div w:id="1899584224">
          <w:marLeft w:val="0"/>
          <w:marRight w:val="0"/>
          <w:marTop w:val="0"/>
          <w:marBottom w:val="0"/>
          <w:divBdr>
            <w:top w:val="none" w:sz="0" w:space="0" w:color="auto"/>
            <w:left w:val="none" w:sz="0" w:space="0" w:color="auto"/>
            <w:bottom w:val="none" w:sz="0" w:space="0" w:color="auto"/>
            <w:right w:val="none" w:sz="0" w:space="0" w:color="auto"/>
          </w:divBdr>
        </w:div>
      </w:divsChild>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61011-CF6D-435E-81C8-211285B1C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11</Pages>
  <Words>2902</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Mary Bowen-Perkins</cp:lastModifiedBy>
  <cp:revision>180</cp:revision>
  <dcterms:created xsi:type="dcterms:W3CDTF">2018-11-04T01:27:00Z</dcterms:created>
  <dcterms:modified xsi:type="dcterms:W3CDTF">2018-11-04T19:15:00Z</dcterms:modified>
</cp:coreProperties>
</file>