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EF082" w14:textId="77777777" w:rsidR="000B6A5D" w:rsidRDefault="000B6A5D">
      <w:pPr>
        <w:spacing w:line="360" w:lineRule="auto"/>
        <w:jc w:val="both"/>
        <w:rPr>
          <w:rFonts w:ascii="Times New Roman" w:eastAsia="Times New Roman" w:hAnsi="Times New Roman" w:cs="Times New Roman"/>
          <w:b/>
          <w:sz w:val="28"/>
          <w:szCs w:val="28"/>
        </w:rPr>
      </w:pPr>
    </w:p>
    <w:p w14:paraId="38BD8E82" w14:textId="77777777" w:rsidR="000B6A5D" w:rsidRDefault="000B6A5D">
      <w:pPr>
        <w:spacing w:line="360" w:lineRule="auto"/>
        <w:jc w:val="both"/>
        <w:rPr>
          <w:rFonts w:ascii="Times New Roman" w:eastAsia="Times New Roman" w:hAnsi="Times New Roman" w:cs="Times New Roman"/>
          <w:b/>
          <w:sz w:val="28"/>
          <w:szCs w:val="28"/>
        </w:rPr>
      </w:pPr>
    </w:p>
    <w:p w14:paraId="5B10EA04" w14:textId="77777777" w:rsidR="000B6A5D" w:rsidRDefault="000B6A5D">
      <w:pPr>
        <w:spacing w:line="360" w:lineRule="auto"/>
        <w:jc w:val="both"/>
        <w:rPr>
          <w:rFonts w:ascii="Times New Roman" w:eastAsia="Times New Roman" w:hAnsi="Times New Roman" w:cs="Times New Roman"/>
          <w:b/>
          <w:sz w:val="28"/>
          <w:szCs w:val="28"/>
        </w:rPr>
      </w:pPr>
    </w:p>
    <w:p w14:paraId="32EE7EA9" w14:textId="77777777" w:rsidR="000B6A5D" w:rsidRDefault="000B6A5D">
      <w:pPr>
        <w:spacing w:line="360" w:lineRule="auto"/>
        <w:jc w:val="both"/>
        <w:rPr>
          <w:rFonts w:ascii="Times New Roman" w:eastAsia="Times New Roman" w:hAnsi="Times New Roman" w:cs="Times New Roman"/>
          <w:b/>
          <w:sz w:val="28"/>
          <w:szCs w:val="28"/>
        </w:rPr>
      </w:pPr>
    </w:p>
    <w:p w14:paraId="027DDFC2" w14:textId="77777777" w:rsidR="000B6A5D" w:rsidRDefault="000B6A5D">
      <w:pPr>
        <w:spacing w:line="360" w:lineRule="auto"/>
        <w:jc w:val="both"/>
        <w:rPr>
          <w:rFonts w:ascii="Times New Roman" w:eastAsia="Times New Roman" w:hAnsi="Times New Roman" w:cs="Times New Roman"/>
          <w:b/>
          <w:sz w:val="28"/>
          <w:szCs w:val="28"/>
        </w:rPr>
      </w:pPr>
    </w:p>
    <w:p w14:paraId="31FDB818" w14:textId="77777777" w:rsidR="000B6A5D" w:rsidRDefault="000B6A5D">
      <w:pPr>
        <w:spacing w:line="360" w:lineRule="auto"/>
        <w:jc w:val="both"/>
        <w:rPr>
          <w:rFonts w:ascii="Times New Roman" w:eastAsia="Times New Roman" w:hAnsi="Times New Roman" w:cs="Times New Roman"/>
          <w:b/>
          <w:sz w:val="28"/>
          <w:szCs w:val="28"/>
        </w:rPr>
      </w:pPr>
    </w:p>
    <w:p w14:paraId="6D8C4769" w14:textId="77777777" w:rsidR="000B6A5D" w:rsidRDefault="000B6A5D">
      <w:pPr>
        <w:spacing w:line="360" w:lineRule="auto"/>
        <w:jc w:val="both"/>
        <w:rPr>
          <w:rFonts w:ascii="Times New Roman" w:eastAsia="Times New Roman" w:hAnsi="Times New Roman" w:cs="Times New Roman"/>
          <w:b/>
          <w:sz w:val="28"/>
          <w:szCs w:val="28"/>
        </w:rPr>
      </w:pPr>
    </w:p>
    <w:p w14:paraId="399C7E0E" w14:textId="77777777" w:rsidR="000B6A5D" w:rsidRDefault="000B6A5D">
      <w:pPr>
        <w:spacing w:line="360" w:lineRule="auto"/>
        <w:jc w:val="both"/>
        <w:rPr>
          <w:rFonts w:ascii="Times New Roman" w:eastAsia="Times New Roman" w:hAnsi="Times New Roman" w:cs="Times New Roman"/>
          <w:b/>
          <w:sz w:val="28"/>
          <w:szCs w:val="28"/>
        </w:rPr>
      </w:pPr>
    </w:p>
    <w:p w14:paraId="439CC31E" w14:textId="77777777" w:rsidR="000B6A5D" w:rsidRDefault="000B6A5D">
      <w:pPr>
        <w:spacing w:line="360" w:lineRule="auto"/>
        <w:jc w:val="both"/>
        <w:rPr>
          <w:rFonts w:ascii="Times New Roman" w:eastAsia="Times New Roman" w:hAnsi="Times New Roman" w:cs="Times New Roman"/>
          <w:b/>
          <w:sz w:val="28"/>
          <w:szCs w:val="28"/>
        </w:rPr>
      </w:pPr>
    </w:p>
    <w:p w14:paraId="6FF61C2E" w14:textId="77777777" w:rsidR="000B6A5D" w:rsidRDefault="000B6A5D">
      <w:pPr>
        <w:spacing w:line="360" w:lineRule="auto"/>
        <w:jc w:val="both"/>
        <w:rPr>
          <w:rFonts w:ascii="Times New Roman" w:eastAsia="Times New Roman" w:hAnsi="Times New Roman" w:cs="Times New Roman"/>
          <w:b/>
          <w:sz w:val="28"/>
          <w:szCs w:val="28"/>
        </w:rPr>
      </w:pPr>
    </w:p>
    <w:p w14:paraId="4FA3F916" w14:textId="77777777" w:rsidR="000B6A5D" w:rsidRDefault="000B6A5D">
      <w:pPr>
        <w:spacing w:line="360" w:lineRule="auto"/>
        <w:jc w:val="both"/>
        <w:rPr>
          <w:rFonts w:ascii="Times New Roman" w:eastAsia="Times New Roman" w:hAnsi="Times New Roman" w:cs="Times New Roman"/>
          <w:b/>
          <w:sz w:val="28"/>
          <w:szCs w:val="28"/>
        </w:rPr>
      </w:pPr>
    </w:p>
    <w:p w14:paraId="60979BE1" w14:textId="77777777" w:rsidR="000B6A5D" w:rsidRDefault="000B6A5D">
      <w:pPr>
        <w:spacing w:line="360" w:lineRule="auto"/>
        <w:jc w:val="both"/>
        <w:rPr>
          <w:rFonts w:ascii="Times New Roman" w:eastAsia="Times New Roman" w:hAnsi="Times New Roman" w:cs="Times New Roman"/>
          <w:b/>
          <w:sz w:val="28"/>
          <w:szCs w:val="28"/>
        </w:rPr>
      </w:pPr>
    </w:p>
    <w:p w14:paraId="00000001" w14:textId="0734EEA0" w:rsidR="000B6A5D" w:rsidRPr="004F37A9" w:rsidRDefault="004F37A9" w:rsidP="000B6A5D">
      <w:pPr>
        <w:spacing w:line="360" w:lineRule="auto"/>
        <w:jc w:val="center"/>
        <w:rPr>
          <w:rFonts w:ascii="Times New Roman" w:eastAsia="Times New Roman" w:hAnsi="Times New Roman" w:cs="Times New Roman"/>
          <w:b/>
          <w:sz w:val="32"/>
          <w:szCs w:val="32"/>
        </w:rPr>
      </w:pPr>
      <w:r w:rsidRPr="004F37A9">
        <w:rPr>
          <w:rFonts w:ascii="Times New Roman" w:eastAsia="Times New Roman" w:hAnsi="Times New Roman" w:cs="Times New Roman"/>
          <w:b/>
          <w:sz w:val="32"/>
          <w:szCs w:val="32"/>
        </w:rPr>
        <w:t>IS THE LAW SURROUNDING CRIMINAL LIABILITY BY OMISSION FIT FOR PURPOSE OR SHOULD A GENERAL DUTY TO ACT BE INTRODUCED IN ENGLAND AND WALES?</w:t>
      </w:r>
    </w:p>
    <w:p w14:paraId="47A95623" w14:textId="1590FCC8" w:rsidR="000B6A5D" w:rsidRDefault="008C437F" w:rsidP="000B6A5D">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b w:val="0"/>
          <w:bCs w:val="0"/>
          <w:color w:val="auto"/>
          <w:sz w:val="22"/>
          <w:szCs w:val="22"/>
          <w:lang w:val="en-IN" w:eastAsia="en-IN"/>
        </w:rPr>
        <w:id w:val="-2039731232"/>
        <w:docPartObj>
          <w:docPartGallery w:val="Table of Contents"/>
          <w:docPartUnique/>
        </w:docPartObj>
      </w:sdtPr>
      <w:sdtEndPr>
        <w:rPr>
          <w:rFonts w:ascii="Times New Roman" w:hAnsi="Times New Roman" w:cs="Times New Roman"/>
          <w:noProof/>
          <w:sz w:val="24"/>
          <w:szCs w:val="24"/>
        </w:rPr>
      </w:sdtEndPr>
      <w:sdtContent>
        <w:p w14:paraId="465A616B" w14:textId="60153BAA" w:rsidR="000B6A5D" w:rsidRPr="000B6A5D" w:rsidRDefault="008C437F" w:rsidP="000B6A5D">
          <w:pPr>
            <w:pStyle w:val="TOCHeading"/>
            <w:jc w:val="center"/>
            <w:rPr>
              <w:rFonts w:ascii="Times New Roman" w:hAnsi="Times New Roman" w:cs="Times New Roman"/>
              <w:color w:val="000000" w:themeColor="text1"/>
            </w:rPr>
          </w:pPr>
          <w:r w:rsidRPr="000B6A5D">
            <w:rPr>
              <w:rFonts w:ascii="Times New Roman" w:hAnsi="Times New Roman" w:cs="Times New Roman"/>
              <w:color w:val="000000" w:themeColor="text1"/>
            </w:rPr>
            <w:t>Table of Contents</w:t>
          </w:r>
        </w:p>
        <w:p w14:paraId="32F7EB3F"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r w:rsidRPr="000B6A5D">
            <w:rPr>
              <w:rFonts w:ascii="Times New Roman" w:hAnsi="Times New Roman" w:cs="Times New Roman"/>
              <w:sz w:val="24"/>
              <w:szCs w:val="24"/>
            </w:rPr>
            <w:fldChar w:fldCharType="begin"/>
          </w:r>
          <w:r w:rsidRPr="000B6A5D">
            <w:rPr>
              <w:rFonts w:ascii="Times New Roman" w:hAnsi="Times New Roman" w:cs="Times New Roman"/>
              <w:sz w:val="24"/>
              <w:szCs w:val="24"/>
            </w:rPr>
            <w:instrText xml:space="preserve"> TOC \o "1-3" \h \z \u </w:instrText>
          </w:r>
          <w:r w:rsidRPr="000B6A5D">
            <w:rPr>
              <w:rFonts w:ascii="Times New Roman" w:hAnsi="Times New Roman" w:cs="Times New Roman"/>
              <w:sz w:val="24"/>
              <w:szCs w:val="24"/>
            </w:rPr>
            <w:fldChar w:fldCharType="separate"/>
          </w:r>
          <w:hyperlink w:anchor="_Toc132698484" w:history="1">
            <w:r w:rsidRPr="000B6A5D">
              <w:rPr>
                <w:rStyle w:val="Hyperlink"/>
                <w:rFonts w:ascii="Times New Roman" w:hAnsi="Times New Roman" w:cs="Times New Roman"/>
                <w:noProof/>
                <w:sz w:val="24"/>
                <w:szCs w:val="24"/>
              </w:rPr>
              <w:t>Introduction</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_Toc132698484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3</w:t>
            </w:r>
            <w:r w:rsidRPr="000B6A5D">
              <w:rPr>
                <w:rFonts w:ascii="Times New Roman" w:hAnsi="Times New Roman" w:cs="Times New Roman"/>
                <w:noProof/>
                <w:webHidden/>
                <w:sz w:val="24"/>
                <w:szCs w:val="24"/>
              </w:rPr>
              <w:fldChar w:fldCharType="end"/>
            </w:r>
          </w:hyperlink>
        </w:p>
        <w:p w14:paraId="6C08A7B3"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85" w:history="1">
            <w:r w:rsidRPr="000B6A5D">
              <w:rPr>
                <w:rStyle w:val="Hyperlink"/>
                <w:rFonts w:ascii="Times New Roman" w:hAnsi="Times New Roman" w:cs="Times New Roman"/>
                <w:noProof/>
                <w:sz w:val="24"/>
                <w:szCs w:val="24"/>
              </w:rPr>
              <w:t>Failure to act and its relation with a part of crime</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_Toc132698485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3</w:t>
            </w:r>
            <w:r w:rsidRPr="000B6A5D">
              <w:rPr>
                <w:rFonts w:ascii="Times New Roman" w:hAnsi="Times New Roman" w:cs="Times New Roman"/>
                <w:noProof/>
                <w:webHidden/>
                <w:sz w:val="24"/>
                <w:szCs w:val="24"/>
              </w:rPr>
              <w:fldChar w:fldCharType="end"/>
            </w:r>
          </w:hyperlink>
        </w:p>
        <w:p w14:paraId="231679BC"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86" w:history="1">
            <w:r w:rsidRPr="000B6A5D">
              <w:rPr>
                <w:rStyle w:val="Hyperlink"/>
                <w:rFonts w:ascii="Times New Roman" w:hAnsi="Times New Roman" w:cs="Times New Roman"/>
                <w:noProof/>
                <w:sz w:val="24"/>
                <w:szCs w:val="24"/>
              </w:rPr>
              <w:t>General duty for acting in criminal law</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_Toc132698486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4</w:t>
            </w:r>
            <w:r w:rsidRPr="000B6A5D">
              <w:rPr>
                <w:rFonts w:ascii="Times New Roman" w:hAnsi="Times New Roman" w:cs="Times New Roman"/>
                <w:noProof/>
                <w:webHidden/>
                <w:sz w:val="24"/>
                <w:szCs w:val="24"/>
              </w:rPr>
              <w:fldChar w:fldCharType="end"/>
            </w:r>
          </w:hyperlink>
        </w:p>
        <w:p w14:paraId="3048F6F1"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87" w:history="1">
            <w:r w:rsidRPr="000B6A5D">
              <w:rPr>
                <w:rStyle w:val="Hyperlink"/>
                <w:rFonts w:ascii="Times New Roman" w:hAnsi="Times New Roman" w:cs="Times New Roman"/>
                <w:noProof/>
                <w:sz w:val="24"/>
                <w:szCs w:val="24"/>
              </w:rPr>
              <w:t>Requirements of a crime to be committed by omission</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_Toc132698487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4</w:t>
            </w:r>
            <w:r w:rsidRPr="000B6A5D">
              <w:rPr>
                <w:rFonts w:ascii="Times New Roman" w:hAnsi="Times New Roman" w:cs="Times New Roman"/>
                <w:noProof/>
                <w:webHidden/>
                <w:sz w:val="24"/>
                <w:szCs w:val="24"/>
              </w:rPr>
              <w:fldChar w:fldCharType="end"/>
            </w:r>
          </w:hyperlink>
        </w:p>
        <w:p w14:paraId="7A3646A0"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88" w:history="1">
            <w:r w:rsidRPr="000B6A5D">
              <w:rPr>
                <w:rStyle w:val="Hyperlink"/>
                <w:rFonts w:ascii="Times New Roman" w:hAnsi="Times New Roman" w:cs="Times New Roman"/>
                <w:noProof/>
                <w:sz w:val="24"/>
                <w:szCs w:val="24"/>
              </w:rPr>
              <w:t>Rise of liability by omission</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_Toc132698488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5</w:t>
            </w:r>
            <w:r w:rsidRPr="000B6A5D">
              <w:rPr>
                <w:rFonts w:ascii="Times New Roman" w:hAnsi="Times New Roman" w:cs="Times New Roman"/>
                <w:noProof/>
                <w:webHidden/>
                <w:sz w:val="24"/>
                <w:szCs w:val="24"/>
              </w:rPr>
              <w:fldChar w:fldCharType="end"/>
            </w:r>
          </w:hyperlink>
        </w:p>
        <w:p w14:paraId="0F40687B"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89" w:history="1">
            <w:r w:rsidRPr="000B6A5D">
              <w:rPr>
                <w:rStyle w:val="Hyperlink"/>
                <w:rFonts w:ascii="Times New Roman" w:hAnsi="Times New Roman" w:cs="Times New Roman"/>
                <w:noProof/>
                <w:sz w:val="24"/>
                <w:szCs w:val="24"/>
              </w:rPr>
              <w:t>The Necessity of General Duty to Act</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_Toc132698489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5</w:t>
            </w:r>
            <w:r w:rsidRPr="000B6A5D">
              <w:rPr>
                <w:rFonts w:ascii="Times New Roman" w:hAnsi="Times New Roman" w:cs="Times New Roman"/>
                <w:noProof/>
                <w:webHidden/>
                <w:sz w:val="24"/>
                <w:szCs w:val="24"/>
              </w:rPr>
              <w:fldChar w:fldCharType="end"/>
            </w:r>
          </w:hyperlink>
        </w:p>
        <w:p w14:paraId="34F4F001"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90" w:history="1">
            <w:r w:rsidRPr="000B6A5D">
              <w:rPr>
                <w:rStyle w:val="Hyperlink"/>
                <w:rFonts w:ascii="Times New Roman" w:hAnsi="Times New Roman" w:cs="Times New Roman"/>
                <w:noProof/>
                <w:sz w:val="24"/>
                <w:szCs w:val="24"/>
              </w:rPr>
              <w:t>Pros and cons to introduce a general duty to Act</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_Toc132698490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6</w:t>
            </w:r>
            <w:r w:rsidRPr="000B6A5D">
              <w:rPr>
                <w:rFonts w:ascii="Times New Roman" w:hAnsi="Times New Roman" w:cs="Times New Roman"/>
                <w:noProof/>
                <w:webHidden/>
                <w:sz w:val="24"/>
                <w:szCs w:val="24"/>
              </w:rPr>
              <w:fldChar w:fldCharType="end"/>
            </w:r>
          </w:hyperlink>
        </w:p>
        <w:p w14:paraId="33A82E7B"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91" w:history="1">
            <w:r w:rsidRPr="000B6A5D">
              <w:rPr>
                <w:rStyle w:val="Hyperlink"/>
                <w:rFonts w:ascii="Times New Roman" w:hAnsi="Times New Roman" w:cs="Times New Roman"/>
                <w:noProof/>
                <w:sz w:val="24"/>
                <w:szCs w:val="24"/>
              </w:rPr>
              <w:t>Scope for the int</w:t>
            </w:r>
            <w:r w:rsidRPr="000B6A5D">
              <w:rPr>
                <w:rStyle w:val="Hyperlink"/>
                <w:rFonts w:ascii="Times New Roman" w:hAnsi="Times New Roman" w:cs="Times New Roman"/>
                <w:noProof/>
                <w:sz w:val="24"/>
                <w:szCs w:val="24"/>
              </w:rPr>
              <w:t>roduction in the future</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_Toc132698491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6</w:t>
            </w:r>
            <w:r w:rsidRPr="000B6A5D">
              <w:rPr>
                <w:rFonts w:ascii="Times New Roman" w:hAnsi="Times New Roman" w:cs="Times New Roman"/>
                <w:noProof/>
                <w:webHidden/>
                <w:sz w:val="24"/>
                <w:szCs w:val="24"/>
              </w:rPr>
              <w:fldChar w:fldCharType="end"/>
            </w:r>
          </w:hyperlink>
        </w:p>
        <w:p w14:paraId="560BEF89"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92" w:history="1">
            <w:r w:rsidRPr="000B6A5D">
              <w:rPr>
                <w:rStyle w:val="Hyperlink"/>
                <w:rFonts w:ascii="Times New Roman" w:hAnsi="Times New Roman" w:cs="Times New Roman"/>
                <w:noProof/>
                <w:sz w:val="24"/>
                <w:szCs w:val="24"/>
              </w:rPr>
              <w:t>Conclusion</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_Toc132698492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6</w:t>
            </w:r>
            <w:r w:rsidRPr="000B6A5D">
              <w:rPr>
                <w:rFonts w:ascii="Times New Roman" w:hAnsi="Times New Roman" w:cs="Times New Roman"/>
                <w:noProof/>
                <w:webHidden/>
                <w:sz w:val="24"/>
                <w:szCs w:val="24"/>
              </w:rPr>
              <w:fldChar w:fldCharType="end"/>
            </w:r>
          </w:hyperlink>
        </w:p>
        <w:p w14:paraId="22F14638" w14:textId="77777777" w:rsidR="000B6A5D" w:rsidRPr="000B6A5D" w:rsidRDefault="008C437F" w:rsidP="000B6A5D">
          <w:pPr>
            <w:pStyle w:val="TOC1"/>
            <w:tabs>
              <w:tab w:val="right" w:leader="dot" w:pos="9019"/>
            </w:tabs>
            <w:spacing w:line="360" w:lineRule="auto"/>
            <w:jc w:val="both"/>
            <w:rPr>
              <w:rFonts w:ascii="Times New Roman" w:hAnsi="Times New Roman" w:cs="Times New Roman"/>
              <w:noProof/>
              <w:sz w:val="24"/>
              <w:szCs w:val="24"/>
            </w:rPr>
          </w:pPr>
          <w:hyperlink w:anchor="_Toc132698493" w:history="1">
            <w:r w:rsidRPr="000B6A5D">
              <w:rPr>
                <w:rStyle w:val="Hyperlink"/>
                <w:rFonts w:ascii="Times New Roman" w:hAnsi="Times New Roman" w:cs="Times New Roman"/>
                <w:noProof/>
                <w:sz w:val="24"/>
                <w:szCs w:val="24"/>
              </w:rPr>
              <w:t>References</w:t>
            </w:r>
            <w:r w:rsidRPr="000B6A5D">
              <w:rPr>
                <w:rFonts w:ascii="Times New Roman" w:hAnsi="Times New Roman" w:cs="Times New Roman"/>
                <w:noProof/>
                <w:webHidden/>
                <w:sz w:val="24"/>
                <w:szCs w:val="24"/>
              </w:rPr>
              <w:tab/>
            </w:r>
            <w:r w:rsidRPr="000B6A5D">
              <w:rPr>
                <w:rFonts w:ascii="Times New Roman" w:hAnsi="Times New Roman" w:cs="Times New Roman"/>
                <w:noProof/>
                <w:webHidden/>
                <w:sz w:val="24"/>
                <w:szCs w:val="24"/>
              </w:rPr>
              <w:fldChar w:fldCharType="begin"/>
            </w:r>
            <w:r w:rsidRPr="000B6A5D">
              <w:rPr>
                <w:rFonts w:ascii="Times New Roman" w:hAnsi="Times New Roman" w:cs="Times New Roman"/>
                <w:noProof/>
                <w:webHidden/>
                <w:sz w:val="24"/>
                <w:szCs w:val="24"/>
              </w:rPr>
              <w:instrText xml:space="preserve"> PAGEREF _Toc132698493 \h </w:instrText>
            </w:r>
            <w:r w:rsidRPr="000B6A5D">
              <w:rPr>
                <w:rFonts w:ascii="Times New Roman" w:hAnsi="Times New Roman" w:cs="Times New Roman"/>
                <w:noProof/>
                <w:webHidden/>
                <w:sz w:val="24"/>
                <w:szCs w:val="24"/>
              </w:rPr>
            </w:r>
            <w:r w:rsidRPr="000B6A5D">
              <w:rPr>
                <w:rFonts w:ascii="Times New Roman" w:hAnsi="Times New Roman" w:cs="Times New Roman"/>
                <w:noProof/>
                <w:webHidden/>
                <w:sz w:val="24"/>
                <w:szCs w:val="24"/>
              </w:rPr>
              <w:fldChar w:fldCharType="separate"/>
            </w:r>
            <w:r w:rsidRPr="000B6A5D">
              <w:rPr>
                <w:rFonts w:ascii="Times New Roman" w:hAnsi="Times New Roman" w:cs="Times New Roman"/>
                <w:noProof/>
                <w:webHidden/>
                <w:sz w:val="24"/>
                <w:szCs w:val="24"/>
              </w:rPr>
              <w:t>7</w:t>
            </w:r>
            <w:r w:rsidRPr="000B6A5D">
              <w:rPr>
                <w:rFonts w:ascii="Times New Roman" w:hAnsi="Times New Roman" w:cs="Times New Roman"/>
                <w:noProof/>
                <w:webHidden/>
                <w:sz w:val="24"/>
                <w:szCs w:val="24"/>
              </w:rPr>
              <w:fldChar w:fldCharType="end"/>
            </w:r>
          </w:hyperlink>
        </w:p>
        <w:p w14:paraId="14582482" w14:textId="1D1F97F4" w:rsidR="000B6A5D" w:rsidRPr="000B6A5D" w:rsidRDefault="008C437F" w:rsidP="000B6A5D">
          <w:pPr>
            <w:spacing w:line="360" w:lineRule="auto"/>
            <w:jc w:val="both"/>
            <w:rPr>
              <w:rFonts w:ascii="Times New Roman" w:hAnsi="Times New Roman" w:cs="Times New Roman"/>
              <w:sz w:val="24"/>
              <w:szCs w:val="24"/>
            </w:rPr>
          </w:pPr>
          <w:r w:rsidRPr="000B6A5D">
            <w:rPr>
              <w:rFonts w:ascii="Times New Roman" w:hAnsi="Times New Roman" w:cs="Times New Roman"/>
              <w:b/>
              <w:bCs/>
              <w:noProof/>
              <w:sz w:val="24"/>
              <w:szCs w:val="24"/>
            </w:rPr>
            <w:fldChar w:fldCharType="end"/>
          </w:r>
        </w:p>
      </w:sdtContent>
    </w:sdt>
    <w:p w14:paraId="2AFEF097" w14:textId="11608AEE" w:rsidR="00D40712" w:rsidRDefault="008C437F" w:rsidP="000B6A5D">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03" w14:textId="77777777" w:rsidR="00D40712" w:rsidRDefault="008C437F" w:rsidP="000B6A5D">
      <w:pPr>
        <w:pStyle w:val="Heading1"/>
      </w:pPr>
      <w:bookmarkStart w:id="0" w:name="_Toc132698484"/>
      <w:r>
        <w:lastRenderedPageBreak/>
        <w:t>Introduction</w:t>
      </w:r>
      <w:bookmarkEnd w:id="0"/>
      <w:r>
        <w:t xml:space="preserve"> </w:t>
      </w:r>
    </w:p>
    <w:p w14:paraId="00000004"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Criminal omission revolves around a theory which signifies failure for performing a legal duty in a scenario when the competency is of replacing the commission in order to define the situation of harm being done. </w:t>
      </w:r>
    </w:p>
    <w:p w14:paraId="00000006" w14:textId="303C9915" w:rsidR="00D40712" w:rsidRPr="000B6A5D"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would throw light on the major </w:t>
      </w:r>
      <w:r>
        <w:rPr>
          <w:rFonts w:ascii="Times New Roman" w:eastAsia="Times New Roman" w:hAnsi="Times New Roman" w:cs="Times New Roman"/>
          <w:sz w:val="24"/>
          <w:szCs w:val="24"/>
        </w:rPr>
        <w:t>aspects of criminal law and the ways in which those could be mitigated. Initially, it throws light on the part of a crime which is related to becoming a crime. Further, there would be a discussion to understand the action of general duty in criminal law. T</w:t>
      </w:r>
      <w:r>
        <w:rPr>
          <w:rFonts w:ascii="Times New Roman" w:eastAsia="Times New Roman" w:hAnsi="Times New Roman" w:cs="Times New Roman"/>
          <w:sz w:val="24"/>
          <w:szCs w:val="24"/>
        </w:rPr>
        <w:t>he report is meant to throw light on the necessity for committing a crime by omission, along with the instances of the growth of liability. It will pave a way for the understanding of a general duty to act as well as its advantages and disadvantages. Final</w:t>
      </w:r>
      <w:r>
        <w:rPr>
          <w:rFonts w:ascii="Times New Roman" w:eastAsia="Times New Roman" w:hAnsi="Times New Roman" w:cs="Times New Roman"/>
          <w:sz w:val="24"/>
          <w:szCs w:val="24"/>
        </w:rPr>
        <w:t xml:space="preserve">ly, there would be an insight into the scope for future developments in criminal law. </w:t>
      </w:r>
    </w:p>
    <w:p w14:paraId="00000007" w14:textId="77777777" w:rsidR="00D40712" w:rsidRDefault="008C437F" w:rsidP="000B6A5D">
      <w:pPr>
        <w:pStyle w:val="Heading1"/>
      </w:pPr>
      <w:bookmarkStart w:id="1" w:name="_Toc132698485"/>
      <w:r>
        <w:t>Failure to act and its relation with a part of the crime</w:t>
      </w:r>
      <w:bookmarkEnd w:id="1"/>
      <w:r>
        <w:t xml:space="preserve"> </w:t>
      </w:r>
    </w:p>
    <w:p w14:paraId="00000009" w14:textId="4A698864"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0B6A5D">
        <w:rPr>
          <w:rFonts w:ascii="Times New Roman" w:eastAsia="Times New Roman" w:hAnsi="Times New Roman" w:cs="Times New Roman"/>
          <w:sz w:val="24"/>
          <w:szCs w:val="24"/>
        </w:rPr>
        <w:t xml:space="preserve">failures to act with any kind of individual cases are </w:t>
      </w:r>
      <w:r>
        <w:rPr>
          <w:rFonts w:ascii="Times New Roman" w:eastAsia="Times New Roman" w:hAnsi="Times New Roman" w:cs="Times New Roman"/>
          <w:sz w:val="24"/>
          <w:szCs w:val="24"/>
        </w:rPr>
        <w:t>where they have responsibilities to interact and repo</w:t>
      </w:r>
      <w:r>
        <w:rPr>
          <w:rFonts w:ascii="Times New Roman" w:eastAsia="Times New Roman" w:hAnsi="Times New Roman" w:cs="Times New Roman"/>
          <w:sz w:val="24"/>
          <w:szCs w:val="24"/>
        </w:rPr>
        <w:t xml:space="preserve">rt any sort of illegal activities. As opined by </w:t>
      </w:r>
      <w:r>
        <w:rPr>
          <w:rFonts w:ascii="Times New Roman" w:eastAsia="Times New Roman" w:hAnsi="Times New Roman" w:cs="Times New Roman"/>
          <w:color w:val="222222"/>
          <w:sz w:val="24"/>
          <w:szCs w:val="24"/>
          <w:highlight w:val="white"/>
        </w:rPr>
        <w:t xml:space="preserve">Farrell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(2019), </w:t>
      </w:r>
      <w:r>
        <w:rPr>
          <w:rFonts w:ascii="Times New Roman" w:eastAsia="Times New Roman" w:hAnsi="Times New Roman" w:cs="Times New Roman"/>
          <w:sz w:val="24"/>
          <w:szCs w:val="24"/>
        </w:rPr>
        <w:t>there have been many studies that have demonstrated that there have been ample incidents when crime was witnessed. Besides, it is also true that there is someone or other apart from the</w:t>
      </w:r>
      <w:r>
        <w:rPr>
          <w:rFonts w:ascii="Times New Roman" w:eastAsia="Times New Roman" w:hAnsi="Times New Roman" w:cs="Times New Roman"/>
          <w:sz w:val="24"/>
          <w:szCs w:val="24"/>
        </w:rPr>
        <w:t xml:space="preserve"> main culprit who would know about the crime that is about to be committed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However, even the stakeholders like policies or someone related to the victim's family are unable to take proper actions.</w:t>
      </w:r>
    </w:p>
    <w:p w14:paraId="0000000B" w14:textId="4AB5A735"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Failure to act could be understood as a</w:t>
      </w:r>
      <w:r>
        <w:rPr>
          <w:rFonts w:ascii="Times New Roman" w:eastAsia="Times New Roman" w:hAnsi="Times New Roman" w:cs="Times New Roman"/>
          <w:sz w:val="24"/>
          <w:szCs w:val="24"/>
        </w:rPr>
        <w:t xml:space="preserve"> form of criminal liability, which is generally known as omission. It usually abides by the legal duties to act but it fails to have the potential desired outcome of harming and injury towards any other person. These are inclusive of failing to report a cr</w:t>
      </w:r>
      <w:r>
        <w:rPr>
          <w:rFonts w:ascii="Times New Roman" w:eastAsia="Times New Roman" w:hAnsi="Times New Roman" w:cs="Times New Roman"/>
          <w:sz w:val="24"/>
          <w:szCs w:val="24"/>
        </w:rPr>
        <w:t xml:space="preserve">ime along with ignorance in achieving the necessary safety and understanding for a dependent </w:t>
      </w:r>
      <w:r w:rsidR="00703EC4">
        <w:rPr>
          <w:rFonts w:ascii="Times New Roman" w:eastAsia="Times New Roman" w:hAnsi="Times New Roman" w:cs="Times New Roman"/>
          <w:sz w:val="24"/>
          <w:szCs w:val="24"/>
        </w:rPr>
        <w:t>individual (</w:t>
      </w:r>
      <w:r>
        <w:rPr>
          <w:rFonts w:ascii="Times New Roman" w:eastAsia="Times New Roman" w:hAnsi="Times New Roman" w:cs="Times New Roman"/>
          <w:color w:val="222222"/>
          <w:sz w:val="24"/>
          <w:szCs w:val="24"/>
          <w:highlight w:val="white"/>
        </w:rPr>
        <w:t xml:space="preserve">Farrell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As a result of which, they become a part of crime directly or indirectly which might cause greater harm to an individual at a broader level. </w:t>
      </w:r>
    </w:p>
    <w:p w14:paraId="0000000D" w14:textId="6C28A048" w:rsidR="00D40712" w:rsidRPr="000B6A5D"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has put forward that failure to act is indeed a component of criminal behaviour. It is regarded that t</w:t>
      </w:r>
      <w:r>
        <w:rPr>
          <w:rFonts w:ascii="Times New Roman" w:eastAsia="Times New Roman" w:hAnsi="Times New Roman" w:cs="Times New Roman"/>
          <w:sz w:val="24"/>
          <w:szCs w:val="24"/>
        </w:rPr>
        <w:t>here are cases when a person has a legal obligation for taking effective initiatives but they do not step up. In the other words in legal aspects, they have stated it as an omission. It is important to understand by such individuals that their act of failu</w:t>
      </w:r>
      <w:r>
        <w:rPr>
          <w:rFonts w:ascii="Times New Roman" w:eastAsia="Times New Roman" w:hAnsi="Times New Roman" w:cs="Times New Roman"/>
          <w:sz w:val="24"/>
          <w:szCs w:val="24"/>
        </w:rPr>
        <w:t xml:space="preserve">re would be highly detrimental to another person as well as society at holistic levels. Therefore, failure to act is also a part of the crime, if at least not a particular </w:t>
      </w:r>
      <w:proofErr w:type="gramStart"/>
      <w:r>
        <w:rPr>
          <w:rFonts w:ascii="Times New Roman" w:eastAsia="Times New Roman" w:hAnsi="Times New Roman" w:cs="Times New Roman"/>
          <w:sz w:val="24"/>
          <w:szCs w:val="24"/>
        </w:rPr>
        <w:t>crime in itself</w:t>
      </w:r>
      <w:proofErr w:type="gramEnd"/>
      <w:r>
        <w:rPr>
          <w:rFonts w:ascii="Times New Roman" w:eastAsia="Times New Roman" w:hAnsi="Times New Roman" w:cs="Times New Roman"/>
          <w:sz w:val="24"/>
          <w:szCs w:val="24"/>
        </w:rPr>
        <w:t xml:space="preserve">. </w:t>
      </w:r>
    </w:p>
    <w:p w14:paraId="0000000E" w14:textId="77777777" w:rsidR="00D40712" w:rsidRDefault="008C437F" w:rsidP="000B6A5D">
      <w:pPr>
        <w:pStyle w:val="Heading1"/>
      </w:pPr>
      <w:bookmarkStart w:id="2" w:name="_Toc132698486"/>
      <w:r>
        <w:lastRenderedPageBreak/>
        <w:t>General duty for acting in criminal law</w:t>
      </w:r>
      <w:bookmarkEnd w:id="2"/>
      <w:r>
        <w:t xml:space="preserve"> </w:t>
      </w:r>
    </w:p>
    <w:p w14:paraId="0000000F"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duty of actin</w:t>
      </w:r>
      <w:r>
        <w:rPr>
          <w:rFonts w:ascii="Times New Roman" w:eastAsia="Times New Roman" w:hAnsi="Times New Roman" w:cs="Times New Roman"/>
          <w:sz w:val="24"/>
          <w:szCs w:val="24"/>
        </w:rPr>
        <w:t xml:space="preserve">g in criminal law has its main objective and goal to ensure that justice is served in the right manner. As opined by </w:t>
      </w:r>
      <w:proofErr w:type="spellStart"/>
      <w:r>
        <w:rPr>
          <w:rFonts w:ascii="Times New Roman" w:eastAsia="Times New Roman" w:hAnsi="Times New Roman" w:cs="Times New Roman"/>
          <w:color w:val="222222"/>
          <w:sz w:val="24"/>
          <w:szCs w:val="24"/>
          <w:highlight w:val="white"/>
        </w:rPr>
        <w:t>Završnik</w:t>
      </w:r>
      <w:proofErr w:type="spellEnd"/>
      <w:r>
        <w:rPr>
          <w:rFonts w:ascii="Times New Roman" w:eastAsia="Times New Roman" w:hAnsi="Times New Roman" w:cs="Times New Roman"/>
          <w:color w:val="222222"/>
          <w:sz w:val="24"/>
          <w:szCs w:val="24"/>
          <w:highlight w:val="white"/>
        </w:rPr>
        <w:t xml:space="preserve"> (2020), </w:t>
      </w:r>
      <w:r>
        <w:rPr>
          <w:rFonts w:ascii="Times New Roman" w:eastAsia="Times New Roman" w:hAnsi="Times New Roman" w:cs="Times New Roman"/>
          <w:sz w:val="24"/>
          <w:szCs w:val="24"/>
        </w:rPr>
        <w:t>this notion has also uplifted the rights of the culprits as per the coherence with human rights. This is a duty which need</w:t>
      </w:r>
      <w:r>
        <w:rPr>
          <w:rFonts w:ascii="Times New Roman" w:eastAsia="Times New Roman" w:hAnsi="Times New Roman" w:cs="Times New Roman"/>
          <w:sz w:val="24"/>
          <w:szCs w:val="24"/>
        </w:rPr>
        <w:t xml:space="preserve">s a complete comprehension of criminal law. It has also been useful in plotting the difficult proceedings that are pertaining to the legal dimensions. </w:t>
      </w:r>
    </w:p>
    <w:p w14:paraId="00000010"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observed that the General duty plays a remarkable role in criminal law as it follows the intention</w:t>
      </w:r>
      <w:r>
        <w:rPr>
          <w:rFonts w:ascii="Times New Roman" w:eastAsia="Times New Roman" w:hAnsi="Times New Roman" w:cs="Times New Roman"/>
          <w:sz w:val="24"/>
          <w:szCs w:val="24"/>
        </w:rPr>
        <w:t xml:space="preserve"> of the overall knowledge base of the outcomes of one's action. It is extremely vital in </w:t>
      </w:r>
      <w:proofErr w:type="gramStart"/>
      <w:r>
        <w:rPr>
          <w:rFonts w:ascii="Times New Roman" w:eastAsia="Times New Roman" w:hAnsi="Times New Roman" w:cs="Times New Roman"/>
          <w:sz w:val="24"/>
          <w:szCs w:val="24"/>
        </w:rPr>
        <w:t>taking action</w:t>
      </w:r>
      <w:proofErr w:type="gramEnd"/>
      <w:r>
        <w:rPr>
          <w:rFonts w:ascii="Times New Roman" w:eastAsia="Times New Roman" w:hAnsi="Times New Roman" w:cs="Times New Roman"/>
          <w:sz w:val="24"/>
          <w:szCs w:val="24"/>
        </w:rPr>
        <w:t xml:space="preserve"> against those who have been found to be a part of a crime in any manner whether by an attempt to commit the same or knowing about it beforehand (</w:t>
      </w:r>
      <w:proofErr w:type="spellStart"/>
      <w:r>
        <w:rPr>
          <w:rFonts w:ascii="Times New Roman" w:eastAsia="Times New Roman" w:hAnsi="Times New Roman" w:cs="Times New Roman"/>
          <w:color w:val="222222"/>
          <w:sz w:val="24"/>
          <w:szCs w:val="24"/>
          <w:highlight w:val="white"/>
        </w:rPr>
        <w:t>Završnik</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The General duty would give emphasis on the procedures of law which are an investigation of the crime, collecting evidence, taking offenders in custody, and prosecuting offenders as well as it believes those who have been caught due to the misconc</w:t>
      </w:r>
      <w:r>
        <w:rPr>
          <w:rFonts w:ascii="Times New Roman" w:eastAsia="Times New Roman" w:hAnsi="Times New Roman" w:cs="Times New Roman"/>
          <w:sz w:val="24"/>
          <w:szCs w:val="24"/>
        </w:rPr>
        <w:t xml:space="preserve">eption of being accused, should be relieved with respect and dignity. </w:t>
      </w:r>
    </w:p>
    <w:p w14:paraId="00000011"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similar instances found in the case of Miller, 1983 which has excellently established actus reus. As mentioned by </w:t>
      </w:r>
      <w:r>
        <w:rPr>
          <w:rFonts w:ascii="Times New Roman" w:eastAsia="Times New Roman" w:hAnsi="Times New Roman" w:cs="Times New Roman"/>
          <w:color w:val="222222"/>
          <w:sz w:val="24"/>
          <w:szCs w:val="24"/>
          <w:highlight w:val="white"/>
        </w:rPr>
        <w:t xml:space="preserve">Baker (2020), </w:t>
      </w:r>
      <w:r>
        <w:rPr>
          <w:rFonts w:ascii="Times New Roman" w:eastAsia="Times New Roman" w:hAnsi="Times New Roman" w:cs="Times New Roman"/>
          <w:sz w:val="24"/>
          <w:szCs w:val="24"/>
        </w:rPr>
        <w:t>Miller was drunk and was sleeping with a lit ci</w:t>
      </w:r>
      <w:r>
        <w:rPr>
          <w:rFonts w:ascii="Times New Roman" w:eastAsia="Times New Roman" w:hAnsi="Times New Roman" w:cs="Times New Roman"/>
          <w:sz w:val="24"/>
          <w:szCs w:val="24"/>
        </w:rPr>
        <w:t>garette that gradually turned into a fire. The defendant despite being awake and aware did not take any proper steps for extinguishing the fire. This resulted in massive deterioration of the house and caused them a loss of about 800 euros. Nevertheless, th</w:t>
      </w:r>
      <w:r>
        <w:rPr>
          <w:rFonts w:ascii="Times New Roman" w:eastAsia="Times New Roman" w:hAnsi="Times New Roman" w:cs="Times New Roman"/>
          <w:sz w:val="24"/>
          <w:szCs w:val="24"/>
        </w:rPr>
        <w:t xml:space="preserve">e defendant was charged with arson for compensation. </w:t>
      </w:r>
    </w:p>
    <w:p w14:paraId="00000012" w14:textId="77777777" w:rsidR="00D40712" w:rsidRDefault="008C437F" w:rsidP="000B6A5D">
      <w:pPr>
        <w:pStyle w:val="Heading1"/>
      </w:pPr>
      <w:bookmarkStart w:id="3" w:name="_Toc132698487"/>
      <w:r>
        <w:t>Requirements of a crime to be committed by omission</w:t>
      </w:r>
      <w:bookmarkEnd w:id="3"/>
      <w:r>
        <w:t xml:space="preserve"> </w:t>
      </w:r>
    </w:p>
    <w:p w14:paraId="00000013"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certain requirements of a crime which would put it into a category for committed by omission. As stated by </w:t>
      </w:r>
      <w:r>
        <w:rPr>
          <w:rFonts w:ascii="Times New Roman" w:eastAsia="Times New Roman" w:hAnsi="Times New Roman" w:cs="Times New Roman"/>
          <w:color w:val="222222"/>
          <w:sz w:val="24"/>
          <w:szCs w:val="24"/>
          <w:highlight w:val="white"/>
        </w:rPr>
        <w:t xml:space="preserve">Ambos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r>
        <w:rPr>
          <w:rFonts w:ascii="Times New Roman" w:eastAsia="Times New Roman" w:hAnsi="Times New Roman" w:cs="Times New Roman"/>
          <w:sz w:val="24"/>
          <w:szCs w:val="24"/>
        </w:rPr>
        <w:t>it signifie</w:t>
      </w:r>
      <w:r>
        <w:rPr>
          <w:rFonts w:ascii="Times New Roman" w:eastAsia="Times New Roman" w:hAnsi="Times New Roman" w:cs="Times New Roman"/>
          <w:sz w:val="24"/>
          <w:szCs w:val="24"/>
        </w:rPr>
        <w:t>s there should be a legal duty upon a person which would be important for them to act accordingly. This is rendered by failing to fulfil the duty potentially. The duties pertaining to legal dimensions could arise from a contractual obligation, the formatio</w:t>
      </w:r>
      <w:r>
        <w:rPr>
          <w:rFonts w:ascii="Times New Roman" w:eastAsia="Times New Roman" w:hAnsi="Times New Roman" w:cs="Times New Roman"/>
          <w:sz w:val="24"/>
          <w:szCs w:val="24"/>
        </w:rPr>
        <w:t>n of risky circumstances as well as a special relation. This kind of activity could have transpired, which in a way would turn the omission to generate a foundation for criminal liability. It could be understood by postulated stages that one would initiall</w:t>
      </w:r>
      <w:r>
        <w:rPr>
          <w:rFonts w:ascii="Times New Roman" w:eastAsia="Times New Roman" w:hAnsi="Times New Roman" w:cs="Times New Roman"/>
          <w:sz w:val="24"/>
          <w:szCs w:val="24"/>
        </w:rPr>
        <w:t xml:space="preserve">y have a duty to perform, which would be breached. As a result of which there would be a relationship established between the breaching of duty and the consequences of the harm suffered. </w:t>
      </w:r>
    </w:p>
    <w:p w14:paraId="00000014"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type of omission case was observed in the case of </w:t>
      </w:r>
      <w:proofErr w:type="spellStart"/>
      <w:r>
        <w:rPr>
          <w:rFonts w:ascii="Times New Roman" w:eastAsia="Times New Roman" w:hAnsi="Times New Roman" w:cs="Times New Roman"/>
          <w:sz w:val="24"/>
          <w:szCs w:val="24"/>
        </w:rPr>
        <w:t>Pittwood</w:t>
      </w:r>
      <w:proofErr w:type="spellEnd"/>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1902. The defendant was an employee of a railway company operating across the track for managing the gate at a crossing level. It was noticed that the person had lifted the gate which renders the passing of a cart but he forgot to put them before his reces</w:t>
      </w:r>
      <w:r>
        <w:rPr>
          <w:rFonts w:ascii="Times New Roman" w:eastAsia="Times New Roman" w:hAnsi="Times New Roman" w:cs="Times New Roman"/>
          <w:sz w:val="24"/>
          <w:szCs w:val="24"/>
        </w:rPr>
        <w:t xml:space="preserve">s time. As a result of which a cart driver and a horse were killed due to passing by from the track by an open gate. This has been included as it was a breach of contractual duty by a person. </w:t>
      </w:r>
    </w:p>
    <w:p w14:paraId="00000015" w14:textId="77777777" w:rsidR="00D40712" w:rsidRDefault="008C437F" w:rsidP="000B6A5D">
      <w:pPr>
        <w:pStyle w:val="Heading1"/>
      </w:pPr>
      <w:bookmarkStart w:id="4" w:name="_Toc132698488"/>
      <w:r>
        <w:t>Rise of liability by omission</w:t>
      </w:r>
      <w:bookmarkEnd w:id="4"/>
      <w:r>
        <w:t xml:space="preserve"> </w:t>
      </w:r>
    </w:p>
    <w:p w14:paraId="00000016"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Criminal liability could be unde</w:t>
      </w:r>
      <w:r>
        <w:rPr>
          <w:rFonts w:ascii="Times New Roman" w:eastAsia="Times New Roman" w:hAnsi="Times New Roman" w:cs="Times New Roman"/>
          <w:sz w:val="24"/>
          <w:szCs w:val="24"/>
        </w:rPr>
        <w:t xml:space="preserve">rstood as failing to act when an accused could not perform their legal duty properly. It is generally done when they can do it proficiently but are unable to </w:t>
      </w:r>
      <w:proofErr w:type="gramStart"/>
      <w:r>
        <w:rPr>
          <w:rFonts w:ascii="Times New Roman" w:eastAsia="Times New Roman" w:hAnsi="Times New Roman" w:cs="Times New Roman"/>
          <w:sz w:val="24"/>
          <w:szCs w:val="24"/>
        </w:rPr>
        <w:t>actually perform</w:t>
      </w:r>
      <w:proofErr w:type="gramEnd"/>
      <w:r>
        <w:rPr>
          <w:rFonts w:ascii="Times New Roman" w:eastAsia="Times New Roman" w:hAnsi="Times New Roman" w:cs="Times New Roman"/>
          <w:sz w:val="24"/>
          <w:szCs w:val="24"/>
        </w:rPr>
        <w:t xml:space="preserve">. </w:t>
      </w:r>
    </w:p>
    <w:p w14:paraId="00000018" w14:textId="6D99DE4B"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Omission liability could be comprehended as the imposition for the failure of a</w:t>
      </w:r>
      <w:r>
        <w:rPr>
          <w:rFonts w:ascii="Times New Roman" w:eastAsia="Times New Roman" w:hAnsi="Times New Roman" w:cs="Times New Roman"/>
          <w:sz w:val="24"/>
          <w:szCs w:val="24"/>
        </w:rPr>
        <w:t xml:space="preserve"> certain act. In most such scenarios, the offender is not aligned with the required liability for the failure of the actions precisely. As viewed by </w:t>
      </w:r>
      <w:proofErr w:type="spellStart"/>
      <w:r>
        <w:rPr>
          <w:rFonts w:ascii="Times New Roman" w:eastAsia="Times New Roman" w:hAnsi="Times New Roman" w:cs="Times New Roman"/>
          <w:color w:val="222222"/>
          <w:sz w:val="24"/>
          <w:szCs w:val="24"/>
          <w:highlight w:val="white"/>
        </w:rPr>
        <w:t>Stahn</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rPr>
        <w:t>the rise of liability in the criminal offence would only take place when an act is lawfully f</w:t>
      </w:r>
      <w:r>
        <w:rPr>
          <w:rFonts w:ascii="Times New Roman" w:eastAsia="Times New Roman" w:hAnsi="Times New Roman" w:cs="Times New Roman"/>
          <w:sz w:val="24"/>
          <w:szCs w:val="24"/>
        </w:rPr>
        <w:t xml:space="preserve">orbidden but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done at the voluntary level. Such kinds of acts done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volunteering are generally subjected to extra offences considerably. </w:t>
      </w:r>
    </w:p>
    <w:p w14:paraId="00000019" w14:textId="77777777" w:rsidR="00D40712" w:rsidRDefault="008C437F" w:rsidP="000B6A5D">
      <w:pPr>
        <w:pStyle w:val="Heading1"/>
      </w:pPr>
      <w:bookmarkStart w:id="5" w:name="_Toc132698489"/>
      <w:r>
        <w:t>The necessity of General duty to act</w:t>
      </w:r>
      <w:bookmarkEnd w:id="5"/>
      <w:r>
        <w:t xml:space="preserve"> </w:t>
      </w:r>
    </w:p>
    <w:p w14:paraId="0000001A" w14:textId="5214A28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duty to act is required to assurin</w:t>
      </w:r>
      <w:r>
        <w:rPr>
          <w:rFonts w:ascii="Times New Roman" w:eastAsia="Times New Roman" w:hAnsi="Times New Roman" w:cs="Times New Roman"/>
          <w:sz w:val="24"/>
          <w:szCs w:val="24"/>
        </w:rPr>
        <w:t xml:space="preserve">g that the individual should have the consciousness to take their own decisions. They are obliged to play a responsible role in the lives of others. As stated by </w:t>
      </w:r>
      <w:proofErr w:type="spellStart"/>
      <w:r>
        <w:rPr>
          <w:rFonts w:ascii="Times New Roman" w:eastAsia="Times New Roman" w:hAnsi="Times New Roman" w:cs="Times New Roman"/>
          <w:color w:val="222222"/>
          <w:sz w:val="24"/>
          <w:szCs w:val="24"/>
          <w:highlight w:val="white"/>
        </w:rPr>
        <w:t>Simester</w:t>
      </w:r>
      <w:proofErr w:type="spellEnd"/>
      <w:r>
        <w:rPr>
          <w:rFonts w:ascii="Times New Roman" w:eastAsia="Times New Roman" w:hAnsi="Times New Roman" w:cs="Times New Roman"/>
          <w:color w:val="222222"/>
          <w:sz w:val="24"/>
          <w:szCs w:val="24"/>
          <w:highlight w:val="white"/>
        </w:rPr>
        <w:t xml:space="preserve"> (2021), </w:t>
      </w:r>
      <w:r>
        <w:rPr>
          <w:rFonts w:ascii="Times New Roman" w:eastAsia="Times New Roman" w:hAnsi="Times New Roman" w:cs="Times New Roman"/>
          <w:sz w:val="24"/>
          <w:szCs w:val="24"/>
        </w:rPr>
        <w:t>this has encouraged a sense of belonging and collectivism in a community whic</w:t>
      </w:r>
      <w:r>
        <w:rPr>
          <w:rFonts w:ascii="Times New Roman" w:eastAsia="Times New Roman" w:hAnsi="Times New Roman" w:cs="Times New Roman"/>
          <w:sz w:val="24"/>
          <w:szCs w:val="24"/>
        </w:rPr>
        <w:t xml:space="preserve">h would boost them to inculcate interest towards the </w:t>
      </w:r>
      <w:proofErr w:type="gramStart"/>
      <w:r>
        <w:rPr>
          <w:rFonts w:ascii="Times New Roman" w:eastAsia="Times New Roman" w:hAnsi="Times New Roman" w:cs="Times New Roman"/>
          <w:sz w:val="24"/>
          <w:szCs w:val="24"/>
        </w:rPr>
        <w:t>society as a whole</w:t>
      </w:r>
      <w:proofErr w:type="gramEnd"/>
      <w:r>
        <w:rPr>
          <w:rFonts w:ascii="Times New Roman" w:eastAsia="Times New Roman" w:hAnsi="Times New Roman" w:cs="Times New Roman"/>
          <w:sz w:val="24"/>
          <w:szCs w:val="24"/>
        </w:rPr>
        <w:t xml:space="preserve">. There is an application for the defence </w:t>
      </w:r>
      <w:r w:rsidR="000B6A5D">
        <w:rPr>
          <w:rFonts w:ascii="Times New Roman" w:eastAsia="Times New Roman" w:hAnsi="Times New Roman" w:cs="Times New Roman"/>
          <w:sz w:val="24"/>
          <w:szCs w:val="24"/>
        </w:rPr>
        <w:t>of necessity</w:t>
      </w:r>
      <w:r>
        <w:rPr>
          <w:rFonts w:ascii="Times New Roman" w:eastAsia="Times New Roman" w:hAnsi="Times New Roman" w:cs="Times New Roman"/>
          <w:sz w:val="24"/>
          <w:szCs w:val="24"/>
        </w:rPr>
        <w:t xml:space="preserve"> described as a person who has worked to prevent harm from taking place. It describes the accusation of escaping criminal liability</w:t>
      </w:r>
      <w:r>
        <w:rPr>
          <w:rFonts w:ascii="Times New Roman" w:eastAsia="Times New Roman" w:hAnsi="Times New Roman" w:cs="Times New Roman"/>
          <w:sz w:val="24"/>
          <w:szCs w:val="24"/>
        </w:rPr>
        <w:t xml:space="preserve">. This has shown that they should have justifications to restrict the situation and mitigate the challenges concerned with the situations and outcomes of the criminal offence. There are other cases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this which are Hood (2004), </w:t>
      </w:r>
      <w:proofErr w:type="spellStart"/>
      <w:r>
        <w:rPr>
          <w:rFonts w:ascii="Times New Roman" w:eastAsia="Times New Roman" w:hAnsi="Times New Roman" w:cs="Times New Roman"/>
          <w:sz w:val="24"/>
          <w:szCs w:val="24"/>
        </w:rPr>
        <w:t>Instan</w:t>
      </w:r>
      <w:proofErr w:type="spellEnd"/>
      <w:r>
        <w:rPr>
          <w:rFonts w:ascii="Times New Roman" w:eastAsia="Times New Roman" w:hAnsi="Times New Roman" w:cs="Times New Roman"/>
          <w:sz w:val="24"/>
          <w:szCs w:val="24"/>
        </w:rPr>
        <w:t xml:space="preserve"> (1893), Evan</w:t>
      </w:r>
      <w:r>
        <w:rPr>
          <w:rFonts w:ascii="Times New Roman" w:eastAsia="Times New Roman" w:hAnsi="Times New Roman" w:cs="Times New Roman"/>
          <w:sz w:val="24"/>
          <w:szCs w:val="24"/>
        </w:rPr>
        <w:t xml:space="preserve">s (2009), Santana Bermudez (2004) and many others. </w:t>
      </w:r>
    </w:p>
    <w:p w14:paraId="0000001B" w14:textId="77777777" w:rsidR="00D40712" w:rsidRDefault="00D40712">
      <w:pPr>
        <w:spacing w:line="360" w:lineRule="auto"/>
        <w:jc w:val="both"/>
        <w:rPr>
          <w:rFonts w:ascii="Times New Roman" w:eastAsia="Times New Roman" w:hAnsi="Times New Roman" w:cs="Times New Roman"/>
          <w:sz w:val="24"/>
          <w:szCs w:val="24"/>
        </w:rPr>
      </w:pPr>
    </w:p>
    <w:p w14:paraId="0000001C" w14:textId="77777777" w:rsidR="00D40712" w:rsidRDefault="008C437F" w:rsidP="000B6A5D">
      <w:pPr>
        <w:pStyle w:val="Heading1"/>
      </w:pPr>
      <w:bookmarkStart w:id="6" w:name="_Toc132698490"/>
      <w:r>
        <w:lastRenderedPageBreak/>
        <w:t>Pros and cons to introduce a general duty to act</w:t>
      </w:r>
      <w:bookmarkEnd w:id="6"/>
      <w:r>
        <w:t xml:space="preserve"> </w:t>
      </w:r>
    </w:p>
    <w:p w14:paraId="0000001D" w14:textId="77777777" w:rsidR="00D40712" w:rsidRDefault="008C43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two sides to every coin, and so are the pros and cons of a general duty to act.  The major advantage of a general duty is that it incorporates a sense of social responsibility. As opined by </w:t>
      </w:r>
      <w:r>
        <w:rPr>
          <w:rFonts w:ascii="Times New Roman" w:eastAsia="Times New Roman" w:hAnsi="Times New Roman" w:cs="Times New Roman"/>
          <w:color w:val="222222"/>
          <w:sz w:val="24"/>
          <w:szCs w:val="24"/>
          <w:highlight w:val="white"/>
        </w:rPr>
        <w:t xml:space="preserve">Robinson (2019), </w:t>
      </w:r>
      <w:r>
        <w:rPr>
          <w:rFonts w:ascii="Times New Roman" w:eastAsia="Times New Roman" w:hAnsi="Times New Roman" w:cs="Times New Roman"/>
          <w:sz w:val="24"/>
          <w:szCs w:val="24"/>
        </w:rPr>
        <w:t>it has been competent in building a society which is cohesive and collaborative in nature. Another biggest pro is that it tends to reduce the chances of threats or harms related to the crime. On the other hand, there could be disadvantages as the general d</w:t>
      </w:r>
      <w:r>
        <w:rPr>
          <w:rFonts w:ascii="Times New Roman" w:eastAsia="Times New Roman" w:hAnsi="Times New Roman" w:cs="Times New Roman"/>
          <w:sz w:val="24"/>
          <w:szCs w:val="24"/>
        </w:rPr>
        <w:t xml:space="preserve">uty to act is it increases conflicts with freedom and individual rights. It would also be a bit burdensome for individuals who are incapable of fulfilling their duties by using the resources at the optimum level. </w:t>
      </w:r>
    </w:p>
    <w:p w14:paraId="0000001E" w14:textId="77777777" w:rsidR="00D40712" w:rsidRDefault="008C437F" w:rsidP="000B6A5D">
      <w:pPr>
        <w:pStyle w:val="Heading1"/>
      </w:pPr>
      <w:bookmarkStart w:id="7" w:name="_Toc132698491"/>
      <w:r>
        <w:t>Scope for the introduction in the future</w:t>
      </w:r>
      <w:bookmarkEnd w:id="7"/>
      <w:r>
        <w:t xml:space="preserve"> </w:t>
      </w:r>
    </w:p>
    <w:p w14:paraId="0000001F" w14:textId="77777777" w:rsidR="00D40712" w:rsidRDefault="008C437F">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There is a scope for future development in relation to criminal activities. It is important to digitalise all the aspects of reporting and investigating the crime for collection and analysis of the data for understanding the potentiality of the crime (</w:t>
      </w:r>
      <w:r>
        <w:rPr>
          <w:rFonts w:ascii="Times New Roman" w:eastAsia="Times New Roman" w:hAnsi="Times New Roman" w:cs="Times New Roman"/>
          <w:color w:val="222222"/>
          <w:sz w:val="24"/>
          <w:szCs w:val="24"/>
          <w:highlight w:val="white"/>
        </w:rPr>
        <w:t>Robi</w:t>
      </w:r>
      <w:r>
        <w:rPr>
          <w:rFonts w:ascii="Times New Roman" w:eastAsia="Times New Roman" w:hAnsi="Times New Roman" w:cs="Times New Roman"/>
          <w:color w:val="222222"/>
          <w:sz w:val="24"/>
          <w:szCs w:val="24"/>
          <w:highlight w:val="white"/>
        </w:rPr>
        <w:t>nson, 2019)</w:t>
      </w:r>
      <w:r>
        <w:rPr>
          <w:rFonts w:ascii="Times New Roman" w:eastAsia="Times New Roman" w:hAnsi="Times New Roman" w:cs="Times New Roman"/>
          <w:sz w:val="24"/>
          <w:szCs w:val="24"/>
        </w:rPr>
        <w:t xml:space="preserve">. This would be added with the prominence of criminal activities to become faster at pace for giving justice in the due course. </w:t>
      </w:r>
    </w:p>
    <w:p w14:paraId="00000020" w14:textId="77777777" w:rsidR="00D40712" w:rsidRDefault="008C437F" w:rsidP="000B6A5D">
      <w:pPr>
        <w:pStyle w:val="Heading1"/>
      </w:pPr>
      <w:bookmarkStart w:id="8" w:name="_Toc132698492"/>
      <w:r>
        <w:t>Conclusion</w:t>
      </w:r>
      <w:bookmarkEnd w:id="8"/>
      <w:r>
        <w:t xml:space="preserve"> </w:t>
      </w:r>
    </w:p>
    <w:p w14:paraId="00000021" w14:textId="77777777" w:rsidR="00D40712" w:rsidRDefault="008C437F">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It could be concluded that the report would discuss deeply the aspects of omission and the general duty.</w:t>
      </w:r>
      <w:r>
        <w:rPr>
          <w:rFonts w:ascii="Times New Roman" w:eastAsia="Times New Roman" w:hAnsi="Times New Roman" w:cs="Times New Roman"/>
          <w:sz w:val="24"/>
          <w:szCs w:val="24"/>
        </w:rPr>
        <w:t xml:space="preserve"> In the beginning, the report has shown that there have been failures of acts which have become a part of crime by the negligence of others. The General duty has been observed as important to take due actions when one is aware of the doings along with the </w:t>
      </w:r>
      <w:r>
        <w:rPr>
          <w:rFonts w:ascii="Times New Roman" w:eastAsia="Times New Roman" w:hAnsi="Times New Roman" w:cs="Times New Roman"/>
          <w:sz w:val="24"/>
          <w:szCs w:val="24"/>
        </w:rPr>
        <w:t xml:space="preserve">emphasis on the legal obligation of an individual. There have been elaboration discussions on the case laws like Millar (1983) as well as </w:t>
      </w:r>
      <w:proofErr w:type="spellStart"/>
      <w:r>
        <w:rPr>
          <w:rFonts w:ascii="Times New Roman" w:eastAsia="Times New Roman" w:hAnsi="Times New Roman" w:cs="Times New Roman"/>
          <w:sz w:val="24"/>
          <w:szCs w:val="24"/>
        </w:rPr>
        <w:t>Pittwood</w:t>
      </w:r>
      <w:proofErr w:type="spellEnd"/>
      <w:r>
        <w:rPr>
          <w:rFonts w:ascii="Times New Roman" w:eastAsia="Times New Roman" w:hAnsi="Times New Roman" w:cs="Times New Roman"/>
          <w:sz w:val="24"/>
          <w:szCs w:val="24"/>
        </w:rPr>
        <w:t xml:space="preserve"> (1902) to comprehend these aspects in depth. </w:t>
      </w:r>
      <w:r>
        <w:br w:type="page"/>
      </w:r>
    </w:p>
    <w:p w14:paraId="64799568" w14:textId="3DF0EEB1" w:rsidR="000B6A5D" w:rsidRPr="000B6A5D" w:rsidRDefault="008C437F" w:rsidP="000B6A5D">
      <w:pPr>
        <w:pStyle w:val="Heading1"/>
      </w:pPr>
      <w:bookmarkStart w:id="9" w:name="_Toc132698493"/>
      <w:r>
        <w:lastRenderedPageBreak/>
        <w:t>References</w:t>
      </w:r>
      <w:bookmarkEnd w:id="9"/>
      <w:r>
        <w:t xml:space="preserve"> </w:t>
      </w:r>
    </w:p>
    <w:p w14:paraId="27659C03"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Ambos, K., Duff, A., Roberts, J., </w:t>
      </w:r>
      <w:proofErr w:type="spellStart"/>
      <w:r>
        <w:rPr>
          <w:rFonts w:ascii="Times New Roman" w:eastAsia="Times New Roman" w:hAnsi="Times New Roman" w:cs="Times New Roman"/>
          <w:color w:val="222222"/>
          <w:sz w:val="24"/>
          <w:szCs w:val="24"/>
          <w:highlight w:val="white"/>
        </w:rPr>
        <w:t>Weigend</w:t>
      </w:r>
      <w:proofErr w:type="spellEnd"/>
      <w:r>
        <w:rPr>
          <w:rFonts w:ascii="Times New Roman" w:eastAsia="Times New Roman" w:hAnsi="Times New Roman" w:cs="Times New Roman"/>
          <w:color w:val="222222"/>
          <w:sz w:val="24"/>
          <w:szCs w:val="24"/>
          <w:highlight w:val="white"/>
        </w:rPr>
        <w:t xml:space="preserve">, T. and </w:t>
      </w:r>
      <w:r>
        <w:rPr>
          <w:rFonts w:ascii="Times New Roman" w:eastAsia="Times New Roman" w:hAnsi="Times New Roman" w:cs="Times New Roman"/>
          <w:color w:val="222222"/>
          <w:sz w:val="24"/>
          <w:szCs w:val="24"/>
          <w:highlight w:val="white"/>
        </w:rPr>
        <w:t xml:space="preserve">Heinze, A. eds., (2020). </w:t>
      </w:r>
      <w:r>
        <w:rPr>
          <w:rFonts w:ascii="Times New Roman" w:eastAsia="Times New Roman" w:hAnsi="Times New Roman" w:cs="Times New Roman"/>
          <w:i/>
          <w:color w:val="222222"/>
          <w:sz w:val="24"/>
          <w:szCs w:val="24"/>
          <w:highlight w:val="white"/>
        </w:rPr>
        <w:t>Core Concepts in Criminal Law and Criminal Justice: Anglo-German Dialogues</w:t>
      </w:r>
      <w:r>
        <w:rPr>
          <w:rFonts w:ascii="Times New Roman" w:eastAsia="Times New Roman" w:hAnsi="Times New Roman" w:cs="Times New Roman"/>
          <w:color w:val="222222"/>
          <w:sz w:val="24"/>
          <w:szCs w:val="24"/>
          <w:highlight w:val="white"/>
        </w:rPr>
        <w:t xml:space="preserve"> (Vol. 1). Cambridge University Press. </w:t>
      </w:r>
    </w:p>
    <w:p w14:paraId="001EE1C8"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Baker, J.H., (2020). Criminal courts and procedure at common law 1550–1800. In </w:t>
      </w:r>
      <w:r>
        <w:rPr>
          <w:rFonts w:ascii="Times New Roman" w:eastAsia="Times New Roman" w:hAnsi="Times New Roman" w:cs="Times New Roman"/>
          <w:i/>
          <w:color w:val="222222"/>
          <w:sz w:val="24"/>
          <w:szCs w:val="24"/>
          <w:highlight w:val="white"/>
        </w:rPr>
        <w:t>Crime in England 1550–1800</w:t>
      </w:r>
      <w:r>
        <w:rPr>
          <w:rFonts w:ascii="Times New Roman" w:eastAsia="Times New Roman" w:hAnsi="Times New Roman" w:cs="Times New Roman"/>
          <w:color w:val="222222"/>
          <w:sz w:val="24"/>
          <w:szCs w:val="24"/>
          <w:highlight w:val="white"/>
        </w:rPr>
        <w:t xml:space="preserve"> (pp. 15-48)</w:t>
      </w:r>
      <w:r>
        <w:rPr>
          <w:rFonts w:ascii="Times New Roman" w:eastAsia="Times New Roman" w:hAnsi="Times New Roman" w:cs="Times New Roman"/>
          <w:color w:val="222222"/>
          <w:sz w:val="24"/>
          <w:szCs w:val="24"/>
          <w:highlight w:val="white"/>
        </w:rPr>
        <w:t xml:space="preserve">. Routledge. </w:t>
      </w:r>
    </w:p>
    <w:p w14:paraId="3BC85C18"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Farrell, A., Dank, M., de Vries, I., </w:t>
      </w:r>
      <w:proofErr w:type="spellStart"/>
      <w:r>
        <w:rPr>
          <w:rFonts w:ascii="Times New Roman" w:eastAsia="Times New Roman" w:hAnsi="Times New Roman" w:cs="Times New Roman"/>
          <w:color w:val="222222"/>
          <w:sz w:val="24"/>
          <w:szCs w:val="24"/>
          <w:highlight w:val="white"/>
        </w:rPr>
        <w:t>Kafafian</w:t>
      </w:r>
      <w:proofErr w:type="spellEnd"/>
      <w:r>
        <w:rPr>
          <w:rFonts w:ascii="Times New Roman" w:eastAsia="Times New Roman" w:hAnsi="Times New Roman" w:cs="Times New Roman"/>
          <w:color w:val="222222"/>
          <w:sz w:val="24"/>
          <w:szCs w:val="24"/>
          <w:highlight w:val="white"/>
        </w:rPr>
        <w:t xml:space="preserve">, M., Hughes, A. and Lockwood, S., (2019). Failing victims? Challenges of the police response to human trafficking. </w:t>
      </w:r>
      <w:r>
        <w:rPr>
          <w:rFonts w:ascii="Times New Roman" w:eastAsia="Times New Roman" w:hAnsi="Times New Roman" w:cs="Times New Roman"/>
          <w:i/>
          <w:color w:val="222222"/>
          <w:sz w:val="24"/>
          <w:szCs w:val="24"/>
          <w:highlight w:val="white"/>
        </w:rPr>
        <w:t>Criminology &amp; Public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xml:space="preserve">(3), pp.649-673. </w:t>
      </w:r>
    </w:p>
    <w:p w14:paraId="1081E588"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Robinson, P.H., (2019). </w:t>
      </w:r>
      <w:r>
        <w:rPr>
          <w:rFonts w:ascii="Times New Roman" w:eastAsia="Times New Roman" w:hAnsi="Times New Roman" w:cs="Times New Roman"/>
          <w:i/>
          <w:color w:val="222222"/>
          <w:sz w:val="24"/>
          <w:szCs w:val="24"/>
          <w:highlight w:val="white"/>
        </w:rPr>
        <w:t>Justice,</w:t>
      </w:r>
      <w:r>
        <w:rPr>
          <w:rFonts w:ascii="Times New Roman" w:eastAsia="Times New Roman" w:hAnsi="Times New Roman" w:cs="Times New Roman"/>
          <w:i/>
          <w:color w:val="222222"/>
          <w:sz w:val="24"/>
          <w:szCs w:val="24"/>
          <w:highlight w:val="white"/>
        </w:rPr>
        <w:t xml:space="preserve"> liability, and blame: Community views and the criminal law</w:t>
      </w:r>
      <w:r>
        <w:rPr>
          <w:rFonts w:ascii="Times New Roman" w:eastAsia="Times New Roman" w:hAnsi="Times New Roman" w:cs="Times New Roman"/>
          <w:color w:val="222222"/>
          <w:sz w:val="24"/>
          <w:szCs w:val="24"/>
          <w:highlight w:val="white"/>
        </w:rPr>
        <w:t xml:space="preserve">. Routledge. </w:t>
      </w:r>
    </w:p>
    <w:p w14:paraId="624F47FA"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Simester</w:t>
      </w:r>
      <w:proofErr w:type="spellEnd"/>
      <w:r>
        <w:rPr>
          <w:rFonts w:ascii="Times New Roman" w:eastAsia="Times New Roman" w:hAnsi="Times New Roman" w:cs="Times New Roman"/>
          <w:color w:val="222222"/>
          <w:sz w:val="24"/>
          <w:szCs w:val="24"/>
          <w:highlight w:val="white"/>
        </w:rPr>
        <w:t xml:space="preserve">, A., (2021). </w:t>
      </w:r>
      <w:r>
        <w:rPr>
          <w:rFonts w:ascii="Times New Roman" w:eastAsia="Times New Roman" w:hAnsi="Times New Roman" w:cs="Times New Roman"/>
          <w:i/>
          <w:color w:val="222222"/>
          <w:sz w:val="24"/>
          <w:szCs w:val="24"/>
          <w:highlight w:val="white"/>
        </w:rPr>
        <w:t>Fundamentals of criminal law: responsibility, culpability, and wrongdoing</w:t>
      </w:r>
      <w:r>
        <w:rPr>
          <w:rFonts w:ascii="Times New Roman" w:eastAsia="Times New Roman" w:hAnsi="Times New Roman" w:cs="Times New Roman"/>
          <w:color w:val="222222"/>
          <w:sz w:val="24"/>
          <w:szCs w:val="24"/>
          <w:highlight w:val="white"/>
        </w:rPr>
        <w:t xml:space="preserve">. Oxford University Press, USA. </w:t>
      </w:r>
    </w:p>
    <w:p w14:paraId="16893D28"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Stahn</w:t>
      </w:r>
      <w:proofErr w:type="spellEnd"/>
      <w:r>
        <w:rPr>
          <w:rFonts w:ascii="Times New Roman" w:eastAsia="Times New Roman" w:hAnsi="Times New Roman" w:cs="Times New Roman"/>
          <w:color w:val="222222"/>
          <w:sz w:val="24"/>
          <w:szCs w:val="24"/>
          <w:highlight w:val="white"/>
        </w:rPr>
        <w:t xml:space="preserve">, C., (2019). </w:t>
      </w:r>
      <w:r>
        <w:rPr>
          <w:rFonts w:ascii="Times New Roman" w:eastAsia="Times New Roman" w:hAnsi="Times New Roman" w:cs="Times New Roman"/>
          <w:i/>
          <w:color w:val="222222"/>
          <w:sz w:val="24"/>
          <w:szCs w:val="24"/>
          <w:highlight w:val="white"/>
        </w:rPr>
        <w:t>A critical introduction to internati</w:t>
      </w:r>
      <w:r>
        <w:rPr>
          <w:rFonts w:ascii="Times New Roman" w:eastAsia="Times New Roman" w:hAnsi="Times New Roman" w:cs="Times New Roman"/>
          <w:i/>
          <w:color w:val="222222"/>
          <w:sz w:val="24"/>
          <w:szCs w:val="24"/>
          <w:highlight w:val="white"/>
        </w:rPr>
        <w:t>onal criminal law</w:t>
      </w:r>
      <w:r>
        <w:rPr>
          <w:rFonts w:ascii="Times New Roman" w:eastAsia="Times New Roman" w:hAnsi="Times New Roman" w:cs="Times New Roman"/>
          <w:color w:val="222222"/>
          <w:sz w:val="24"/>
          <w:szCs w:val="24"/>
          <w:highlight w:val="white"/>
        </w:rPr>
        <w:t xml:space="preserve">. Cambridge University Press. </w:t>
      </w:r>
    </w:p>
    <w:p w14:paraId="29FBDA42" w14:textId="77777777" w:rsidR="000B6A5D" w:rsidRDefault="008C437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Završnik</w:t>
      </w:r>
      <w:proofErr w:type="spellEnd"/>
      <w:r>
        <w:rPr>
          <w:rFonts w:ascii="Times New Roman" w:eastAsia="Times New Roman" w:hAnsi="Times New Roman" w:cs="Times New Roman"/>
          <w:color w:val="222222"/>
          <w:sz w:val="24"/>
          <w:szCs w:val="24"/>
          <w:highlight w:val="white"/>
        </w:rPr>
        <w:t xml:space="preserve">, A., (2020), March. Criminal justice, artificial intelligence systems, and human rights. In </w:t>
      </w:r>
      <w:r>
        <w:rPr>
          <w:rFonts w:ascii="Times New Roman" w:eastAsia="Times New Roman" w:hAnsi="Times New Roman" w:cs="Times New Roman"/>
          <w:i/>
          <w:color w:val="222222"/>
          <w:sz w:val="24"/>
          <w:szCs w:val="24"/>
          <w:highlight w:val="white"/>
        </w:rPr>
        <w:t>ERA Forum</w:t>
      </w:r>
      <w:r>
        <w:rPr>
          <w:rFonts w:ascii="Times New Roman" w:eastAsia="Times New Roman" w:hAnsi="Times New Roman" w:cs="Times New Roman"/>
          <w:color w:val="222222"/>
          <w:sz w:val="24"/>
          <w:szCs w:val="24"/>
          <w:highlight w:val="white"/>
        </w:rPr>
        <w:t xml:space="preserve"> (Vol. 20, No. 4, pp. 567-583). Berlin/Heidelberg: Springer Berlin Heidelberg. </w:t>
      </w:r>
    </w:p>
    <w:sectPr w:rsidR="000B6A5D" w:rsidSect="000B6A5D">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D2A1" w14:textId="77777777" w:rsidR="00E239DB" w:rsidRDefault="00E239DB">
      <w:pPr>
        <w:spacing w:line="240" w:lineRule="auto"/>
      </w:pPr>
      <w:r>
        <w:separator/>
      </w:r>
    </w:p>
  </w:endnote>
  <w:endnote w:type="continuationSeparator" w:id="0">
    <w:p w14:paraId="16B71D3A" w14:textId="77777777" w:rsidR="00E239DB" w:rsidRDefault="00E239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463580"/>
      <w:docPartObj>
        <w:docPartGallery w:val="Page Numbers (Bottom of Page)"/>
        <w:docPartUnique/>
      </w:docPartObj>
    </w:sdtPr>
    <w:sdtEndPr>
      <w:rPr>
        <w:rFonts w:ascii="Times New Roman" w:hAnsi="Times New Roman" w:cs="Times New Roman"/>
        <w:noProof/>
        <w:sz w:val="20"/>
        <w:szCs w:val="20"/>
      </w:rPr>
    </w:sdtEndPr>
    <w:sdtContent>
      <w:p w14:paraId="067723C5" w14:textId="63F49F64" w:rsidR="000B6A5D" w:rsidRPr="000B6A5D" w:rsidRDefault="008C437F">
        <w:pPr>
          <w:pStyle w:val="Footer"/>
          <w:jc w:val="right"/>
          <w:rPr>
            <w:rFonts w:ascii="Times New Roman" w:hAnsi="Times New Roman" w:cs="Times New Roman"/>
            <w:sz w:val="20"/>
            <w:szCs w:val="20"/>
          </w:rPr>
        </w:pPr>
        <w:r w:rsidRPr="000B6A5D">
          <w:rPr>
            <w:rFonts w:ascii="Times New Roman" w:hAnsi="Times New Roman" w:cs="Times New Roman"/>
            <w:sz w:val="20"/>
            <w:szCs w:val="20"/>
          </w:rPr>
          <w:fldChar w:fldCharType="begin"/>
        </w:r>
        <w:r w:rsidRPr="000B6A5D">
          <w:rPr>
            <w:rFonts w:ascii="Times New Roman" w:hAnsi="Times New Roman" w:cs="Times New Roman"/>
            <w:sz w:val="20"/>
            <w:szCs w:val="20"/>
          </w:rPr>
          <w:instrText xml:space="preserve"> PAGE   \* MERGEFORMAT </w:instrText>
        </w:r>
        <w:r w:rsidRPr="000B6A5D">
          <w:rPr>
            <w:rFonts w:ascii="Times New Roman" w:hAnsi="Times New Roman" w:cs="Times New Roman"/>
            <w:sz w:val="20"/>
            <w:szCs w:val="20"/>
          </w:rPr>
          <w:fldChar w:fldCharType="separate"/>
        </w:r>
        <w:r w:rsidR="006B0313">
          <w:rPr>
            <w:rFonts w:ascii="Times New Roman" w:hAnsi="Times New Roman" w:cs="Times New Roman"/>
            <w:noProof/>
            <w:sz w:val="20"/>
            <w:szCs w:val="20"/>
          </w:rPr>
          <w:t>1</w:t>
        </w:r>
        <w:r w:rsidRPr="000B6A5D">
          <w:rPr>
            <w:rFonts w:ascii="Times New Roman" w:hAnsi="Times New Roman" w:cs="Times New Roman"/>
            <w:noProof/>
            <w:sz w:val="20"/>
            <w:szCs w:val="20"/>
          </w:rPr>
          <w:fldChar w:fldCharType="end"/>
        </w:r>
      </w:p>
    </w:sdtContent>
  </w:sdt>
  <w:p w14:paraId="0F54AEE2" w14:textId="77777777" w:rsidR="000B6A5D" w:rsidRDefault="000B6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A341F" w14:textId="77777777" w:rsidR="00E239DB" w:rsidRDefault="00E239DB">
      <w:pPr>
        <w:spacing w:line="240" w:lineRule="auto"/>
      </w:pPr>
      <w:r>
        <w:separator/>
      </w:r>
    </w:p>
  </w:footnote>
  <w:footnote w:type="continuationSeparator" w:id="0">
    <w:p w14:paraId="378A1F1E" w14:textId="77777777" w:rsidR="00E239DB" w:rsidRDefault="00E239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712"/>
    <w:rsid w:val="000B6A5D"/>
    <w:rsid w:val="00297458"/>
    <w:rsid w:val="004F37A9"/>
    <w:rsid w:val="005A5EE2"/>
    <w:rsid w:val="006B0313"/>
    <w:rsid w:val="00703EC4"/>
    <w:rsid w:val="00D40712"/>
    <w:rsid w:val="00E239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40E69"/>
  <w15:docId w15:val="{95FEFEAC-4C73-460A-A607-93FDA547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B6A5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0B6A5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B6A5D"/>
    <w:pPr>
      <w:spacing w:after="100"/>
    </w:pPr>
  </w:style>
  <w:style w:type="character" w:styleId="Hyperlink">
    <w:name w:val="Hyperlink"/>
    <w:basedOn w:val="DefaultParagraphFont"/>
    <w:uiPriority w:val="99"/>
    <w:unhideWhenUsed/>
    <w:rsid w:val="000B6A5D"/>
    <w:rPr>
      <w:color w:val="0000FF" w:themeColor="hyperlink"/>
      <w:u w:val="single"/>
    </w:rPr>
  </w:style>
  <w:style w:type="paragraph" w:styleId="BalloonText">
    <w:name w:val="Balloon Text"/>
    <w:basedOn w:val="Normal"/>
    <w:link w:val="BalloonTextChar"/>
    <w:uiPriority w:val="99"/>
    <w:semiHidden/>
    <w:unhideWhenUsed/>
    <w:rsid w:val="000B6A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A5D"/>
    <w:rPr>
      <w:rFonts w:ascii="Tahoma" w:hAnsi="Tahoma" w:cs="Tahoma"/>
      <w:sz w:val="16"/>
      <w:szCs w:val="16"/>
    </w:rPr>
  </w:style>
  <w:style w:type="paragraph" w:styleId="Header">
    <w:name w:val="header"/>
    <w:basedOn w:val="Normal"/>
    <w:link w:val="HeaderChar"/>
    <w:uiPriority w:val="99"/>
    <w:unhideWhenUsed/>
    <w:rsid w:val="000B6A5D"/>
    <w:pPr>
      <w:tabs>
        <w:tab w:val="center" w:pos="4513"/>
        <w:tab w:val="right" w:pos="9026"/>
      </w:tabs>
      <w:spacing w:line="240" w:lineRule="auto"/>
    </w:pPr>
  </w:style>
  <w:style w:type="character" w:customStyle="1" w:styleId="HeaderChar">
    <w:name w:val="Header Char"/>
    <w:basedOn w:val="DefaultParagraphFont"/>
    <w:link w:val="Header"/>
    <w:uiPriority w:val="99"/>
    <w:rsid w:val="000B6A5D"/>
  </w:style>
  <w:style w:type="paragraph" w:styleId="Footer">
    <w:name w:val="footer"/>
    <w:basedOn w:val="Normal"/>
    <w:link w:val="FooterChar"/>
    <w:uiPriority w:val="99"/>
    <w:unhideWhenUsed/>
    <w:rsid w:val="000B6A5D"/>
    <w:pPr>
      <w:tabs>
        <w:tab w:val="center" w:pos="4513"/>
        <w:tab w:val="right" w:pos="9026"/>
      </w:tabs>
      <w:spacing w:line="240" w:lineRule="auto"/>
    </w:pPr>
  </w:style>
  <w:style w:type="character" w:customStyle="1" w:styleId="FooterChar">
    <w:name w:val="Footer Char"/>
    <w:basedOn w:val="DefaultParagraphFont"/>
    <w:link w:val="Footer"/>
    <w:uiPriority w:val="99"/>
    <w:rsid w:val="000B6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7EE36-3976-4CF2-AB0A-83D0DD50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1693</Words>
  <Characters>9655</Characters>
  <Application>Microsoft Office Word</Application>
  <DocSecurity>0</DocSecurity>
  <Lines>80</Lines>
  <Paragraphs>22</Paragraphs>
  <ScaleCrop>false</ScaleCrop>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kamilaah</cp:lastModifiedBy>
  <cp:revision>2</cp:revision>
  <dcterms:created xsi:type="dcterms:W3CDTF">2023-04-23T15:38:00Z</dcterms:created>
  <dcterms:modified xsi:type="dcterms:W3CDTF">2023-04-23T15:38:00Z</dcterms:modified>
</cp:coreProperties>
</file>