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bl>
      <w:tblPr>
        <w:tblStyle w:val="Table1"/>
        <w:tblW w:w="9350.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3398"/>
        <w:gridCol w:w="5952"/>
        <w:tblGridChange w:id="0">
          <w:tblGrid>
            <w:gridCol w:w="3398"/>
            <w:gridCol w:w="5952"/>
          </w:tblGrid>
        </w:tblGridChange>
      </w:tblGrid>
      <w:tr>
        <w:trPr>
          <w:cantSplit w:val="0"/>
          <w:tblHeader w:val="0"/>
        </w:trPr>
        <w:tc>
          <w:tcPr>
            <w:tcBorders>
              <w:top w:color="000000" w:space="0" w:sz="4" w:val="single"/>
              <w:left w:color="000000" w:space="0" w:sz="4" w:val="single"/>
              <w:bottom w:color="000000" w:space="0" w:sz="4" w:val="single"/>
              <w:right w:color="000000" w:space="0" w:sz="4" w:val="single"/>
            </w:tcBorders>
            <w:shd w:fill="acb9ca" w:val="clear"/>
          </w:tcPr>
          <w:p w:rsidR="00000000" w:rsidDel="00000000" w:rsidP="00000000" w:rsidRDefault="00000000" w:rsidRPr="00000000" w14:paraId="00000002">
            <w:pPr>
              <w:jc w:val="both"/>
              <w:rPr>
                <w:b w:val="1"/>
              </w:rPr>
            </w:pPr>
            <w:r w:rsidDel="00000000" w:rsidR="00000000" w:rsidRPr="00000000">
              <w:rPr>
                <w:b w:val="1"/>
                <w:rtl w:val="0"/>
              </w:rPr>
              <w:t xml:space="preserve">Student Name: H</w:t>
            </w:r>
          </w:p>
          <w:p w:rsidR="00000000" w:rsidDel="00000000" w:rsidP="00000000" w:rsidRDefault="00000000" w:rsidRPr="00000000" w14:paraId="00000003">
            <w:pPr>
              <w:jc w:val="both"/>
              <w:rPr>
                <w:b w:val="1"/>
              </w:rPr>
            </w:pPr>
            <w:r w:rsidDel="00000000" w:rsidR="00000000" w:rsidRPr="00000000">
              <w:rPr>
                <w:b w:val="1"/>
                <w:rtl w:val="0"/>
              </w:rPr>
              <w:t xml:space="preserve">SYEDA KHADIJA BEGUM HEMA</w:t>
            </w:r>
          </w:p>
          <w:p w:rsidR="00000000" w:rsidDel="00000000" w:rsidP="00000000" w:rsidRDefault="00000000" w:rsidRPr="00000000" w14:paraId="00000004">
            <w:pPr>
              <w:jc w:val="both"/>
              <w:rPr>
                <w:b w:val="1"/>
              </w:rPr>
            </w:pPr>
            <w:r w:rsidDel="00000000" w:rsidR="00000000" w:rsidRPr="00000000">
              <w:rPr>
                <w:b w:val="1"/>
                <w:rtl w:val="0"/>
              </w:rPr>
              <w:t xml:space="preserve">Student Number:</w:t>
            </w:r>
          </w:p>
          <w:p w:rsidR="00000000" w:rsidDel="00000000" w:rsidP="00000000" w:rsidRDefault="00000000" w:rsidRPr="00000000" w14:paraId="00000005">
            <w:pPr>
              <w:jc w:val="both"/>
              <w:rPr>
                <w:b w:val="1"/>
              </w:rPr>
            </w:pPr>
            <w:r w:rsidDel="00000000" w:rsidR="00000000" w:rsidRPr="00000000">
              <w:rPr>
                <w:b w:val="1"/>
                <w:rtl w:val="0"/>
              </w:rPr>
              <w:t xml:space="preserve">2120134</w:t>
            </w:r>
          </w:p>
        </w:tc>
        <w:tc>
          <w:tcPr>
            <w:tcBorders>
              <w:top w:color="000000" w:space="0" w:sz="4" w:val="single"/>
              <w:left w:color="000000" w:space="0" w:sz="4" w:val="single"/>
              <w:bottom w:color="000000" w:space="0" w:sz="4" w:val="single"/>
              <w:right w:color="000000" w:space="0" w:sz="4" w:val="single"/>
            </w:tcBorders>
            <w:shd w:fill="acb9ca" w:val="clear"/>
          </w:tcPr>
          <w:p w:rsidR="00000000" w:rsidDel="00000000" w:rsidP="00000000" w:rsidRDefault="00000000" w:rsidRPr="00000000" w14:paraId="00000006">
            <w:pPr>
              <w:jc w:val="both"/>
              <w:rPr>
                <w:b w:val="1"/>
              </w:rPr>
            </w:pPr>
            <w:r w:rsidDel="00000000" w:rsidR="00000000" w:rsidRPr="00000000">
              <w:rPr>
                <w:b w:val="1"/>
                <w:rtl w:val="0"/>
              </w:rPr>
              <w:t xml:space="preserve">Module: </w:t>
            </w:r>
          </w:p>
          <w:p w:rsidR="00000000" w:rsidDel="00000000" w:rsidP="00000000" w:rsidRDefault="00000000" w:rsidRPr="00000000" w14:paraId="00000007">
            <w:pPr>
              <w:jc w:val="both"/>
              <w:rPr>
                <w:b w:val="1"/>
              </w:rPr>
            </w:pPr>
            <w:r w:rsidDel="00000000" w:rsidR="00000000" w:rsidRPr="00000000">
              <w:rPr>
                <w:rtl w:val="0"/>
              </w:rPr>
            </w:r>
          </w:p>
          <w:p w:rsidR="00000000" w:rsidDel="00000000" w:rsidP="00000000" w:rsidRDefault="00000000" w:rsidRPr="00000000" w14:paraId="00000008">
            <w:pPr>
              <w:jc w:val="both"/>
              <w:rPr>
                <w:b w:val="1"/>
              </w:rPr>
            </w:pPr>
            <w:r w:rsidDel="00000000" w:rsidR="00000000" w:rsidRPr="00000000">
              <w:rPr>
                <w:b w:val="1"/>
                <w:rtl w:val="0"/>
              </w:rPr>
              <w:t xml:space="preserve">Lecturer: </w:t>
            </w:r>
          </w:p>
        </w:tc>
      </w:tr>
    </w:tbl>
    <w:p w:rsidR="00000000" w:rsidDel="00000000" w:rsidP="00000000" w:rsidRDefault="00000000" w:rsidRPr="00000000" w14:paraId="00000009">
      <w:pPr>
        <w:jc w:val="both"/>
        <w:rPr/>
      </w:pPr>
      <w:r w:rsidDel="00000000" w:rsidR="00000000" w:rsidRPr="00000000">
        <w:rPr>
          <w:rtl w:val="0"/>
        </w:rPr>
      </w:r>
    </w:p>
    <w:tbl>
      <w:tblPr>
        <w:tblStyle w:val="Table2"/>
        <w:tblW w:w="9350.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3416"/>
        <w:gridCol w:w="5934"/>
        <w:tblGridChange w:id="0">
          <w:tblGrid>
            <w:gridCol w:w="3416"/>
            <w:gridCol w:w="5934"/>
          </w:tblGrid>
        </w:tblGridChange>
      </w:tblGrid>
      <w:tr>
        <w:trPr>
          <w:cantSplit w:val="0"/>
          <w:tblHeader w:val="0"/>
        </w:trPr>
        <w:tc>
          <w:tcPr>
            <w:tcBorders>
              <w:top w:color="000000" w:space="0" w:sz="4" w:val="single"/>
              <w:left w:color="000000" w:space="0" w:sz="4" w:val="single"/>
              <w:bottom w:color="000000" w:space="0" w:sz="4" w:val="single"/>
              <w:right w:color="000000" w:space="0" w:sz="4" w:val="single"/>
            </w:tcBorders>
            <w:shd w:fill="c5e0b3" w:val="clear"/>
          </w:tcPr>
          <w:p w:rsidR="00000000" w:rsidDel="00000000" w:rsidP="00000000" w:rsidRDefault="00000000" w:rsidRPr="00000000" w14:paraId="0000000A">
            <w:pPr>
              <w:jc w:val="both"/>
              <w:rPr>
                <w:b w:val="1"/>
              </w:rPr>
            </w:pPr>
            <w:r w:rsidDel="00000000" w:rsidR="00000000" w:rsidRPr="00000000">
              <w:rPr>
                <w:b w:val="1"/>
                <w:rtl w:val="0"/>
              </w:rPr>
              <w:t xml:space="preserve">Topic of choice: </w:t>
            </w:r>
            <w:r w:rsidDel="00000000" w:rsidR="00000000" w:rsidRPr="00000000">
              <w:rPr>
                <w:rtl w:val="0"/>
              </w:rPr>
              <w:t xml:space="preserve">Allergies and Intolerances and the importance within the industry</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c5e0b3" w:val="clear"/>
          </w:tcPr>
          <w:p w:rsidR="00000000" w:rsidDel="00000000" w:rsidP="00000000" w:rsidRDefault="00000000" w:rsidRPr="00000000" w14:paraId="0000000B">
            <w:pPr>
              <w:jc w:val="both"/>
              <w:rPr>
                <w:b w:val="1"/>
              </w:rPr>
            </w:pPr>
            <w:r w:rsidDel="00000000" w:rsidR="00000000" w:rsidRPr="00000000">
              <w:rPr>
                <w:b w:val="1"/>
                <w:rtl w:val="0"/>
              </w:rPr>
              <w:t xml:space="preserve">Date Completed: </w:t>
            </w:r>
          </w:p>
          <w:p w:rsidR="00000000" w:rsidDel="00000000" w:rsidP="00000000" w:rsidRDefault="00000000" w:rsidRPr="00000000" w14:paraId="0000000C">
            <w:pPr>
              <w:jc w:val="both"/>
              <w:rPr>
                <w:b w:val="1"/>
              </w:rPr>
            </w:pPr>
            <w:r w:rsidDel="00000000" w:rsidR="00000000" w:rsidRPr="00000000">
              <w:rPr>
                <w:rtl w:val="0"/>
              </w:rPr>
            </w:r>
          </w:p>
          <w:p w:rsidR="00000000" w:rsidDel="00000000" w:rsidP="00000000" w:rsidRDefault="00000000" w:rsidRPr="00000000" w14:paraId="0000000D">
            <w:pPr>
              <w:jc w:val="both"/>
              <w:rPr>
                <w:b w:val="1"/>
              </w:rPr>
            </w:pPr>
            <w:r w:rsidDel="00000000" w:rsidR="00000000" w:rsidRPr="00000000">
              <w:rPr>
                <w:rtl w:val="0"/>
              </w:rPr>
            </w:r>
          </w:p>
        </w:tc>
      </w:tr>
      <w:tr>
        <w:trPr>
          <w:cantSplit w:val="0"/>
          <w:trHeight w:val="2494" w:hRule="atLeast"/>
          <w:tblHeader w:val="0"/>
        </w:trPr>
        <w:tc>
          <w:tcPr>
            <w:gridSpan w:val="2"/>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0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Times New Roman" w:cs="Times New Roman" w:eastAsia="Times New Roman" w:hAnsi="Times New Roman"/>
                <w:b w:val="0"/>
                <w:i w:val="0"/>
                <w:smallCaps w:val="0"/>
                <w:strike w:val="0"/>
                <w:color w:val="0e101a"/>
                <w:sz w:val="24"/>
                <w:szCs w:val="24"/>
                <w:u w:val="none"/>
                <w:shd w:fill="auto" w:val="clear"/>
                <w:vertAlign w:val="baseline"/>
              </w:rPr>
            </w:pPr>
            <w:r w:rsidDel="00000000" w:rsidR="00000000" w:rsidRPr="00000000">
              <w:rPr>
                <w:rtl w:val="0"/>
              </w:rPr>
            </w:r>
          </w:p>
          <w:p w:rsidR="00000000" w:rsidDel="00000000" w:rsidP="00000000" w:rsidRDefault="00000000" w:rsidRPr="00000000" w14:paraId="0000000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Times New Roman" w:cs="Times New Roman" w:eastAsia="Times New Roman" w:hAnsi="Times New Roman"/>
                <w:b w:val="0"/>
                <w:i w:val="0"/>
                <w:smallCaps w:val="0"/>
                <w:strike w:val="0"/>
                <w:color w:val="0e101a"/>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e101a"/>
                <w:sz w:val="24"/>
                <w:szCs w:val="24"/>
                <w:u w:val="none"/>
                <w:shd w:fill="auto" w:val="clear"/>
                <w:vertAlign w:val="baseline"/>
                <w:rtl w:val="0"/>
              </w:rPr>
              <w:t xml:space="preserve">A resistant procedure reaction when it meets particular diets is called food allergy and the implications by which allergic outcomes are activated are called allergens. Food allergies are a very common problem nowadays. Allergen-encompassing sustenance may have a precipitate reaction to some people though they are not detrimental to most civilizations. Milk and peanuts are the most known allergens. Allergic consequences can be induced often by gobbling very insignificant amounts of allergen consumption. Caution should be prepared in a nomination of food for consumption among the community with food allergies as it’s a fitness ailment to be allergic to any distinct sustenance. </w:t>
            </w:r>
          </w:p>
          <w:p w:rsidR="00000000" w:rsidDel="00000000" w:rsidP="00000000" w:rsidRDefault="00000000" w:rsidRPr="00000000" w14:paraId="0000001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Times New Roman" w:cs="Times New Roman" w:eastAsia="Times New Roman" w:hAnsi="Times New Roman"/>
                <w:b w:val="0"/>
                <w:i w:val="0"/>
                <w:smallCaps w:val="0"/>
                <w:strike w:val="0"/>
                <w:color w:val="0e101a"/>
                <w:sz w:val="24"/>
                <w:szCs w:val="24"/>
                <w:u w:val="none"/>
                <w:shd w:fill="auto" w:val="clear"/>
                <w:vertAlign w:val="baseline"/>
              </w:rPr>
            </w:pPr>
            <w:r w:rsidDel="00000000" w:rsidR="00000000" w:rsidRPr="00000000">
              <w:rPr>
                <w:rtl w:val="0"/>
              </w:rPr>
            </w:r>
          </w:p>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Times New Roman" w:cs="Times New Roman" w:eastAsia="Times New Roman" w:hAnsi="Times New Roman"/>
                <w:b w:val="0"/>
                <w:i w:val="0"/>
                <w:smallCaps w:val="0"/>
                <w:strike w:val="0"/>
                <w:color w:val="0e101a"/>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e101a"/>
                <w:sz w:val="24"/>
                <w:szCs w:val="24"/>
                <w:u w:val="none"/>
                <w:shd w:fill="auto" w:val="clear"/>
                <w:vertAlign w:val="baseline"/>
                <w:rtl w:val="0"/>
              </w:rPr>
              <w:t xml:space="preserve">Millions of civilizations get adversely implicated every year by the food they expend. Some severe indications of food-borne infections are diarrhoea, abdominal pain, fever, and vomiting encountered by people after consumption of degraded foods. The main purpose of most infections, hospitalizations, and demises are bacteria, parasites, poisons, and pests. Many restrictions considering allergen surveillance are the conclusion of the heightened number of allergy-related hospitalizations in the last decade. Constructive acknowledgments have been bestowed by the food and drink industry to this legislation. Comprising the life-threatening limitation of Anaphylaxis which can happen in rejoinder to any allergen, allergic outcomes to food can gallivant extremely from mild to hazardous. The only path to stave off food-allergic consequences is to resist allergens. A significant function is manipulated by the food and beverage industry in the conservation of buyer temperament. Limelight on heightening shopper suspicion about food allergens has been knocked by the considerable rise in food allergy events, primarily amongst youths, over the ultimate decades. The topic is now recognized as food protection. Budgeted accountability between shoppers, administration agencies, and food factories is the surveillance of food allergens. Respecting the labelling of allergens, each country may have its restrictions. Fourteen food allergens have been totalled which require to be proclaimed when they are adopted in packaged diets by EU legislation. The extent of allergen administration has been communicated by several nationwide and federal legislation. Forth provision has been finalized to be confronted by food factories. </w:t>
            </w:r>
          </w:p>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Times New Roman" w:cs="Times New Roman" w:eastAsia="Times New Roman" w:hAnsi="Times New Roman"/>
                <w:b w:val="0"/>
                <w:i w:val="0"/>
                <w:smallCaps w:val="0"/>
                <w:strike w:val="0"/>
                <w:color w:val="0e101a"/>
                <w:sz w:val="24"/>
                <w:szCs w:val="24"/>
                <w:u w:val="none"/>
                <w:shd w:fill="auto" w:val="clear"/>
                <w:vertAlign w:val="baseline"/>
              </w:rPr>
            </w:pPr>
            <w:r w:rsidDel="00000000" w:rsidR="00000000" w:rsidRPr="00000000">
              <w:rPr>
                <w:rtl w:val="0"/>
              </w:rPr>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Times New Roman" w:cs="Times New Roman" w:eastAsia="Times New Roman" w:hAnsi="Times New Roman"/>
                <w:b w:val="0"/>
                <w:i w:val="0"/>
                <w:smallCaps w:val="0"/>
                <w:strike w:val="0"/>
                <w:color w:val="0e101a"/>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e101a"/>
                <w:sz w:val="24"/>
                <w:szCs w:val="24"/>
                <w:u w:val="none"/>
                <w:shd w:fill="auto" w:val="clear"/>
                <w:vertAlign w:val="baseline"/>
                <w:rtl w:val="0"/>
              </w:rPr>
              <w:t xml:space="preserve">Being conscious of the implication of allergens and the related crises by restaurants and other food service industries is significant. As the only helpful strategy is to avert food allergens, it is significant to make buyers simply conscious of the food elements. The global health burden attributed to food sentiments proceeds to grow, and the food locality has boosted its ambition to reclaim allergy indications under supervision as an ingredient of the research, "</w:t>
            </w:r>
            <w:r w:rsidDel="00000000" w:rsidR="00000000" w:rsidRPr="00000000">
              <w:rPr>
                <w:rFonts w:ascii="Times New Roman" w:cs="Times New Roman" w:eastAsia="Times New Roman" w:hAnsi="Times New Roman"/>
                <w:b w:val="0"/>
                <w:i w:val="1"/>
                <w:smallCaps w:val="0"/>
                <w:strike w:val="0"/>
                <w:color w:val="0e101a"/>
                <w:sz w:val="24"/>
                <w:szCs w:val="24"/>
                <w:u w:val="none"/>
                <w:shd w:fill="auto" w:val="clear"/>
                <w:vertAlign w:val="baseline"/>
                <w:rtl w:val="0"/>
              </w:rPr>
              <w:t xml:space="preserve"> </w:t>
            </w:r>
            <w:r w:rsidDel="00000000" w:rsidR="00000000" w:rsidRPr="00000000">
              <w:rPr>
                <w:rFonts w:ascii="Times New Roman" w:cs="Times New Roman" w:eastAsia="Times New Roman" w:hAnsi="Times New Roman"/>
                <w:b w:val="0"/>
                <w:i w:val="0"/>
                <w:smallCaps w:val="0"/>
                <w:strike w:val="0"/>
                <w:color w:val="0e101a"/>
                <w:sz w:val="24"/>
                <w:szCs w:val="24"/>
                <w:u w:val="none"/>
                <w:shd w:fill="auto" w:val="clear"/>
                <w:vertAlign w:val="baseline"/>
                <w:rtl w:val="0"/>
              </w:rPr>
              <w:t xml:space="preserve">International Journal of Hospitality Management "(2007). Factors should be necessarily spoken of on the nourishment tag so that they can be mindful of it. Cafes must deliver practice to their laborers on how to deal with buyers with diet allergies. About 15 million occupants, or one in every 25 souls, do have a food intolerance, calculating for approximately 4% of the UK, according to a paper circulated in the issue "</w:t>
            </w:r>
            <w:r w:rsidDel="00000000" w:rsidR="00000000" w:rsidRPr="00000000">
              <w:rPr>
                <w:rFonts w:ascii="Times New Roman" w:cs="Times New Roman" w:eastAsia="Times New Roman" w:hAnsi="Times New Roman"/>
                <w:b w:val="0"/>
                <w:i w:val="1"/>
                <w:smallCaps w:val="0"/>
                <w:strike w:val="0"/>
                <w:color w:val="0e101a"/>
                <w:sz w:val="24"/>
                <w:szCs w:val="24"/>
                <w:u w:val="none"/>
                <w:shd w:fill="auto" w:val="clear"/>
                <w:vertAlign w:val="baseline"/>
                <w:rtl w:val="0"/>
              </w:rPr>
              <w:t xml:space="preserve"> </w:t>
            </w:r>
            <w:r w:rsidDel="00000000" w:rsidR="00000000" w:rsidRPr="00000000">
              <w:rPr>
                <w:rFonts w:ascii="Times New Roman" w:cs="Times New Roman" w:eastAsia="Times New Roman" w:hAnsi="Times New Roman"/>
                <w:b w:val="0"/>
                <w:i w:val="0"/>
                <w:smallCaps w:val="0"/>
                <w:strike w:val="0"/>
                <w:color w:val="0e101a"/>
                <w:sz w:val="24"/>
                <w:szCs w:val="24"/>
                <w:u w:val="none"/>
                <w:shd w:fill="auto" w:val="clear"/>
                <w:vertAlign w:val="baseline"/>
                <w:rtl w:val="0"/>
              </w:rPr>
              <w:t xml:space="preserve">International Journal of Hospitality Management " (2020). In ascertaining the disposition and climate of food they trade, enterprises must restrain food-related threats, especially allergies, according to a referenced article, "Perspectives in public health" (2019).</w:t>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Times New Roman" w:cs="Times New Roman" w:eastAsia="Times New Roman" w:hAnsi="Times New Roman"/>
                <w:b w:val="0"/>
                <w:i w:val="0"/>
                <w:smallCaps w:val="0"/>
                <w:strike w:val="0"/>
                <w:color w:val="0e101a"/>
                <w:sz w:val="24"/>
                <w:szCs w:val="24"/>
                <w:u w:val="none"/>
                <w:shd w:fill="auto" w:val="clear"/>
                <w:vertAlign w:val="baseline"/>
              </w:rPr>
            </w:pPr>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Times New Roman" w:cs="Times New Roman" w:eastAsia="Times New Roman" w:hAnsi="Times New Roman"/>
                <w:b w:val="0"/>
                <w:i w:val="0"/>
                <w:smallCaps w:val="0"/>
                <w:strike w:val="0"/>
                <w:color w:val="0e101a"/>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e101a"/>
                <w:sz w:val="24"/>
                <w:szCs w:val="24"/>
                <w:u w:val="none"/>
                <w:shd w:fill="auto" w:val="clear"/>
                <w:vertAlign w:val="baseline"/>
                <w:rtl w:val="0"/>
              </w:rPr>
              <w:t xml:space="preserve">For most regions worldwide, food safety supervision networks have become necessary legislation. From collecting natural substances to delivery of definitive merchandise, a useful allergen surveillance procedure hinges on manual segregation of allergenic foods and particles from all other properties and factors at every phase of the food presentation procedure. Organizing development rotations is the decision to distinguish allergen-containing interests which is a regular allergen logical process according to the manuscript "Food safety management: a practical guide for the food sector" (2014). Elimination of obligatory composure of allergens in food stocks should also be an aim. A top emphasis for food providers should be pedagogy and exercise of the staff on food allergen risks, administration, and transmission. If there are any allergens present in the commodity by format or by conceivable manufacturing mixture reference, it should be acknowledged clearly and reflected accurately on stamps for shopper properties. Applicable suggestions for business on allergy labelling have been expanded by the British Retail Consortium (BRC) and the Food and Drink Federation (FDF). To assist in formulating healthy food selections, patrons will be equipped with supplementary data from the recent PPDS food principles information about food goods swapped or administered in the United Kingdom in English only. </w:t>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Times New Roman" w:cs="Times New Roman" w:eastAsia="Times New Roman" w:hAnsi="Times New Roman"/>
                <w:b w:val="0"/>
                <w:i w:val="0"/>
                <w:smallCaps w:val="0"/>
                <w:strike w:val="0"/>
                <w:color w:val="0e101a"/>
                <w:sz w:val="24"/>
                <w:szCs w:val="24"/>
                <w:u w:val="none"/>
                <w:shd w:fill="auto" w:val="clear"/>
                <w:vertAlign w:val="baseline"/>
              </w:rPr>
            </w:pPr>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Times New Roman" w:cs="Times New Roman" w:eastAsia="Times New Roman" w:hAnsi="Times New Roman"/>
                <w:b w:val="0"/>
                <w:i w:val="0"/>
                <w:smallCaps w:val="0"/>
                <w:strike w:val="0"/>
                <w:color w:val="0e101a"/>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e101a"/>
                <w:sz w:val="24"/>
                <w:szCs w:val="24"/>
                <w:u w:val="none"/>
                <w:shd w:fill="auto" w:val="clear"/>
                <w:vertAlign w:val="baseline"/>
                <w:rtl w:val="0"/>
              </w:rPr>
              <w:t xml:space="preserve">No medicine for food bigotry is accessible presently. By discarding food allergens and directly interpreting as well as curbing hazardous allergies to food when they occur, crucial health suggestions can be prevented. </w:t>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Times New Roman" w:cs="Times New Roman" w:eastAsia="Times New Roman" w:hAnsi="Times New Roman"/>
                <w:b w:val="0"/>
                <w:i w:val="0"/>
                <w:smallCaps w:val="0"/>
                <w:strike w:val="0"/>
                <w:color w:val="0e101a"/>
                <w:sz w:val="24"/>
                <w:szCs w:val="24"/>
                <w:u w:val="none"/>
                <w:shd w:fill="auto" w:val="clear"/>
                <w:vertAlign w:val="baseline"/>
              </w:rPr>
            </w:pPr>
            <w:r w:rsidDel="00000000" w:rsidR="00000000" w:rsidRPr="00000000">
              <w:rPr>
                <w:rtl w:val="0"/>
              </w:rPr>
            </w:r>
          </w:p>
          <w:p w:rsidR="00000000" w:rsidDel="00000000" w:rsidP="00000000" w:rsidRDefault="00000000" w:rsidRPr="00000000" w14:paraId="00000019">
            <w:pPr>
              <w:spacing w:line="360" w:lineRule="auto"/>
              <w:jc w:val="both"/>
              <w:rPr/>
            </w:pPr>
            <w:r w:rsidDel="00000000" w:rsidR="00000000" w:rsidRPr="00000000">
              <w:rPr>
                <w:rtl w:val="0"/>
              </w:rPr>
            </w:r>
          </w:p>
        </w:tc>
      </w:tr>
    </w:tbl>
    <w:p w:rsidR="00000000" w:rsidDel="00000000" w:rsidP="00000000" w:rsidRDefault="00000000" w:rsidRPr="00000000" w14:paraId="0000001B">
      <w:pPr>
        <w:jc w:val="both"/>
        <w:rPr>
          <w:b w:val="1"/>
        </w:rPr>
      </w:pPr>
      <w:r w:rsidDel="00000000" w:rsidR="00000000" w:rsidRPr="00000000">
        <w:rPr>
          <w:rtl w:val="0"/>
        </w:rPr>
      </w:r>
    </w:p>
    <w:tbl>
      <w:tblPr>
        <w:tblStyle w:val="Table3"/>
        <w:tblW w:w="9350.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9088"/>
        <w:gridCol w:w="262"/>
        <w:tblGridChange w:id="0">
          <w:tblGrid>
            <w:gridCol w:w="9088"/>
            <w:gridCol w:w="262"/>
          </w:tblGrid>
        </w:tblGridChange>
      </w:tblGrid>
      <w:tr>
        <w:trPr>
          <w:cantSplit w:val="0"/>
          <w:tblHeader w:val="0"/>
        </w:trPr>
        <w:tc>
          <w:tcPr>
            <w:tcBorders>
              <w:top w:color="000000" w:space="0" w:sz="4" w:val="single"/>
              <w:left w:color="000000" w:space="0" w:sz="4" w:val="single"/>
              <w:bottom w:color="000000" w:space="0" w:sz="4" w:val="single"/>
              <w:right w:color="000000" w:space="0" w:sz="4" w:val="single"/>
            </w:tcBorders>
            <w:shd w:fill="c5e0b3" w:val="clear"/>
          </w:tcPr>
          <w:p w:rsidR="00000000" w:rsidDel="00000000" w:rsidP="00000000" w:rsidRDefault="00000000" w:rsidRPr="00000000" w14:paraId="0000001C">
            <w:pPr>
              <w:jc w:val="both"/>
              <w:rPr>
                <w:b w:val="1"/>
              </w:rPr>
            </w:pPr>
            <w:r w:rsidDel="00000000" w:rsidR="00000000" w:rsidRPr="00000000">
              <w:rPr>
                <w:b w:val="1"/>
                <w:rtl w:val="0"/>
              </w:rPr>
              <w:t xml:space="preserve">REFERENCE LIST </w:t>
            </w:r>
          </w:p>
        </w:tc>
        <w:tc>
          <w:tcPr>
            <w:tcBorders>
              <w:top w:color="000000" w:space="0" w:sz="4" w:val="single"/>
              <w:left w:color="000000" w:space="0" w:sz="4" w:val="single"/>
              <w:bottom w:color="000000" w:space="0" w:sz="4" w:val="single"/>
              <w:right w:color="000000" w:space="0" w:sz="4" w:val="single"/>
            </w:tcBorders>
            <w:shd w:fill="c5e0b3" w:val="clear"/>
          </w:tcPr>
          <w:p w:rsidR="00000000" w:rsidDel="00000000" w:rsidP="00000000" w:rsidRDefault="00000000" w:rsidRPr="00000000" w14:paraId="0000001D">
            <w:pPr>
              <w:jc w:val="both"/>
              <w:rPr>
                <w:b w:val="1"/>
              </w:rPr>
            </w:pPr>
            <w:r w:rsidDel="00000000" w:rsidR="00000000" w:rsidRPr="00000000">
              <w:rPr>
                <w:rtl w:val="0"/>
              </w:rPr>
            </w:r>
          </w:p>
          <w:p w:rsidR="00000000" w:rsidDel="00000000" w:rsidP="00000000" w:rsidRDefault="00000000" w:rsidRPr="00000000" w14:paraId="0000001E">
            <w:pPr>
              <w:jc w:val="both"/>
              <w:rPr>
                <w:b w:val="1"/>
              </w:rPr>
            </w:pPr>
            <w:r w:rsidDel="00000000" w:rsidR="00000000" w:rsidRPr="00000000">
              <w:rPr>
                <w:rtl w:val="0"/>
              </w:rPr>
            </w:r>
          </w:p>
        </w:tc>
      </w:tr>
      <w:tr>
        <w:trPr>
          <w:cantSplit w:val="0"/>
          <w:trHeight w:val="2494" w:hRule="atLeast"/>
          <w:tblHeader w:val="0"/>
        </w:trPr>
        <w:tc>
          <w:tcPr>
            <w:gridSpan w:val="2"/>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1F">
            <w:pPr>
              <w:jc w:val="both"/>
              <w:rPr/>
            </w:pPr>
            <w:r w:rsidDel="00000000" w:rsidR="00000000" w:rsidRPr="00000000">
              <w:rPr>
                <w:rtl w:val="0"/>
              </w:rPr>
            </w:r>
          </w:p>
          <w:p w:rsidR="00000000" w:rsidDel="00000000" w:rsidP="00000000" w:rsidRDefault="00000000" w:rsidRPr="00000000" w14:paraId="00000020">
            <w:pPr>
              <w:spacing w:line="360" w:lineRule="auto"/>
              <w:jc w:val="both"/>
              <w:rPr/>
            </w:pPr>
            <w:r w:rsidDel="00000000" w:rsidR="00000000" w:rsidRPr="00000000">
              <w:rPr>
                <w:rtl w:val="0"/>
              </w:rPr>
            </w:r>
          </w:p>
          <w:p w:rsidR="00000000" w:rsidDel="00000000" w:rsidP="00000000" w:rsidRDefault="00000000" w:rsidRPr="00000000" w14:paraId="00000021">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Gianino, J. (2020). The professional service of food and beverage.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International Journal of Hospitality Management</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2(1), p.54.</w:t>
            </w:r>
          </w:p>
          <w:p w:rsidR="00000000" w:rsidDel="00000000" w:rsidP="00000000" w:rsidRDefault="00000000" w:rsidRPr="00000000" w14:paraId="00000022">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Graham, D. (2007). Strategic questions in food and beverage management.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International Journal of Hospitality Management</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21(4), pp.465–467.</w:t>
            </w:r>
          </w:p>
          <w:p w:rsidR="00000000" w:rsidDel="00000000" w:rsidP="00000000" w:rsidRDefault="00000000" w:rsidRPr="00000000" w14:paraId="00000023">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Hillstrom, K. (2017).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Food allergies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Detroit: Lucent Books.</w:t>
            </w:r>
          </w:p>
          <w:p w:rsidR="00000000" w:rsidDel="00000000" w:rsidP="00000000" w:rsidRDefault="00000000" w:rsidRPr="00000000" w14:paraId="00000024">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Zutshi, A. (2019) How to develop well-informed and assured teams to embed food safety compliance in the UK catering and hospitality industry</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 Perspectives in public health</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pp.294-295.</w:t>
            </w:r>
          </w:p>
          <w:p w:rsidR="00000000" w:rsidDel="00000000" w:rsidP="00000000" w:rsidRDefault="00000000" w:rsidRPr="00000000" w14:paraId="00000025">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Cousins, Foskett, Pennington, Foskett, David, &amp; Pennington, Andrew. (2011)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Food and beverage management: For the hospitality, tourism and event industries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(3rd ed.). Oxford: Goodfellow.</w:t>
            </w:r>
          </w:p>
          <w:p w:rsidR="00000000" w:rsidDel="00000000" w:rsidP="00000000" w:rsidRDefault="00000000" w:rsidRPr="00000000" w14:paraId="00000026">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27">
            <w:pPr>
              <w:spacing w:line="360" w:lineRule="auto"/>
              <w:jc w:val="both"/>
              <w:rPr/>
            </w:pPr>
            <w:r w:rsidDel="00000000" w:rsidR="00000000" w:rsidRPr="00000000">
              <w:rPr>
                <w:rtl w:val="0"/>
              </w:rPr>
            </w:r>
          </w:p>
          <w:p w:rsidR="00000000" w:rsidDel="00000000" w:rsidP="00000000" w:rsidRDefault="00000000" w:rsidRPr="00000000" w14:paraId="00000028">
            <w:pPr>
              <w:spacing w:line="360" w:lineRule="auto"/>
              <w:jc w:val="both"/>
              <w:rPr/>
            </w:pPr>
            <w:r w:rsidDel="00000000" w:rsidR="00000000" w:rsidRPr="00000000">
              <w:rPr>
                <w:rtl w:val="0"/>
              </w:rPr>
            </w:r>
          </w:p>
          <w:p w:rsidR="00000000" w:rsidDel="00000000" w:rsidP="00000000" w:rsidRDefault="00000000" w:rsidRPr="00000000" w14:paraId="00000029">
            <w:pPr>
              <w:spacing w:line="360" w:lineRule="auto"/>
              <w:jc w:val="both"/>
              <w:rPr/>
            </w:pPr>
            <w:r w:rsidDel="00000000" w:rsidR="00000000" w:rsidRPr="00000000">
              <w:rPr>
                <w:rtl w:val="0"/>
              </w:rPr>
            </w:r>
          </w:p>
          <w:p w:rsidR="00000000" w:rsidDel="00000000" w:rsidP="00000000" w:rsidRDefault="00000000" w:rsidRPr="00000000" w14:paraId="0000002A">
            <w:pPr>
              <w:spacing w:line="360" w:lineRule="auto"/>
              <w:jc w:val="both"/>
              <w:rPr/>
            </w:pPr>
            <w:r w:rsidDel="00000000" w:rsidR="00000000" w:rsidRPr="00000000">
              <w:rPr>
                <w:rtl w:val="0"/>
              </w:rPr>
            </w:r>
          </w:p>
          <w:p w:rsidR="00000000" w:rsidDel="00000000" w:rsidP="00000000" w:rsidRDefault="00000000" w:rsidRPr="00000000" w14:paraId="0000002B">
            <w:pPr>
              <w:spacing w:line="360" w:lineRule="auto"/>
              <w:jc w:val="both"/>
              <w:rPr/>
            </w:pPr>
            <w:r w:rsidDel="00000000" w:rsidR="00000000" w:rsidRPr="00000000">
              <w:rPr>
                <w:rtl w:val="0"/>
              </w:rPr>
            </w:r>
          </w:p>
          <w:p w:rsidR="00000000" w:rsidDel="00000000" w:rsidP="00000000" w:rsidRDefault="00000000" w:rsidRPr="00000000" w14:paraId="0000002C">
            <w:pPr>
              <w:spacing w:line="360" w:lineRule="auto"/>
              <w:jc w:val="both"/>
              <w:rPr/>
            </w:pPr>
            <w:r w:rsidDel="00000000" w:rsidR="00000000" w:rsidRPr="00000000">
              <w:rPr>
                <w:rtl w:val="0"/>
              </w:rPr>
            </w:r>
          </w:p>
          <w:p w:rsidR="00000000" w:rsidDel="00000000" w:rsidP="00000000" w:rsidRDefault="00000000" w:rsidRPr="00000000" w14:paraId="0000002D">
            <w:pPr>
              <w:spacing w:line="360" w:lineRule="auto"/>
              <w:jc w:val="both"/>
              <w:rPr/>
            </w:pPr>
            <w:r w:rsidDel="00000000" w:rsidR="00000000" w:rsidRPr="00000000">
              <w:rPr>
                <w:rtl w:val="0"/>
              </w:rPr>
            </w:r>
          </w:p>
          <w:p w:rsidR="00000000" w:rsidDel="00000000" w:rsidP="00000000" w:rsidRDefault="00000000" w:rsidRPr="00000000" w14:paraId="0000002E">
            <w:pPr>
              <w:spacing w:line="360" w:lineRule="auto"/>
              <w:jc w:val="both"/>
              <w:rPr/>
            </w:pPr>
            <w:r w:rsidDel="00000000" w:rsidR="00000000" w:rsidRPr="00000000">
              <w:rPr>
                <w:rtl w:val="0"/>
              </w:rPr>
            </w:r>
          </w:p>
          <w:p w:rsidR="00000000" w:rsidDel="00000000" w:rsidP="00000000" w:rsidRDefault="00000000" w:rsidRPr="00000000" w14:paraId="0000002F">
            <w:pPr>
              <w:spacing w:line="360" w:lineRule="auto"/>
              <w:jc w:val="both"/>
              <w:rPr/>
            </w:pPr>
            <w:r w:rsidDel="00000000" w:rsidR="00000000" w:rsidRPr="00000000">
              <w:rPr>
                <w:rtl w:val="0"/>
              </w:rPr>
            </w:r>
          </w:p>
          <w:p w:rsidR="00000000" w:rsidDel="00000000" w:rsidP="00000000" w:rsidRDefault="00000000" w:rsidRPr="00000000" w14:paraId="00000030">
            <w:pPr>
              <w:spacing w:line="360" w:lineRule="auto"/>
              <w:jc w:val="both"/>
              <w:rPr/>
            </w:pPr>
            <w:r w:rsidDel="00000000" w:rsidR="00000000" w:rsidRPr="00000000">
              <w:rPr>
                <w:rtl w:val="0"/>
              </w:rPr>
            </w:r>
          </w:p>
          <w:p w:rsidR="00000000" w:rsidDel="00000000" w:rsidP="00000000" w:rsidRDefault="00000000" w:rsidRPr="00000000" w14:paraId="00000031">
            <w:pPr>
              <w:spacing w:line="360" w:lineRule="auto"/>
              <w:jc w:val="both"/>
              <w:rPr/>
            </w:pPr>
            <w:r w:rsidDel="00000000" w:rsidR="00000000" w:rsidRPr="00000000">
              <w:rPr>
                <w:rtl w:val="0"/>
              </w:rPr>
            </w:r>
          </w:p>
          <w:p w:rsidR="00000000" w:rsidDel="00000000" w:rsidP="00000000" w:rsidRDefault="00000000" w:rsidRPr="00000000" w14:paraId="00000032">
            <w:pPr>
              <w:spacing w:line="360" w:lineRule="auto"/>
              <w:jc w:val="both"/>
              <w:rPr/>
            </w:pPr>
            <w:r w:rsidDel="00000000" w:rsidR="00000000" w:rsidRPr="00000000">
              <w:rPr>
                <w:rtl w:val="0"/>
              </w:rPr>
            </w:r>
          </w:p>
          <w:p w:rsidR="00000000" w:rsidDel="00000000" w:rsidP="00000000" w:rsidRDefault="00000000" w:rsidRPr="00000000" w14:paraId="00000033">
            <w:pPr>
              <w:spacing w:line="360" w:lineRule="auto"/>
              <w:jc w:val="both"/>
              <w:rPr/>
            </w:pPr>
            <w:r w:rsidDel="00000000" w:rsidR="00000000" w:rsidRPr="00000000">
              <w:rPr>
                <w:rtl w:val="0"/>
              </w:rPr>
            </w:r>
          </w:p>
          <w:p w:rsidR="00000000" w:rsidDel="00000000" w:rsidP="00000000" w:rsidRDefault="00000000" w:rsidRPr="00000000" w14:paraId="00000034">
            <w:pPr>
              <w:spacing w:line="360" w:lineRule="auto"/>
              <w:jc w:val="both"/>
              <w:rPr/>
            </w:pPr>
            <w:r w:rsidDel="00000000" w:rsidR="00000000" w:rsidRPr="00000000">
              <w:rPr>
                <w:rtl w:val="0"/>
              </w:rPr>
            </w:r>
          </w:p>
          <w:p w:rsidR="00000000" w:rsidDel="00000000" w:rsidP="00000000" w:rsidRDefault="00000000" w:rsidRPr="00000000" w14:paraId="00000035">
            <w:pPr>
              <w:spacing w:line="360" w:lineRule="auto"/>
              <w:jc w:val="both"/>
              <w:rPr/>
            </w:pPr>
            <w:r w:rsidDel="00000000" w:rsidR="00000000" w:rsidRPr="00000000">
              <w:rPr>
                <w:rtl w:val="0"/>
              </w:rPr>
            </w:r>
          </w:p>
          <w:p w:rsidR="00000000" w:rsidDel="00000000" w:rsidP="00000000" w:rsidRDefault="00000000" w:rsidRPr="00000000" w14:paraId="00000036">
            <w:pPr>
              <w:spacing w:line="360" w:lineRule="auto"/>
              <w:jc w:val="both"/>
              <w:rPr/>
            </w:pPr>
            <w:r w:rsidDel="00000000" w:rsidR="00000000" w:rsidRPr="00000000">
              <w:rPr>
                <w:rtl w:val="0"/>
              </w:rPr>
            </w:r>
          </w:p>
          <w:p w:rsidR="00000000" w:rsidDel="00000000" w:rsidP="00000000" w:rsidRDefault="00000000" w:rsidRPr="00000000" w14:paraId="00000037">
            <w:pPr>
              <w:spacing w:line="360" w:lineRule="auto"/>
              <w:jc w:val="both"/>
              <w:rPr/>
            </w:pPr>
            <w:r w:rsidDel="00000000" w:rsidR="00000000" w:rsidRPr="00000000">
              <w:rPr>
                <w:rtl w:val="0"/>
              </w:rPr>
            </w:r>
          </w:p>
          <w:p w:rsidR="00000000" w:rsidDel="00000000" w:rsidP="00000000" w:rsidRDefault="00000000" w:rsidRPr="00000000" w14:paraId="00000038">
            <w:pPr>
              <w:jc w:val="both"/>
              <w:rPr/>
            </w:pPr>
            <w:r w:rsidDel="00000000" w:rsidR="00000000" w:rsidRPr="00000000">
              <w:rPr>
                <w:rtl w:val="0"/>
              </w:rPr>
            </w:r>
          </w:p>
        </w:tc>
      </w:tr>
    </w:tbl>
    <w:p w:rsidR="00000000" w:rsidDel="00000000" w:rsidP="00000000" w:rsidRDefault="00000000" w:rsidRPr="00000000" w14:paraId="0000003A">
      <w:pPr>
        <w:jc w:val="both"/>
        <w:rPr>
          <w:b w:val="1"/>
        </w:rPr>
      </w:pPr>
      <w:r w:rsidDel="00000000" w:rsidR="00000000" w:rsidRPr="00000000">
        <w:rPr>
          <w:rtl w:val="0"/>
        </w:rPr>
      </w:r>
    </w:p>
    <w:p w:rsidR="00000000" w:rsidDel="00000000" w:rsidP="00000000" w:rsidRDefault="00000000" w:rsidRPr="00000000" w14:paraId="0000003B">
      <w:pPr>
        <w:jc w:val="both"/>
        <w:rPr>
          <w:b w:val="1"/>
        </w:rPr>
      </w:pPr>
      <w:r w:rsidDel="00000000" w:rsidR="00000000" w:rsidRPr="00000000">
        <w:rPr>
          <w:rtl w:val="0"/>
        </w:rPr>
      </w:r>
    </w:p>
    <w:p w:rsidR="00000000" w:rsidDel="00000000" w:rsidP="00000000" w:rsidRDefault="00000000" w:rsidRPr="00000000" w14:paraId="0000003C">
      <w:pPr>
        <w:jc w:val="both"/>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Georgia"/>
  <w:font w:name="Arial"/>
  <w:font w:name="Times New Roman"/>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GB"/>
      </w:rPr>
    </w:rPrDefault>
    <w:pPrDefault>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before="240" w:line="259" w:lineRule="auto"/>
      <w:jc w:val="both"/>
    </w:pPr>
    <w:rPr>
      <w:b w:val="1"/>
      <w:color w:val="2f5496"/>
      <w:sz w:val="32"/>
      <w:szCs w:val="32"/>
    </w:rPr>
  </w:style>
  <w:style w:type="paragraph" w:styleId="Heading2">
    <w:name w:val="heading 2"/>
    <w:basedOn w:val="Normal"/>
    <w:next w:val="Normal"/>
    <w:pPr>
      <w:keepNext w:val="1"/>
      <w:keepLines w:val="1"/>
      <w:pageBreakBefore w:val="0"/>
      <w:spacing w:after="80" w:before="360" w:lineRule="auto"/>
    </w:pPr>
    <w:rPr>
      <w:b w:val="1"/>
      <w:sz w:val="36"/>
      <w:szCs w:val="3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Normal" w:default="1">
    <w:name w:val="Normal"/>
    <w:qFormat w:val="1"/>
    <w:rsid w:val="00BD5B28"/>
    <w:pPr>
      <w:spacing w:after="0" w:line="240" w:lineRule="auto"/>
    </w:pPr>
    <w:rPr>
      <w:rFonts w:ascii="Times New Roman" w:cs="Times New Roman" w:eastAsia="Times New Roman" w:hAnsi="Times New Roman"/>
      <w:sz w:val="24"/>
      <w:szCs w:val="24"/>
      <w:lang w:eastAsia="en-GB" w:val="en-GB"/>
    </w:rPr>
  </w:style>
  <w:style w:type="paragraph" w:styleId="Heading1">
    <w:name w:val="heading 1"/>
    <w:basedOn w:val="Normal"/>
    <w:next w:val="Normal"/>
    <w:link w:val="Heading1Char"/>
    <w:uiPriority w:val="9"/>
    <w:qFormat w:val="1"/>
    <w:rsid w:val="00C3270B"/>
    <w:pPr>
      <w:keepNext w:val="1"/>
      <w:keepLines w:val="1"/>
      <w:spacing w:before="240" w:line="259" w:lineRule="auto"/>
      <w:jc w:val="both"/>
      <w:outlineLvl w:val="0"/>
    </w:pPr>
    <w:rPr>
      <w:rFonts w:cstheme="majorBidi" w:eastAsiaTheme="majorEastAsia"/>
      <w:b w:val="1"/>
      <w:color w:val="2f5496" w:themeColor="accent1" w:themeShade="0000BF"/>
      <w:sz w:val="32"/>
      <w:szCs w:val="32"/>
      <w:lang w:eastAsia="en-US" w:val="en-US"/>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basedOn w:val="DefaultParagraphFont"/>
    <w:link w:val="Heading1"/>
    <w:uiPriority w:val="9"/>
    <w:rsid w:val="00C3270B"/>
    <w:rPr>
      <w:rFonts w:ascii="Times New Roman" w:hAnsi="Times New Roman" w:cstheme="majorBidi" w:eastAsiaTheme="majorEastAsia"/>
      <w:b w:val="1"/>
      <w:color w:val="2f5496" w:themeColor="accent1" w:themeShade="0000BF"/>
      <w:sz w:val="32"/>
      <w:szCs w:val="32"/>
    </w:rPr>
  </w:style>
  <w:style w:type="table" w:styleId="TableGrid">
    <w:name w:val="Table Grid"/>
    <w:basedOn w:val="TableNormal"/>
    <w:rsid w:val="00BD5B28"/>
    <w:pPr>
      <w:spacing w:after="0" w:line="240" w:lineRule="auto"/>
    </w:pPr>
    <w:rPr>
      <w:rFonts w:ascii="Times New Roman" w:cs="Times New Roman" w:eastAsia="Times New Roman" w:hAnsi="Times New Roman"/>
      <w:sz w:val="20"/>
      <w:szCs w:val="20"/>
      <w:lang w:eastAsia="en-GB" w:val="en-GB"/>
    </w:rPr>
    <w:tblPr>
      <w:tblInd w:w="0.0" w:type="nil"/>
      <w:tblBorders>
        <w:top w:color="auto" w:space="0" w:sz="4" w:val="single"/>
        <w:left w:color="auto" w:space="0" w:sz="4" w:val="single"/>
        <w:bottom w:color="auto" w:space="0" w:sz="4" w:val="single"/>
        <w:right w:color="auto" w:space="0" w:sz="4" w:val="single"/>
        <w:insideH w:color="auto" w:space="0" w:sz="4" w:val="single"/>
        <w:insideV w:color="auto" w:space="0" w:sz="4" w:val="single"/>
      </w:tblBorders>
    </w:tblPr>
  </w:style>
  <w:style w:type="paragraph" w:styleId="NormalWeb">
    <w:name w:val="Normal (Web)"/>
    <w:basedOn w:val="Normal"/>
    <w:uiPriority w:val="99"/>
    <w:semiHidden w:val="1"/>
    <w:unhideWhenUsed w:val="1"/>
    <w:rsid w:val="00321FE6"/>
    <w:pPr>
      <w:spacing w:after="100" w:afterAutospacing="1" w:before="100" w:beforeAutospacing="1"/>
    </w:pPr>
  </w:style>
  <w:style w:type="character" w:styleId="Emphasis">
    <w:name w:val="Emphasis"/>
    <w:basedOn w:val="DefaultParagraphFont"/>
    <w:uiPriority w:val="20"/>
    <w:qFormat w:val="1"/>
    <w:rsid w:val="009D6975"/>
    <w:rPr>
      <w:i w:val="1"/>
      <w:iCs w:val="1"/>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pPr>
      <w:spacing w:after="0" w:line="240" w:lineRule="auto"/>
    </w:pPr>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2">
    <w:basedOn w:val="TableNormal"/>
    <w:pPr>
      <w:spacing w:after="0" w:line="240" w:lineRule="auto"/>
    </w:pPr>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3">
    <w:basedOn w:val="TableNormal"/>
    <w:pPr>
      <w:spacing w:after="0" w:line="240" w:lineRule="auto"/>
    </w:pPr>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g6UtoX0haVV7TAt4/+iMxIZK9NOg==">AMUW2mXfeBs9VwbEmfoDpw8l+BE8iJIYLWiv+fe8fgaIGKo4nUyUbHgG1mxIfLHRYBYpz7fX94MBD3LqS7TPLgz1r6jdRa/5tozmf/QK29xHW3Ud/l+xC9I=</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2022-06-17T03:45:00Z</dcterms:created>
</cp:coreProperties>
</file>