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178B3" w14:textId="77777777" w:rsidR="00B04727" w:rsidRDefault="00B04727" w:rsidP="000D0188">
      <w:pPr>
        <w:spacing w:line="360" w:lineRule="auto"/>
        <w:jc w:val="both"/>
        <w:rPr>
          <w:rFonts w:ascii="Arial" w:hAnsi="Arial" w:cs="Arial"/>
          <w:b/>
          <w:bCs/>
        </w:rPr>
      </w:pPr>
    </w:p>
    <w:p w14:paraId="391F1BE5" w14:textId="0C5C6AFF" w:rsidR="005D7F30" w:rsidRDefault="00683B59" w:rsidP="00683B59">
      <w:pPr>
        <w:spacing w:line="360" w:lineRule="auto"/>
        <w:ind w:left="2880"/>
        <w:jc w:val="both"/>
        <w:rPr>
          <w:rFonts w:ascii="Arial" w:hAnsi="Arial" w:cs="Arial"/>
          <w:b/>
          <w:bCs/>
        </w:rPr>
      </w:pPr>
      <w:r>
        <w:rPr>
          <w:rFonts w:ascii="Arial" w:hAnsi="Arial" w:cs="Arial"/>
          <w:b/>
          <w:bCs/>
          <w:noProof/>
        </w:rPr>
        <w:drawing>
          <wp:inline distT="0" distB="0" distL="0" distR="0" wp14:anchorId="3FDBCBBF" wp14:editId="60109DB8">
            <wp:extent cx="2580872" cy="1314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1104" cy="1314568"/>
                    </a:xfrm>
                    <a:prstGeom prst="rect">
                      <a:avLst/>
                    </a:prstGeom>
                    <a:noFill/>
                  </pic:spPr>
                </pic:pic>
              </a:graphicData>
            </a:graphic>
          </wp:inline>
        </w:drawing>
      </w:r>
    </w:p>
    <w:p w14:paraId="797E0544" w14:textId="77777777" w:rsidR="00683B59" w:rsidRPr="007448F1" w:rsidRDefault="00683B59" w:rsidP="00683B59">
      <w:pPr>
        <w:spacing w:before="240"/>
        <w:jc w:val="center"/>
        <w:rPr>
          <w:b/>
          <w:sz w:val="32"/>
          <w:lang w:val="en-GB"/>
        </w:rPr>
      </w:pPr>
      <w:r w:rsidRPr="007448F1">
        <w:rPr>
          <w:b/>
          <w:sz w:val="32"/>
          <w:lang w:val="en-GB"/>
        </w:rPr>
        <w:t>Programme: MSc Public Health and Social Care in Practice</w:t>
      </w:r>
    </w:p>
    <w:p w14:paraId="729D032D" w14:textId="77777777" w:rsidR="00683B59" w:rsidRPr="007448F1" w:rsidRDefault="00683B59" w:rsidP="00683B59">
      <w:pPr>
        <w:spacing w:before="240"/>
        <w:jc w:val="center"/>
        <w:rPr>
          <w:b/>
          <w:sz w:val="32"/>
          <w:lang w:val="en-GB"/>
        </w:rPr>
      </w:pPr>
      <w:r>
        <w:rPr>
          <w:b/>
          <w:sz w:val="32"/>
          <w:lang w:val="en-GB"/>
        </w:rPr>
        <w:t xml:space="preserve">Module: Social Epidemiology and Public Health Development </w:t>
      </w:r>
    </w:p>
    <w:p w14:paraId="0C8FD0C2" w14:textId="77777777" w:rsidR="00683B59" w:rsidRPr="007448F1" w:rsidRDefault="00683B59" w:rsidP="00683B59">
      <w:pPr>
        <w:spacing w:before="240"/>
        <w:jc w:val="center"/>
        <w:rPr>
          <w:b/>
          <w:sz w:val="32"/>
          <w:lang w:val="en-GB"/>
        </w:rPr>
      </w:pPr>
      <w:r>
        <w:rPr>
          <w:b/>
          <w:sz w:val="32"/>
          <w:lang w:val="en-GB"/>
        </w:rPr>
        <w:t>Module code: LCHS7000</w:t>
      </w:r>
    </w:p>
    <w:p w14:paraId="04485C40" w14:textId="77777777" w:rsidR="00683B59" w:rsidRPr="007448F1" w:rsidRDefault="00683B59" w:rsidP="00683B59">
      <w:pPr>
        <w:spacing w:before="240"/>
        <w:jc w:val="center"/>
        <w:rPr>
          <w:b/>
          <w:sz w:val="32"/>
          <w:lang w:val="en-GB"/>
        </w:rPr>
      </w:pPr>
      <w:r w:rsidRPr="007448F1">
        <w:rPr>
          <w:b/>
          <w:sz w:val="32"/>
          <w:lang w:val="en-GB"/>
        </w:rPr>
        <w:t xml:space="preserve">Assignment Title: </w:t>
      </w:r>
      <w:r>
        <w:rPr>
          <w:b/>
          <w:sz w:val="32"/>
          <w:lang w:val="en-GB"/>
        </w:rPr>
        <w:t>Component 2 Analytical Report</w:t>
      </w:r>
    </w:p>
    <w:p w14:paraId="6707B872" w14:textId="395055EF" w:rsidR="00683B59" w:rsidRDefault="0096472B" w:rsidP="00683B59">
      <w:pPr>
        <w:spacing w:before="240"/>
        <w:jc w:val="center"/>
        <w:rPr>
          <w:b/>
          <w:sz w:val="32"/>
          <w:lang w:val="en-GB"/>
        </w:rPr>
      </w:pPr>
      <w:r>
        <w:rPr>
          <w:b/>
          <w:sz w:val="32"/>
          <w:lang w:val="en-GB"/>
        </w:rPr>
        <w:t>Topic</w:t>
      </w:r>
      <w:r w:rsidR="00423866">
        <w:rPr>
          <w:b/>
          <w:sz w:val="32"/>
          <w:lang w:val="en-GB"/>
        </w:rPr>
        <w:t xml:space="preserve">: </w:t>
      </w:r>
      <w:r w:rsidR="00683B59">
        <w:rPr>
          <w:b/>
          <w:sz w:val="32"/>
          <w:lang w:val="en-GB"/>
        </w:rPr>
        <w:t xml:space="preserve">Ethnicity and health inequalities </w:t>
      </w:r>
    </w:p>
    <w:p w14:paraId="7141F06B" w14:textId="002273D0" w:rsidR="00AC004E" w:rsidRPr="007448F1" w:rsidRDefault="00E7759D" w:rsidP="00683B59">
      <w:pPr>
        <w:spacing w:before="240"/>
        <w:jc w:val="center"/>
        <w:rPr>
          <w:b/>
          <w:sz w:val="32"/>
          <w:lang w:val="en-GB"/>
        </w:rPr>
      </w:pPr>
      <w:r>
        <w:rPr>
          <w:b/>
          <w:sz w:val="32"/>
          <w:lang w:val="en-GB"/>
        </w:rPr>
        <w:t xml:space="preserve">Student Name: Vatsal Jitendra </w:t>
      </w:r>
      <w:proofErr w:type="spellStart"/>
      <w:r>
        <w:rPr>
          <w:b/>
          <w:sz w:val="32"/>
          <w:lang w:val="en-GB"/>
        </w:rPr>
        <w:t>Gajre</w:t>
      </w:r>
      <w:proofErr w:type="spellEnd"/>
      <w:r>
        <w:rPr>
          <w:b/>
          <w:sz w:val="32"/>
          <w:lang w:val="en-GB"/>
        </w:rPr>
        <w:t xml:space="preserve"> </w:t>
      </w:r>
    </w:p>
    <w:p w14:paraId="2E3BEC45" w14:textId="6EC0F4CF" w:rsidR="00683B59" w:rsidRDefault="00683B59" w:rsidP="00683B59">
      <w:pPr>
        <w:spacing w:before="240"/>
        <w:jc w:val="center"/>
        <w:rPr>
          <w:b/>
          <w:sz w:val="32"/>
          <w:lang w:val="en-GB"/>
        </w:rPr>
      </w:pPr>
      <w:r w:rsidRPr="007448F1">
        <w:rPr>
          <w:b/>
          <w:sz w:val="32"/>
          <w:lang w:val="en-GB"/>
        </w:rPr>
        <w:t>Student ID:</w:t>
      </w:r>
      <w:r w:rsidR="00482CDA">
        <w:rPr>
          <w:b/>
          <w:sz w:val="32"/>
          <w:lang w:val="en-GB"/>
        </w:rPr>
        <w:t xml:space="preserve"> 2</w:t>
      </w:r>
      <w:r w:rsidR="000B2191">
        <w:rPr>
          <w:b/>
          <w:sz w:val="32"/>
          <w:lang w:val="en-GB"/>
        </w:rPr>
        <w:t>531883</w:t>
      </w:r>
    </w:p>
    <w:p w14:paraId="3EFBB58E" w14:textId="77777777" w:rsidR="0067400E" w:rsidRDefault="0067400E" w:rsidP="00683B59">
      <w:pPr>
        <w:spacing w:before="240"/>
        <w:jc w:val="center"/>
        <w:rPr>
          <w:b/>
          <w:sz w:val="32"/>
          <w:lang w:val="en-GB"/>
        </w:rPr>
      </w:pPr>
    </w:p>
    <w:p w14:paraId="57724663" w14:textId="77777777" w:rsidR="0067400E" w:rsidRDefault="0067400E" w:rsidP="00683B59">
      <w:pPr>
        <w:spacing w:before="240"/>
        <w:jc w:val="center"/>
        <w:rPr>
          <w:b/>
          <w:sz w:val="32"/>
          <w:lang w:val="en-GB"/>
        </w:rPr>
      </w:pPr>
    </w:p>
    <w:p w14:paraId="4F8FE589" w14:textId="77777777" w:rsidR="0067400E" w:rsidRDefault="0067400E" w:rsidP="00683B59">
      <w:pPr>
        <w:spacing w:before="240"/>
        <w:jc w:val="center"/>
        <w:rPr>
          <w:b/>
          <w:sz w:val="32"/>
          <w:lang w:val="en-GB"/>
        </w:rPr>
      </w:pPr>
    </w:p>
    <w:p w14:paraId="79969DC3" w14:textId="77777777" w:rsidR="0067400E" w:rsidRDefault="0067400E" w:rsidP="00683B59">
      <w:pPr>
        <w:spacing w:before="240"/>
        <w:jc w:val="center"/>
        <w:rPr>
          <w:b/>
          <w:sz w:val="32"/>
          <w:lang w:val="en-GB"/>
        </w:rPr>
      </w:pPr>
    </w:p>
    <w:p w14:paraId="0AFF8692" w14:textId="77777777" w:rsidR="0067400E" w:rsidRDefault="0067400E" w:rsidP="00683B59">
      <w:pPr>
        <w:spacing w:before="240"/>
        <w:jc w:val="center"/>
        <w:rPr>
          <w:b/>
          <w:sz w:val="32"/>
          <w:lang w:val="en-GB"/>
        </w:rPr>
      </w:pPr>
    </w:p>
    <w:p w14:paraId="5B3F333C" w14:textId="77777777" w:rsidR="0067400E" w:rsidRDefault="0067400E" w:rsidP="00683B59">
      <w:pPr>
        <w:spacing w:before="240"/>
        <w:jc w:val="center"/>
        <w:rPr>
          <w:b/>
          <w:sz w:val="32"/>
          <w:lang w:val="en-GB"/>
        </w:rPr>
      </w:pPr>
    </w:p>
    <w:p w14:paraId="0E1898CA" w14:textId="77777777" w:rsidR="0067400E" w:rsidRPr="007448F1" w:rsidRDefault="0067400E" w:rsidP="00683B59">
      <w:pPr>
        <w:spacing w:before="240"/>
        <w:jc w:val="center"/>
        <w:rPr>
          <w:b/>
          <w:sz w:val="32"/>
          <w:lang w:val="en-GB"/>
        </w:rPr>
      </w:pPr>
    </w:p>
    <w:p w14:paraId="21E594C0" w14:textId="77777777" w:rsidR="00006452" w:rsidRDefault="00853D39" w:rsidP="00006452">
      <w:pPr>
        <w:spacing w:before="240"/>
      </w:pPr>
      <w:r>
        <w:t xml:space="preserve"> </w:t>
      </w:r>
    </w:p>
    <w:p w14:paraId="296AE2B1" w14:textId="77777777" w:rsidR="00006452" w:rsidRDefault="00006452" w:rsidP="00006452">
      <w:pPr>
        <w:spacing w:before="240"/>
      </w:pPr>
    </w:p>
    <w:p w14:paraId="6AC9FB3F" w14:textId="1CE04D01" w:rsidR="00B90B49" w:rsidRDefault="00510840" w:rsidP="00006452">
      <w:pPr>
        <w:spacing w:before="240"/>
        <w:rPr>
          <w:rFonts w:ascii="Arial" w:hAnsi="Arial" w:cs="Arial"/>
          <w:b/>
          <w:bCs/>
          <w:u w:val="single"/>
        </w:rPr>
      </w:pPr>
      <w:r>
        <w:rPr>
          <w:rFonts w:ascii="Arial" w:hAnsi="Arial" w:cs="Arial"/>
          <w:b/>
          <w:bCs/>
          <w:u w:val="single"/>
        </w:rPr>
        <w:t>TABLE OF CONTENTS</w:t>
      </w:r>
    </w:p>
    <w:p w14:paraId="0FEF092D" w14:textId="4EBAA628" w:rsidR="00B90B49" w:rsidRPr="00814BCF" w:rsidRDefault="00B90B49" w:rsidP="00006452">
      <w:pPr>
        <w:spacing w:before="240"/>
        <w:rPr>
          <w:rFonts w:ascii="Arial" w:hAnsi="Arial" w:cs="Arial"/>
          <w:b/>
          <w:bCs/>
        </w:rPr>
      </w:pPr>
      <w:r w:rsidRPr="00814BCF">
        <w:rPr>
          <w:rFonts w:ascii="Arial" w:hAnsi="Arial" w:cs="Arial"/>
          <w:b/>
          <w:bCs/>
        </w:rPr>
        <w:t>TASK</w:t>
      </w:r>
      <w:r w:rsidR="00814BCF" w:rsidRPr="00814BCF">
        <w:rPr>
          <w:rFonts w:ascii="Arial" w:hAnsi="Arial" w:cs="Arial"/>
          <w:b/>
          <w:bCs/>
        </w:rPr>
        <w:t xml:space="preserve"> 1 </w:t>
      </w:r>
    </w:p>
    <w:p w14:paraId="2C5A6DFD" w14:textId="48953C76" w:rsidR="00DC398D" w:rsidRDefault="00370720" w:rsidP="00DC398D">
      <w:pPr>
        <w:spacing w:line="360" w:lineRule="auto"/>
        <w:jc w:val="both"/>
        <w:rPr>
          <w:rFonts w:ascii="Arial" w:hAnsi="Arial" w:cs="Arial"/>
          <w:b/>
          <w:bCs/>
        </w:rPr>
      </w:pPr>
      <w:r>
        <w:rPr>
          <w:rFonts w:ascii="Arial" w:hAnsi="Arial" w:cs="Arial"/>
          <w:b/>
          <w:bCs/>
        </w:rPr>
        <w:t>Ethnicity, Health ine</w:t>
      </w:r>
      <w:r w:rsidR="004D51AA">
        <w:rPr>
          <w:rFonts w:ascii="Arial" w:hAnsi="Arial" w:cs="Arial"/>
          <w:b/>
          <w:bCs/>
        </w:rPr>
        <w:t xml:space="preserve">qualities, and epidemiological development in the United Kingdom: An Analytical Report </w:t>
      </w:r>
    </w:p>
    <w:p w14:paraId="6E379AC8" w14:textId="326869A8" w:rsidR="00DC398D" w:rsidRDefault="00696C6E" w:rsidP="00DC398D">
      <w:pPr>
        <w:pStyle w:val="ListParagraph"/>
        <w:numPr>
          <w:ilvl w:val="0"/>
          <w:numId w:val="22"/>
        </w:numPr>
        <w:spacing w:line="360" w:lineRule="auto"/>
        <w:jc w:val="both"/>
        <w:rPr>
          <w:rFonts w:ascii="Arial" w:hAnsi="Arial" w:cs="Arial"/>
          <w:b/>
          <w:bCs/>
        </w:rPr>
      </w:pPr>
      <w:r>
        <w:rPr>
          <w:rFonts w:ascii="Arial" w:hAnsi="Arial" w:cs="Arial"/>
          <w:b/>
          <w:bCs/>
        </w:rPr>
        <w:t xml:space="preserve">Introduction to Ethnicity and health inequalities </w:t>
      </w:r>
    </w:p>
    <w:p w14:paraId="193D2B68" w14:textId="684A29E4" w:rsidR="00696C6E" w:rsidRDefault="00696C6E" w:rsidP="00DC398D">
      <w:pPr>
        <w:pStyle w:val="ListParagraph"/>
        <w:numPr>
          <w:ilvl w:val="0"/>
          <w:numId w:val="22"/>
        </w:numPr>
        <w:spacing w:line="360" w:lineRule="auto"/>
        <w:jc w:val="both"/>
        <w:rPr>
          <w:rFonts w:ascii="Arial" w:hAnsi="Arial" w:cs="Arial"/>
          <w:b/>
          <w:bCs/>
        </w:rPr>
      </w:pPr>
      <w:r>
        <w:rPr>
          <w:rFonts w:ascii="Arial" w:hAnsi="Arial" w:cs="Arial"/>
          <w:b/>
          <w:bCs/>
        </w:rPr>
        <w:t xml:space="preserve">Contextual background and underlying factors </w:t>
      </w:r>
    </w:p>
    <w:p w14:paraId="342EBECC" w14:textId="55F13E2F" w:rsidR="00696C6E" w:rsidRDefault="00696C6E" w:rsidP="00696C6E">
      <w:pPr>
        <w:pStyle w:val="ListParagraph"/>
        <w:numPr>
          <w:ilvl w:val="1"/>
          <w:numId w:val="22"/>
        </w:numPr>
        <w:spacing w:line="360" w:lineRule="auto"/>
        <w:jc w:val="both"/>
        <w:rPr>
          <w:rFonts w:ascii="Arial" w:hAnsi="Arial" w:cs="Arial"/>
          <w:b/>
          <w:bCs/>
        </w:rPr>
      </w:pPr>
      <w:r>
        <w:rPr>
          <w:rFonts w:ascii="Arial" w:hAnsi="Arial" w:cs="Arial"/>
          <w:b/>
          <w:bCs/>
        </w:rPr>
        <w:t xml:space="preserve">Higher rates of type 2 diabetes </w:t>
      </w:r>
    </w:p>
    <w:p w14:paraId="2B1EC17A" w14:textId="01D5E51E" w:rsidR="00696C6E" w:rsidRDefault="00696C6E" w:rsidP="00696C6E">
      <w:pPr>
        <w:pStyle w:val="ListParagraph"/>
        <w:numPr>
          <w:ilvl w:val="1"/>
          <w:numId w:val="22"/>
        </w:numPr>
        <w:spacing w:line="360" w:lineRule="auto"/>
        <w:jc w:val="both"/>
        <w:rPr>
          <w:rFonts w:ascii="Arial" w:hAnsi="Arial" w:cs="Arial"/>
          <w:b/>
          <w:bCs/>
        </w:rPr>
      </w:pPr>
      <w:r>
        <w:rPr>
          <w:rFonts w:ascii="Arial" w:hAnsi="Arial" w:cs="Arial"/>
          <w:b/>
          <w:bCs/>
        </w:rPr>
        <w:t xml:space="preserve">Disparities in Maternal </w:t>
      </w:r>
      <w:r w:rsidR="008F0F06">
        <w:rPr>
          <w:rFonts w:ascii="Arial" w:hAnsi="Arial" w:cs="Arial"/>
          <w:b/>
          <w:bCs/>
        </w:rPr>
        <w:t xml:space="preserve">Mortality and perinatal outcomes </w:t>
      </w:r>
    </w:p>
    <w:p w14:paraId="35B9752D" w14:textId="71DBA481" w:rsidR="008F0F06" w:rsidRDefault="008F0F06" w:rsidP="00696C6E">
      <w:pPr>
        <w:pStyle w:val="ListParagraph"/>
        <w:numPr>
          <w:ilvl w:val="1"/>
          <w:numId w:val="22"/>
        </w:numPr>
        <w:spacing w:line="360" w:lineRule="auto"/>
        <w:jc w:val="both"/>
        <w:rPr>
          <w:rFonts w:ascii="Arial" w:hAnsi="Arial" w:cs="Arial"/>
          <w:b/>
          <w:bCs/>
        </w:rPr>
      </w:pPr>
      <w:r>
        <w:rPr>
          <w:rFonts w:ascii="Arial" w:hAnsi="Arial" w:cs="Arial"/>
          <w:b/>
          <w:bCs/>
        </w:rPr>
        <w:t xml:space="preserve">Higher Risk and </w:t>
      </w:r>
      <w:r w:rsidR="00386107">
        <w:rPr>
          <w:rFonts w:ascii="Arial" w:hAnsi="Arial" w:cs="Arial"/>
          <w:b/>
          <w:bCs/>
        </w:rPr>
        <w:t xml:space="preserve">incidence of cardiovascular disease </w:t>
      </w:r>
      <w:r w:rsidR="00A45CDD">
        <w:rPr>
          <w:rFonts w:ascii="Arial" w:hAnsi="Arial" w:cs="Arial"/>
          <w:b/>
          <w:bCs/>
        </w:rPr>
        <w:t>(CVD)</w:t>
      </w:r>
    </w:p>
    <w:p w14:paraId="2947E1B4" w14:textId="1EE09009" w:rsidR="00A45CDD" w:rsidRDefault="00644B53" w:rsidP="00696C6E">
      <w:pPr>
        <w:pStyle w:val="ListParagraph"/>
        <w:numPr>
          <w:ilvl w:val="1"/>
          <w:numId w:val="22"/>
        </w:numPr>
        <w:spacing w:line="360" w:lineRule="auto"/>
        <w:jc w:val="both"/>
        <w:rPr>
          <w:rFonts w:ascii="Arial" w:hAnsi="Arial" w:cs="Arial"/>
          <w:b/>
          <w:bCs/>
        </w:rPr>
      </w:pPr>
      <w:r>
        <w:rPr>
          <w:rFonts w:ascii="Arial" w:hAnsi="Arial" w:cs="Arial"/>
          <w:b/>
          <w:bCs/>
        </w:rPr>
        <w:t xml:space="preserve">Structural racism and discrimination in health care </w:t>
      </w:r>
    </w:p>
    <w:p w14:paraId="7D50E132" w14:textId="7CA8620E" w:rsidR="00644B53" w:rsidRDefault="00635307" w:rsidP="00696C6E">
      <w:pPr>
        <w:pStyle w:val="ListParagraph"/>
        <w:numPr>
          <w:ilvl w:val="1"/>
          <w:numId w:val="22"/>
        </w:numPr>
        <w:spacing w:line="360" w:lineRule="auto"/>
        <w:jc w:val="both"/>
        <w:rPr>
          <w:rFonts w:ascii="Arial" w:hAnsi="Arial" w:cs="Arial"/>
          <w:b/>
          <w:bCs/>
        </w:rPr>
      </w:pPr>
      <w:r>
        <w:rPr>
          <w:rFonts w:ascii="Arial" w:hAnsi="Arial" w:cs="Arial"/>
          <w:b/>
          <w:bCs/>
        </w:rPr>
        <w:t>Overcrowding and poor housing standards</w:t>
      </w:r>
    </w:p>
    <w:p w14:paraId="78AB7427" w14:textId="6AD4A550" w:rsidR="00635307" w:rsidRDefault="00EC2C63" w:rsidP="00696C6E">
      <w:pPr>
        <w:pStyle w:val="ListParagraph"/>
        <w:numPr>
          <w:ilvl w:val="1"/>
          <w:numId w:val="22"/>
        </w:numPr>
        <w:spacing w:line="360" w:lineRule="auto"/>
        <w:jc w:val="both"/>
        <w:rPr>
          <w:rFonts w:ascii="Arial" w:hAnsi="Arial" w:cs="Arial"/>
          <w:b/>
          <w:bCs/>
        </w:rPr>
      </w:pPr>
      <w:r>
        <w:rPr>
          <w:rFonts w:ascii="Arial" w:hAnsi="Arial" w:cs="Arial"/>
          <w:b/>
          <w:bCs/>
        </w:rPr>
        <w:t xml:space="preserve">Social Economic deprivation </w:t>
      </w:r>
      <w:r w:rsidR="00D34E31">
        <w:rPr>
          <w:rFonts w:ascii="Arial" w:hAnsi="Arial" w:cs="Arial"/>
          <w:b/>
          <w:bCs/>
        </w:rPr>
        <w:t xml:space="preserve">and income poverty </w:t>
      </w:r>
    </w:p>
    <w:p w14:paraId="602DF801" w14:textId="003CDFDC" w:rsidR="005B377F" w:rsidRDefault="008B126A" w:rsidP="00D8386F">
      <w:pPr>
        <w:pStyle w:val="ListParagraph"/>
        <w:numPr>
          <w:ilvl w:val="0"/>
          <w:numId w:val="22"/>
        </w:numPr>
        <w:spacing w:line="360" w:lineRule="auto"/>
        <w:jc w:val="both"/>
        <w:rPr>
          <w:rFonts w:ascii="Arial" w:hAnsi="Arial" w:cs="Arial"/>
          <w:b/>
          <w:bCs/>
        </w:rPr>
      </w:pPr>
      <w:r>
        <w:rPr>
          <w:rFonts w:ascii="Arial" w:hAnsi="Arial" w:cs="Arial"/>
          <w:b/>
          <w:bCs/>
        </w:rPr>
        <w:t xml:space="preserve">National strategy </w:t>
      </w:r>
      <w:r w:rsidR="005B377F">
        <w:rPr>
          <w:rFonts w:ascii="Arial" w:hAnsi="Arial" w:cs="Arial"/>
          <w:b/>
          <w:bCs/>
        </w:rPr>
        <w:t>to tackle health inequalities</w:t>
      </w:r>
    </w:p>
    <w:p w14:paraId="0F7E3337" w14:textId="4B30B6F9" w:rsidR="00DF6E9F" w:rsidRDefault="00A4664B" w:rsidP="00A4664B">
      <w:pPr>
        <w:pStyle w:val="ListParagraph"/>
        <w:numPr>
          <w:ilvl w:val="1"/>
          <w:numId w:val="22"/>
        </w:numPr>
        <w:spacing w:line="360" w:lineRule="auto"/>
        <w:jc w:val="both"/>
        <w:rPr>
          <w:rFonts w:ascii="Arial" w:hAnsi="Arial" w:cs="Arial"/>
          <w:b/>
          <w:bCs/>
        </w:rPr>
      </w:pPr>
      <w:r w:rsidRPr="00EA2E31">
        <w:rPr>
          <w:rFonts w:ascii="Arial" w:hAnsi="Arial" w:cs="Arial"/>
          <w:b/>
          <w:bCs/>
        </w:rPr>
        <w:t>The NHS Core20PLUS5 Framework</w:t>
      </w:r>
    </w:p>
    <w:p w14:paraId="7C9D6905" w14:textId="37CF59A4" w:rsidR="004F2224" w:rsidRPr="004F2224" w:rsidRDefault="004B734E" w:rsidP="004F2224">
      <w:pPr>
        <w:pStyle w:val="ListParagraph"/>
        <w:numPr>
          <w:ilvl w:val="1"/>
          <w:numId w:val="22"/>
        </w:numPr>
        <w:spacing w:line="360" w:lineRule="auto"/>
        <w:jc w:val="both"/>
        <w:rPr>
          <w:rFonts w:ascii="Arial" w:hAnsi="Arial" w:cs="Arial"/>
          <w:b/>
          <w:bCs/>
          <w:u w:val="single"/>
        </w:rPr>
      </w:pPr>
      <w:r w:rsidRPr="00256717">
        <w:rPr>
          <w:rFonts w:ascii="Arial" w:hAnsi="Arial" w:cs="Arial"/>
          <w:b/>
          <w:bCs/>
        </w:rPr>
        <w:t>NHS Race and Health Observatory (RHO)</w:t>
      </w:r>
    </w:p>
    <w:p w14:paraId="1A468CF6" w14:textId="43F969E4" w:rsidR="005A0672" w:rsidRPr="005A0672" w:rsidRDefault="004F2224" w:rsidP="005A0672">
      <w:pPr>
        <w:pStyle w:val="ListParagraph"/>
        <w:numPr>
          <w:ilvl w:val="0"/>
          <w:numId w:val="22"/>
        </w:numPr>
        <w:spacing w:line="360" w:lineRule="auto"/>
        <w:jc w:val="both"/>
        <w:rPr>
          <w:rFonts w:ascii="Arial" w:hAnsi="Arial" w:cs="Arial"/>
          <w:b/>
          <w:bCs/>
          <w:u w:val="single"/>
        </w:rPr>
      </w:pPr>
      <w:r>
        <w:rPr>
          <w:rFonts w:ascii="Arial" w:hAnsi="Arial" w:cs="Arial"/>
          <w:b/>
          <w:bCs/>
        </w:rPr>
        <w:t xml:space="preserve">Organization supporting </w:t>
      </w:r>
      <w:r w:rsidR="00F7236A">
        <w:rPr>
          <w:rFonts w:ascii="Arial" w:hAnsi="Arial" w:cs="Arial"/>
          <w:b/>
          <w:bCs/>
        </w:rPr>
        <w:t xml:space="preserve">ethnic Minorities: </w:t>
      </w:r>
      <w:r w:rsidR="00BB11FB">
        <w:rPr>
          <w:rFonts w:ascii="Arial" w:hAnsi="Arial" w:cs="Arial"/>
          <w:b/>
          <w:bCs/>
        </w:rPr>
        <w:t xml:space="preserve">Charity focus </w:t>
      </w:r>
    </w:p>
    <w:p w14:paraId="54CF5328" w14:textId="39BE1619" w:rsidR="00EC21A9" w:rsidRPr="00EC21A9" w:rsidRDefault="00BB11FB" w:rsidP="00EC21A9">
      <w:pPr>
        <w:pStyle w:val="ListParagraph"/>
        <w:numPr>
          <w:ilvl w:val="1"/>
          <w:numId w:val="22"/>
        </w:numPr>
        <w:spacing w:line="360" w:lineRule="auto"/>
        <w:jc w:val="both"/>
        <w:rPr>
          <w:rFonts w:ascii="Arial" w:hAnsi="Arial" w:cs="Arial"/>
          <w:b/>
          <w:bCs/>
          <w:u w:val="single"/>
        </w:rPr>
      </w:pPr>
      <w:r w:rsidRPr="005A0672">
        <w:rPr>
          <w:rFonts w:ascii="Arial" w:hAnsi="Arial" w:cs="Arial"/>
          <w:b/>
          <w:bCs/>
        </w:rPr>
        <w:t>Race Equality Foundation</w:t>
      </w:r>
    </w:p>
    <w:p w14:paraId="7A4DCF8C" w14:textId="6B0FE66F" w:rsidR="00EC21A9" w:rsidRDefault="00EC21A9" w:rsidP="00F67297">
      <w:pPr>
        <w:spacing w:line="360" w:lineRule="auto"/>
        <w:jc w:val="both"/>
        <w:rPr>
          <w:rFonts w:ascii="Arial" w:hAnsi="Arial" w:cs="Arial"/>
          <w:b/>
          <w:bCs/>
        </w:rPr>
      </w:pPr>
      <w:r w:rsidRPr="00F67297">
        <w:rPr>
          <w:rFonts w:ascii="Arial" w:hAnsi="Arial" w:cs="Arial"/>
          <w:b/>
          <w:bCs/>
        </w:rPr>
        <w:t xml:space="preserve">Conclusion </w:t>
      </w:r>
    </w:p>
    <w:p w14:paraId="37009AF3" w14:textId="632CF32B" w:rsidR="00814BCF" w:rsidRPr="00F67297" w:rsidRDefault="00427585" w:rsidP="00F67297">
      <w:pPr>
        <w:spacing w:line="360" w:lineRule="auto"/>
        <w:jc w:val="both"/>
        <w:rPr>
          <w:rFonts w:ascii="Arial" w:hAnsi="Arial" w:cs="Arial"/>
          <w:b/>
          <w:bCs/>
          <w:u w:val="single"/>
        </w:rPr>
      </w:pPr>
      <w:r>
        <w:rPr>
          <w:rFonts w:ascii="Arial" w:hAnsi="Arial" w:cs="Arial"/>
          <w:b/>
          <w:bCs/>
        </w:rPr>
        <w:t>TASK 2</w:t>
      </w:r>
    </w:p>
    <w:p w14:paraId="19DD9C86" w14:textId="4019D3A7" w:rsidR="00BB11FB" w:rsidRDefault="005A0672" w:rsidP="008B6A22">
      <w:pPr>
        <w:pStyle w:val="ListParagraph"/>
        <w:numPr>
          <w:ilvl w:val="0"/>
          <w:numId w:val="22"/>
        </w:numPr>
        <w:spacing w:line="360" w:lineRule="auto"/>
        <w:jc w:val="both"/>
        <w:rPr>
          <w:rFonts w:ascii="Arial" w:hAnsi="Arial" w:cs="Arial"/>
          <w:b/>
          <w:bCs/>
        </w:rPr>
      </w:pPr>
      <w:r w:rsidRPr="002F21B4">
        <w:rPr>
          <w:rFonts w:ascii="Arial" w:hAnsi="Arial" w:cs="Arial"/>
          <w:b/>
          <w:bCs/>
        </w:rPr>
        <w:t>E</w:t>
      </w:r>
      <w:r w:rsidR="002F21B4">
        <w:rPr>
          <w:rFonts w:ascii="Arial" w:hAnsi="Arial" w:cs="Arial"/>
          <w:b/>
          <w:bCs/>
        </w:rPr>
        <w:t>pidem</w:t>
      </w:r>
      <w:r w:rsidR="00F514A5">
        <w:rPr>
          <w:rFonts w:ascii="Arial" w:hAnsi="Arial" w:cs="Arial"/>
          <w:b/>
          <w:bCs/>
        </w:rPr>
        <w:t xml:space="preserve">iological </w:t>
      </w:r>
      <w:r w:rsidR="00E731C7">
        <w:rPr>
          <w:rFonts w:ascii="Arial" w:hAnsi="Arial" w:cs="Arial"/>
          <w:b/>
          <w:bCs/>
        </w:rPr>
        <w:t>a</w:t>
      </w:r>
      <w:r w:rsidR="00F514A5">
        <w:rPr>
          <w:rFonts w:ascii="Arial" w:hAnsi="Arial" w:cs="Arial"/>
          <w:b/>
          <w:bCs/>
        </w:rPr>
        <w:t xml:space="preserve">ssessment </w:t>
      </w:r>
      <w:r w:rsidR="00E731C7">
        <w:rPr>
          <w:rFonts w:ascii="Arial" w:hAnsi="Arial" w:cs="Arial"/>
          <w:b/>
          <w:bCs/>
        </w:rPr>
        <w:t>a</w:t>
      </w:r>
      <w:r w:rsidR="00F514A5">
        <w:rPr>
          <w:rFonts w:ascii="Arial" w:hAnsi="Arial" w:cs="Arial"/>
          <w:b/>
          <w:bCs/>
        </w:rPr>
        <w:t>nd</w:t>
      </w:r>
      <w:r w:rsidRPr="002F21B4">
        <w:rPr>
          <w:rFonts w:ascii="Arial" w:hAnsi="Arial" w:cs="Arial"/>
          <w:b/>
          <w:bCs/>
        </w:rPr>
        <w:t xml:space="preserve"> </w:t>
      </w:r>
      <w:r w:rsidR="00F514A5">
        <w:rPr>
          <w:rFonts w:ascii="Arial" w:hAnsi="Arial" w:cs="Arial"/>
          <w:b/>
          <w:bCs/>
        </w:rPr>
        <w:t xml:space="preserve">public </w:t>
      </w:r>
      <w:r w:rsidR="00E731C7">
        <w:rPr>
          <w:rFonts w:ascii="Arial" w:hAnsi="Arial" w:cs="Arial"/>
          <w:b/>
          <w:bCs/>
        </w:rPr>
        <w:t xml:space="preserve">health response </w:t>
      </w:r>
    </w:p>
    <w:p w14:paraId="6033E2C5" w14:textId="77777777" w:rsidR="004B63F8" w:rsidRPr="004B63F8" w:rsidRDefault="008B6A22" w:rsidP="004B63F8">
      <w:pPr>
        <w:pStyle w:val="ListParagraph"/>
        <w:numPr>
          <w:ilvl w:val="1"/>
          <w:numId w:val="22"/>
        </w:numPr>
        <w:spacing w:line="360" w:lineRule="auto"/>
        <w:jc w:val="both"/>
        <w:rPr>
          <w:rFonts w:ascii="Arial" w:hAnsi="Arial" w:cs="Arial"/>
          <w:b/>
          <w:bCs/>
          <w:u w:val="single"/>
        </w:rPr>
      </w:pPr>
      <w:r w:rsidRPr="008C7405">
        <w:rPr>
          <w:rFonts w:ascii="Arial" w:hAnsi="Arial" w:cs="Arial"/>
          <w:b/>
          <w:bCs/>
        </w:rPr>
        <w:t>Definition and Impact on Health, Society, and Culture</w:t>
      </w:r>
    </w:p>
    <w:p w14:paraId="5A720DC6" w14:textId="49085864" w:rsidR="004B63F8" w:rsidRPr="004B63F8" w:rsidRDefault="004B63F8" w:rsidP="004B63F8">
      <w:pPr>
        <w:pStyle w:val="ListParagraph"/>
        <w:numPr>
          <w:ilvl w:val="1"/>
          <w:numId w:val="22"/>
        </w:numPr>
        <w:spacing w:line="360" w:lineRule="auto"/>
        <w:jc w:val="both"/>
        <w:rPr>
          <w:rFonts w:ascii="Arial" w:hAnsi="Arial" w:cs="Arial"/>
          <w:b/>
          <w:bCs/>
          <w:u w:val="single"/>
        </w:rPr>
      </w:pPr>
      <w:r w:rsidRPr="004B63F8">
        <w:rPr>
          <w:rFonts w:ascii="Arial" w:hAnsi="Arial" w:cs="Arial"/>
          <w:b/>
          <w:bCs/>
        </w:rPr>
        <w:t>Epidemiological Information Globally and in the UK</w:t>
      </w:r>
    </w:p>
    <w:p w14:paraId="6C3CC259" w14:textId="1BBEEE0F" w:rsidR="008B6A22" w:rsidRPr="00461704" w:rsidRDefault="00461704" w:rsidP="008B6A22">
      <w:pPr>
        <w:pStyle w:val="ListParagraph"/>
        <w:numPr>
          <w:ilvl w:val="1"/>
          <w:numId w:val="22"/>
        </w:numPr>
        <w:spacing w:line="360" w:lineRule="auto"/>
        <w:jc w:val="both"/>
        <w:rPr>
          <w:rFonts w:ascii="Arial" w:hAnsi="Arial" w:cs="Arial"/>
          <w:b/>
          <w:bCs/>
          <w:u w:val="single"/>
        </w:rPr>
      </w:pPr>
      <w:r w:rsidRPr="00494D90">
        <w:rPr>
          <w:rFonts w:ascii="Arial" w:hAnsi="Arial" w:cs="Arial"/>
          <w:b/>
          <w:bCs/>
        </w:rPr>
        <w:t xml:space="preserve">Population and Public Health Interventions (The 3 </w:t>
      </w:r>
      <w:proofErr w:type="gramStart"/>
      <w:r w:rsidRPr="00494D90">
        <w:rPr>
          <w:rFonts w:ascii="Arial" w:hAnsi="Arial" w:cs="Arial"/>
          <w:b/>
          <w:bCs/>
        </w:rPr>
        <w:t>P’s</w:t>
      </w:r>
      <w:proofErr w:type="gramEnd"/>
      <w:r w:rsidRPr="00494D90">
        <w:rPr>
          <w:rFonts w:ascii="Arial" w:hAnsi="Arial" w:cs="Arial"/>
          <w:b/>
          <w:bCs/>
        </w:rPr>
        <w:t>)</w:t>
      </w:r>
    </w:p>
    <w:p w14:paraId="37D398B9" w14:textId="77777777" w:rsidR="005C5075" w:rsidRPr="005C5075" w:rsidRDefault="00461704" w:rsidP="005C5075">
      <w:pPr>
        <w:pStyle w:val="ListParagraph"/>
        <w:numPr>
          <w:ilvl w:val="1"/>
          <w:numId w:val="22"/>
        </w:numPr>
        <w:spacing w:line="360" w:lineRule="auto"/>
        <w:jc w:val="both"/>
        <w:rPr>
          <w:rFonts w:ascii="Arial" w:hAnsi="Arial" w:cs="Arial"/>
          <w:b/>
          <w:bCs/>
          <w:u w:val="single"/>
        </w:rPr>
      </w:pPr>
      <w:r w:rsidRPr="00520D11">
        <w:rPr>
          <w:rFonts w:ascii="Arial" w:hAnsi="Arial" w:cs="Arial"/>
          <w:b/>
          <w:bCs/>
        </w:rPr>
        <w:t>Key Determinants and Risk Factors</w:t>
      </w:r>
    </w:p>
    <w:p w14:paraId="57DAAAC8" w14:textId="4813BA01" w:rsidR="005C5075" w:rsidRPr="005C5075" w:rsidRDefault="005C5075" w:rsidP="005C5075">
      <w:pPr>
        <w:pStyle w:val="ListParagraph"/>
        <w:numPr>
          <w:ilvl w:val="1"/>
          <w:numId w:val="22"/>
        </w:numPr>
        <w:spacing w:line="360" w:lineRule="auto"/>
        <w:jc w:val="both"/>
        <w:rPr>
          <w:rFonts w:ascii="Arial" w:hAnsi="Arial" w:cs="Arial"/>
          <w:b/>
          <w:bCs/>
          <w:u w:val="single"/>
        </w:rPr>
      </w:pPr>
      <w:r w:rsidRPr="005C5075">
        <w:rPr>
          <w:rFonts w:ascii="Arial" w:hAnsi="Arial" w:cs="Arial"/>
          <w:b/>
          <w:bCs/>
        </w:rPr>
        <w:t>Population Risk Profiling Using Epidemiological Tools and Health Needs Assessment (HNA)</w:t>
      </w:r>
    </w:p>
    <w:p w14:paraId="2C9AD3AB" w14:textId="77777777" w:rsidR="005C5075" w:rsidRPr="005C5075" w:rsidRDefault="005C5075" w:rsidP="005C5075">
      <w:pPr>
        <w:pStyle w:val="ListParagraph"/>
        <w:numPr>
          <w:ilvl w:val="1"/>
          <w:numId w:val="22"/>
        </w:numPr>
        <w:spacing w:line="360" w:lineRule="auto"/>
        <w:jc w:val="both"/>
        <w:rPr>
          <w:rFonts w:ascii="Arial" w:hAnsi="Arial" w:cs="Arial"/>
          <w:b/>
          <w:bCs/>
          <w:u w:val="single"/>
        </w:rPr>
      </w:pPr>
      <w:r w:rsidRPr="00AA6678">
        <w:rPr>
          <w:rFonts w:ascii="Arial" w:hAnsi="Arial" w:cs="Arial"/>
          <w:b/>
          <w:bCs/>
        </w:rPr>
        <w:t>Systems for Monitoring and Surveillance</w:t>
      </w:r>
    </w:p>
    <w:p w14:paraId="542E4FE1" w14:textId="77777777" w:rsidR="00B40854" w:rsidRDefault="005C5075" w:rsidP="00B40854">
      <w:pPr>
        <w:pStyle w:val="ListParagraph"/>
        <w:numPr>
          <w:ilvl w:val="1"/>
          <w:numId w:val="22"/>
        </w:numPr>
        <w:spacing w:line="360" w:lineRule="auto"/>
        <w:jc w:val="both"/>
        <w:rPr>
          <w:rFonts w:ascii="Arial" w:hAnsi="Arial" w:cs="Arial"/>
          <w:b/>
          <w:bCs/>
          <w:u w:val="single"/>
        </w:rPr>
      </w:pPr>
      <w:r w:rsidRPr="000958DD">
        <w:rPr>
          <w:rFonts w:ascii="Arial" w:hAnsi="Arial" w:cs="Arial"/>
          <w:b/>
          <w:bCs/>
        </w:rPr>
        <w:t>Impacts on Public Health and Long-Term Effects</w:t>
      </w:r>
    </w:p>
    <w:p w14:paraId="6C0AEC51" w14:textId="017D3946" w:rsidR="00510840" w:rsidRPr="009F6E58" w:rsidRDefault="00B40854" w:rsidP="00B40854">
      <w:pPr>
        <w:pStyle w:val="ListParagraph"/>
        <w:numPr>
          <w:ilvl w:val="0"/>
          <w:numId w:val="22"/>
        </w:numPr>
        <w:spacing w:line="360" w:lineRule="auto"/>
        <w:jc w:val="both"/>
        <w:rPr>
          <w:rFonts w:ascii="Arial" w:hAnsi="Arial" w:cs="Arial"/>
          <w:b/>
          <w:bCs/>
          <w:u w:val="single"/>
        </w:rPr>
      </w:pPr>
      <w:r w:rsidRPr="00B40854">
        <w:rPr>
          <w:rFonts w:ascii="Arial" w:hAnsi="Arial" w:cs="Arial"/>
          <w:b/>
          <w:bCs/>
        </w:rPr>
        <w:t>Culturally Sensitive Intervention Program Design and Evaluation</w:t>
      </w:r>
    </w:p>
    <w:p w14:paraId="49BC565A" w14:textId="77777777" w:rsidR="00DD1EC8" w:rsidRDefault="009F6E58" w:rsidP="00DD1EC8">
      <w:pPr>
        <w:pStyle w:val="ListParagraph"/>
        <w:numPr>
          <w:ilvl w:val="1"/>
          <w:numId w:val="22"/>
        </w:numPr>
        <w:spacing w:line="360" w:lineRule="auto"/>
        <w:jc w:val="both"/>
        <w:rPr>
          <w:rFonts w:ascii="Arial" w:hAnsi="Arial" w:cs="Arial"/>
          <w:b/>
          <w:bCs/>
        </w:rPr>
      </w:pPr>
      <w:r w:rsidRPr="009F6E58">
        <w:rPr>
          <w:rFonts w:ascii="Arial" w:hAnsi="Arial" w:cs="Arial"/>
          <w:b/>
          <w:bCs/>
        </w:rPr>
        <w:lastRenderedPageBreak/>
        <w:t>Intervention Program Design: "Tower Hamlets Culturally Integrated Diabetes Prevention &amp; Management Program" (TH-CIDP)</w:t>
      </w:r>
    </w:p>
    <w:p w14:paraId="3240C099" w14:textId="77777777" w:rsidR="005A0BEF" w:rsidRDefault="00DD1EC8" w:rsidP="005A0BEF">
      <w:pPr>
        <w:pStyle w:val="ListParagraph"/>
        <w:numPr>
          <w:ilvl w:val="1"/>
          <w:numId w:val="22"/>
        </w:numPr>
        <w:spacing w:line="360" w:lineRule="auto"/>
        <w:jc w:val="both"/>
        <w:rPr>
          <w:rFonts w:ascii="Arial" w:hAnsi="Arial" w:cs="Arial"/>
          <w:b/>
          <w:bCs/>
        </w:rPr>
      </w:pPr>
      <w:r w:rsidRPr="00DD1EC8">
        <w:rPr>
          <w:rFonts w:ascii="Arial" w:hAnsi="Arial" w:cs="Arial"/>
          <w:b/>
          <w:bCs/>
        </w:rPr>
        <w:t>Evaluation Plan</w:t>
      </w:r>
    </w:p>
    <w:p w14:paraId="40C60060" w14:textId="2E3E55D0" w:rsidR="005A0BEF" w:rsidRDefault="00380457" w:rsidP="005A0BEF">
      <w:pPr>
        <w:pStyle w:val="ListParagraph"/>
        <w:numPr>
          <w:ilvl w:val="0"/>
          <w:numId w:val="22"/>
        </w:numPr>
        <w:spacing w:line="360" w:lineRule="auto"/>
        <w:jc w:val="both"/>
        <w:rPr>
          <w:rFonts w:ascii="Arial" w:hAnsi="Arial" w:cs="Arial"/>
          <w:b/>
          <w:bCs/>
        </w:rPr>
      </w:pPr>
      <w:r w:rsidRPr="005A0BEF">
        <w:rPr>
          <w:rFonts w:ascii="Arial" w:hAnsi="Arial" w:cs="Arial"/>
          <w:b/>
          <w:bCs/>
        </w:rPr>
        <w:t>Critical Evaluation of the Epidemiology Approach</w:t>
      </w:r>
    </w:p>
    <w:p w14:paraId="3F84665E" w14:textId="303903AF" w:rsidR="005A0BEF" w:rsidRDefault="005A0BEF" w:rsidP="005A0BEF">
      <w:pPr>
        <w:pStyle w:val="ListParagraph"/>
        <w:numPr>
          <w:ilvl w:val="1"/>
          <w:numId w:val="22"/>
        </w:numPr>
        <w:spacing w:line="360" w:lineRule="auto"/>
        <w:jc w:val="both"/>
        <w:rPr>
          <w:rFonts w:ascii="Arial" w:hAnsi="Arial" w:cs="Arial"/>
          <w:b/>
          <w:bCs/>
        </w:rPr>
      </w:pPr>
      <w:r>
        <w:rPr>
          <w:rFonts w:ascii="Arial" w:hAnsi="Arial" w:cs="Arial"/>
          <w:b/>
          <w:bCs/>
        </w:rPr>
        <w:t xml:space="preserve">Strengths </w:t>
      </w:r>
    </w:p>
    <w:p w14:paraId="59B507EC" w14:textId="227C5F00" w:rsidR="00EC21A9" w:rsidRDefault="00006452" w:rsidP="00F67297">
      <w:pPr>
        <w:pStyle w:val="ListParagraph"/>
        <w:numPr>
          <w:ilvl w:val="1"/>
          <w:numId w:val="22"/>
        </w:numPr>
        <w:spacing w:line="360" w:lineRule="auto"/>
        <w:jc w:val="both"/>
        <w:rPr>
          <w:rFonts w:ascii="Arial" w:hAnsi="Arial" w:cs="Arial"/>
          <w:b/>
          <w:bCs/>
        </w:rPr>
      </w:pPr>
      <w:r>
        <w:rPr>
          <w:rFonts w:ascii="Arial" w:hAnsi="Arial" w:cs="Arial"/>
          <w:b/>
          <w:bCs/>
        </w:rPr>
        <w:t>Weakness / Limitation</w:t>
      </w:r>
    </w:p>
    <w:p w14:paraId="31E79C93" w14:textId="1E6727CA" w:rsidR="00F67297" w:rsidRDefault="00F67297" w:rsidP="00F67297">
      <w:pPr>
        <w:spacing w:line="360" w:lineRule="auto"/>
        <w:jc w:val="both"/>
        <w:rPr>
          <w:rFonts w:ascii="Arial" w:hAnsi="Arial" w:cs="Arial"/>
          <w:b/>
          <w:bCs/>
        </w:rPr>
      </w:pPr>
      <w:r>
        <w:rPr>
          <w:rFonts w:ascii="Arial" w:hAnsi="Arial" w:cs="Arial"/>
          <w:b/>
          <w:bCs/>
        </w:rPr>
        <w:t xml:space="preserve">Conclusion </w:t>
      </w:r>
    </w:p>
    <w:p w14:paraId="7AC15C53" w14:textId="1E9E4316" w:rsidR="00523A1C" w:rsidRDefault="00523A1C" w:rsidP="00F67297">
      <w:pPr>
        <w:spacing w:line="360" w:lineRule="auto"/>
        <w:jc w:val="both"/>
        <w:rPr>
          <w:rFonts w:ascii="Arial" w:hAnsi="Arial" w:cs="Arial"/>
          <w:b/>
          <w:bCs/>
        </w:rPr>
      </w:pPr>
      <w:r>
        <w:rPr>
          <w:rFonts w:ascii="Arial" w:hAnsi="Arial" w:cs="Arial"/>
          <w:b/>
          <w:bCs/>
        </w:rPr>
        <w:t>REF</w:t>
      </w:r>
      <w:r w:rsidR="00622F24">
        <w:rPr>
          <w:rFonts w:ascii="Arial" w:hAnsi="Arial" w:cs="Arial"/>
          <w:b/>
          <w:bCs/>
        </w:rPr>
        <w:t>R</w:t>
      </w:r>
      <w:r>
        <w:rPr>
          <w:rFonts w:ascii="Arial" w:hAnsi="Arial" w:cs="Arial"/>
          <w:b/>
          <w:bCs/>
        </w:rPr>
        <w:t xml:space="preserve">ENCES </w:t>
      </w:r>
    </w:p>
    <w:p w14:paraId="7E2F41EC" w14:textId="77777777" w:rsidR="0067400E" w:rsidRDefault="0067400E" w:rsidP="00F67297">
      <w:pPr>
        <w:spacing w:line="360" w:lineRule="auto"/>
        <w:jc w:val="both"/>
        <w:rPr>
          <w:rFonts w:ascii="Arial" w:hAnsi="Arial" w:cs="Arial"/>
          <w:b/>
          <w:bCs/>
        </w:rPr>
      </w:pPr>
    </w:p>
    <w:p w14:paraId="208D6501" w14:textId="77777777" w:rsidR="0067400E" w:rsidRDefault="0067400E" w:rsidP="00F67297">
      <w:pPr>
        <w:spacing w:line="360" w:lineRule="auto"/>
        <w:jc w:val="both"/>
        <w:rPr>
          <w:rFonts w:ascii="Arial" w:hAnsi="Arial" w:cs="Arial"/>
          <w:b/>
          <w:bCs/>
        </w:rPr>
      </w:pPr>
    </w:p>
    <w:p w14:paraId="2971746D" w14:textId="77777777" w:rsidR="0067400E" w:rsidRDefault="0067400E" w:rsidP="00F67297">
      <w:pPr>
        <w:spacing w:line="360" w:lineRule="auto"/>
        <w:jc w:val="both"/>
        <w:rPr>
          <w:rFonts w:ascii="Arial" w:hAnsi="Arial" w:cs="Arial"/>
          <w:b/>
          <w:bCs/>
        </w:rPr>
      </w:pPr>
    </w:p>
    <w:p w14:paraId="2280C054" w14:textId="77777777" w:rsidR="0067400E" w:rsidRDefault="0067400E" w:rsidP="00F67297">
      <w:pPr>
        <w:spacing w:line="360" w:lineRule="auto"/>
        <w:jc w:val="both"/>
        <w:rPr>
          <w:rFonts w:ascii="Arial" w:hAnsi="Arial" w:cs="Arial"/>
          <w:b/>
          <w:bCs/>
        </w:rPr>
      </w:pPr>
    </w:p>
    <w:p w14:paraId="19CCE9EA" w14:textId="77777777" w:rsidR="0067400E" w:rsidRDefault="0067400E" w:rsidP="00F67297">
      <w:pPr>
        <w:spacing w:line="360" w:lineRule="auto"/>
        <w:jc w:val="both"/>
        <w:rPr>
          <w:rFonts w:ascii="Arial" w:hAnsi="Arial" w:cs="Arial"/>
          <w:b/>
          <w:bCs/>
        </w:rPr>
      </w:pPr>
    </w:p>
    <w:p w14:paraId="75149939" w14:textId="77777777" w:rsidR="0067400E" w:rsidRDefault="0067400E" w:rsidP="00F67297">
      <w:pPr>
        <w:spacing w:line="360" w:lineRule="auto"/>
        <w:jc w:val="both"/>
        <w:rPr>
          <w:rFonts w:ascii="Arial" w:hAnsi="Arial" w:cs="Arial"/>
          <w:b/>
          <w:bCs/>
        </w:rPr>
      </w:pPr>
    </w:p>
    <w:p w14:paraId="6B7AF804" w14:textId="77777777" w:rsidR="0067400E" w:rsidRDefault="0067400E" w:rsidP="00F67297">
      <w:pPr>
        <w:spacing w:line="360" w:lineRule="auto"/>
        <w:jc w:val="both"/>
        <w:rPr>
          <w:rFonts w:ascii="Arial" w:hAnsi="Arial" w:cs="Arial"/>
          <w:b/>
          <w:bCs/>
        </w:rPr>
      </w:pPr>
    </w:p>
    <w:p w14:paraId="259A0C93" w14:textId="77777777" w:rsidR="0067400E" w:rsidRDefault="0067400E" w:rsidP="00F67297">
      <w:pPr>
        <w:spacing w:line="360" w:lineRule="auto"/>
        <w:jc w:val="both"/>
        <w:rPr>
          <w:rFonts w:ascii="Arial" w:hAnsi="Arial" w:cs="Arial"/>
          <w:b/>
          <w:bCs/>
        </w:rPr>
      </w:pPr>
    </w:p>
    <w:p w14:paraId="5642845D" w14:textId="77777777" w:rsidR="0067400E" w:rsidRDefault="0067400E" w:rsidP="00F67297">
      <w:pPr>
        <w:spacing w:line="360" w:lineRule="auto"/>
        <w:jc w:val="both"/>
        <w:rPr>
          <w:rFonts w:ascii="Arial" w:hAnsi="Arial" w:cs="Arial"/>
          <w:b/>
          <w:bCs/>
        </w:rPr>
      </w:pPr>
    </w:p>
    <w:p w14:paraId="3EAE5CF2" w14:textId="77777777" w:rsidR="0067400E" w:rsidRDefault="0067400E" w:rsidP="00F67297">
      <w:pPr>
        <w:spacing w:line="360" w:lineRule="auto"/>
        <w:jc w:val="both"/>
        <w:rPr>
          <w:rFonts w:ascii="Arial" w:hAnsi="Arial" w:cs="Arial"/>
          <w:b/>
          <w:bCs/>
        </w:rPr>
      </w:pPr>
    </w:p>
    <w:p w14:paraId="59BA32F3" w14:textId="77777777" w:rsidR="0067400E" w:rsidRDefault="0067400E" w:rsidP="00F67297">
      <w:pPr>
        <w:spacing w:line="360" w:lineRule="auto"/>
        <w:jc w:val="both"/>
        <w:rPr>
          <w:rFonts w:ascii="Arial" w:hAnsi="Arial" w:cs="Arial"/>
          <w:b/>
          <w:bCs/>
        </w:rPr>
      </w:pPr>
    </w:p>
    <w:p w14:paraId="068E8B07" w14:textId="77777777" w:rsidR="0067400E" w:rsidRDefault="0067400E" w:rsidP="00F67297">
      <w:pPr>
        <w:spacing w:line="360" w:lineRule="auto"/>
        <w:jc w:val="both"/>
        <w:rPr>
          <w:rFonts w:ascii="Arial" w:hAnsi="Arial" w:cs="Arial"/>
          <w:b/>
          <w:bCs/>
        </w:rPr>
      </w:pPr>
    </w:p>
    <w:p w14:paraId="11B48D61" w14:textId="77777777" w:rsidR="0067400E" w:rsidRDefault="0067400E" w:rsidP="00F67297">
      <w:pPr>
        <w:spacing w:line="360" w:lineRule="auto"/>
        <w:jc w:val="both"/>
        <w:rPr>
          <w:rFonts w:ascii="Arial" w:hAnsi="Arial" w:cs="Arial"/>
          <w:b/>
          <w:bCs/>
        </w:rPr>
      </w:pPr>
    </w:p>
    <w:p w14:paraId="2A9B20FB" w14:textId="77777777" w:rsidR="00523A1C" w:rsidRPr="00F67297" w:rsidRDefault="00523A1C" w:rsidP="00F67297">
      <w:pPr>
        <w:spacing w:line="360" w:lineRule="auto"/>
        <w:jc w:val="both"/>
        <w:rPr>
          <w:rFonts w:ascii="Arial" w:hAnsi="Arial" w:cs="Arial"/>
          <w:b/>
          <w:bCs/>
        </w:rPr>
      </w:pPr>
    </w:p>
    <w:p w14:paraId="61962E6C" w14:textId="77777777" w:rsidR="00026497" w:rsidRDefault="00026497" w:rsidP="00B54C21">
      <w:pPr>
        <w:spacing w:line="360" w:lineRule="auto"/>
        <w:jc w:val="both"/>
        <w:rPr>
          <w:rFonts w:ascii="Arial" w:hAnsi="Arial" w:cs="Arial"/>
          <w:b/>
          <w:bCs/>
          <w:u w:val="single"/>
        </w:rPr>
      </w:pPr>
    </w:p>
    <w:p w14:paraId="147EB154" w14:textId="77777777" w:rsidR="00026497" w:rsidRDefault="00026497" w:rsidP="00B54C21">
      <w:pPr>
        <w:spacing w:line="360" w:lineRule="auto"/>
        <w:jc w:val="both"/>
        <w:rPr>
          <w:rFonts w:ascii="Arial" w:hAnsi="Arial" w:cs="Arial"/>
          <w:b/>
          <w:bCs/>
          <w:u w:val="single"/>
        </w:rPr>
      </w:pPr>
    </w:p>
    <w:p w14:paraId="63F6B917" w14:textId="77777777" w:rsidR="00026497" w:rsidRDefault="00026497" w:rsidP="00B54C21">
      <w:pPr>
        <w:spacing w:line="360" w:lineRule="auto"/>
        <w:jc w:val="both"/>
        <w:rPr>
          <w:rFonts w:ascii="Arial" w:hAnsi="Arial" w:cs="Arial"/>
          <w:b/>
          <w:bCs/>
          <w:u w:val="single"/>
        </w:rPr>
      </w:pPr>
    </w:p>
    <w:p w14:paraId="07463950" w14:textId="77777777" w:rsidR="00026497" w:rsidRDefault="00026497" w:rsidP="00B54C21">
      <w:pPr>
        <w:spacing w:line="360" w:lineRule="auto"/>
        <w:jc w:val="both"/>
        <w:rPr>
          <w:rFonts w:ascii="Arial" w:hAnsi="Arial" w:cs="Arial"/>
          <w:b/>
          <w:bCs/>
          <w:u w:val="single"/>
        </w:rPr>
      </w:pPr>
    </w:p>
    <w:p w14:paraId="311B2032" w14:textId="77C0FBF8" w:rsidR="00026497" w:rsidRDefault="00050DC3" w:rsidP="00B54C21">
      <w:pPr>
        <w:spacing w:line="360" w:lineRule="auto"/>
        <w:jc w:val="both"/>
        <w:rPr>
          <w:rFonts w:ascii="Arial" w:hAnsi="Arial" w:cs="Arial"/>
          <w:b/>
          <w:bCs/>
          <w:u w:val="single"/>
        </w:rPr>
      </w:pPr>
      <w:r>
        <w:rPr>
          <w:rFonts w:ascii="Arial" w:hAnsi="Arial" w:cs="Arial"/>
          <w:b/>
          <w:bCs/>
          <w:u w:val="single"/>
        </w:rPr>
        <w:lastRenderedPageBreak/>
        <w:t>TASK 1</w:t>
      </w:r>
    </w:p>
    <w:p w14:paraId="574CBA0C" w14:textId="78AEEF3C" w:rsidR="00663F4B" w:rsidRPr="005D7F30" w:rsidRDefault="00312858" w:rsidP="00B54C21">
      <w:pPr>
        <w:spacing w:line="360" w:lineRule="auto"/>
        <w:jc w:val="both"/>
        <w:rPr>
          <w:rFonts w:ascii="Arial" w:hAnsi="Arial" w:cs="Arial"/>
          <w:b/>
          <w:bCs/>
          <w:u w:val="single"/>
        </w:rPr>
      </w:pPr>
      <w:r w:rsidRPr="005D7F30">
        <w:rPr>
          <w:rFonts w:ascii="Arial" w:hAnsi="Arial" w:cs="Arial"/>
          <w:b/>
          <w:bCs/>
          <w:u w:val="single"/>
        </w:rPr>
        <w:t xml:space="preserve">ETHNICITY, HEALTH INEQUALITIES, AND EPIDEMIOLOGICAL DEVELOPMENT IN THE UNITED KINGDOM: AN ANALYTICAL REPORT </w:t>
      </w:r>
    </w:p>
    <w:p w14:paraId="358A43F7" w14:textId="1E66FC73" w:rsidR="00312858" w:rsidRPr="00783EF5" w:rsidRDefault="00312858" w:rsidP="00783EF5">
      <w:pPr>
        <w:pStyle w:val="ListParagraph"/>
        <w:numPr>
          <w:ilvl w:val="0"/>
          <w:numId w:val="20"/>
        </w:numPr>
        <w:spacing w:line="360" w:lineRule="auto"/>
        <w:jc w:val="both"/>
        <w:rPr>
          <w:rFonts w:ascii="Arial" w:hAnsi="Arial" w:cs="Arial"/>
          <w:b/>
          <w:bCs/>
        </w:rPr>
      </w:pPr>
      <w:r w:rsidRPr="00783EF5">
        <w:rPr>
          <w:rFonts w:ascii="Arial" w:hAnsi="Arial" w:cs="Arial"/>
          <w:b/>
          <w:bCs/>
        </w:rPr>
        <w:t xml:space="preserve">Introduction to Ethnicity and health Inequalities </w:t>
      </w:r>
    </w:p>
    <w:p w14:paraId="20FB4F8A" w14:textId="77777777" w:rsidR="0069075D" w:rsidRDefault="00B54C21" w:rsidP="0026390E">
      <w:pPr>
        <w:spacing w:line="360" w:lineRule="auto"/>
        <w:jc w:val="both"/>
        <w:rPr>
          <w:rFonts w:ascii="Arial" w:hAnsi="Arial" w:cs="Arial"/>
        </w:rPr>
      </w:pPr>
      <w:r w:rsidRPr="0026390E">
        <w:rPr>
          <w:rFonts w:ascii="Arial" w:hAnsi="Arial" w:cs="Arial"/>
        </w:rPr>
        <w:t>​​Ethnic minority groups in the United Kingdom, which include Black, Asian, Mixed, and other non-White British individuals, suffer from marked health inequalities. In the field of social epidemiology, it is argued that the health status of individuals is not only affected by their biological makeup but is also influenced by the societal environment within which they exist (Marmot et al., 2020). It is true that ethnic minorities in the UK are faced with social determinants of poor health such as poverty, poor housing conditions, and racism.</w:t>
      </w:r>
    </w:p>
    <w:p w14:paraId="791444BF" w14:textId="4BA6F8CF" w:rsidR="00E336E7" w:rsidRPr="0069075D" w:rsidRDefault="00783EF5" w:rsidP="0026390E">
      <w:pPr>
        <w:spacing w:line="360" w:lineRule="auto"/>
        <w:jc w:val="both"/>
        <w:rPr>
          <w:rFonts w:ascii="Arial" w:hAnsi="Arial" w:cs="Arial"/>
        </w:rPr>
      </w:pPr>
      <w:r>
        <w:rPr>
          <w:rFonts w:ascii="Arial" w:hAnsi="Arial" w:cs="Arial"/>
          <w:b/>
          <w:bCs/>
        </w:rPr>
        <w:t>2.</w:t>
      </w:r>
      <w:r w:rsidR="00AA1D52">
        <w:rPr>
          <w:rFonts w:ascii="Arial" w:hAnsi="Arial" w:cs="Arial"/>
          <w:b/>
          <w:bCs/>
        </w:rPr>
        <w:t xml:space="preserve"> </w:t>
      </w:r>
      <w:r w:rsidR="005D7F30" w:rsidRPr="005D7F30">
        <w:rPr>
          <w:rFonts w:ascii="Arial" w:hAnsi="Arial" w:cs="Arial"/>
          <w:b/>
          <w:bCs/>
        </w:rPr>
        <w:t>Contextual Background and Underlying Factors</w:t>
      </w:r>
    </w:p>
    <w:p w14:paraId="199E5C6F" w14:textId="31124341" w:rsidR="0026390E" w:rsidRPr="0069075D" w:rsidRDefault="00783EF5" w:rsidP="0026390E">
      <w:pPr>
        <w:spacing w:line="360" w:lineRule="auto"/>
        <w:jc w:val="both"/>
        <w:rPr>
          <w:rFonts w:ascii="Arial" w:hAnsi="Arial" w:cs="Arial"/>
          <w:b/>
          <w:bCs/>
        </w:rPr>
      </w:pPr>
      <w:r>
        <w:rPr>
          <w:rFonts w:ascii="Arial" w:hAnsi="Arial" w:cs="Arial"/>
          <w:b/>
          <w:bCs/>
        </w:rPr>
        <w:t>2</w:t>
      </w:r>
      <w:r w:rsidR="0069075D" w:rsidRPr="0069075D">
        <w:rPr>
          <w:rFonts w:ascii="Arial" w:hAnsi="Arial" w:cs="Arial"/>
          <w:b/>
          <w:bCs/>
        </w:rPr>
        <w:t xml:space="preserve">.1 </w:t>
      </w:r>
      <w:r w:rsidR="0026390E" w:rsidRPr="0069075D">
        <w:rPr>
          <w:rFonts w:ascii="Arial" w:hAnsi="Arial" w:cs="Arial"/>
          <w:b/>
          <w:bCs/>
        </w:rPr>
        <w:t>Higher Rates of Type 2 Diabetes</w:t>
      </w:r>
    </w:p>
    <w:p w14:paraId="6B4CCA57" w14:textId="77777777" w:rsidR="0026390E" w:rsidRPr="0026390E" w:rsidRDefault="0026390E" w:rsidP="0026390E">
      <w:pPr>
        <w:spacing w:line="360" w:lineRule="auto"/>
        <w:jc w:val="both"/>
        <w:rPr>
          <w:rFonts w:ascii="Arial" w:hAnsi="Arial" w:cs="Arial"/>
        </w:rPr>
      </w:pPr>
      <w:r w:rsidRPr="0026390E">
        <w:rPr>
          <w:rFonts w:ascii="Arial" w:hAnsi="Arial" w:cs="Arial"/>
        </w:rPr>
        <w:t>​</w:t>
      </w:r>
      <w:r w:rsidRPr="00AA1D52">
        <w:rPr>
          <w:rFonts w:ascii="Arial" w:hAnsi="Arial" w:cs="Arial"/>
          <w:i/>
          <w:iCs/>
        </w:rPr>
        <w:t>Epidemiological Data &amp; Risk Analysis</w:t>
      </w:r>
    </w:p>
    <w:p w14:paraId="761A346A" w14:textId="64BA0F2C" w:rsidR="002D5751" w:rsidRPr="0026390E" w:rsidRDefault="0026390E" w:rsidP="0026390E">
      <w:pPr>
        <w:spacing w:line="360" w:lineRule="auto"/>
        <w:jc w:val="both"/>
        <w:rPr>
          <w:rFonts w:ascii="Arial" w:hAnsi="Arial" w:cs="Arial"/>
        </w:rPr>
      </w:pPr>
      <w:r w:rsidRPr="0026390E">
        <w:rPr>
          <w:rFonts w:ascii="Arial" w:hAnsi="Arial" w:cs="Arial"/>
        </w:rPr>
        <w:t>​Data from UK Health Security Agency (UKHSA) and NHS Digital indicate that adults of South Asian origin (Indian, Pakistani, Bangladeshi) are two to four times more likely to develop Type 2 Diabetes Mellitus (T2DM) than their White British counterparts, often developing the condition up to a decade earlier and at a lower Body Mass Index (BMI) threshold. Black African and Black Caribbean groups similarly show a two-fold increased risk. These disparities stem from a complex interaction of genetic predisposition to visceral adiposity combined with environmental stressors, dietary transition, and systemic barriers in access to early diabetes screening. The above disparities arise due to complex interactions between genetic disposition towards visceral obesity coupled with environmental stress, dietary shift, and structural barriers to accessing early diabetes screening services.</w:t>
      </w:r>
    </w:p>
    <w:p w14:paraId="747B375D" w14:textId="77777777" w:rsidR="0026390E" w:rsidRPr="00AA1D52" w:rsidRDefault="0026390E" w:rsidP="0026390E">
      <w:pPr>
        <w:spacing w:line="360" w:lineRule="auto"/>
        <w:jc w:val="both"/>
        <w:rPr>
          <w:rFonts w:ascii="Arial" w:hAnsi="Arial" w:cs="Arial"/>
          <w:i/>
          <w:iCs/>
        </w:rPr>
      </w:pPr>
      <w:r w:rsidRPr="00AA1D52">
        <w:rPr>
          <w:rFonts w:ascii="Arial" w:hAnsi="Arial" w:cs="Arial"/>
          <w:i/>
          <w:iCs/>
        </w:rPr>
        <w:t>Solutions &amp; Public Health Challenges</w:t>
      </w:r>
    </w:p>
    <w:p w14:paraId="3607E3CC" w14:textId="77777777" w:rsidR="00E336E7" w:rsidRDefault="0026390E" w:rsidP="0026390E">
      <w:pPr>
        <w:spacing w:line="360" w:lineRule="auto"/>
        <w:jc w:val="both"/>
        <w:rPr>
          <w:rFonts w:ascii="Arial" w:hAnsi="Arial" w:cs="Arial"/>
        </w:rPr>
      </w:pPr>
      <w:r w:rsidRPr="0026390E">
        <w:rPr>
          <w:rFonts w:ascii="Arial" w:hAnsi="Arial" w:cs="Arial"/>
        </w:rPr>
        <w:t>Solutions involve culturally modified interventions that address diabetes prevention and management. One example would be translation of educational material into the primary language (Urdu, Bengali, Gujarati) and provision of screening through community-based testing facilities at places of worship. Yet, budgetary constraints and static clinical model impede sustained community engagement.</w:t>
      </w:r>
    </w:p>
    <w:p w14:paraId="54FF677D" w14:textId="77777777" w:rsidR="00233766" w:rsidRDefault="004A2F80" w:rsidP="008C5D2C">
      <w:pPr>
        <w:spacing w:line="360" w:lineRule="auto"/>
        <w:jc w:val="both"/>
        <w:rPr>
          <w:rFonts w:ascii="Arial" w:hAnsi="Arial" w:cs="Arial"/>
        </w:rPr>
      </w:pPr>
      <w:r w:rsidRPr="0026390E">
        <w:rPr>
          <w:rFonts w:ascii="Arial" w:hAnsi="Arial" w:cs="Arial"/>
        </w:rPr>
        <w:lastRenderedPageBreak/>
        <w:t>Blood pressure screening in the community (for instance, in barbershops, community centers, and pharmacies) can be an effective solution in this case. But it will require continued efforts in primary care and equal treatment of the patients by doctors.</w:t>
      </w:r>
    </w:p>
    <w:p w14:paraId="48DBF8F5" w14:textId="77777777" w:rsidR="00233766" w:rsidRDefault="00233766" w:rsidP="008C5D2C">
      <w:pPr>
        <w:spacing w:line="360" w:lineRule="auto"/>
        <w:jc w:val="both"/>
        <w:rPr>
          <w:rFonts w:ascii="Arial" w:hAnsi="Arial" w:cs="Arial"/>
        </w:rPr>
      </w:pPr>
    </w:p>
    <w:p w14:paraId="55355373" w14:textId="01F6629B" w:rsidR="009359B1" w:rsidRDefault="00446A6F" w:rsidP="008C5D2C">
      <w:pPr>
        <w:spacing w:line="360" w:lineRule="auto"/>
        <w:jc w:val="both"/>
        <w:rPr>
          <w:rFonts w:ascii="Arial" w:hAnsi="Arial" w:cs="Arial"/>
          <w:b/>
          <w:bCs/>
        </w:rPr>
      </w:pPr>
      <w:r>
        <w:rPr>
          <w:rFonts w:ascii="Arial" w:hAnsi="Arial" w:cs="Arial"/>
          <w:b/>
          <w:bCs/>
        </w:rPr>
        <w:t>FIGURE</w:t>
      </w:r>
      <w:r w:rsidR="00AE0C78">
        <w:rPr>
          <w:rFonts w:ascii="Arial" w:hAnsi="Arial" w:cs="Arial"/>
          <w:b/>
          <w:bCs/>
        </w:rPr>
        <w:t xml:space="preserve"> 1: </w:t>
      </w:r>
      <w:r w:rsidR="00BD77C3" w:rsidRPr="002A0116">
        <w:rPr>
          <w:rFonts w:ascii="Arial" w:hAnsi="Arial" w:cs="Arial"/>
          <w:b/>
          <w:bCs/>
        </w:rPr>
        <w:t>Relative Risk Ratio Compared with White British (Reference Category = 1.0)</w:t>
      </w:r>
    </w:p>
    <w:p w14:paraId="7F998BE2" w14:textId="039F73A5" w:rsidR="00045CAB" w:rsidRPr="005E4BBF" w:rsidRDefault="006F267B" w:rsidP="008C5D2C">
      <w:pPr>
        <w:spacing w:line="360" w:lineRule="auto"/>
        <w:jc w:val="both"/>
        <w:rPr>
          <w:rFonts w:ascii="Arial" w:hAnsi="Arial" w:cs="Arial"/>
          <w:b/>
          <w:bCs/>
        </w:rPr>
      </w:pPr>
      <w:proofErr w:type="gramStart"/>
      <w:r>
        <w:rPr>
          <w:rFonts w:ascii="Arial" w:hAnsi="Arial" w:cs="Arial"/>
          <w:b/>
          <w:bCs/>
        </w:rPr>
        <w:t>SOURCE :</w:t>
      </w:r>
      <w:proofErr w:type="gramEnd"/>
      <w:r>
        <w:rPr>
          <w:rFonts w:ascii="Arial" w:hAnsi="Arial" w:cs="Arial"/>
          <w:b/>
          <w:bCs/>
        </w:rPr>
        <w:t xml:space="preserve"> self</w:t>
      </w:r>
      <w:r w:rsidR="00375F3A">
        <w:rPr>
          <w:rFonts w:ascii="Arial" w:hAnsi="Arial" w:cs="Arial"/>
          <w:b/>
          <w:bCs/>
        </w:rPr>
        <w:t>-</w:t>
      </w:r>
      <w:r>
        <w:rPr>
          <w:rFonts w:ascii="Arial" w:hAnsi="Arial" w:cs="Arial"/>
          <w:b/>
          <w:bCs/>
        </w:rPr>
        <w:t xml:space="preserve">designed </w:t>
      </w:r>
      <w:r w:rsidR="004839D9">
        <w:rPr>
          <w:rFonts w:ascii="Arial" w:hAnsi="Arial" w:cs="Arial"/>
          <w:b/>
          <w:bCs/>
        </w:rPr>
        <w:t>(</w:t>
      </w:r>
      <w:r w:rsidR="0049402A">
        <w:rPr>
          <w:rFonts w:ascii="Arial" w:hAnsi="Arial" w:cs="Arial"/>
          <w:b/>
          <w:bCs/>
        </w:rPr>
        <w:t>adapted from UKHSA 2023 an</w:t>
      </w:r>
      <w:r w:rsidR="003F2EE7">
        <w:rPr>
          <w:rFonts w:ascii="Arial" w:hAnsi="Arial" w:cs="Arial"/>
          <w:b/>
          <w:bCs/>
        </w:rPr>
        <w:t>d NHS digital 2022)</w:t>
      </w:r>
    </w:p>
    <w:p w14:paraId="4D484C10" w14:textId="377DC64F" w:rsidR="006D1DAE" w:rsidRPr="002A0116" w:rsidRDefault="00CF1336" w:rsidP="008C5D2C">
      <w:pPr>
        <w:spacing w:line="360" w:lineRule="auto"/>
        <w:jc w:val="both"/>
        <w:rPr>
          <w:rFonts w:ascii="Arial" w:hAnsi="Arial" w:cs="Arial"/>
          <w:b/>
          <w:bCs/>
        </w:rPr>
      </w:pPr>
      <w:r>
        <w:rPr>
          <w:rFonts w:ascii="Arial" w:hAnsi="Arial" w:cs="Arial"/>
          <w:b/>
          <w:bCs/>
          <w:noProof/>
        </w:rPr>
        <w:drawing>
          <wp:inline distT="0" distB="0" distL="0" distR="0" wp14:anchorId="6F2DA714" wp14:editId="77C1E4CC">
            <wp:extent cx="5486400" cy="3200400"/>
            <wp:effectExtent l="0" t="0" r="0" b="0"/>
            <wp:docPr id="31852532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B34A4E" w14:textId="71E52A58" w:rsidR="00BD77C3" w:rsidRPr="00BD77C3" w:rsidRDefault="00BD77C3" w:rsidP="008C5D2C">
      <w:pPr>
        <w:spacing w:line="360" w:lineRule="auto"/>
        <w:jc w:val="both"/>
        <w:rPr>
          <w:rFonts w:ascii="Arial" w:hAnsi="Arial" w:cs="Arial"/>
        </w:rPr>
      </w:pPr>
      <w:r w:rsidRPr="00BD77C3">
        <w:rPr>
          <w:rFonts w:ascii="Arial" w:hAnsi="Arial" w:cs="Arial"/>
        </w:rPr>
        <w:t>South Asian</w:t>
      </w:r>
      <w:r w:rsidR="004630C7">
        <w:rPr>
          <w:rFonts w:ascii="Arial" w:hAnsi="Arial" w:cs="Arial"/>
        </w:rPr>
        <w:t xml:space="preserve">: </w:t>
      </w:r>
      <w:r w:rsidRPr="00BD77C3">
        <w:rPr>
          <w:rFonts w:ascii="Arial" w:hAnsi="Arial" w:cs="Arial"/>
        </w:rPr>
        <w:t>3.0x - 4.0x Greater Risk</w:t>
      </w:r>
      <w:r w:rsidR="00B024C9">
        <w:rPr>
          <w:rFonts w:ascii="Arial" w:hAnsi="Arial" w:cs="Arial"/>
        </w:rPr>
        <w:t xml:space="preserve">                   </w:t>
      </w:r>
      <w:r w:rsidRPr="00BD77C3">
        <w:rPr>
          <w:rFonts w:ascii="Arial" w:hAnsi="Arial" w:cs="Arial"/>
        </w:rPr>
        <w:t xml:space="preserve">Black </w:t>
      </w:r>
      <w:proofErr w:type="gramStart"/>
      <w:r w:rsidR="0015203F">
        <w:rPr>
          <w:rFonts w:ascii="Arial" w:hAnsi="Arial" w:cs="Arial"/>
        </w:rPr>
        <w:t>Afr</w:t>
      </w:r>
      <w:r w:rsidR="004630C7">
        <w:rPr>
          <w:rFonts w:ascii="Arial" w:hAnsi="Arial" w:cs="Arial"/>
        </w:rPr>
        <w:t>ican :</w:t>
      </w:r>
      <w:proofErr w:type="gramEnd"/>
      <w:r w:rsidR="004630C7">
        <w:rPr>
          <w:rFonts w:ascii="Arial" w:hAnsi="Arial" w:cs="Arial"/>
        </w:rPr>
        <w:t xml:space="preserve"> </w:t>
      </w:r>
      <w:r w:rsidRPr="00BD77C3">
        <w:rPr>
          <w:rFonts w:ascii="Arial" w:hAnsi="Arial" w:cs="Arial"/>
        </w:rPr>
        <w:t>2.0x Greater Risk</w:t>
      </w:r>
    </w:p>
    <w:p w14:paraId="3F6A4348" w14:textId="3B768752" w:rsidR="00BD77C3" w:rsidRDefault="00BD77C3" w:rsidP="008C5D2C">
      <w:pPr>
        <w:spacing w:line="360" w:lineRule="auto"/>
        <w:jc w:val="both"/>
        <w:rPr>
          <w:rFonts w:ascii="Arial" w:hAnsi="Arial" w:cs="Arial"/>
        </w:rPr>
      </w:pPr>
      <w:r w:rsidRPr="00BD77C3">
        <w:rPr>
          <w:rFonts w:ascii="Arial" w:hAnsi="Arial" w:cs="Arial"/>
        </w:rPr>
        <w:t>Black Caribbean</w:t>
      </w:r>
      <w:r w:rsidR="008F3612">
        <w:rPr>
          <w:rFonts w:ascii="Arial" w:hAnsi="Arial" w:cs="Arial"/>
        </w:rPr>
        <w:t xml:space="preserve">: </w:t>
      </w:r>
      <w:r w:rsidRPr="00BD77C3">
        <w:rPr>
          <w:rFonts w:ascii="Arial" w:hAnsi="Arial" w:cs="Arial"/>
        </w:rPr>
        <w:t>2.0x Greater Risk</w:t>
      </w:r>
      <w:r w:rsidR="00B024C9">
        <w:rPr>
          <w:rFonts w:ascii="Arial" w:hAnsi="Arial" w:cs="Arial"/>
        </w:rPr>
        <w:t xml:space="preserve">                      </w:t>
      </w:r>
      <w:r w:rsidRPr="00BD77C3">
        <w:rPr>
          <w:rFonts w:ascii="Arial" w:hAnsi="Arial" w:cs="Arial"/>
        </w:rPr>
        <w:t>White British</w:t>
      </w:r>
      <w:r w:rsidR="008F3612">
        <w:rPr>
          <w:rFonts w:ascii="Arial" w:hAnsi="Arial" w:cs="Arial"/>
        </w:rPr>
        <w:t xml:space="preserve">: </w:t>
      </w:r>
      <w:r w:rsidRPr="00BD77C3">
        <w:rPr>
          <w:rFonts w:ascii="Arial" w:hAnsi="Arial" w:cs="Arial"/>
        </w:rPr>
        <w:t>1.0x (Reference Category)</w:t>
      </w:r>
    </w:p>
    <w:p w14:paraId="5D284515" w14:textId="77777777" w:rsidR="003D42AA" w:rsidRPr="003D42AA" w:rsidRDefault="003D42AA" w:rsidP="003D42AA">
      <w:pPr>
        <w:spacing w:line="360" w:lineRule="auto"/>
        <w:jc w:val="both"/>
        <w:rPr>
          <w:rFonts w:ascii="Arial" w:hAnsi="Arial" w:cs="Arial"/>
        </w:rPr>
      </w:pPr>
      <w:r w:rsidRPr="003D42AA">
        <w:rPr>
          <w:rFonts w:ascii="Arial" w:hAnsi="Arial" w:cs="Arial"/>
        </w:rPr>
        <w:t>Important Characteristics of Risk for South Asian Population:</w:t>
      </w:r>
    </w:p>
    <w:p w14:paraId="6CEF2944" w14:textId="77777777" w:rsidR="003D42AA" w:rsidRPr="003D42AA" w:rsidRDefault="003D42AA" w:rsidP="003D42AA">
      <w:pPr>
        <w:spacing w:line="360" w:lineRule="auto"/>
        <w:jc w:val="both"/>
        <w:rPr>
          <w:rFonts w:ascii="Arial" w:hAnsi="Arial" w:cs="Arial"/>
        </w:rPr>
      </w:pPr>
      <w:r w:rsidRPr="003D42AA">
        <w:rPr>
          <w:rFonts w:ascii="Arial" w:hAnsi="Arial" w:cs="Arial"/>
        </w:rPr>
        <w:t>• Early onset (10 years earlier)</w:t>
      </w:r>
    </w:p>
    <w:p w14:paraId="520948C6" w14:textId="78787CD4" w:rsidR="003D42AA" w:rsidRPr="000554D4" w:rsidRDefault="003D42AA" w:rsidP="0026390E">
      <w:pPr>
        <w:spacing w:line="360" w:lineRule="auto"/>
        <w:jc w:val="both"/>
        <w:rPr>
          <w:rFonts w:ascii="Arial" w:hAnsi="Arial" w:cs="Arial"/>
        </w:rPr>
      </w:pPr>
      <w:r w:rsidRPr="003D42AA">
        <w:rPr>
          <w:rFonts w:ascii="Arial" w:hAnsi="Arial" w:cs="Arial"/>
        </w:rPr>
        <w:t>• BMI</w:t>
      </w:r>
    </w:p>
    <w:p w14:paraId="43C97BE1" w14:textId="77777777" w:rsidR="003D42AA" w:rsidRDefault="003D42AA" w:rsidP="0026390E">
      <w:pPr>
        <w:spacing w:line="360" w:lineRule="auto"/>
        <w:jc w:val="both"/>
        <w:rPr>
          <w:rFonts w:ascii="Arial" w:hAnsi="Arial" w:cs="Arial"/>
          <w:b/>
          <w:bCs/>
          <w:i/>
          <w:iCs/>
        </w:rPr>
      </w:pPr>
    </w:p>
    <w:p w14:paraId="67BACA12" w14:textId="497CCCFD" w:rsidR="0026390E" w:rsidRPr="00A404AB" w:rsidRDefault="00783EF5" w:rsidP="0026390E">
      <w:pPr>
        <w:spacing w:line="360" w:lineRule="auto"/>
        <w:jc w:val="both"/>
        <w:rPr>
          <w:rFonts w:ascii="Arial" w:hAnsi="Arial" w:cs="Arial"/>
          <w:b/>
          <w:bCs/>
        </w:rPr>
      </w:pPr>
      <w:r>
        <w:rPr>
          <w:rFonts w:ascii="Arial" w:hAnsi="Arial" w:cs="Arial"/>
          <w:b/>
          <w:bCs/>
        </w:rPr>
        <w:t>2</w:t>
      </w:r>
      <w:r w:rsidR="00A404AB" w:rsidRPr="00A404AB">
        <w:rPr>
          <w:rFonts w:ascii="Arial" w:hAnsi="Arial" w:cs="Arial"/>
          <w:b/>
          <w:bCs/>
        </w:rPr>
        <w:t xml:space="preserve">.2 </w:t>
      </w:r>
      <w:r w:rsidR="0026390E" w:rsidRPr="00A404AB">
        <w:rPr>
          <w:rFonts w:ascii="Arial" w:hAnsi="Arial" w:cs="Arial"/>
          <w:b/>
          <w:bCs/>
        </w:rPr>
        <w:t>Disparities in Maternal Mortality and Perinatal Outcomes</w:t>
      </w:r>
    </w:p>
    <w:p w14:paraId="03E700E4" w14:textId="77777777" w:rsidR="0026390E" w:rsidRPr="00A404AB" w:rsidRDefault="0026390E" w:rsidP="0026390E">
      <w:pPr>
        <w:spacing w:line="360" w:lineRule="auto"/>
        <w:jc w:val="both"/>
        <w:rPr>
          <w:rFonts w:ascii="Arial" w:hAnsi="Arial" w:cs="Arial"/>
          <w:i/>
          <w:iCs/>
        </w:rPr>
      </w:pPr>
      <w:r w:rsidRPr="00A404AB">
        <w:rPr>
          <w:rFonts w:ascii="Arial" w:hAnsi="Arial" w:cs="Arial"/>
          <w:i/>
          <w:iCs/>
        </w:rPr>
        <w:t>Epidemiological Data &amp; Risk Analysis</w:t>
      </w:r>
    </w:p>
    <w:p w14:paraId="5019D0F7" w14:textId="77777777" w:rsidR="0026390E" w:rsidRPr="0026390E" w:rsidRDefault="0026390E" w:rsidP="0026390E">
      <w:pPr>
        <w:spacing w:line="360" w:lineRule="auto"/>
        <w:jc w:val="both"/>
        <w:rPr>
          <w:rFonts w:ascii="Arial" w:hAnsi="Arial" w:cs="Arial"/>
        </w:rPr>
      </w:pPr>
      <w:r w:rsidRPr="0026390E">
        <w:rPr>
          <w:rFonts w:ascii="Arial" w:hAnsi="Arial" w:cs="Arial"/>
        </w:rPr>
        <w:lastRenderedPageBreak/>
        <w:t>According to MBRRACE-UK national surveillance reports, there is 3.7 times increased maternal mortality risk for Black British women compared to White women; and 2 times greater maternal mortality risk for Asian women. In addition, high rates of stillbirth persist for Black and Asian babies. Social epidemiology reveals that these shocking disparities result from late antenatal booking, failure to take into account existing clinical risks (gestational diabetes, pre-eclampsia) and implicit bias of clinical professionals that results in neglect of women's complaints.</w:t>
      </w:r>
    </w:p>
    <w:p w14:paraId="09727F08" w14:textId="77777777" w:rsidR="0026390E" w:rsidRPr="00A404AB" w:rsidRDefault="0026390E" w:rsidP="0026390E">
      <w:pPr>
        <w:spacing w:line="360" w:lineRule="auto"/>
        <w:jc w:val="both"/>
        <w:rPr>
          <w:rFonts w:ascii="Arial" w:hAnsi="Arial" w:cs="Arial"/>
          <w:i/>
          <w:iCs/>
        </w:rPr>
      </w:pPr>
      <w:r w:rsidRPr="00A404AB">
        <w:rPr>
          <w:rFonts w:ascii="Arial" w:hAnsi="Arial" w:cs="Arial"/>
          <w:i/>
          <w:iCs/>
        </w:rPr>
        <w:t>Solutions &amp; Public Health Challenges</w:t>
      </w:r>
    </w:p>
    <w:p w14:paraId="023439E1" w14:textId="77777777" w:rsidR="00C9566F" w:rsidRDefault="0026390E" w:rsidP="0026390E">
      <w:pPr>
        <w:spacing w:line="360" w:lineRule="auto"/>
        <w:jc w:val="both"/>
        <w:rPr>
          <w:rFonts w:ascii="Arial" w:hAnsi="Arial" w:cs="Arial"/>
        </w:rPr>
      </w:pPr>
      <w:r w:rsidRPr="0026390E">
        <w:rPr>
          <w:rFonts w:ascii="Arial" w:hAnsi="Arial" w:cs="Arial"/>
        </w:rPr>
        <w:t>The proposed solutions relate to continuity-of-carer maternity models and anti-racism training for clinicians. The main difficulty is to ensure implementation of these resource-heavy continuity care models among understaffed NHS trusts.</w:t>
      </w:r>
      <w:r w:rsidR="00C9566F">
        <w:rPr>
          <w:rFonts w:ascii="Arial" w:hAnsi="Arial" w:cs="Arial"/>
        </w:rPr>
        <w:t xml:space="preserve"> </w:t>
      </w:r>
    </w:p>
    <w:p w14:paraId="08800D95" w14:textId="17A0BE4D" w:rsidR="00E336E7" w:rsidRDefault="00C9566F" w:rsidP="0026390E">
      <w:pPr>
        <w:spacing w:line="360" w:lineRule="auto"/>
        <w:jc w:val="both"/>
        <w:rPr>
          <w:rFonts w:ascii="Arial" w:hAnsi="Arial" w:cs="Arial"/>
          <w:b/>
          <w:bCs/>
        </w:rPr>
      </w:pPr>
      <w:r>
        <w:rPr>
          <w:rFonts w:ascii="Arial" w:hAnsi="Arial" w:cs="Arial"/>
        </w:rPr>
        <w:t xml:space="preserve">      </w:t>
      </w:r>
      <w:r w:rsidR="003F2EE7">
        <w:rPr>
          <w:rFonts w:ascii="Arial" w:hAnsi="Arial" w:cs="Arial"/>
          <w:b/>
          <w:bCs/>
        </w:rPr>
        <w:t xml:space="preserve">FIGURE </w:t>
      </w:r>
      <w:r w:rsidR="00AE0C78">
        <w:rPr>
          <w:rFonts w:ascii="Arial" w:hAnsi="Arial" w:cs="Arial"/>
          <w:b/>
          <w:bCs/>
        </w:rPr>
        <w:t>2</w:t>
      </w:r>
      <w:r w:rsidRPr="00C9566F">
        <w:rPr>
          <w:rFonts w:ascii="Arial" w:hAnsi="Arial" w:cs="Arial"/>
          <w:b/>
          <w:bCs/>
        </w:rPr>
        <w:t>: Maternal Mortality Risk disparities by ethnic group in the UK</w:t>
      </w:r>
    </w:p>
    <w:p w14:paraId="674327FC" w14:textId="2D8CA60B" w:rsidR="00375F3A" w:rsidRPr="00C9566F" w:rsidRDefault="00590FD4" w:rsidP="0026390E">
      <w:pPr>
        <w:spacing w:line="360" w:lineRule="auto"/>
        <w:jc w:val="both"/>
        <w:rPr>
          <w:rFonts w:ascii="Arial" w:hAnsi="Arial" w:cs="Arial"/>
          <w:b/>
          <w:bCs/>
        </w:rPr>
      </w:pPr>
      <w:r>
        <w:rPr>
          <w:rFonts w:ascii="Arial" w:hAnsi="Arial" w:cs="Arial"/>
          <w:b/>
          <w:bCs/>
        </w:rPr>
        <w:t xml:space="preserve">      </w:t>
      </w:r>
      <w:proofErr w:type="gramStart"/>
      <w:r w:rsidR="003F2EE7">
        <w:rPr>
          <w:rFonts w:ascii="Arial" w:hAnsi="Arial" w:cs="Arial"/>
          <w:b/>
          <w:bCs/>
        </w:rPr>
        <w:t>SOURCE :</w:t>
      </w:r>
      <w:proofErr w:type="gramEnd"/>
      <w:r w:rsidR="00C050C0">
        <w:rPr>
          <w:rFonts w:ascii="Arial" w:hAnsi="Arial" w:cs="Arial"/>
          <w:b/>
          <w:bCs/>
        </w:rPr>
        <w:t xml:space="preserve"> MBRRACE-UK</w:t>
      </w:r>
      <w:r>
        <w:rPr>
          <w:rFonts w:ascii="Arial" w:hAnsi="Arial" w:cs="Arial"/>
          <w:b/>
          <w:bCs/>
        </w:rPr>
        <w:t xml:space="preserve"> 2023</w:t>
      </w:r>
    </w:p>
    <w:tbl>
      <w:tblPr>
        <w:tblStyle w:val="TableGrid"/>
        <w:tblW w:w="0" w:type="auto"/>
        <w:tblLook w:val="04A0" w:firstRow="1" w:lastRow="0" w:firstColumn="1" w:lastColumn="0" w:noHBand="0" w:noVBand="1"/>
      </w:tblPr>
      <w:tblGrid>
        <w:gridCol w:w="2281"/>
        <w:gridCol w:w="2281"/>
        <w:gridCol w:w="3561"/>
      </w:tblGrid>
      <w:tr w:rsidR="00AE0C78" w14:paraId="777BA792" w14:textId="77777777" w:rsidTr="00375F3A">
        <w:trPr>
          <w:trHeight w:val="415"/>
        </w:trPr>
        <w:tc>
          <w:tcPr>
            <w:tcW w:w="2281" w:type="dxa"/>
            <w:shd w:val="clear" w:color="auto" w:fill="B4C6E7" w:themeFill="accent5" w:themeFillTint="66"/>
            <w:vAlign w:val="center"/>
          </w:tcPr>
          <w:p w14:paraId="4792CB6B" w14:textId="77777777" w:rsidR="00AE0C78" w:rsidRDefault="00AE0C78" w:rsidP="00375F3A">
            <w:pPr>
              <w:spacing w:line="360" w:lineRule="auto"/>
              <w:jc w:val="both"/>
              <w:rPr>
                <w:rFonts w:ascii="Arial" w:hAnsi="Arial" w:cs="Arial"/>
              </w:rPr>
            </w:pPr>
          </w:p>
          <w:p w14:paraId="659291C0" w14:textId="77777777" w:rsidR="00AE0C78" w:rsidRPr="00D47443" w:rsidRDefault="00AE0C78" w:rsidP="00375F3A">
            <w:pPr>
              <w:spacing w:line="360" w:lineRule="auto"/>
              <w:jc w:val="both"/>
              <w:rPr>
                <w:rFonts w:ascii="Arial" w:hAnsi="Arial" w:cs="Arial"/>
                <w:b/>
                <w:bCs/>
              </w:rPr>
            </w:pPr>
            <w:r>
              <w:rPr>
                <w:rFonts w:ascii="Arial" w:hAnsi="Arial" w:cs="Arial"/>
              </w:rPr>
              <w:t xml:space="preserve">   </w:t>
            </w:r>
            <w:r w:rsidRPr="00D47443">
              <w:rPr>
                <w:rFonts w:ascii="Arial" w:hAnsi="Arial" w:cs="Arial"/>
                <w:b/>
                <w:bCs/>
              </w:rPr>
              <w:t xml:space="preserve">Ethnic Group </w:t>
            </w:r>
          </w:p>
        </w:tc>
        <w:tc>
          <w:tcPr>
            <w:tcW w:w="2281" w:type="dxa"/>
            <w:shd w:val="clear" w:color="auto" w:fill="B4C6E7" w:themeFill="accent5" w:themeFillTint="66"/>
            <w:vAlign w:val="center"/>
          </w:tcPr>
          <w:p w14:paraId="42EE5056" w14:textId="77777777" w:rsidR="00AE0C78" w:rsidRPr="00D47443" w:rsidRDefault="00AE0C78" w:rsidP="00375F3A">
            <w:pPr>
              <w:spacing w:line="360" w:lineRule="auto"/>
              <w:jc w:val="both"/>
              <w:rPr>
                <w:rFonts w:ascii="Arial" w:hAnsi="Arial" w:cs="Arial"/>
                <w:b/>
                <w:bCs/>
              </w:rPr>
            </w:pPr>
          </w:p>
          <w:p w14:paraId="4B8CC810" w14:textId="77777777" w:rsidR="00AE0C78" w:rsidRPr="00D47443" w:rsidRDefault="00AE0C78" w:rsidP="00375F3A">
            <w:pPr>
              <w:spacing w:line="360" w:lineRule="auto"/>
              <w:jc w:val="both"/>
              <w:rPr>
                <w:rFonts w:ascii="Arial" w:hAnsi="Arial" w:cs="Arial"/>
                <w:b/>
                <w:bCs/>
              </w:rPr>
            </w:pPr>
            <w:r w:rsidRPr="00D47443">
              <w:rPr>
                <w:rFonts w:ascii="Arial" w:hAnsi="Arial" w:cs="Arial"/>
                <w:b/>
                <w:bCs/>
              </w:rPr>
              <w:t xml:space="preserve">Mortality Risk ratio </w:t>
            </w:r>
          </w:p>
        </w:tc>
        <w:tc>
          <w:tcPr>
            <w:tcW w:w="3561" w:type="dxa"/>
            <w:shd w:val="clear" w:color="auto" w:fill="B4C6E7" w:themeFill="accent5" w:themeFillTint="66"/>
            <w:vAlign w:val="center"/>
          </w:tcPr>
          <w:p w14:paraId="72E3D8F6" w14:textId="77777777" w:rsidR="00AE0C78" w:rsidRDefault="00AE0C78" w:rsidP="00375F3A">
            <w:pPr>
              <w:spacing w:line="360" w:lineRule="auto"/>
              <w:jc w:val="both"/>
              <w:rPr>
                <w:rFonts w:ascii="Arial" w:hAnsi="Arial" w:cs="Arial"/>
              </w:rPr>
            </w:pPr>
          </w:p>
          <w:p w14:paraId="2A075CB0" w14:textId="77777777" w:rsidR="00AE0C78" w:rsidRDefault="00AE0C78" w:rsidP="00375F3A">
            <w:pPr>
              <w:spacing w:line="360" w:lineRule="auto"/>
              <w:jc w:val="both"/>
              <w:rPr>
                <w:rFonts w:ascii="Arial" w:hAnsi="Arial" w:cs="Arial"/>
              </w:rPr>
            </w:pPr>
            <w:r w:rsidRPr="00D07E80">
              <w:rPr>
                <w:rFonts w:ascii="Arial" w:hAnsi="Arial" w:cs="Arial"/>
                <w:b/>
                <w:bCs/>
              </w:rPr>
              <w:t>Key contributing risk</w:t>
            </w:r>
            <w:r>
              <w:rPr>
                <w:rFonts w:ascii="Arial" w:hAnsi="Arial" w:cs="Arial"/>
              </w:rPr>
              <w:t xml:space="preserve"> </w:t>
            </w:r>
            <w:r w:rsidRPr="00D07E80">
              <w:rPr>
                <w:rFonts w:ascii="Arial" w:hAnsi="Arial" w:cs="Arial"/>
                <w:b/>
                <w:bCs/>
              </w:rPr>
              <w:t>factors</w:t>
            </w:r>
            <w:r>
              <w:rPr>
                <w:rFonts w:ascii="Arial" w:hAnsi="Arial" w:cs="Arial"/>
              </w:rPr>
              <w:t xml:space="preserve"> </w:t>
            </w:r>
          </w:p>
        </w:tc>
      </w:tr>
      <w:tr w:rsidR="00AE0C78" w14:paraId="2C01EBB3" w14:textId="77777777" w:rsidTr="00375F3A">
        <w:trPr>
          <w:trHeight w:val="835"/>
        </w:trPr>
        <w:tc>
          <w:tcPr>
            <w:tcW w:w="2281" w:type="dxa"/>
            <w:shd w:val="clear" w:color="auto" w:fill="B4C6E7" w:themeFill="accent5" w:themeFillTint="66"/>
            <w:vAlign w:val="center"/>
          </w:tcPr>
          <w:p w14:paraId="5DD891DC" w14:textId="77777777" w:rsidR="00AE0C78" w:rsidRDefault="00AE0C78" w:rsidP="00375F3A">
            <w:pPr>
              <w:spacing w:line="360" w:lineRule="auto"/>
              <w:jc w:val="both"/>
              <w:rPr>
                <w:rFonts w:ascii="Arial" w:hAnsi="Arial" w:cs="Arial"/>
              </w:rPr>
            </w:pPr>
          </w:p>
          <w:p w14:paraId="58608EA5" w14:textId="77777777" w:rsidR="00AE0C78" w:rsidRDefault="00AE0C78" w:rsidP="00375F3A">
            <w:pPr>
              <w:spacing w:line="360" w:lineRule="auto"/>
              <w:jc w:val="both"/>
              <w:rPr>
                <w:rFonts w:ascii="Arial" w:hAnsi="Arial" w:cs="Arial"/>
              </w:rPr>
            </w:pPr>
            <w:r>
              <w:rPr>
                <w:rFonts w:ascii="Arial" w:hAnsi="Arial" w:cs="Arial"/>
              </w:rPr>
              <w:t xml:space="preserve">Black British women </w:t>
            </w:r>
          </w:p>
        </w:tc>
        <w:tc>
          <w:tcPr>
            <w:tcW w:w="2281" w:type="dxa"/>
            <w:shd w:val="clear" w:color="auto" w:fill="B4C6E7" w:themeFill="accent5" w:themeFillTint="66"/>
            <w:vAlign w:val="center"/>
          </w:tcPr>
          <w:p w14:paraId="0B4D3519" w14:textId="77777777" w:rsidR="00AE0C78" w:rsidRDefault="00AE0C78" w:rsidP="00375F3A">
            <w:pPr>
              <w:spacing w:line="360" w:lineRule="auto"/>
              <w:jc w:val="both"/>
              <w:rPr>
                <w:rFonts w:ascii="Arial" w:hAnsi="Arial" w:cs="Arial"/>
              </w:rPr>
            </w:pPr>
          </w:p>
          <w:p w14:paraId="2BFABBCD" w14:textId="77777777" w:rsidR="00AE0C78" w:rsidRDefault="00AE0C78" w:rsidP="00375F3A">
            <w:pPr>
              <w:spacing w:line="360" w:lineRule="auto"/>
              <w:jc w:val="both"/>
              <w:rPr>
                <w:rFonts w:ascii="Arial" w:hAnsi="Arial" w:cs="Arial"/>
              </w:rPr>
            </w:pPr>
            <w:r>
              <w:rPr>
                <w:rFonts w:ascii="Arial" w:hAnsi="Arial" w:cs="Arial"/>
              </w:rPr>
              <w:t>3.7x</w:t>
            </w:r>
          </w:p>
        </w:tc>
        <w:tc>
          <w:tcPr>
            <w:tcW w:w="3561" w:type="dxa"/>
            <w:shd w:val="clear" w:color="auto" w:fill="B4C6E7" w:themeFill="accent5" w:themeFillTint="66"/>
            <w:vAlign w:val="center"/>
          </w:tcPr>
          <w:p w14:paraId="4D037865" w14:textId="77777777" w:rsidR="00AE0C78" w:rsidRDefault="00AE0C78" w:rsidP="00375F3A">
            <w:pPr>
              <w:spacing w:line="360" w:lineRule="auto"/>
              <w:jc w:val="both"/>
              <w:rPr>
                <w:rFonts w:ascii="Arial" w:hAnsi="Arial" w:cs="Arial"/>
              </w:rPr>
            </w:pPr>
          </w:p>
          <w:p w14:paraId="192E9B20" w14:textId="77777777" w:rsidR="00AE0C78" w:rsidRDefault="00AE0C78" w:rsidP="00375F3A">
            <w:pPr>
              <w:spacing w:line="360" w:lineRule="auto"/>
              <w:jc w:val="both"/>
              <w:rPr>
                <w:rFonts w:ascii="Arial" w:hAnsi="Arial" w:cs="Arial"/>
              </w:rPr>
            </w:pPr>
            <w:r w:rsidRPr="00C57FF2">
              <w:rPr>
                <w:rFonts w:ascii="Arial" w:hAnsi="Arial" w:cs="Arial"/>
              </w:rPr>
              <w:t>Booking during late pregnancy, hidden clinical biases, pre-eclampsia/gestational diabetes not managed</w:t>
            </w:r>
            <w:r>
              <w:rPr>
                <w:rFonts w:ascii="Arial" w:hAnsi="Arial" w:cs="Arial"/>
              </w:rPr>
              <w:t>.</w:t>
            </w:r>
          </w:p>
        </w:tc>
      </w:tr>
      <w:tr w:rsidR="00AE0C78" w14:paraId="0CDFEC2B" w14:textId="77777777" w:rsidTr="00375F3A">
        <w:trPr>
          <w:trHeight w:val="694"/>
        </w:trPr>
        <w:tc>
          <w:tcPr>
            <w:tcW w:w="2281" w:type="dxa"/>
            <w:shd w:val="clear" w:color="auto" w:fill="B4C6E7" w:themeFill="accent5" w:themeFillTint="66"/>
            <w:vAlign w:val="center"/>
          </w:tcPr>
          <w:p w14:paraId="60BBFA08" w14:textId="77777777" w:rsidR="00AE0C78" w:rsidRDefault="00AE0C78" w:rsidP="00375F3A">
            <w:pPr>
              <w:spacing w:line="360" w:lineRule="auto"/>
              <w:jc w:val="both"/>
              <w:rPr>
                <w:rFonts w:ascii="Arial" w:hAnsi="Arial" w:cs="Arial"/>
              </w:rPr>
            </w:pPr>
          </w:p>
          <w:p w14:paraId="2673F41A" w14:textId="77777777" w:rsidR="00AE0C78" w:rsidRDefault="00AE0C78" w:rsidP="00375F3A">
            <w:pPr>
              <w:spacing w:line="360" w:lineRule="auto"/>
              <w:jc w:val="both"/>
              <w:rPr>
                <w:rFonts w:ascii="Arial" w:hAnsi="Arial" w:cs="Arial"/>
              </w:rPr>
            </w:pPr>
            <w:r>
              <w:rPr>
                <w:rFonts w:ascii="Arial" w:hAnsi="Arial" w:cs="Arial"/>
              </w:rPr>
              <w:t xml:space="preserve">Asian British women </w:t>
            </w:r>
          </w:p>
        </w:tc>
        <w:tc>
          <w:tcPr>
            <w:tcW w:w="2281" w:type="dxa"/>
            <w:shd w:val="clear" w:color="auto" w:fill="B4C6E7" w:themeFill="accent5" w:themeFillTint="66"/>
            <w:vAlign w:val="center"/>
          </w:tcPr>
          <w:p w14:paraId="49685233" w14:textId="77777777" w:rsidR="00AE0C78" w:rsidRDefault="00AE0C78" w:rsidP="00375F3A">
            <w:pPr>
              <w:spacing w:line="360" w:lineRule="auto"/>
              <w:jc w:val="both"/>
              <w:rPr>
                <w:rFonts w:ascii="Arial" w:hAnsi="Arial" w:cs="Arial"/>
              </w:rPr>
            </w:pPr>
          </w:p>
          <w:p w14:paraId="422656AE" w14:textId="77777777" w:rsidR="00AE0C78" w:rsidRDefault="00AE0C78" w:rsidP="00375F3A">
            <w:pPr>
              <w:spacing w:line="360" w:lineRule="auto"/>
              <w:jc w:val="both"/>
              <w:rPr>
                <w:rFonts w:ascii="Arial" w:hAnsi="Arial" w:cs="Arial"/>
              </w:rPr>
            </w:pPr>
            <w:r>
              <w:rPr>
                <w:rFonts w:ascii="Arial" w:hAnsi="Arial" w:cs="Arial"/>
              </w:rPr>
              <w:t>2.0x</w:t>
            </w:r>
          </w:p>
        </w:tc>
        <w:tc>
          <w:tcPr>
            <w:tcW w:w="3561" w:type="dxa"/>
            <w:shd w:val="clear" w:color="auto" w:fill="B4C6E7" w:themeFill="accent5" w:themeFillTint="66"/>
            <w:vAlign w:val="center"/>
          </w:tcPr>
          <w:p w14:paraId="53D8171E" w14:textId="77777777" w:rsidR="00AE0C78" w:rsidRDefault="00AE0C78" w:rsidP="00375F3A">
            <w:pPr>
              <w:spacing w:line="360" w:lineRule="auto"/>
              <w:jc w:val="both"/>
              <w:rPr>
                <w:rFonts w:ascii="Arial" w:hAnsi="Arial" w:cs="Arial"/>
              </w:rPr>
            </w:pPr>
          </w:p>
          <w:p w14:paraId="23FBC5CC" w14:textId="77777777" w:rsidR="00AE0C78" w:rsidRDefault="00AE0C78" w:rsidP="00375F3A">
            <w:pPr>
              <w:spacing w:line="360" w:lineRule="auto"/>
              <w:jc w:val="both"/>
              <w:rPr>
                <w:rFonts w:ascii="Arial" w:hAnsi="Arial" w:cs="Arial"/>
              </w:rPr>
            </w:pPr>
            <w:r w:rsidRPr="00056D06">
              <w:rPr>
                <w:rFonts w:ascii="Arial" w:hAnsi="Arial" w:cs="Arial"/>
              </w:rPr>
              <w:t>Late clinical presentation, communication problems, lack of assessment of risks</w:t>
            </w:r>
            <w:r>
              <w:rPr>
                <w:rFonts w:ascii="Arial" w:hAnsi="Arial" w:cs="Arial"/>
              </w:rPr>
              <w:t>.</w:t>
            </w:r>
          </w:p>
        </w:tc>
      </w:tr>
      <w:tr w:rsidR="00AE0C78" w14:paraId="1087CE8A" w14:textId="77777777" w:rsidTr="00375F3A">
        <w:trPr>
          <w:trHeight w:val="276"/>
        </w:trPr>
        <w:tc>
          <w:tcPr>
            <w:tcW w:w="2281" w:type="dxa"/>
            <w:shd w:val="clear" w:color="auto" w:fill="B4C6E7" w:themeFill="accent5" w:themeFillTint="66"/>
            <w:vAlign w:val="center"/>
          </w:tcPr>
          <w:p w14:paraId="0573E4EC" w14:textId="77777777" w:rsidR="00AE0C78" w:rsidRDefault="00AE0C78" w:rsidP="00375F3A">
            <w:pPr>
              <w:spacing w:line="360" w:lineRule="auto"/>
              <w:jc w:val="both"/>
              <w:rPr>
                <w:rFonts w:ascii="Arial" w:hAnsi="Arial" w:cs="Arial"/>
              </w:rPr>
            </w:pPr>
          </w:p>
          <w:p w14:paraId="4A21E728" w14:textId="77777777" w:rsidR="00AE0C78" w:rsidRDefault="00AE0C78" w:rsidP="00375F3A">
            <w:pPr>
              <w:spacing w:line="360" w:lineRule="auto"/>
              <w:jc w:val="both"/>
              <w:rPr>
                <w:rFonts w:ascii="Arial" w:hAnsi="Arial" w:cs="Arial"/>
              </w:rPr>
            </w:pPr>
            <w:r>
              <w:rPr>
                <w:rFonts w:ascii="Arial" w:hAnsi="Arial" w:cs="Arial"/>
              </w:rPr>
              <w:t xml:space="preserve">White British women </w:t>
            </w:r>
          </w:p>
          <w:p w14:paraId="11ADD6EE" w14:textId="77777777" w:rsidR="00AE0C78" w:rsidRDefault="00AE0C78" w:rsidP="00375F3A">
            <w:pPr>
              <w:spacing w:line="360" w:lineRule="auto"/>
              <w:jc w:val="both"/>
              <w:rPr>
                <w:rFonts w:ascii="Arial" w:hAnsi="Arial" w:cs="Arial"/>
              </w:rPr>
            </w:pPr>
          </w:p>
        </w:tc>
        <w:tc>
          <w:tcPr>
            <w:tcW w:w="2281" w:type="dxa"/>
            <w:shd w:val="clear" w:color="auto" w:fill="B4C6E7" w:themeFill="accent5" w:themeFillTint="66"/>
            <w:vAlign w:val="center"/>
          </w:tcPr>
          <w:p w14:paraId="551B236E" w14:textId="77777777" w:rsidR="00AE0C78" w:rsidRDefault="00AE0C78" w:rsidP="00375F3A">
            <w:pPr>
              <w:spacing w:line="360" w:lineRule="auto"/>
              <w:jc w:val="both"/>
              <w:rPr>
                <w:rFonts w:ascii="Arial" w:hAnsi="Arial" w:cs="Arial"/>
              </w:rPr>
            </w:pPr>
          </w:p>
          <w:p w14:paraId="0D2B0AEE" w14:textId="77777777" w:rsidR="00AE0C78" w:rsidRDefault="00AE0C78" w:rsidP="00375F3A">
            <w:pPr>
              <w:spacing w:line="360" w:lineRule="auto"/>
              <w:jc w:val="both"/>
              <w:rPr>
                <w:rFonts w:ascii="Arial" w:hAnsi="Arial" w:cs="Arial"/>
              </w:rPr>
            </w:pPr>
            <w:r>
              <w:rPr>
                <w:rFonts w:ascii="Arial" w:hAnsi="Arial" w:cs="Arial"/>
              </w:rPr>
              <w:t>1.0x</w:t>
            </w:r>
          </w:p>
        </w:tc>
        <w:tc>
          <w:tcPr>
            <w:tcW w:w="3561" w:type="dxa"/>
            <w:shd w:val="clear" w:color="auto" w:fill="B4C6E7" w:themeFill="accent5" w:themeFillTint="66"/>
            <w:vAlign w:val="center"/>
          </w:tcPr>
          <w:p w14:paraId="474F0961" w14:textId="77777777" w:rsidR="00AE0C78" w:rsidRDefault="00AE0C78" w:rsidP="00375F3A">
            <w:pPr>
              <w:spacing w:line="360" w:lineRule="auto"/>
              <w:jc w:val="both"/>
              <w:rPr>
                <w:rFonts w:ascii="Arial" w:hAnsi="Arial" w:cs="Arial"/>
              </w:rPr>
            </w:pPr>
          </w:p>
          <w:p w14:paraId="3E279B91" w14:textId="77777777" w:rsidR="00AE0C78" w:rsidRDefault="00AE0C78" w:rsidP="00375F3A">
            <w:pPr>
              <w:spacing w:line="360" w:lineRule="auto"/>
              <w:jc w:val="both"/>
              <w:rPr>
                <w:rFonts w:ascii="Arial" w:hAnsi="Arial" w:cs="Arial"/>
              </w:rPr>
            </w:pPr>
            <w:r w:rsidRPr="00D47443">
              <w:rPr>
                <w:rFonts w:ascii="Arial" w:hAnsi="Arial" w:cs="Arial"/>
              </w:rPr>
              <w:t>Standard to compare against</w:t>
            </w:r>
          </w:p>
        </w:tc>
      </w:tr>
    </w:tbl>
    <w:p w14:paraId="1D740914" w14:textId="77777777" w:rsidR="003B047E" w:rsidRDefault="003B047E" w:rsidP="0026390E">
      <w:pPr>
        <w:spacing w:line="360" w:lineRule="auto"/>
        <w:jc w:val="both"/>
        <w:rPr>
          <w:rFonts w:ascii="Arial" w:hAnsi="Arial" w:cs="Arial"/>
        </w:rPr>
      </w:pPr>
    </w:p>
    <w:p w14:paraId="3C16DC4C" w14:textId="77777777" w:rsidR="00E335AC" w:rsidRDefault="00E335AC" w:rsidP="0026390E">
      <w:pPr>
        <w:spacing w:line="360" w:lineRule="auto"/>
        <w:jc w:val="both"/>
        <w:rPr>
          <w:rFonts w:ascii="Arial" w:hAnsi="Arial" w:cs="Arial"/>
          <w:b/>
          <w:bCs/>
          <w:i/>
          <w:iCs/>
        </w:rPr>
      </w:pPr>
    </w:p>
    <w:p w14:paraId="3395BF08" w14:textId="5A59A4DF" w:rsidR="0026390E" w:rsidRPr="002E3828" w:rsidRDefault="00E335AC" w:rsidP="0026390E">
      <w:pPr>
        <w:spacing w:line="360" w:lineRule="auto"/>
        <w:jc w:val="both"/>
        <w:rPr>
          <w:rFonts w:ascii="Arial" w:hAnsi="Arial" w:cs="Arial"/>
        </w:rPr>
      </w:pPr>
      <w:r>
        <w:rPr>
          <w:rFonts w:ascii="Arial" w:hAnsi="Arial" w:cs="Arial"/>
          <w:b/>
          <w:bCs/>
          <w:i/>
          <w:iCs/>
        </w:rPr>
        <w:t>2</w:t>
      </w:r>
      <w:r w:rsidR="002E3828" w:rsidRPr="002E3828">
        <w:rPr>
          <w:rFonts w:ascii="Arial" w:hAnsi="Arial" w:cs="Arial"/>
          <w:b/>
          <w:bCs/>
        </w:rPr>
        <w:t>.</w:t>
      </w:r>
      <w:r w:rsidR="00A82B05">
        <w:rPr>
          <w:rFonts w:ascii="Arial" w:hAnsi="Arial" w:cs="Arial"/>
          <w:b/>
          <w:bCs/>
        </w:rPr>
        <w:t xml:space="preserve">3 </w:t>
      </w:r>
      <w:r w:rsidR="0026390E" w:rsidRPr="002E3828">
        <w:rPr>
          <w:rFonts w:ascii="Arial" w:hAnsi="Arial" w:cs="Arial"/>
          <w:b/>
          <w:bCs/>
        </w:rPr>
        <w:t>Higher Risk and Incidence of Cardiovascular Disease (CVD)</w:t>
      </w:r>
    </w:p>
    <w:p w14:paraId="12CE6EB3" w14:textId="77777777" w:rsidR="0026390E" w:rsidRPr="0026390E" w:rsidRDefault="0026390E" w:rsidP="0026390E">
      <w:pPr>
        <w:spacing w:line="360" w:lineRule="auto"/>
        <w:jc w:val="both"/>
        <w:rPr>
          <w:rFonts w:ascii="Arial" w:hAnsi="Arial" w:cs="Arial"/>
        </w:rPr>
      </w:pPr>
      <w:r w:rsidRPr="0026390E">
        <w:rPr>
          <w:rFonts w:ascii="Arial" w:hAnsi="Arial" w:cs="Arial"/>
        </w:rPr>
        <w:t>​</w:t>
      </w:r>
      <w:r w:rsidRPr="002E3828">
        <w:rPr>
          <w:rFonts w:ascii="Arial" w:hAnsi="Arial" w:cs="Arial"/>
          <w:i/>
          <w:iCs/>
        </w:rPr>
        <w:t>Epidemiological Evidence and Risk Assessment</w:t>
      </w:r>
    </w:p>
    <w:p w14:paraId="147985DF" w14:textId="77777777" w:rsidR="0026390E" w:rsidRPr="0026390E" w:rsidRDefault="0026390E" w:rsidP="0026390E">
      <w:pPr>
        <w:spacing w:line="360" w:lineRule="auto"/>
        <w:jc w:val="both"/>
        <w:rPr>
          <w:rFonts w:ascii="Arial" w:hAnsi="Arial" w:cs="Arial"/>
        </w:rPr>
      </w:pPr>
      <w:r w:rsidRPr="0026390E">
        <w:rPr>
          <w:rFonts w:ascii="Arial" w:hAnsi="Arial" w:cs="Arial"/>
        </w:rPr>
        <w:lastRenderedPageBreak/>
        <w:t>​Office for National Statistics (ONS) and UKHSA figures reveal that the South Asian communities in the UK have a 50% greater risk of death due to coronary heart disease (CHD) than the national average. The Black Caribbean communities have increased incidence of hypertension and strokes. These issues arise because of disproportionate exposure to chronic psychosocial stress, high consumption of salt associated with processed diets, and lower chances of early detection of hypertension in primary care.</w:t>
      </w:r>
    </w:p>
    <w:p w14:paraId="1511825F" w14:textId="77777777" w:rsidR="0026390E" w:rsidRPr="002E3828" w:rsidRDefault="0026390E" w:rsidP="0026390E">
      <w:pPr>
        <w:spacing w:line="360" w:lineRule="auto"/>
        <w:jc w:val="both"/>
        <w:rPr>
          <w:rFonts w:ascii="Arial" w:hAnsi="Arial" w:cs="Arial"/>
          <w:i/>
          <w:iCs/>
        </w:rPr>
      </w:pPr>
      <w:r w:rsidRPr="0026390E">
        <w:rPr>
          <w:rFonts w:ascii="Arial" w:hAnsi="Arial" w:cs="Arial"/>
        </w:rPr>
        <w:t>​</w:t>
      </w:r>
      <w:r w:rsidRPr="002E3828">
        <w:rPr>
          <w:rFonts w:ascii="Arial" w:hAnsi="Arial" w:cs="Arial"/>
          <w:i/>
          <w:iCs/>
        </w:rPr>
        <w:t>Possible Solutions and Public Health Issues</w:t>
      </w:r>
    </w:p>
    <w:p w14:paraId="2515F8F6" w14:textId="77777777" w:rsidR="00A82B05" w:rsidRDefault="0026390E" w:rsidP="0026390E">
      <w:pPr>
        <w:spacing w:line="360" w:lineRule="auto"/>
        <w:jc w:val="both"/>
        <w:rPr>
          <w:rFonts w:ascii="Arial" w:hAnsi="Arial" w:cs="Arial"/>
        </w:rPr>
      </w:pPr>
      <w:r w:rsidRPr="0026390E">
        <w:rPr>
          <w:rFonts w:ascii="Arial" w:hAnsi="Arial" w:cs="Arial"/>
        </w:rPr>
        <w:t>​Blood pressure screening in the community (for instance, in barbershops, community centers, and pharmacies) can be an effective solution in this case. But it will require continued efforts in primary care and equal treatment of the patients by doctors.</w:t>
      </w:r>
    </w:p>
    <w:p w14:paraId="6C679B77" w14:textId="3F2AC902" w:rsidR="0026390E" w:rsidRPr="00A82B05" w:rsidRDefault="00E335AC" w:rsidP="0026390E">
      <w:pPr>
        <w:spacing w:line="360" w:lineRule="auto"/>
        <w:jc w:val="both"/>
        <w:rPr>
          <w:rFonts w:ascii="Arial" w:hAnsi="Arial" w:cs="Arial"/>
        </w:rPr>
      </w:pPr>
      <w:r>
        <w:rPr>
          <w:rFonts w:ascii="Arial" w:hAnsi="Arial" w:cs="Arial"/>
          <w:b/>
          <w:bCs/>
        </w:rPr>
        <w:t>2</w:t>
      </w:r>
      <w:r w:rsidR="00A82B05">
        <w:rPr>
          <w:rFonts w:ascii="Arial" w:hAnsi="Arial" w:cs="Arial"/>
          <w:b/>
          <w:bCs/>
        </w:rPr>
        <w:t xml:space="preserve">.4 </w:t>
      </w:r>
      <w:r w:rsidR="0026390E" w:rsidRPr="002E3828">
        <w:rPr>
          <w:rFonts w:ascii="Arial" w:hAnsi="Arial" w:cs="Arial"/>
          <w:b/>
          <w:bCs/>
        </w:rPr>
        <w:t>Structural Racism and Discrimination in Healthcare</w:t>
      </w:r>
    </w:p>
    <w:p w14:paraId="5DC40423" w14:textId="77777777" w:rsidR="0026390E" w:rsidRPr="0026390E" w:rsidRDefault="0026390E" w:rsidP="0026390E">
      <w:pPr>
        <w:spacing w:line="360" w:lineRule="auto"/>
        <w:jc w:val="both"/>
        <w:rPr>
          <w:rFonts w:ascii="Arial" w:hAnsi="Arial" w:cs="Arial"/>
        </w:rPr>
      </w:pPr>
      <w:r w:rsidRPr="0026390E">
        <w:rPr>
          <w:rFonts w:ascii="Arial" w:hAnsi="Arial" w:cs="Arial"/>
        </w:rPr>
        <w:t>​</w:t>
      </w:r>
      <w:r w:rsidRPr="00A82B05">
        <w:rPr>
          <w:rFonts w:ascii="Arial" w:hAnsi="Arial" w:cs="Arial"/>
          <w:i/>
          <w:iCs/>
        </w:rPr>
        <w:t>Social Factors and Risk Assessment</w:t>
      </w:r>
    </w:p>
    <w:p w14:paraId="43DF9FBC" w14:textId="77777777" w:rsidR="0026390E" w:rsidRPr="0026390E" w:rsidRDefault="0026390E" w:rsidP="0026390E">
      <w:pPr>
        <w:spacing w:line="360" w:lineRule="auto"/>
        <w:jc w:val="both"/>
        <w:rPr>
          <w:rFonts w:ascii="Arial" w:hAnsi="Arial" w:cs="Arial"/>
        </w:rPr>
      </w:pPr>
      <w:r w:rsidRPr="0026390E">
        <w:rPr>
          <w:rFonts w:ascii="Arial" w:hAnsi="Arial" w:cs="Arial"/>
        </w:rPr>
        <w:t>​Inequality in access to specialized care, poor quality of interactions between the patient and doctors, and hidden bias in the diagnostic process are the consequences of structural racism in healthcare institutions. Research carried out by NHS Race and Health Observatory shows that ethnic minorities often feel that they are unheard or stereotyped during their clinical encounter, resulting in delayed presentation and decreased trust towards public health strategies.</w:t>
      </w:r>
    </w:p>
    <w:p w14:paraId="74FFD426" w14:textId="77777777" w:rsidR="0026390E" w:rsidRPr="0026390E" w:rsidRDefault="0026390E" w:rsidP="0026390E">
      <w:pPr>
        <w:spacing w:line="360" w:lineRule="auto"/>
        <w:jc w:val="both"/>
        <w:rPr>
          <w:rFonts w:ascii="Arial" w:hAnsi="Arial" w:cs="Arial"/>
        </w:rPr>
      </w:pPr>
      <w:r w:rsidRPr="0026390E">
        <w:rPr>
          <w:rFonts w:ascii="Arial" w:hAnsi="Arial" w:cs="Arial"/>
        </w:rPr>
        <w:t>​</w:t>
      </w:r>
      <w:r w:rsidRPr="00A82B05">
        <w:rPr>
          <w:rFonts w:ascii="Arial" w:hAnsi="Arial" w:cs="Arial"/>
          <w:i/>
          <w:iCs/>
        </w:rPr>
        <w:t>Solutions &amp; Public Health Challenges</w:t>
      </w:r>
    </w:p>
    <w:p w14:paraId="157AA261" w14:textId="77777777" w:rsidR="0026390E" w:rsidRPr="0026390E" w:rsidRDefault="0026390E" w:rsidP="0026390E">
      <w:pPr>
        <w:spacing w:line="360" w:lineRule="auto"/>
        <w:jc w:val="both"/>
        <w:rPr>
          <w:rFonts w:ascii="Arial" w:hAnsi="Arial" w:cs="Arial"/>
        </w:rPr>
      </w:pPr>
      <w:r w:rsidRPr="0026390E">
        <w:rPr>
          <w:rFonts w:ascii="Arial" w:hAnsi="Arial" w:cs="Arial"/>
        </w:rPr>
        <w:t>​Systematic change needs mandatory cultural competency training, antiracism education in clinical education, and race equality indicators being integrated into NHS governance. The refusal of admitting institutionalized racism is one of the major barriers.</w:t>
      </w:r>
    </w:p>
    <w:p w14:paraId="1CB41E5C" w14:textId="0961C1A7" w:rsidR="0026390E" w:rsidRPr="0026390E" w:rsidRDefault="0026390E" w:rsidP="0026390E">
      <w:pPr>
        <w:spacing w:line="360" w:lineRule="auto"/>
        <w:jc w:val="both"/>
        <w:rPr>
          <w:rFonts w:ascii="Arial" w:hAnsi="Arial" w:cs="Arial"/>
        </w:rPr>
      </w:pPr>
      <w:r w:rsidRPr="0026390E">
        <w:rPr>
          <w:rFonts w:ascii="Arial" w:hAnsi="Arial" w:cs="Arial"/>
        </w:rPr>
        <w:t>​</w:t>
      </w:r>
      <w:r w:rsidR="00E335AC">
        <w:rPr>
          <w:rFonts w:ascii="Arial" w:hAnsi="Arial" w:cs="Arial"/>
          <w:b/>
          <w:bCs/>
        </w:rPr>
        <w:t>2</w:t>
      </w:r>
      <w:r w:rsidR="00A82B05">
        <w:rPr>
          <w:rFonts w:ascii="Arial" w:hAnsi="Arial" w:cs="Arial"/>
          <w:b/>
          <w:bCs/>
        </w:rPr>
        <w:t xml:space="preserve">.5 </w:t>
      </w:r>
      <w:r w:rsidRPr="002E3828">
        <w:rPr>
          <w:rFonts w:ascii="Arial" w:hAnsi="Arial" w:cs="Arial"/>
          <w:b/>
          <w:bCs/>
        </w:rPr>
        <w:t>Overcrowding &amp; Poor Housing Standards</w:t>
      </w:r>
    </w:p>
    <w:p w14:paraId="44FD6EF6" w14:textId="77777777" w:rsidR="0026390E" w:rsidRPr="0026390E" w:rsidRDefault="0026390E" w:rsidP="0026390E">
      <w:pPr>
        <w:spacing w:line="360" w:lineRule="auto"/>
        <w:jc w:val="both"/>
        <w:rPr>
          <w:rFonts w:ascii="Arial" w:hAnsi="Arial" w:cs="Arial"/>
        </w:rPr>
      </w:pPr>
      <w:r w:rsidRPr="0026390E">
        <w:rPr>
          <w:rFonts w:ascii="Arial" w:hAnsi="Arial" w:cs="Arial"/>
        </w:rPr>
        <w:t>​</w:t>
      </w:r>
      <w:r w:rsidRPr="00A82B05">
        <w:rPr>
          <w:rFonts w:ascii="Arial" w:hAnsi="Arial" w:cs="Arial"/>
          <w:i/>
          <w:iCs/>
        </w:rPr>
        <w:t>Social Context &amp; Risk Analysis</w:t>
      </w:r>
    </w:p>
    <w:p w14:paraId="6130F224" w14:textId="07D63D7E" w:rsidR="005A5E50" w:rsidRDefault="0026390E" w:rsidP="0026390E">
      <w:pPr>
        <w:spacing w:line="360" w:lineRule="auto"/>
        <w:jc w:val="both"/>
        <w:rPr>
          <w:rFonts w:ascii="Arial" w:hAnsi="Arial" w:cs="Arial"/>
        </w:rPr>
      </w:pPr>
      <w:r w:rsidRPr="0026390E">
        <w:rPr>
          <w:rFonts w:ascii="Arial" w:hAnsi="Arial" w:cs="Arial"/>
        </w:rPr>
        <w:t xml:space="preserve">​Analysis of ONS census shows that ethnic minorities households have significantly higher chances to live in overcrowded, wet, or </w:t>
      </w:r>
      <w:proofErr w:type="gramStart"/>
      <w:r w:rsidRPr="0026390E">
        <w:rPr>
          <w:rFonts w:ascii="Arial" w:hAnsi="Arial" w:cs="Arial"/>
        </w:rPr>
        <w:t>poor</w:t>
      </w:r>
      <w:r w:rsidR="00BE187C">
        <w:rPr>
          <w:rFonts w:ascii="Arial" w:hAnsi="Arial" w:cs="Arial"/>
        </w:rPr>
        <w:t xml:space="preserve"> </w:t>
      </w:r>
      <w:r w:rsidRPr="0026390E">
        <w:rPr>
          <w:rFonts w:ascii="Arial" w:hAnsi="Arial" w:cs="Arial"/>
        </w:rPr>
        <w:t>quality</w:t>
      </w:r>
      <w:proofErr w:type="gramEnd"/>
      <w:r w:rsidRPr="0026390E">
        <w:rPr>
          <w:rFonts w:ascii="Arial" w:hAnsi="Arial" w:cs="Arial"/>
        </w:rPr>
        <w:t xml:space="preserve"> houses. Almost 30% of Bangladeshi and 16% of Black African households face residential overcrowding, while only less than 2% of White British population live in overcrowded conditions. Residential overcrowding increases the speed of spread of respiratory infectious diseases (COVID-19 is an example) and adds pressure on mental well-being. </w:t>
      </w:r>
    </w:p>
    <w:p w14:paraId="4996AE68" w14:textId="67DB3FF1" w:rsidR="0026390E" w:rsidRPr="005A5E50" w:rsidRDefault="0026390E" w:rsidP="0026390E">
      <w:pPr>
        <w:spacing w:line="360" w:lineRule="auto"/>
        <w:jc w:val="both"/>
        <w:rPr>
          <w:rFonts w:ascii="Arial" w:hAnsi="Arial" w:cs="Arial"/>
          <w:i/>
          <w:iCs/>
        </w:rPr>
      </w:pPr>
      <w:r w:rsidRPr="005A5E50">
        <w:rPr>
          <w:rFonts w:ascii="Arial" w:hAnsi="Arial" w:cs="Arial"/>
          <w:i/>
          <w:iCs/>
        </w:rPr>
        <w:lastRenderedPageBreak/>
        <w:t>Solutions &amp; Public Health Challenges</w:t>
      </w:r>
    </w:p>
    <w:p w14:paraId="34AD99DC" w14:textId="057B33AF" w:rsidR="0026390E" w:rsidRDefault="0026390E" w:rsidP="0026390E">
      <w:pPr>
        <w:spacing w:line="360" w:lineRule="auto"/>
        <w:jc w:val="both"/>
        <w:rPr>
          <w:rFonts w:ascii="Arial" w:hAnsi="Arial" w:cs="Arial"/>
        </w:rPr>
      </w:pPr>
      <w:r w:rsidRPr="0026390E">
        <w:rPr>
          <w:rFonts w:ascii="Arial" w:hAnsi="Arial" w:cs="Arial"/>
        </w:rPr>
        <w:t>​Combating housing-related inequalities demands cross-sectorial policy-making, cooperation between public health departments and local authorities on the enforcement of housing standards. Urban expensive land prices and reduced funding of local authorities are among the main challenges.</w:t>
      </w:r>
    </w:p>
    <w:p w14:paraId="10AB926A" w14:textId="413C8E32" w:rsidR="00BE3595" w:rsidRDefault="0097316A" w:rsidP="0026390E">
      <w:pPr>
        <w:spacing w:line="360" w:lineRule="auto"/>
        <w:jc w:val="both"/>
        <w:rPr>
          <w:rFonts w:ascii="Arial" w:hAnsi="Arial" w:cs="Arial"/>
          <w:b/>
          <w:bCs/>
        </w:rPr>
      </w:pPr>
      <w:r w:rsidRPr="0097316A">
        <w:rPr>
          <w:rFonts w:ascii="Arial" w:hAnsi="Arial" w:cs="Arial"/>
          <w:b/>
          <w:bCs/>
        </w:rPr>
        <w:t xml:space="preserve">                </w:t>
      </w:r>
      <w:r w:rsidR="00BE3595" w:rsidRPr="0097316A">
        <w:rPr>
          <w:rFonts w:ascii="Arial" w:hAnsi="Arial" w:cs="Arial"/>
          <w:b/>
          <w:bCs/>
        </w:rPr>
        <w:t>FIGURE</w:t>
      </w:r>
      <w:r w:rsidR="00AE0C78">
        <w:rPr>
          <w:rFonts w:ascii="Arial" w:hAnsi="Arial" w:cs="Arial"/>
          <w:b/>
          <w:bCs/>
        </w:rPr>
        <w:t xml:space="preserve"> 3</w:t>
      </w:r>
      <w:r w:rsidR="00BE3595" w:rsidRPr="0097316A">
        <w:rPr>
          <w:rFonts w:ascii="Arial" w:hAnsi="Arial" w:cs="Arial"/>
          <w:b/>
          <w:bCs/>
        </w:rPr>
        <w:t>:</w:t>
      </w:r>
      <w:r w:rsidR="00E36485" w:rsidRPr="0097316A">
        <w:rPr>
          <w:rFonts w:ascii="Arial" w:hAnsi="Arial" w:cs="Arial"/>
          <w:b/>
          <w:bCs/>
        </w:rPr>
        <w:t xml:space="preserve"> Rates of Residential Overcrow</w:t>
      </w:r>
      <w:r w:rsidRPr="0097316A">
        <w:rPr>
          <w:rFonts w:ascii="Arial" w:hAnsi="Arial" w:cs="Arial"/>
          <w:b/>
          <w:bCs/>
        </w:rPr>
        <w:t>ding by Ethnic Group</w:t>
      </w:r>
    </w:p>
    <w:p w14:paraId="1BDCB2A3" w14:textId="18F59AA4" w:rsidR="00BD0323" w:rsidRPr="0097316A" w:rsidRDefault="00BD0323" w:rsidP="00130D42">
      <w:pPr>
        <w:spacing w:line="360" w:lineRule="auto"/>
        <w:ind w:left="720"/>
        <w:jc w:val="both"/>
        <w:rPr>
          <w:rFonts w:ascii="Arial" w:hAnsi="Arial" w:cs="Arial"/>
          <w:b/>
          <w:bCs/>
        </w:rPr>
      </w:pPr>
      <w:r>
        <w:rPr>
          <w:rFonts w:ascii="Arial" w:hAnsi="Arial" w:cs="Arial"/>
          <w:b/>
          <w:bCs/>
        </w:rPr>
        <w:t xml:space="preserve">Source: Self designed </w:t>
      </w:r>
      <w:proofErr w:type="gramStart"/>
      <w:r>
        <w:rPr>
          <w:rFonts w:ascii="Arial" w:hAnsi="Arial" w:cs="Arial"/>
          <w:b/>
          <w:bCs/>
        </w:rPr>
        <w:t>(</w:t>
      </w:r>
      <w:r w:rsidR="00C041D5">
        <w:rPr>
          <w:rFonts w:ascii="Arial" w:hAnsi="Arial" w:cs="Arial"/>
          <w:b/>
          <w:bCs/>
        </w:rPr>
        <w:t xml:space="preserve"> adapted</w:t>
      </w:r>
      <w:proofErr w:type="gramEnd"/>
      <w:r w:rsidR="00C041D5">
        <w:rPr>
          <w:rFonts w:ascii="Arial" w:hAnsi="Arial" w:cs="Arial"/>
          <w:b/>
          <w:bCs/>
        </w:rPr>
        <w:t xml:space="preserve"> from ONS </w:t>
      </w:r>
      <w:r w:rsidR="002B61FC">
        <w:rPr>
          <w:rFonts w:ascii="Arial" w:hAnsi="Arial" w:cs="Arial"/>
          <w:b/>
          <w:bCs/>
        </w:rPr>
        <w:t xml:space="preserve">2022 </w:t>
      </w:r>
      <w:r w:rsidR="00DF76FB">
        <w:rPr>
          <w:rFonts w:ascii="Arial" w:hAnsi="Arial" w:cs="Arial"/>
          <w:b/>
          <w:bCs/>
        </w:rPr>
        <w:t xml:space="preserve">and census </w:t>
      </w:r>
      <w:proofErr w:type="gramStart"/>
      <w:r w:rsidR="00DF76FB">
        <w:rPr>
          <w:rFonts w:ascii="Arial" w:hAnsi="Arial" w:cs="Arial"/>
          <w:b/>
          <w:bCs/>
        </w:rPr>
        <w:t>2021</w:t>
      </w:r>
      <w:r w:rsidR="00980C30">
        <w:rPr>
          <w:rFonts w:ascii="Arial" w:hAnsi="Arial" w:cs="Arial"/>
          <w:b/>
          <w:bCs/>
        </w:rPr>
        <w:t xml:space="preserve"> )</w:t>
      </w:r>
      <w:proofErr w:type="gramEnd"/>
    </w:p>
    <w:p w14:paraId="48405CFD" w14:textId="0DAFDED4" w:rsidR="00414BA0" w:rsidRDefault="007F6CC5" w:rsidP="0026390E">
      <w:pPr>
        <w:spacing w:line="360" w:lineRule="auto"/>
        <w:jc w:val="both"/>
        <w:rPr>
          <w:rFonts w:ascii="Arial" w:hAnsi="Arial" w:cs="Arial"/>
        </w:rPr>
      </w:pPr>
      <w:r>
        <w:rPr>
          <w:rFonts w:ascii="Arial" w:hAnsi="Arial" w:cs="Arial"/>
          <w:noProof/>
        </w:rPr>
        <w:drawing>
          <wp:inline distT="0" distB="0" distL="0" distR="0" wp14:anchorId="5DDFAFD2" wp14:editId="5874C5E8">
            <wp:extent cx="5486400" cy="3200400"/>
            <wp:effectExtent l="0" t="0" r="0" b="0"/>
            <wp:docPr id="89848455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242FB0" w14:textId="77777777" w:rsidR="00AE0C78" w:rsidRDefault="00AE0C78" w:rsidP="0026390E">
      <w:pPr>
        <w:spacing w:line="360" w:lineRule="auto"/>
        <w:jc w:val="both"/>
        <w:rPr>
          <w:rFonts w:ascii="Arial" w:hAnsi="Arial" w:cs="Arial"/>
          <w:b/>
          <w:bCs/>
          <w:i/>
          <w:iCs/>
        </w:rPr>
      </w:pPr>
    </w:p>
    <w:p w14:paraId="02F44ABE" w14:textId="193BDCA4" w:rsidR="0026390E" w:rsidRPr="005A5E50" w:rsidRDefault="00E335AC" w:rsidP="0026390E">
      <w:pPr>
        <w:spacing w:line="360" w:lineRule="auto"/>
        <w:jc w:val="both"/>
        <w:rPr>
          <w:rFonts w:ascii="Arial" w:hAnsi="Arial" w:cs="Arial"/>
          <w:b/>
          <w:bCs/>
        </w:rPr>
      </w:pPr>
      <w:r>
        <w:rPr>
          <w:rFonts w:ascii="Arial" w:hAnsi="Arial" w:cs="Arial"/>
          <w:b/>
          <w:bCs/>
        </w:rPr>
        <w:t>2</w:t>
      </w:r>
      <w:r w:rsidR="005A5E50" w:rsidRPr="005A5E50">
        <w:rPr>
          <w:rFonts w:ascii="Arial" w:hAnsi="Arial" w:cs="Arial"/>
          <w:b/>
          <w:bCs/>
        </w:rPr>
        <w:t xml:space="preserve">.6 </w:t>
      </w:r>
      <w:r w:rsidR="0026390E" w:rsidRPr="005A5E50">
        <w:rPr>
          <w:rFonts w:ascii="Arial" w:hAnsi="Arial" w:cs="Arial"/>
          <w:b/>
          <w:bCs/>
        </w:rPr>
        <w:t>Socioeconomic Deprivation and Income Poverty</w:t>
      </w:r>
    </w:p>
    <w:p w14:paraId="70E408E0" w14:textId="77777777" w:rsidR="0026390E" w:rsidRPr="0026390E" w:rsidRDefault="0026390E" w:rsidP="0026390E">
      <w:pPr>
        <w:spacing w:line="360" w:lineRule="auto"/>
        <w:jc w:val="both"/>
        <w:rPr>
          <w:rFonts w:ascii="Arial" w:hAnsi="Arial" w:cs="Arial"/>
        </w:rPr>
      </w:pPr>
      <w:r w:rsidRPr="0026390E">
        <w:rPr>
          <w:rFonts w:ascii="Arial" w:hAnsi="Arial" w:cs="Arial"/>
        </w:rPr>
        <w:t>​</w:t>
      </w:r>
      <w:r w:rsidRPr="005A5E50">
        <w:rPr>
          <w:rFonts w:ascii="Arial" w:hAnsi="Arial" w:cs="Arial"/>
          <w:i/>
          <w:iCs/>
        </w:rPr>
        <w:t>Social Context &amp; Risk Analysis</w:t>
      </w:r>
    </w:p>
    <w:p w14:paraId="77357FDF" w14:textId="77777777" w:rsidR="0026390E" w:rsidRPr="0026390E" w:rsidRDefault="0026390E" w:rsidP="0026390E">
      <w:pPr>
        <w:spacing w:line="360" w:lineRule="auto"/>
        <w:jc w:val="both"/>
        <w:rPr>
          <w:rFonts w:ascii="Arial" w:hAnsi="Arial" w:cs="Arial"/>
        </w:rPr>
      </w:pPr>
      <w:r w:rsidRPr="0026390E">
        <w:rPr>
          <w:rFonts w:ascii="Arial" w:hAnsi="Arial" w:cs="Arial"/>
        </w:rPr>
        <w:t>​Based on the Joseph Rowntree Foundation, more than 40% of people belonging to Asian and Black ethnic groups live in poor families in the UK, compared to just 20% of White British people. Socioeconomic status has a direct effect on material resources, nutrition, and living conditions, and represents the basic cause of health inequality (Link and Phelan, 1995).</w:t>
      </w:r>
    </w:p>
    <w:p w14:paraId="5A778093" w14:textId="77777777" w:rsidR="0026390E" w:rsidRPr="0026390E" w:rsidRDefault="0026390E" w:rsidP="0026390E">
      <w:pPr>
        <w:spacing w:line="360" w:lineRule="auto"/>
        <w:jc w:val="both"/>
        <w:rPr>
          <w:rFonts w:ascii="Arial" w:hAnsi="Arial" w:cs="Arial"/>
        </w:rPr>
      </w:pPr>
      <w:r w:rsidRPr="0026390E">
        <w:rPr>
          <w:rFonts w:ascii="Arial" w:hAnsi="Arial" w:cs="Arial"/>
        </w:rPr>
        <w:t>​</w:t>
      </w:r>
      <w:r w:rsidRPr="005A5E50">
        <w:rPr>
          <w:rFonts w:ascii="Arial" w:hAnsi="Arial" w:cs="Arial"/>
          <w:i/>
          <w:iCs/>
        </w:rPr>
        <w:t>Solutions &amp; Public Health Challenges</w:t>
      </w:r>
    </w:p>
    <w:p w14:paraId="358C7D44" w14:textId="77777777" w:rsidR="0026390E" w:rsidRPr="0026390E" w:rsidRDefault="0026390E" w:rsidP="0026390E">
      <w:pPr>
        <w:spacing w:line="360" w:lineRule="auto"/>
        <w:jc w:val="both"/>
        <w:rPr>
          <w:rFonts w:ascii="Arial" w:hAnsi="Arial" w:cs="Arial"/>
        </w:rPr>
      </w:pPr>
      <w:r w:rsidRPr="0026390E">
        <w:rPr>
          <w:rFonts w:ascii="Arial" w:hAnsi="Arial" w:cs="Arial"/>
        </w:rPr>
        <w:lastRenderedPageBreak/>
        <w:t>​It is imperative to have targeted social welfare networks, living wages, and community employment projects. Macroeconomic challenges and inflation often tend to counteract local anti-poverty policies.</w:t>
      </w:r>
    </w:p>
    <w:p w14:paraId="69AE68D3" w14:textId="14F4DB7E" w:rsidR="0026390E" w:rsidRPr="0026390E" w:rsidRDefault="0026390E" w:rsidP="0026390E">
      <w:pPr>
        <w:spacing w:line="360" w:lineRule="auto"/>
        <w:jc w:val="both"/>
        <w:rPr>
          <w:rFonts w:ascii="Arial" w:hAnsi="Arial" w:cs="Arial"/>
        </w:rPr>
      </w:pPr>
      <w:r w:rsidRPr="0026390E">
        <w:rPr>
          <w:rFonts w:ascii="Arial" w:hAnsi="Arial" w:cs="Arial"/>
        </w:rPr>
        <w:t>​</w:t>
      </w:r>
      <w:r w:rsidR="00CB393A">
        <w:rPr>
          <w:rFonts w:ascii="Arial" w:hAnsi="Arial" w:cs="Arial"/>
          <w:b/>
          <w:bCs/>
        </w:rPr>
        <w:t>3.</w:t>
      </w:r>
      <w:r w:rsidR="00E336E7" w:rsidRPr="00E336E7">
        <w:rPr>
          <w:rFonts w:ascii="Arial" w:hAnsi="Arial" w:cs="Arial"/>
          <w:b/>
          <w:bCs/>
        </w:rPr>
        <w:t xml:space="preserve"> </w:t>
      </w:r>
      <w:r w:rsidRPr="00E336E7">
        <w:rPr>
          <w:rFonts w:ascii="Arial" w:hAnsi="Arial" w:cs="Arial"/>
          <w:b/>
          <w:bCs/>
        </w:rPr>
        <w:t>National Strategy to Tackle Health Inequalities</w:t>
      </w:r>
    </w:p>
    <w:p w14:paraId="4BA8612F" w14:textId="3DAB751F" w:rsidR="00AE0C78" w:rsidRDefault="0026390E" w:rsidP="0026390E">
      <w:pPr>
        <w:spacing w:line="360" w:lineRule="auto"/>
        <w:jc w:val="both"/>
        <w:rPr>
          <w:rFonts w:ascii="Arial" w:hAnsi="Arial" w:cs="Arial"/>
        </w:rPr>
      </w:pPr>
      <w:r w:rsidRPr="0026390E">
        <w:rPr>
          <w:rFonts w:ascii="Arial" w:hAnsi="Arial" w:cs="Arial"/>
        </w:rPr>
        <w:t>​In order to tackle such structural inequalities, there have been established by national health agencies in England, specific policy frameworks that help to reduce health inequality:</w:t>
      </w:r>
    </w:p>
    <w:p w14:paraId="6D7ABDA5" w14:textId="4576F318" w:rsidR="00E336E7" w:rsidRPr="00EA2E31" w:rsidRDefault="00CB393A" w:rsidP="0026390E">
      <w:pPr>
        <w:spacing w:line="360" w:lineRule="auto"/>
        <w:jc w:val="both"/>
        <w:rPr>
          <w:rFonts w:ascii="Arial" w:hAnsi="Arial" w:cs="Arial"/>
          <w:b/>
          <w:bCs/>
        </w:rPr>
      </w:pPr>
      <w:r>
        <w:rPr>
          <w:rFonts w:ascii="Arial" w:hAnsi="Arial" w:cs="Arial"/>
          <w:b/>
          <w:bCs/>
        </w:rPr>
        <w:t>3.</w:t>
      </w:r>
      <w:r w:rsidR="00EA2E31" w:rsidRPr="00EA2E31">
        <w:rPr>
          <w:rFonts w:ascii="Arial" w:hAnsi="Arial" w:cs="Arial"/>
          <w:b/>
          <w:bCs/>
        </w:rPr>
        <w:t xml:space="preserve">1 </w:t>
      </w:r>
      <w:r w:rsidR="0026390E" w:rsidRPr="00EA2E31">
        <w:rPr>
          <w:rFonts w:ascii="Arial" w:hAnsi="Arial" w:cs="Arial"/>
          <w:b/>
          <w:bCs/>
        </w:rPr>
        <w:t>The NHS Core20PLUS5 Framework:</w:t>
      </w:r>
    </w:p>
    <w:p w14:paraId="18CA4852" w14:textId="364DA995" w:rsidR="0026390E" w:rsidRDefault="0026390E" w:rsidP="0026390E">
      <w:pPr>
        <w:spacing w:line="360" w:lineRule="auto"/>
        <w:jc w:val="both"/>
        <w:rPr>
          <w:rFonts w:ascii="Arial" w:hAnsi="Arial" w:cs="Arial"/>
        </w:rPr>
      </w:pPr>
      <w:r w:rsidRPr="0026390E">
        <w:rPr>
          <w:rFonts w:ascii="Arial" w:hAnsi="Arial" w:cs="Arial"/>
        </w:rPr>
        <w:t>This framework, created by NHS England, addresses health inequality on a national scale through strategic measures. It is essential to know that the 'PLUS' part of this framework tells ICSs to target local communities, which are under-represented among ethnic minorities. One of the five clinical priorities of the program involves maternity care of Black and ethnic minority women.</w:t>
      </w:r>
    </w:p>
    <w:p w14:paraId="39400662" w14:textId="2430F69F" w:rsidR="00B2217B" w:rsidRDefault="00BE187C" w:rsidP="0026390E">
      <w:pPr>
        <w:spacing w:line="360" w:lineRule="auto"/>
        <w:jc w:val="both"/>
        <w:rPr>
          <w:rFonts w:ascii="Arial" w:hAnsi="Arial" w:cs="Arial"/>
          <w:b/>
          <w:bCs/>
        </w:rPr>
      </w:pPr>
      <w:r>
        <w:rPr>
          <w:noProof/>
          <w:lang w:bidi="ar-SA"/>
        </w:rPr>
        <w:drawing>
          <wp:anchor distT="0" distB="0" distL="114300" distR="114300" simplePos="0" relativeHeight="251667456" behindDoc="0" locked="0" layoutInCell="1" allowOverlap="1" wp14:anchorId="1BB8ED15" wp14:editId="05F5EB42">
            <wp:simplePos x="0" y="0"/>
            <wp:positionH relativeFrom="column">
              <wp:posOffset>216535</wp:posOffset>
            </wp:positionH>
            <wp:positionV relativeFrom="paragraph">
              <wp:posOffset>408305</wp:posOffset>
            </wp:positionV>
            <wp:extent cx="4867094" cy="2737787"/>
            <wp:effectExtent l="0" t="0" r="0" b="5715"/>
            <wp:wrapTopAndBottom/>
            <wp:docPr id="117669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699587" name=""/>
                    <pic:cNvPicPr/>
                  </pic:nvPicPr>
                  <pic:blipFill>
                    <a:blip r:embed="rId11"/>
                    <a:stretch>
                      <a:fillRect/>
                    </a:stretch>
                  </pic:blipFill>
                  <pic:spPr>
                    <a:xfrm>
                      <a:off x="0" y="0"/>
                      <a:ext cx="4867094" cy="2737787"/>
                    </a:xfrm>
                    <a:prstGeom prst="rect">
                      <a:avLst/>
                    </a:prstGeom>
                  </pic:spPr>
                </pic:pic>
              </a:graphicData>
            </a:graphic>
            <wp14:sizeRelH relativeFrom="margin">
              <wp14:pctWidth>0</wp14:pctWidth>
            </wp14:sizeRelH>
            <wp14:sizeRelV relativeFrom="margin">
              <wp14:pctHeight>0</wp14:pctHeight>
            </wp14:sizeRelV>
          </wp:anchor>
        </w:drawing>
      </w:r>
      <w:r w:rsidR="00946B95">
        <w:rPr>
          <w:rFonts w:ascii="Arial" w:hAnsi="Arial" w:cs="Arial"/>
          <w:b/>
          <w:bCs/>
        </w:rPr>
        <w:t xml:space="preserve"> </w:t>
      </w:r>
      <w:r w:rsidR="003B26B5">
        <w:rPr>
          <w:rFonts w:ascii="Arial" w:hAnsi="Arial" w:cs="Arial"/>
          <w:b/>
          <w:bCs/>
        </w:rPr>
        <w:t xml:space="preserve">          </w:t>
      </w:r>
      <w:r w:rsidR="00946B95">
        <w:rPr>
          <w:rFonts w:ascii="Arial" w:hAnsi="Arial" w:cs="Arial"/>
          <w:b/>
          <w:bCs/>
        </w:rPr>
        <w:t xml:space="preserve">    </w:t>
      </w:r>
      <w:r w:rsidR="00272151">
        <w:rPr>
          <w:rFonts w:ascii="Arial" w:hAnsi="Arial" w:cs="Arial"/>
          <w:b/>
          <w:bCs/>
        </w:rPr>
        <w:t>FIGURE</w:t>
      </w:r>
      <w:r w:rsidR="003E2CE2">
        <w:rPr>
          <w:rFonts w:ascii="Arial" w:hAnsi="Arial" w:cs="Arial"/>
          <w:b/>
          <w:bCs/>
        </w:rPr>
        <w:t xml:space="preserve"> 4</w:t>
      </w:r>
      <w:r w:rsidR="00946B95">
        <w:rPr>
          <w:rFonts w:ascii="Arial" w:hAnsi="Arial" w:cs="Arial"/>
          <w:b/>
          <w:bCs/>
        </w:rPr>
        <w:t xml:space="preserve"> </w:t>
      </w:r>
      <w:r w:rsidR="002C77F3">
        <w:rPr>
          <w:rFonts w:ascii="Arial" w:hAnsi="Arial" w:cs="Arial"/>
          <w:b/>
          <w:bCs/>
        </w:rPr>
        <w:t xml:space="preserve">[ </w:t>
      </w:r>
      <w:proofErr w:type="gramStart"/>
      <w:r w:rsidR="00946B95">
        <w:rPr>
          <w:rFonts w:ascii="Arial" w:hAnsi="Arial" w:cs="Arial"/>
          <w:b/>
          <w:bCs/>
        </w:rPr>
        <w:t xml:space="preserve">SOURCE </w:t>
      </w:r>
      <w:r w:rsidR="00A132ED">
        <w:rPr>
          <w:rFonts w:ascii="Arial" w:hAnsi="Arial" w:cs="Arial"/>
          <w:b/>
          <w:bCs/>
        </w:rPr>
        <w:t>:</w:t>
      </w:r>
      <w:proofErr w:type="gramEnd"/>
      <w:r w:rsidR="00A132ED">
        <w:rPr>
          <w:rFonts w:ascii="Arial" w:hAnsi="Arial" w:cs="Arial"/>
          <w:b/>
          <w:bCs/>
        </w:rPr>
        <w:t xml:space="preserve"> NHS ENGLAND </w:t>
      </w:r>
      <w:r w:rsidR="00F62E83">
        <w:rPr>
          <w:rFonts w:ascii="Arial" w:hAnsi="Arial" w:cs="Arial"/>
          <w:b/>
          <w:bCs/>
        </w:rPr>
        <w:t>CORE20PLUS</w:t>
      </w:r>
      <w:r w:rsidR="003B26B5">
        <w:rPr>
          <w:rFonts w:ascii="Arial" w:hAnsi="Arial" w:cs="Arial"/>
          <w:b/>
          <w:bCs/>
        </w:rPr>
        <w:t>5 (2021</w:t>
      </w:r>
      <w:proofErr w:type="gramStart"/>
      <w:r w:rsidR="003B26B5">
        <w:rPr>
          <w:rFonts w:ascii="Arial" w:hAnsi="Arial" w:cs="Arial"/>
          <w:b/>
          <w:bCs/>
        </w:rPr>
        <w:t>)</w:t>
      </w:r>
      <w:r w:rsidR="002C77F3">
        <w:rPr>
          <w:rFonts w:ascii="Arial" w:hAnsi="Arial" w:cs="Arial"/>
          <w:b/>
          <w:bCs/>
        </w:rPr>
        <w:t xml:space="preserve"> </w:t>
      </w:r>
      <w:r w:rsidR="003B26B5">
        <w:rPr>
          <w:rFonts w:ascii="Arial" w:hAnsi="Arial" w:cs="Arial"/>
          <w:b/>
          <w:bCs/>
        </w:rPr>
        <w:t>]</w:t>
      </w:r>
      <w:proofErr w:type="gramEnd"/>
    </w:p>
    <w:p w14:paraId="5BFEA51A" w14:textId="77777777" w:rsidR="009A2FAD" w:rsidRDefault="009A2FAD" w:rsidP="0026390E">
      <w:pPr>
        <w:spacing w:line="360" w:lineRule="auto"/>
        <w:jc w:val="both"/>
        <w:rPr>
          <w:rFonts w:ascii="Arial" w:hAnsi="Arial" w:cs="Arial"/>
        </w:rPr>
      </w:pPr>
    </w:p>
    <w:p w14:paraId="2345427D" w14:textId="08D0C044" w:rsidR="00E336E7" w:rsidRPr="00256717" w:rsidRDefault="00CB393A" w:rsidP="0026390E">
      <w:pPr>
        <w:spacing w:line="360" w:lineRule="auto"/>
        <w:jc w:val="both"/>
        <w:rPr>
          <w:rFonts w:ascii="Arial" w:hAnsi="Arial" w:cs="Arial"/>
          <w:b/>
          <w:bCs/>
        </w:rPr>
      </w:pPr>
      <w:r>
        <w:rPr>
          <w:rFonts w:ascii="Arial" w:hAnsi="Arial" w:cs="Arial"/>
          <w:b/>
          <w:bCs/>
        </w:rPr>
        <w:t>3</w:t>
      </w:r>
      <w:r w:rsidR="00256717">
        <w:rPr>
          <w:rFonts w:ascii="Arial" w:hAnsi="Arial" w:cs="Arial"/>
          <w:b/>
          <w:bCs/>
        </w:rPr>
        <w:t xml:space="preserve">.2 </w:t>
      </w:r>
      <w:r w:rsidR="0026390E" w:rsidRPr="00256717">
        <w:rPr>
          <w:rFonts w:ascii="Arial" w:hAnsi="Arial" w:cs="Arial"/>
          <w:b/>
          <w:bCs/>
        </w:rPr>
        <w:t xml:space="preserve">NHS Race and Health Observatory (RHO): </w:t>
      </w:r>
    </w:p>
    <w:p w14:paraId="331480F0" w14:textId="77777777" w:rsidR="0026390E" w:rsidRPr="0026390E" w:rsidRDefault="0026390E" w:rsidP="0026390E">
      <w:pPr>
        <w:spacing w:line="360" w:lineRule="auto"/>
        <w:jc w:val="both"/>
        <w:rPr>
          <w:rFonts w:ascii="Arial" w:hAnsi="Arial" w:cs="Arial"/>
        </w:rPr>
      </w:pPr>
      <w:r w:rsidRPr="0026390E">
        <w:rPr>
          <w:rFonts w:ascii="Arial" w:hAnsi="Arial" w:cs="Arial"/>
        </w:rPr>
        <w:t>An independent organization, the RHO examines the effects of racism within healthcare policy and clinical practice. Via its efforts such as the Maternal and Neonatal Learning and Action Network (LAN), the RHO collaborates with NHS Trusts to implement anti-racist quality improvement tools into the clinical process.</w:t>
      </w:r>
    </w:p>
    <w:p w14:paraId="34A354A0" w14:textId="1FE96125" w:rsidR="0026390E" w:rsidRPr="00E336E7" w:rsidRDefault="00CB393A" w:rsidP="0026390E">
      <w:pPr>
        <w:spacing w:line="360" w:lineRule="auto"/>
        <w:jc w:val="both"/>
        <w:rPr>
          <w:rFonts w:ascii="Arial" w:hAnsi="Arial" w:cs="Arial"/>
          <w:b/>
          <w:bCs/>
        </w:rPr>
      </w:pPr>
      <w:r>
        <w:rPr>
          <w:rFonts w:ascii="Arial" w:hAnsi="Arial" w:cs="Arial"/>
          <w:b/>
          <w:bCs/>
        </w:rPr>
        <w:t>4</w:t>
      </w:r>
      <w:r w:rsidR="00E336E7" w:rsidRPr="00E336E7">
        <w:rPr>
          <w:rFonts w:ascii="Arial" w:hAnsi="Arial" w:cs="Arial"/>
          <w:b/>
          <w:bCs/>
        </w:rPr>
        <w:t xml:space="preserve">. </w:t>
      </w:r>
      <w:r w:rsidR="0026390E" w:rsidRPr="00E336E7">
        <w:rPr>
          <w:rFonts w:ascii="Arial" w:hAnsi="Arial" w:cs="Arial"/>
          <w:b/>
          <w:bCs/>
        </w:rPr>
        <w:t>Organizations Supporting Ethnic Minorities: Charity Focus</w:t>
      </w:r>
    </w:p>
    <w:p w14:paraId="59366536" w14:textId="65033CCF" w:rsidR="002E16BC" w:rsidRDefault="00CB393A" w:rsidP="0026390E">
      <w:pPr>
        <w:spacing w:line="360" w:lineRule="auto"/>
        <w:jc w:val="both"/>
        <w:rPr>
          <w:rFonts w:ascii="Arial" w:hAnsi="Arial" w:cs="Arial"/>
          <w:b/>
          <w:bCs/>
        </w:rPr>
      </w:pPr>
      <w:r>
        <w:rPr>
          <w:rFonts w:ascii="Arial" w:hAnsi="Arial" w:cs="Arial"/>
          <w:b/>
          <w:bCs/>
        </w:rPr>
        <w:lastRenderedPageBreak/>
        <w:t>4</w:t>
      </w:r>
      <w:r w:rsidR="002E16BC">
        <w:rPr>
          <w:rFonts w:ascii="Arial" w:hAnsi="Arial" w:cs="Arial"/>
          <w:b/>
          <w:bCs/>
        </w:rPr>
        <w:t xml:space="preserve">.1 </w:t>
      </w:r>
      <w:r w:rsidR="0026390E" w:rsidRPr="00E336E7">
        <w:rPr>
          <w:rFonts w:ascii="Arial" w:hAnsi="Arial" w:cs="Arial"/>
          <w:b/>
          <w:bCs/>
        </w:rPr>
        <w:t>Race Equality Foundation</w:t>
      </w:r>
      <w:r w:rsidR="00E336E7" w:rsidRPr="00E336E7">
        <w:rPr>
          <w:rFonts w:ascii="Arial" w:hAnsi="Arial" w:cs="Arial"/>
          <w:b/>
          <w:bCs/>
        </w:rPr>
        <w:t xml:space="preserve"> </w:t>
      </w:r>
    </w:p>
    <w:p w14:paraId="78F24501" w14:textId="72524538" w:rsidR="0026390E" w:rsidRPr="0026390E" w:rsidRDefault="0026390E" w:rsidP="0026390E">
      <w:pPr>
        <w:spacing w:line="360" w:lineRule="auto"/>
        <w:jc w:val="both"/>
        <w:rPr>
          <w:rFonts w:ascii="Arial" w:hAnsi="Arial" w:cs="Arial"/>
        </w:rPr>
      </w:pPr>
      <w:r w:rsidRPr="0026390E">
        <w:rPr>
          <w:rFonts w:ascii="Arial" w:hAnsi="Arial" w:cs="Arial"/>
        </w:rPr>
        <w:t>The Race Equality Foundation is one of the top charities in the United Kingdom which focuses on investigating racial inequalities in areas of health, housing, and social care.</w:t>
      </w:r>
    </w:p>
    <w:p w14:paraId="014E3120" w14:textId="21CECF8E" w:rsidR="0026390E" w:rsidRPr="002E16BC" w:rsidRDefault="0026390E" w:rsidP="002E16BC">
      <w:pPr>
        <w:pStyle w:val="ListParagraph"/>
        <w:numPr>
          <w:ilvl w:val="0"/>
          <w:numId w:val="13"/>
        </w:numPr>
        <w:spacing w:line="360" w:lineRule="auto"/>
        <w:jc w:val="both"/>
        <w:rPr>
          <w:rFonts w:ascii="Arial" w:hAnsi="Arial" w:cs="Arial"/>
        </w:rPr>
      </w:pPr>
      <w:r w:rsidRPr="002E16BC">
        <w:rPr>
          <w:rFonts w:ascii="Arial" w:hAnsi="Arial" w:cs="Arial"/>
          <w:b/>
          <w:bCs/>
        </w:rPr>
        <w:t>Core Objectives:</w:t>
      </w:r>
      <w:r w:rsidRPr="002E16BC">
        <w:rPr>
          <w:rFonts w:ascii="Arial" w:hAnsi="Arial" w:cs="Arial"/>
        </w:rPr>
        <w:t xml:space="preserve"> This organization strives to affect national policy, conduct research about ethnic inequalities in health, and create interventions led by the community to improve the social situation of minoriti</w:t>
      </w:r>
      <w:r w:rsidR="00BE187C">
        <w:rPr>
          <w:rFonts w:ascii="Arial" w:hAnsi="Arial" w:cs="Arial"/>
        </w:rPr>
        <w:t>z</w:t>
      </w:r>
      <w:r w:rsidRPr="002E16BC">
        <w:rPr>
          <w:rFonts w:ascii="Arial" w:hAnsi="Arial" w:cs="Arial"/>
        </w:rPr>
        <w:t>ed communities.</w:t>
      </w:r>
    </w:p>
    <w:p w14:paraId="2FBF528C" w14:textId="77777777" w:rsidR="0026390E" w:rsidRPr="002E16BC" w:rsidRDefault="0026390E" w:rsidP="002E16BC">
      <w:pPr>
        <w:pStyle w:val="ListParagraph"/>
        <w:numPr>
          <w:ilvl w:val="0"/>
          <w:numId w:val="13"/>
        </w:numPr>
        <w:spacing w:line="360" w:lineRule="auto"/>
        <w:jc w:val="both"/>
        <w:rPr>
          <w:rFonts w:ascii="Arial" w:hAnsi="Arial" w:cs="Arial"/>
        </w:rPr>
      </w:pPr>
      <w:r w:rsidRPr="002E16BC">
        <w:rPr>
          <w:rFonts w:ascii="Arial" w:hAnsi="Arial" w:cs="Arial"/>
          <w:b/>
          <w:bCs/>
        </w:rPr>
        <w:t>Research and Practical Significance:</w:t>
      </w:r>
      <w:r w:rsidRPr="002E16BC">
        <w:rPr>
          <w:rFonts w:ascii="Arial" w:hAnsi="Arial" w:cs="Arial"/>
        </w:rPr>
        <w:t xml:space="preserve"> The Foundation undertakes substantial empirical research of the effects of structural determinants upon health. For example, the empirical research conducted by the Foundation concerning evidence-based parenting interventions (Strengthening Families, Strengthening Communities) and housing policy addresses the root causes of health inequalities among ethnic minority children and adolescents.</w:t>
      </w:r>
    </w:p>
    <w:p w14:paraId="59CE87FF" w14:textId="77777777" w:rsidR="0026390E" w:rsidRPr="008C7405" w:rsidRDefault="0026390E" w:rsidP="0026390E">
      <w:pPr>
        <w:spacing w:line="360" w:lineRule="auto"/>
        <w:jc w:val="both"/>
        <w:rPr>
          <w:rFonts w:ascii="Arial" w:hAnsi="Arial" w:cs="Arial"/>
          <w:b/>
          <w:bCs/>
          <w:u w:val="single"/>
        </w:rPr>
      </w:pPr>
      <w:r w:rsidRPr="008C7405">
        <w:rPr>
          <w:rFonts w:ascii="Arial" w:hAnsi="Arial" w:cs="Arial"/>
          <w:b/>
          <w:bCs/>
          <w:u w:val="single"/>
        </w:rPr>
        <w:t>Conclusion</w:t>
      </w:r>
      <w:r w:rsidR="008C7405" w:rsidRPr="008C7405">
        <w:rPr>
          <w:rFonts w:ascii="Arial" w:hAnsi="Arial" w:cs="Arial"/>
          <w:b/>
          <w:bCs/>
          <w:u w:val="single"/>
        </w:rPr>
        <w:t>:</w:t>
      </w:r>
    </w:p>
    <w:p w14:paraId="63441D62" w14:textId="77777777" w:rsidR="0071583F" w:rsidRDefault="0026390E" w:rsidP="008C7405">
      <w:pPr>
        <w:spacing w:line="360" w:lineRule="auto"/>
        <w:jc w:val="both"/>
        <w:rPr>
          <w:rFonts w:ascii="Arial" w:hAnsi="Arial" w:cs="Arial"/>
        </w:rPr>
      </w:pPr>
      <w:r w:rsidRPr="0026390E">
        <w:rPr>
          <w:rFonts w:ascii="Arial" w:hAnsi="Arial" w:cs="Arial"/>
        </w:rPr>
        <w:t>Health inequalities between minority ethnic communities in the UK can be traced back to the underlying socio-economic determinants such as poverty, housing, and racial discrimination in the health care institutions. Though national policies including NHS Core20PLUS5 strategy and other charitable programs have provided significant progress towards resolving the issues, the complete eradication of such inequalities can only happen when the root causes of these inequalities are addressed.</w:t>
      </w:r>
    </w:p>
    <w:p w14:paraId="338CA858" w14:textId="19BA3B97" w:rsidR="00050DC3" w:rsidRPr="002C61E7" w:rsidRDefault="002C61E7" w:rsidP="008C7405">
      <w:pPr>
        <w:spacing w:line="360" w:lineRule="auto"/>
        <w:jc w:val="both"/>
        <w:rPr>
          <w:rFonts w:ascii="Arial" w:hAnsi="Arial" w:cs="Arial"/>
          <w:b/>
          <w:bCs/>
          <w:u w:val="single"/>
        </w:rPr>
      </w:pPr>
      <w:r>
        <w:rPr>
          <w:rFonts w:ascii="Arial" w:hAnsi="Arial" w:cs="Arial"/>
          <w:b/>
          <w:bCs/>
          <w:u w:val="single"/>
        </w:rPr>
        <w:t>TASK 2</w:t>
      </w:r>
    </w:p>
    <w:p w14:paraId="59127CEC" w14:textId="3000282A" w:rsidR="009B15D6" w:rsidRPr="006456BC" w:rsidRDefault="00945149" w:rsidP="008C7405">
      <w:pPr>
        <w:spacing w:line="360" w:lineRule="auto"/>
        <w:jc w:val="both"/>
        <w:rPr>
          <w:rFonts w:ascii="Arial" w:hAnsi="Arial" w:cs="Arial"/>
          <w:b/>
          <w:bCs/>
          <w:u w:val="single"/>
        </w:rPr>
      </w:pPr>
      <w:r>
        <w:rPr>
          <w:rFonts w:ascii="Arial" w:hAnsi="Arial" w:cs="Arial"/>
          <w:b/>
          <w:bCs/>
          <w:u w:val="single"/>
        </w:rPr>
        <w:t>5</w:t>
      </w:r>
      <w:r w:rsidR="009B15D6" w:rsidRPr="006456BC">
        <w:rPr>
          <w:rFonts w:ascii="Arial" w:hAnsi="Arial" w:cs="Arial"/>
          <w:b/>
          <w:bCs/>
          <w:u w:val="single"/>
        </w:rPr>
        <w:t xml:space="preserve">. </w:t>
      </w:r>
      <w:r w:rsidR="00EB31A2" w:rsidRPr="006456BC">
        <w:rPr>
          <w:rFonts w:ascii="Arial" w:hAnsi="Arial" w:cs="Arial"/>
          <w:b/>
          <w:bCs/>
          <w:u w:val="single"/>
        </w:rPr>
        <w:t>E</w:t>
      </w:r>
      <w:r w:rsidR="006456BC" w:rsidRPr="006456BC">
        <w:rPr>
          <w:rFonts w:ascii="Arial" w:hAnsi="Arial" w:cs="Arial"/>
          <w:b/>
          <w:bCs/>
          <w:u w:val="single"/>
        </w:rPr>
        <w:t>PIDEMIOLOGICAL ASSESSMENT AND PUBLIC HEALTH RESPONSE</w:t>
      </w:r>
    </w:p>
    <w:p w14:paraId="472835BB" w14:textId="3FBD2165" w:rsidR="0026390E" w:rsidRPr="008C7405" w:rsidRDefault="00945149" w:rsidP="0026390E">
      <w:pPr>
        <w:spacing w:line="360" w:lineRule="auto"/>
        <w:jc w:val="both"/>
        <w:rPr>
          <w:rFonts w:ascii="Arial" w:hAnsi="Arial" w:cs="Arial"/>
          <w:b/>
          <w:bCs/>
        </w:rPr>
      </w:pPr>
      <w:r>
        <w:rPr>
          <w:rFonts w:ascii="Arial" w:hAnsi="Arial" w:cs="Arial"/>
          <w:b/>
          <w:bCs/>
        </w:rPr>
        <w:t>5</w:t>
      </w:r>
      <w:r w:rsidR="008C7405">
        <w:rPr>
          <w:rFonts w:ascii="Arial" w:hAnsi="Arial" w:cs="Arial"/>
          <w:b/>
          <w:bCs/>
        </w:rPr>
        <w:t>.</w:t>
      </w:r>
      <w:r w:rsidR="006456BC">
        <w:rPr>
          <w:rFonts w:ascii="Arial" w:hAnsi="Arial" w:cs="Arial"/>
          <w:b/>
          <w:bCs/>
        </w:rPr>
        <w:t xml:space="preserve">1 </w:t>
      </w:r>
      <w:r w:rsidR="0026390E" w:rsidRPr="008C7405">
        <w:rPr>
          <w:rFonts w:ascii="Arial" w:hAnsi="Arial" w:cs="Arial"/>
          <w:b/>
          <w:bCs/>
        </w:rPr>
        <w:t>Definition and Impact on Health, Society, and Culture</w:t>
      </w:r>
    </w:p>
    <w:p w14:paraId="6CA22DCF" w14:textId="613DCFE5" w:rsidR="0026390E" w:rsidRPr="0026390E" w:rsidRDefault="0026390E" w:rsidP="0026390E">
      <w:pPr>
        <w:spacing w:line="360" w:lineRule="auto"/>
        <w:jc w:val="both"/>
        <w:rPr>
          <w:rFonts w:ascii="Arial" w:hAnsi="Arial" w:cs="Arial"/>
        </w:rPr>
      </w:pPr>
      <w:r w:rsidRPr="0026390E">
        <w:rPr>
          <w:rFonts w:ascii="Arial" w:hAnsi="Arial" w:cs="Arial"/>
        </w:rPr>
        <w:t>Type 2 Diabetes Mellitus (T2DM) is a chronic metabolic disease involving insulin resistance and relative deficiency of insulin resulting in hyperglycemia. Complications associated with T2DM include retinopathy, chronic kidney disease (CKD), neuropathy, lower extremity amputations, heart disease, and stroke. From a social and cultural perspective, T2DM is a major disease burden; those with T2DM have low quality of life and loss of employment productivity along with premature physical disability. Culturally, traditional food habits such as high carbohydrate intake and cultural stigma towards chronic diseases may prevent early diagnosis and management, especially among migrant communities.</w:t>
      </w:r>
    </w:p>
    <w:p w14:paraId="24C4471A" w14:textId="660B9989" w:rsidR="0026390E" w:rsidRPr="00321625" w:rsidRDefault="00945149" w:rsidP="0026390E">
      <w:pPr>
        <w:spacing w:line="360" w:lineRule="auto"/>
        <w:jc w:val="both"/>
        <w:rPr>
          <w:rFonts w:ascii="Arial" w:hAnsi="Arial" w:cs="Arial"/>
          <w:b/>
          <w:bCs/>
        </w:rPr>
      </w:pPr>
      <w:r>
        <w:rPr>
          <w:rFonts w:ascii="Arial" w:hAnsi="Arial" w:cs="Arial"/>
          <w:b/>
          <w:bCs/>
        </w:rPr>
        <w:lastRenderedPageBreak/>
        <w:t>5</w:t>
      </w:r>
      <w:r w:rsidR="00494D90">
        <w:rPr>
          <w:rFonts w:ascii="Arial" w:hAnsi="Arial" w:cs="Arial"/>
          <w:b/>
          <w:bCs/>
        </w:rPr>
        <w:t xml:space="preserve">.2 </w:t>
      </w:r>
      <w:r w:rsidR="0026390E" w:rsidRPr="00321625">
        <w:rPr>
          <w:rFonts w:ascii="Arial" w:hAnsi="Arial" w:cs="Arial"/>
          <w:b/>
          <w:bCs/>
        </w:rPr>
        <w:t>Epidemiological Information Globally and in the UK</w:t>
      </w:r>
    </w:p>
    <w:p w14:paraId="43A0E6FD" w14:textId="6C56C582" w:rsidR="00F96B73" w:rsidRPr="00F96B73" w:rsidRDefault="0026390E" w:rsidP="00F96B73">
      <w:pPr>
        <w:spacing w:line="360" w:lineRule="auto"/>
        <w:jc w:val="both"/>
        <w:rPr>
          <w:rFonts w:ascii="Arial" w:hAnsi="Arial" w:cs="Arial"/>
        </w:rPr>
      </w:pPr>
      <w:r w:rsidRPr="0026390E">
        <w:rPr>
          <w:rFonts w:ascii="Arial" w:hAnsi="Arial" w:cs="Arial"/>
        </w:rPr>
        <w:t>According to the World Health Organization (WHO), an estimated 4</w:t>
      </w:r>
      <w:r w:rsidR="000B59FE">
        <w:rPr>
          <w:rFonts w:ascii="Arial" w:hAnsi="Arial" w:cs="Arial"/>
        </w:rPr>
        <w:t>.</w:t>
      </w:r>
      <w:r w:rsidRPr="0026390E">
        <w:rPr>
          <w:rFonts w:ascii="Arial" w:hAnsi="Arial" w:cs="Arial"/>
        </w:rPr>
        <w:t xml:space="preserve">22 million adults live with diabetes around the globe. This number is anticipated to increase sharply due to factors including </w:t>
      </w:r>
      <w:r w:rsidR="00781422">
        <w:rPr>
          <w:rFonts w:ascii="Arial" w:hAnsi="Arial" w:cs="Arial"/>
        </w:rPr>
        <w:t>U</w:t>
      </w:r>
      <w:r w:rsidRPr="0026390E">
        <w:rPr>
          <w:rFonts w:ascii="Arial" w:hAnsi="Arial" w:cs="Arial"/>
        </w:rPr>
        <w:t>rbani</w:t>
      </w:r>
      <w:r w:rsidR="00781422">
        <w:rPr>
          <w:rFonts w:ascii="Arial" w:hAnsi="Arial" w:cs="Arial"/>
        </w:rPr>
        <w:t>z</w:t>
      </w:r>
      <w:r w:rsidRPr="0026390E">
        <w:rPr>
          <w:rFonts w:ascii="Arial" w:hAnsi="Arial" w:cs="Arial"/>
        </w:rPr>
        <w:t>ation, sedentary lifestyle, and changes in dietary patterns. An estimated 4.4 million people in the UK have a diagnosis of diabetes, and 90% of those have Type 2 Diabetes Mellitus. The QOF reports in England indicate that national GP-recorded diabetes prevalence is around 7.9%. There are considerable variations spatially and ethically; inner city urban areas have high prevalence rates than national norms.</w:t>
      </w:r>
      <w:r w:rsidR="00F96B73">
        <w:rPr>
          <w:rFonts w:ascii="Arial" w:hAnsi="Arial" w:cs="Arial"/>
        </w:rPr>
        <w:t xml:space="preserve"> </w:t>
      </w:r>
    </w:p>
    <w:p w14:paraId="5CAF7C32" w14:textId="77777777" w:rsidR="002D07D8" w:rsidRDefault="00F96B73" w:rsidP="00F96B73">
      <w:pPr>
        <w:spacing w:line="360" w:lineRule="auto"/>
        <w:jc w:val="both"/>
        <w:rPr>
          <w:rFonts w:ascii="Arial" w:hAnsi="Arial" w:cs="Arial"/>
          <w:b/>
          <w:bCs/>
        </w:rPr>
      </w:pPr>
      <w:r w:rsidRPr="00F96B73">
        <w:rPr>
          <w:rFonts w:ascii="Arial" w:hAnsi="Arial" w:cs="Arial"/>
        </w:rPr>
        <w:t xml:space="preserve">                                 </w:t>
      </w:r>
      <w:r w:rsidRPr="00F96B73">
        <w:rPr>
          <w:rFonts w:ascii="Arial" w:hAnsi="Arial" w:cs="Arial"/>
          <w:b/>
          <w:bCs/>
        </w:rPr>
        <w:t>Figure 5: Global vs. UK T2DM Statistics Compariso</w:t>
      </w:r>
      <w:r w:rsidR="009654F0">
        <w:rPr>
          <w:rFonts w:ascii="Arial" w:hAnsi="Arial" w:cs="Arial"/>
          <w:b/>
          <w:bCs/>
        </w:rPr>
        <w:t>n</w:t>
      </w:r>
      <w:r w:rsidR="007303D1">
        <w:rPr>
          <w:rFonts w:ascii="Arial" w:hAnsi="Arial" w:cs="Arial"/>
          <w:b/>
          <w:bCs/>
        </w:rPr>
        <w:t xml:space="preserve">. </w:t>
      </w:r>
    </w:p>
    <w:p w14:paraId="29482234" w14:textId="5294F2F5" w:rsidR="002D07D8" w:rsidRPr="00F96B73" w:rsidRDefault="002D07D8" w:rsidP="00F96B73">
      <w:pPr>
        <w:spacing w:line="360" w:lineRule="auto"/>
        <w:jc w:val="both"/>
        <w:rPr>
          <w:rFonts w:ascii="Arial" w:hAnsi="Arial" w:cs="Arial"/>
          <w:b/>
          <w:bCs/>
        </w:rPr>
      </w:pPr>
      <w:r>
        <w:rPr>
          <w:rFonts w:ascii="Arial" w:hAnsi="Arial" w:cs="Arial"/>
          <w:b/>
          <w:bCs/>
        </w:rPr>
        <w:t xml:space="preserve">        </w:t>
      </w:r>
      <w:proofErr w:type="gramStart"/>
      <w:r w:rsidR="007303D1">
        <w:rPr>
          <w:rFonts w:ascii="Arial" w:hAnsi="Arial" w:cs="Arial"/>
          <w:b/>
          <w:bCs/>
        </w:rPr>
        <w:t>SOURCE :</w:t>
      </w:r>
      <w:proofErr w:type="gramEnd"/>
      <w:r w:rsidR="007303D1">
        <w:rPr>
          <w:rFonts w:ascii="Arial" w:hAnsi="Arial" w:cs="Arial"/>
          <w:b/>
          <w:bCs/>
        </w:rPr>
        <w:t xml:space="preserve"> </w:t>
      </w:r>
      <w:r w:rsidR="0090647B">
        <w:rPr>
          <w:rFonts w:ascii="Arial" w:hAnsi="Arial" w:cs="Arial"/>
          <w:b/>
          <w:bCs/>
        </w:rPr>
        <w:t xml:space="preserve">WHO 2023 Global report on diabetes and </w:t>
      </w:r>
      <w:r w:rsidR="001F4D1E">
        <w:rPr>
          <w:rFonts w:ascii="Arial" w:hAnsi="Arial" w:cs="Arial"/>
          <w:b/>
          <w:bCs/>
        </w:rPr>
        <w:t xml:space="preserve">NHS Digital (2023) </w:t>
      </w:r>
      <w:r>
        <w:rPr>
          <w:rFonts w:ascii="Arial" w:hAnsi="Arial" w:cs="Arial"/>
          <w:b/>
          <w:bCs/>
        </w:rPr>
        <w:t>QOF.</w:t>
      </w:r>
    </w:p>
    <w:tbl>
      <w:tblPr>
        <w:tblStyle w:val="TableGrid"/>
        <w:tblW w:w="0" w:type="auto"/>
        <w:tblLook w:val="06A0" w:firstRow="1" w:lastRow="0" w:firstColumn="1" w:lastColumn="0" w:noHBand="1" w:noVBand="1"/>
      </w:tblPr>
      <w:tblGrid>
        <w:gridCol w:w="4628"/>
        <w:gridCol w:w="4628"/>
      </w:tblGrid>
      <w:tr w:rsidR="00BF77F5" w14:paraId="0AE7BCFF" w14:textId="77777777" w:rsidTr="0020258D">
        <w:trPr>
          <w:trHeight w:val="883"/>
        </w:trPr>
        <w:tc>
          <w:tcPr>
            <w:tcW w:w="4628" w:type="dxa"/>
            <w:shd w:val="clear" w:color="auto" w:fill="A8D08D" w:themeFill="accent6" w:themeFillTint="99"/>
          </w:tcPr>
          <w:p w14:paraId="54149DED" w14:textId="0CAEBAF4" w:rsidR="00BF77F5" w:rsidRPr="00D85B8B" w:rsidRDefault="00837207" w:rsidP="00D85B8B">
            <w:pPr>
              <w:spacing w:line="360" w:lineRule="auto"/>
              <w:jc w:val="center"/>
              <w:rPr>
                <w:rFonts w:ascii="Arial" w:hAnsi="Arial" w:cs="Arial"/>
                <w:b/>
                <w:bCs/>
              </w:rPr>
            </w:pPr>
            <w:r w:rsidRPr="00D85B8B">
              <w:rPr>
                <w:rFonts w:ascii="Arial" w:hAnsi="Arial" w:cs="Arial"/>
                <w:b/>
                <w:bCs/>
              </w:rPr>
              <w:t>Global Prevalence (WHO Data)</w:t>
            </w:r>
          </w:p>
        </w:tc>
        <w:tc>
          <w:tcPr>
            <w:tcW w:w="4628" w:type="dxa"/>
            <w:shd w:val="clear" w:color="auto" w:fill="A8D08D" w:themeFill="accent6" w:themeFillTint="99"/>
          </w:tcPr>
          <w:p w14:paraId="35FB75EC" w14:textId="2A1256EF" w:rsidR="00BF77F5" w:rsidRPr="00D85B8B" w:rsidRDefault="00F252BA" w:rsidP="00D85B8B">
            <w:pPr>
              <w:spacing w:line="360" w:lineRule="auto"/>
              <w:jc w:val="center"/>
              <w:rPr>
                <w:rFonts w:ascii="Arial" w:hAnsi="Arial" w:cs="Arial"/>
                <w:b/>
                <w:bCs/>
              </w:rPr>
            </w:pPr>
            <w:r w:rsidRPr="00D85B8B">
              <w:rPr>
                <w:rFonts w:ascii="Arial" w:hAnsi="Arial" w:cs="Arial"/>
                <w:b/>
                <w:bCs/>
              </w:rPr>
              <w:t>UK &amp; Towe Hamlets Preva</w:t>
            </w:r>
            <w:r w:rsidR="00BA6949" w:rsidRPr="00D85B8B">
              <w:rPr>
                <w:rFonts w:ascii="Arial" w:hAnsi="Arial" w:cs="Arial"/>
                <w:b/>
                <w:bCs/>
              </w:rPr>
              <w:t>lence (QOF</w:t>
            </w:r>
            <w:r w:rsidR="00D32E55" w:rsidRPr="00D85B8B">
              <w:rPr>
                <w:rFonts w:ascii="Arial" w:hAnsi="Arial" w:cs="Arial"/>
                <w:b/>
                <w:bCs/>
              </w:rPr>
              <w:t xml:space="preserve"> </w:t>
            </w:r>
            <w:r w:rsidR="00BA6949" w:rsidRPr="00D85B8B">
              <w:rPr>
                <w:rFonts w:ascii="Arial" w:hAnsi="Arial" w:cs="Arial"/>
                <w:b/>
                <w:bCs/>
              </w:rPr>
              <w:t>/</w:t>
            </w:r>
            <w:r w:rsidR="00D32E55" w:rsidRPr="00D85B8B">
              <w:rPr>
                <w:rFonts w:ascii="Arial" w:hAnsi="Arial" w:cs="Arial"/>
                <w:b/>
                <w:bCs/>
              </w:rPr>
              <w:t xml:space="preserve"> NHS)</w:t>
            </w:r>
          </w:p>
        </w:tc>
      </w:tr>
      <w:tr w:rsidR="00BF77F5" w14:paraId="5CA62A6F" w14:textId="77777777" w:rsidTr="0020258D">
        <w:trPr>
          <w:trHeight w:val="883"/>
        </w:trPr>
        <w:tc>
          <w:tcPr>
            <w:tcW w:w="4628" w:type="dxa"/>
            <w:shd w:val="clear" w:color="auto" w:fill="A8D08D" w:themeFill="accent6" w:themeFillTint="99"/>
          </w:tcPr>
          <w:p w14:paraId="774A4971" w14:textId="6427C217" w:rsidR="00BF77F5" w:rsidRDefault="00D32E55" w:rsidP="00D85B8B">
            <w:pPr>
              <w:spacing w:line="360" w:lineRule="auto"/>
              <w:jc w:val="center"/>
              <w:rPr>
                <w:rFonts w:ascii="Arial" w:hAnsi="Arial" w:cs="Arial"/>
              </w:rPr>
            </w:pPr>
            <w:r>
              <w:rPr>
                <w:rFonts w:ascii="Arial" w:hAnsi="Arial" w:cs="Arial"/>
              </w:rPr>
              <w:t>4.22 million adults living with diabetes globally</w:t>
            </w:r>
          </w:p>
        </w:tc>
        <w:tc>
          <w:tcPr>
            <w:tcW w:w="4628" w:type="dxa"/>
            <w:shd w:val="clear" w:color="auto" w:fill="A8D08D" w:themeFill="accent6" w:themeFillTint="99"/>
          </w:tcPr>
          <w:p w14:paraId="77F066D6" w14:textId="4AC1C211" w:rsidR="00BF77F5" w:rsidRDefault="00A55460" w:rsidP="00D85B8B">
            <w:pPr>
              <w:spacing w:line="360" w:lineRule="auto"/>
              <w:jc w:val="center"/>
              <w:rPr>
                <w:rFonts w:ascii="Arial" w:hAnsi="Arial" w:cs="Arial"/>
              </w:rPr>
            </w:pPr>
            <w:r>
              <w:rPr>
                <w:rFonts w:ascii="Arial" w:hAnsi="Arial" w:cs="Arial"/>
              </w:rPr>
              <w:t xml:space="preserve">4.4 </w:t>
            </w:r>
            <w:proofErr w:type="gramStart"/>
            <w:r>
              <w:rPr>
                <w:rFonts w:ascii="Arial" w:hAnsi="Arial" w:cs="Arial"/>
              </w:rPr>
              <w:t>Million</w:t>
            </w:r>
            <w:proofErr w:type="gramEnd"/>
            <w:r>
              <w:rPr>
                <w:rFonts w:ascii="Arial" w:hAnsi="Arial" w:cs="Arial"/>
              </w:rPr>
              <w:t xml:space="preserve"> total </w:t>
            </w:r>
            <w:r w:rsidR="00781422">
              <w:rPr>
                <w:rFonts w:ascii="Arial" w:hAnsi="Arial" w:cs="Arial"/>
              </w:rPr>
              <w:t>UK</w:t>
            </w:r>
            <w:r>
              <w:rPr>
                <w:rFonts w:ascii="Arial" w:hAnsi="Arial" w:cs="Arial"/>
              </w:rPr>
              <w:t xml:space="preserve"> cases </w:t>
            </w:r>
            <w:r w:rsidR="00E51035">
              <w:rPr>
                <w:rFonts w:ascii="Arial" w:hAnsi="Arial" w:cs="Arial"/>
              </w:rPr>
              <w:t xml:space="preserve">(7.9% GP Recorded </w:t>
            </w:r>
            <w:r w:rsidR="00DF08B4">
              <w:rPr>
                <w:rFonts w:ascii="Arial" w:hAnsi="Arial" w:cs="Arial"/>
              </w:rPr>
              <w:t>Prevalence)</w:t>
            </w:r>
          </w:p>
        </w:tc>
      </w:tr>
      <w:tr w:rsidR="00BF77F5" w14:paraId="56D931C1" w14:textId="77777777" w:rsidTr="0020258D">
        <w:trPr>
          <w:trHeight w:val="883"/>
        </w:trPr>
        <w:tc>
          <w:tcPr>
            <w:tcW w:w="4628" w:type="dxa"/>
            <w:shd w:val="clear" w:color="auto" w:fill="A8D08D" w:themeFill="accent6" w:themeFillTint="99"/>
          </w:tcPr>
          <w:p w14:paraId="6DB6C68E" w14:textId="500D3941" w:rsidR="00BF77F5" w:rsidRDefault="00DF08B4" w:rsidP="00D85B8B">
            <w:pPr>
              <w:spacing w:line="360" w:lineRule="auto"/>
              <w:jc w:val="center"/>
              <w:rPr>
                <w:rFonts w:ascii="Arial" w:hAnsi="Arial" w:cs="Arial"/>
              </w:rPr>
            </w:pPr>
            <w:r>
              <w:rPr>
                <w:rFonts w:ascii="Arial" w:hAnsi="Arial" w:cs="Arial"/>
              </w:rPr>
              <w:t>Rapidly rising burden</w:t>
            </w:r>
            <w:r w:rsidR="00AA74DF">
              <w:rPr>
                <w:rFonts w:ascii="Arial" w:hAnsi="Arial" w:cs="Arial"/>
              </w:rPr>
              <w:t>, particularly in low and middle – income regions</w:t>
            </w:r>
          </w:p>
        </w:tc>
        <w:tc>
          <w:tcPr>
            <w:tcW w:w="4628" w:type="dxa"/>
            <w:shd w:val="clear" w:color="auto" w:fill="A8D08D" w:themeFill="accent6" w:themeFillTint="99"/>
          </w:tcPr>
          <w:p w14:paraId="17EC1473" w14:textId="0C490087" w:rsidR="00BF77F5" w:rsidRDefault="006E402E" w:rsidP="00D85B8B">
            <w:pPr>
              <w:spacing w:line="360" w:lineRule="auto"/>
              <w:jc w:val="center"/>
              <w:rPr>
                <w:rFonts w:ascii="Arial" w:hAnsi="Arial" w:cs="Arial"/>
              </w:rPr>
            </w:pPr>
            <w:r>
              <w:rPr>
                <w:rFonts w:ascii="Arial" w:hAnsi="Arial" w:cs="Arial"/>
              </w:rPr>
              <w:t>9.5% Prevalence in tower hamlets (driven by British</w:t>
            </w:r>
            <w:r w:rsidR="00A71ACA">
              <w:rPr>
                <w:rFonts w:ascii="Arial" w:hAnsi="Arial" w:cs="Arial"/>
              </w:rPr>
              <w:t>-Bangladeshi demographics)</w:t>
            </w:r>
          </w:p>
        </w:tc>
      </w:tr>
    </w:tbl>
    <w:p w14:paraId="320D8F1E" w14:textId="79EDE9F2" w:rsidR="005A6894" w:rsidRDefault="005A6894" w:rsidP="0026390E">
      <w:pPr>
        <w:spacing w:line="360" w:lineRule="auto"/>
        <w:jc w:val="both"/>
        <w:rPr>
          <w:rFonts w:ascii="Arial" w:hAnsi="Arial" w:cs="Arial"/>
        </w:rPr>
      </w:pPr>
      <w:bookmarkStart w:id="0" w:name="_Hlk237269847"/>
    </w:p>
    <w:bookmarkEnd w:id="0"/>
    <w:p w14:paraId="04C117B2" w14:textId="77777777" w:rsidR="005A6894" w:rsidRDefault="005A6894" w:rsidP="0026390E">
      <w:pPr>
        <w:spacing w:line="360" w:lineRule="auto"/>
        <w:jc w:val="both"/>
        <w:rPr>
          <w:rFonts w:ascii="Arial" w:hAnsi="Arial" w:cs="Arial"/>
        </w:rPr>
      </w:pPr>
    </w:p>
    <w:p w14:paraId="09D8F7B8" w14:textId="438C0FE2" w:rsidR="00CE7C5B" w:rsidRPr="00494D90" w:rsidRDefault="00945149" w:rsidP="0026390E">
      <w:pPr>
        <w:spacing w:line="360" w:lineRule="auto"/>
        <w:jc w:val="both"/>
        <w:rPr>
          <w:rFonts w:ascii="Arial" w:hAnsi="Arial" w:cs="Arial"/>
          <w:b/>
          <w:bCs/>
        </w:rPr>
      </w:pPr>
      <w:r>
        <w:rPr>
          <w:rFonts w:ascii="Arial" w:hAnsi="Arial" w:cs="Arial"/>
          <w:b/>
          <w:bCs/>
        </w:rPr>
        <w:t>5</w:t>
      </w:r>
      <w:r w:rsidR="00494D90">
        <w:rPr>
          <w:rFonts w:ascii="Arial" w:hAnsi="Arial" w:cs="Arial"/>
          <w:b/>
          <w:bCs/>
        </w:rPr>
        <w:t xml:space="preserve">.3 </w:t>
      </w:r>
      <w:r w:rsidR="0026390E" w:rsidRPr="00494D90">
        <w:rPr>
          <w:rFonts w:ascii="Arial" w:hAnsi="Arial" w:cs="Arial"/>
          <w:b/>
          <w:bCs/>
        </w:rPr>
        <w:t xml:space="preserve">Population and Public Health Interventions (The 3 </w:t>
      </w:r>
      <w:proofErr w:type="gramStart"/>
      <w:r w:rsidR="0026390E" w:rsidRPr="00494D90">
        <w:rPr>
          <w:rFonts w:ascii="Arial" w:hAnsi="Arial" w:cs="Arial"/>
          <w:b/>
          <w:bCs/>
        </w:rPr>
        <w:t>P’s</w:t>
      </w:r>
      <w:proofErr w:type="gramEnd"/>
      <w:r w:rsidR="0026390E" w:rsidRPr="00494D90">
        <w:rPr>
          <w:rFonts w:ascii="Arial" w:hAnsi="Arial" w:cs="Arial"/>
          <w:b/>
          <w:bCs/>
        </w:rPr>
        <w:t>)</w:t>
      </w:r>
      <w:r w:rsidR="00A87E08" w:rsidRPr="00494D90">
        <w:rPr>
          <w:rFonts w:ascii="Arial" w:hAnsi="Arial" w:cs="Arial"/>
          <w:b/>
          <w:bCs/>
        </w:rPr>
        <w:t xml:space="preserve"> </w:t>
      </w:r>
    </w:p>
    <w:p w14:paraId="18F31C8E" w14:textId="77777777" w:rsidR="0026390E" w:rsidRPr="0026390E" w:rsidRDefault="0026390E" w:rsidP="0026390E">
      <w:pPr>
        <w:spacing w:line="360" w:lineRule="auto"/>
        <w:jc w:val="both"/>
        <w:rPr>
          <w:rFonts w:ascii="Arial" w:hAnsi="Arial" w:cs="Arial"/>
        </w:rPr>
      </w:pPr>
      <w:r w:rsidRPr="0026390E">
        <w:rPr>
          <w:rFonts w:ascii="Arial" w:hAnsi="Arial" w:cs="Arial"/>
        </w:rPr>
        <w:t xml:space="preserve">​The population identified for this epidemiological investigation is that of the </w:t>
      </w:r>
      <w:r w:rsidRPr="00BB1522">
        <w:rPr>
          <w:rFonts w:ascii="Arial" w:hAnsi="Arial" w:cs="Arial"/>
          <w:b/>
          <w:bCs/>
        </w:rPr>
        <w:t>London Borough of</w:t>
      </w:r>
      <w:r w:rsidRPr="0026390E">
        <w:rPr>
          <w:rFonts w:ascii="Arial" w:hAnsi="Arial" w:cs="Arial"/>
        </w:rPr>
        <w:t xml:space="preserve"> </w:t>
      </w:r>
      <w:r w:rsidRPr="00BB1522">
        <w:rPr>
          <w:rFonts w:ascii="Arial" w:hAnsi="Arial" w:cs="Arial"/>
          <w:b/>
          <w:bCs/>
        </w:rPr>
        <w:t>Tower Hamlets</w:t>
      </w:r>
      <w:r w:rsidRPr="0026390E">
        <w:rPr>
          <w:rFonts w:ascii="Arial" w:hAnsi="Arial" w:cs="Arial"/>
        </w:rPr>
        <w:t>, which is an inner-east London borough that consists of densely populated and multi-ethnic communities along with areas of extreme socio-economic deprivation. The public health interventions in Tower Hamlets work using the '3 P's' approach:</w:t>
      </w:r>
    </w:p>
    <w:p w14:paraId="419B2E08" w14:textId="77777777" w:rsidR="0026390E" w:rsidRPr="00494D90" w:rsidRDefault="0026390E" w:rsidP="00494D90">
      <w:pPr>
        <w:pStyle w:val="ListParagraph"/>
        <w:numPr>
          <w:ilvl w:val="0"/>
          <w:numId w:val="14"/>
        </w:numPr>
        <w:spacing w:line="360" w:lineRule="auto"/>
        <w:jc w:val="both"/>
        <w:rPr>
          <w:rFonts w:ascii="Arial" w:hAnsi="Arial" w:cs="Arial"/>
        </w:rPr>
      </w:pPr>
      <w:r w:rsidRPr="00494D90">
        <w:rPr>
          <w:rFonts w:ascii="Arial" w:hAnsi="Arial" w:cs="Arial"/>
        </w:rPr>
        <w:t>​</w:t>
      </w:r>
      <w:r w:rsidRPr="00494D90">
        <w:rPr>
          <w:rFonts w:ascii="Arial" w:hAnsi="Arial" w:cs="Arial"/>
          <w:b/>
          <w:bCs/>
          <w:i/>
          <w:iCs/>
        </w:rPr>
        <w:t>Prevention (Primary):</w:t>
      </w:r>
      <w:r w:rsidRPr="00494D90">
        <w:rPr>
          <w:rFonts w:ascii="Arial" w:hAnsi="Arial" w:cs="Arial"/>
        </w:rPr>
        <w:t xml:space="preserve"> Initiatives aimed at health promotion in the community to prevent disease by addressing modifiable risk factors. These include the introduction of the NHS Diabetes Prevention Program (NHS DPP) in the form of 'Just Beat It' program adapted in Sylheti/Bengali language, promotion of exercise by social prescribing in green spaces, and implementation of food policies in urban areas to overcome food deserts.</w:t>
      </w:r>
    </w:p>
    <w:p w14:paraId="7941B674" w14:textId="77777777" w:rsidR="0026390E" w:rsidRPr="00494D90" w:rsidRDefault="0026390E" w:rsidP="00494D90">
      <w:pPr>
        <w:pStyle w:val="ListParagraph"/>
        <w:numPr>
          <w:ilvl w:val="0"/>
          <w:numId w:val="14"/>
        </w:numPr>
        <w:spacing w:line="360" w:lineRule="auto"/>
        <w:jc w:val="both"/>
        <w:rPr>
          <w:rFonts w:ascii="Arial" w:hAnsi="Arial" w:cs="Arial"/>
        </w:rPr>
      </w:pPr>
      <w:r w:rsidRPr="00494D90">
        <w:rPr>
          <w:rFonts w:ascii="Arial" w:hAnsi="Arial" w:cs="Arial"/>
        </w:rPr>
        <w:t>​</w:t>
      </w:r>
      <w:r w:rsidRPr="00494D90">
        <w:rPr>
          <w:rFonts w:ascii="Arial" w:hAnsi="Arial" w:cs="Arial"/>
          <w:b/>
          <w:bCs/>
          <w:i/>
          <w:iCs/>
        </w:rPr>
        <w:t>Protection (Secondary):</w:t>
      </w:r>
      <w:r w:rsidRPr="00494D90">
        <w:rPr>
          <w:rFonts w:ascii="Arial" w:hAnsi="Arial" w:cs="Arial"/>
        </w:rPr>
        <w:t xml:space="preserve"> Screening activities to detect non-diabetic hyperglycemia or asymptomatic T2DM. Screening is done in community pharmacies, faith-based settings </w:t>
      </w:r>
      <w:r w:rsidRPr="00494D90">
        <w:rPr>
          <w:rFonts w:ascii="Arial" w:hAnsi="Arial" w:cs="Arial"/>
        </w:rPr>
        <w:lastRenderedPageBreak/>
        <w:t>such as mosques, and primary care networks (PCNs) through opportunistic screening of BP and HbA1c levels.</w:t>
      </w:r>
    </w:p>
    <w:p w14:paraId="10E5C34E" w14:textId="77777777" w:rsidR="00494D90" w:rsidRDefault="0026390E" w:rsidP="00494D90">
      <w:pPr>
        <w:pStyle w:val="ListParagraph"/>
        <w:numPr>
          <w:ilvl w:val="0"/>
          <w:numId w:val="14"/>
        </w:numPr>
        <w:spacing w:line="360" w:lineRule="auto"/>
        <w:jc w:val="both"/>
        <w:rPr>
          <w:rFonts w:ascii="Arial" w:hAnsi="Arial" w:cs="Arial"/>
        </w:rPr>
      </w:pPr>
      <w:r w:rsidRPr="00494D90">
        <w:rPr>
          <w:rFonts w:ascii="Arial" w:hAnsi="Arial" w:cs="Arial"/>
        </w:rPr>
        <w:t>​</w:t>
      </w:r>
      <w:r w:rsidRPr="00494D90">
        <w:rPr>
          <w:rFonts w:ascii="Arial" w:hAnsi="Arial" w:cs="Arial"/>
          <w:b/>
          <w:bCs/>
          <w:i/>
          <w:iCs/>
        </w:rPr>
        <w:t>Promotion (Tertiary):</w:t>
      </w:r>
      <w:r w:rsidRPr="00494D90">
        <w:rPr>
          <w:rFonts w:ascii="Arial" w:hAnsi="Arial" w:cs="Arial"/>
        </w:rPr>
        <w:t xml:space="preserve"> Management of individuals diagnosed with T2DM.These measures include culturally sensitive structured diabetes education (e.g., DESMOND and X-PERT programs), monitoring of all body systems (retinal testing, diabetic foot testing), and improved drug therapy (SGLT2 inhibitors and GLP-1 receptor agonists) for the prevention of vascular complications. </w:t>
      </w:r>
    </w:p>
    <w:p w14:paraId="69018044" w14:textId="0B838F8B" w:rsidR="0026390E" w:rsidRPr="00520D11" w:rsidRDefault="00945149" w:rsidP="00520D11">
      <w:pPr>
        <w:spacing w:line="360" w:lineRule="auto"/>
        <w:jc w:val="both"/>
        <w:rPr>
          <w:rFonts w:ascii="Arial" w:hAnsi="Arial" w:cs="Arial"/>
          <w:b/>
          <w:bCs/>
        </w:rPr>
      </w:pPr>
      <w:r>
        <w:rPr>
          <w:rFonts w:ascii="Arial" w:hAnsi="Arial" w:cs="Arial"/>
          <w:b/>
          <w:bCs/>
        </w:rPr>
        <w:t>5</w:t>
      </w:r>
      <w:r w:rsidR="00520D11">
        <w:rPr>
          <w:rFonts w:ascii="Arial" w:hAnsi="Arial" w:cs="Arial"/>
          <w:b/>
          <w:bCs/>
        </w:rPr>
        <w:t xml:space="preserve">.4 </w:t>
      </w:r>
      <w:r w:rsidR="0026390E" w:rsidRPr="00520D11">
        <w:rPr>
          <w:rFonts w:ascii="Arial" w:hAnsi="Arial" w:cs="Arial"/>
          <w:b/>
          <w:bCs/>
        </w:rPr>
        <w:t>Key Determinants and Risk Factors</w:t>
      </w:r>
    </w:p>
    <w:p w14:paraId="79A2A1C4" w14:textId="77777777" w:rsidR="008C7405" w:rsidRPr="00520D11" w:rsidRDefault="0026390E" w:rsidP="0026390E">
      <w:pPr>
        <w:spacing w:line="360" w:lineRule="auto"/>
        <w:jc w:val="both"/>
        <w:rPr>
          <w:rFonts w:ascii="Arial" w:hAnsi="Arial" w:cs="Arial"/>
        </w:rPr>
      </w:pPr>
      <w:r w:rsidRPr="00520D11">
        <w:rPr>
          <w:rFonts w:ascii="Arial" w:hAnsi="Arial" w:cs="Arial"/>
        </w:rPr>
        <w:t>Development of T2DM in Tower Hamlets is caused by interaction between biological, socio-environmental, and structural risk factors:</w:t>
      </w:r>
    </w:p>
    <w:p w14:paraId="6F24E013" w14:textId="77777777" w:rsidR="0026390E" w:rsidRPr="00A74AB6" w:rsidRDefault="0026390E" w:rsidP="00A74AB6">
      <w:pPr>
        <w:pStyle w:val="ListParagraph"/>
        <w:numPr>
          <w:ilvl w:val="0"/>
          <w:numId w:val="15"/>
        </w:numPr>
        <w:spacing w:line="360" w:lineRule="auto"/>
        <w:jc w:val="both"/>
        <w:rPr>
          <w:rFonts w:ascii="Arial" w:hAnsi="Arial" w:cs="Arial"/>
        </w:rPr>
      </w:pPr>
      <w:r w:rsidRPr="00A74AB6">
        <w:rPr>
          <w:rFonts w:ascii="Arial" w:hAnsi="Arial" w:cs="Arial"/>
          <w:i/>
          <w:iCs/>
        </w:rPr>
        <w:t>Ethnicity and Genetic Susceptibility:</w:t>
      </w:r>
      <w:r w:rsidRPr="00A74AB6">
        <w:rPr>
          <w:rFonts w:ascii="Arial" w:hAnsi="Arial" w:cs="Arial"/>
        </w:rPr>
        <w:t xml:space="preserve"> Over 32% of the residents in Tower Hamlets are of Bangladesh/South Asian origin. South Asians have a genetically mediated predisposition to visceral adiposity and insulin resistance, resulting in early (by 10-12 years) and at low </w:t>
      </w:r>
      <w:r w:rsidR="008C7405" w:rsidRPr="00A74AB6">
        <w:rPr>
          <w:rFonts w:ascii="Arial" w:hAnsi="Arial" w:cs="Arial"/>
        </w:rPr>
        <w:t>body mass index (BMI &gt;= 23 kg/m</w:t>
      </w:r>
      <w:r w:rsidR="008C7405" w:rsidRPr="00A74AB6">
        <w:rPr>
          <w:rFonts w:ascii="Arial" w:hAnsi="Arial" w:cs="Arial"/>
          <w:vertAlign w:val="superscript"/>
        </w:rPr>
        <w:t>2</w:t>
      </w:r>
      <w:r w:rsidRPr="00A74AB6">
        <w:rPr>
          <w:rFonts w:ascii="Arial" w:hAnsi="Arial" w:cs="Arial"/>
        </w:rPr>
        <w:t xml:space="preserve"> vs. &gt;=25 kg/m</w:t>
      </w:r>
      <w:r w:rsidRPr="00A74AB6">
        <w:rPr>
          <w:rFonts w:ascii="Arial" w:hAnsi="Arial" w:cs="Arial"/>
          <w:vertAlign w:val="superscript"/>
        </w:rPr>
        <w:t>2</w:t>
      </w:r>
      <w:r w:rsidRPr="00A74AB6">
        <w:rPr>
          <w:rFonts w:ascii="Arial" w:hAnsi="Arial" w:cs="Arial"/>
        </w:rPr>
        <w:t>) development of T2DM.</w:t>
      </w:r>
    </w:p>
    <w:p w14:paraId="74B52D1D" w14:textId="6FCE2CCC" w:rsidR="0026390E" w:rsidRPr="00A74AB6" w:rsidRDefault="0026390E" w:rsidP="00A74AB6">
      <w:pPr>
        <w:pStyle w:val="ListParagraph"/>
        <w:numPr>
          <w:ilvl w:val="0"/>
          <w:numId w:val="15"/>
        </w:numPr>
        <w:spacing w:line="360" w:lineRule="auto"/>
        <w:jc w:val="both"/>
        <w:rPr>
          <w:rFonts w:ascii="Arial" w:hAnsi="Arial" w:cs="Arial"/>
        </w:rPr>
      </w:pPr>
      <w:r w:rsidRPr="00A74AB6">
        <w:rPr>
          <w:rFonts w:ascii="Arial" w:hAnsi="Arial" w:cs="Arial"/>
          <w:i/>
          <w:iCs/>
        </w:rPr>
        <w:t>Socio-Economic Deprivation:</w:t>
      </w:r>
      <w:r w:rsidRPr="00A74AB6">
        <w:rPr>
          <w:rFonts w:ascii="Arial" w:hAnsi="Arial" w:cs="Arial"/>
        </w:rPr>
        <w:t xml:space="preserve"> Tower Hamlets belongs to the most deprived local authorities in England based on the Index of multiple deprivation (IMD</w:t>
      </w:r>
      <w:r w:rsidR="00EF15A7">
        <w:rPr>
          <w:rFonts w:ascii="Arial" w:hAnsi="Arial" w:cs="Arial"/>
        </w:rPr>
        <w:t>)</w:t>
      </w:r>
      <w:r w:rsidRPr="00A74AB6">
        <w:rPr>
          <w:rFonts w:ascii="Arial" w:hAnsi="Arial" w:cs="Arial"/>
        </w:rPr>
        <w:t xml:space="preserve">. Limited availability of cheap yet nutritionally rich foods </w:t>
      </w:r>
      <w:proofErr w:type="gramStart"/>
      <w:r w:rsidRPr="00A74AB6">
        <w:rPr>
          <w:rFonts w:ascii="Arial" w:hAnsi="Arial" w:cs="Arial"/>
        </w:rPr>
        <w:t>results</w:t>
      </w:r>
      <w:proofErr w:type="gramEnd"/>
      <w:r w:rsidRPr="00A74AB6">
        <w:rPr>
          <w:rFonts w:ascii="Arial" w:hAnsi="Arial" w:cs="Arial"/>
        </w:rPr>
        <w:t xml:space="preserve"> in formation of food swamps, characterized by abundance of high-caloric fast food.</w:t>
      </w:r>
    </w:p>
    <w:p w14:paraId="6590A73F" w14:textId="77777777" w:rsidR="0026390E" w:rsidRPr="00A74AB6" w:rsidRDefault="0026390E" w:rsidP="00A74AB6">
      <w:pPr>
        <w:pStyle w:val="ListParagraph"/>
        <w:numPr>
          <w:ilvl w:val="0"/>
          <w:numId w:val="15"/>
        </w:numPr>
        <w:spacing w:line="360" w:lineRule="auto"/>
        <w:jc w:val="both"/>
        <w:rPr>
          <w:rFonts w:ascii="Arial" w:hAnsi="Arial" w:cs="Arial"/>
        </w:rPr>
      </w:pPr>
      <w:r w:rsidRPr="00A74AB6">
        <w:rPr>
          <w:rFonts w:ascii="Arial" w:hAnsi="Arial" w:cs="Arial"/>
          <w:i/>
          <w:iCs/>
        </w:rPr>
        <w:t>Built environment and physical inactivity:</w:t>
      </w:r>
      <w:r w:rsidRPr="00A74AB6">
        <w:rPr>
          <w:rFonts w:ascii="Arial" w:hAnsi="Arial" w:cs="Arial"/>
        </w:rPr>
        <w:t xml:space="preserve"> high density of urban population, lack of private green areas, and safety issues result in high levels of physical inactivity.</w:t>
      </w:r>
    </w:p>
    <w:p w14:paraId="3112FC20" w14:textId="77777777" w:rsidR="00EE3DF8" w:rsidRDefault="0026390E" w:rsidP="00EE3DF8">
      <w:pPr>
        <w:pStyle w:val="ListParagraph"/>
        <w:numPr>
          <w:ilvl w:val="0"/>
          <w:numId w:val="15"/>
        </w:numPr>
        <w:spacing w:line="360" w:lineRule="auto"/>
        <w:jc w:val="both"/>
        <w:rPr>
          <w:rFonts w:ascii="Arial" w:hAnsi="Arial" w:cs="Arial"/>
        </w:rPr>
      </w:pPr>
      <w:r w:rsidRPr="00A74AB6">
        <w:rPr>
          <w:rFonts w:ascii="Arial" w:hAnsi="Arial" w:cs="Arial"/>
          <w:i/>
          <w:iCs/>
        </w:rPr>
        <w:t>Psychosocial stress:</w:t>
      </w:r>
      <w:r w:rsidRPr="00A74AB6">
        <w:rPr>
          <w:rFonts w:ascii="Arial" w:hAnsi="Arial" w:cs="Arial"/>
          <w:b/>
          <w:bCs/>
          <w:i/>
          <w:iCs/>
        </w:rPr>
        <w:t xml:space="preserve"> </w:t>
      </w:r>
      <w:r w:rsidRPr="00A74AB6">
        <w:rPr>
          <w:rFonts w:ascii="Arial" w:hAnsi="Arial" w:cs="Arial"/>
        </w:rPr>
        <w:t>constant stress due to financial problems, poor housing conditions, and changes caused by migration lead to increased levels of systemic cortisol, thus aggravating metabolic disturbance.</w:t>
      </w:r>
    </w:p>
    <w:p w14:paraId="77824052" w14:textId="77777777" w:rsidR="00DC1D99" w:rsidRDefault="00DC1D99" w:rsidP="00EE3DF8">
      <w:pPr>
        <w:spacing w:line="360" w:lineRule="auto"/>
        <w:jc w:val="both"/>
        <w:rPr>
          <w:rFonts w:ascii="Arial" w:hAnsi="Arial" w:cs="Arial"/>
          <w:b/>
          <w:bCs/>
        </w:rPr>
      </w:pPr>
    </w:p>
    <w:p w14:paraId="69640514" w14:textId="40E329D6" w:rsidR="00DC1D99" w:rsidRDefault="00E80F73" w:rsidP="00EE3DF8">
      <w:pPr>
        <w:spacing w:line="360" w:lineRule="auto"/>
        <w:jc w:val="both"/>
        <w:rPr>
          <w:rFonts w:ascii="Arial" w:hAnsi="Arial" w:cs="Arial"/>
          <w:b/>
          <w:bCs/>
        </w:rPr>
      </w:pPr>
      <w:r>
        <w:rPr>
          <w:rFonts w:ascii="Arial" w:hAnsi="Arial" w:cs="Arial"/>
          <w:b/>
          <w:bCs/>
        </w:rPr>
        <w:t xml:space="preserve">                       </w:t>
      </w:r>
    </w:p>
    <w:p w14:paraId="796D0382" w14:textId="4FB24CD0" w:rsidR="0026390E" w:rsidRPr="00EE3DF8" w:rsidRDefault="00945149" w:rsidP="00EE3DF8">
      <w:pPr>
        <w:spacing w:line="360" w:lineRule="auto"/>
        <w:jc w:val="both"/>
        <w:rPr>
          <w:rFonts w:ascii="Arial" w:hAnsi="Arial" w:cs="Arial"/>
          <w:b/>
          <w:bCs/>
        </w:rPr>
      </w:pPr>
      <w:r>
        <w:rPr>
          <w:rFonts w:ascii="Arial" w:hAnsi="Arial" w:cs="Arial"/>
          <w:b/>
          <w:bCs/>
        </w:rPr>
        <w:t>5</w:t>
      </w:r>
      <w:r w:rsidR="00182C3B">
        <w:rPr>
          <w:rFonts w:ascii="Arial" w:hAnsi="Arial" w:cs="Arial"/>
          <w:b/>
          <w:bCs/>
        </w:rPr>
        <w:t xml:space="preserve">.5 </w:t>
      </w:r>
      <w:r w:rsidR="0026390E" w:rsidRPr="00EE3DF8">
        <w:rPr>
          <w:rFonts w:ascii="Arial" w:hAnsi="Arial" w:cs="Arial"/>
          <w:b/>
          <w:bCs/>
        </w:rPr>
        <w:t>Population Risk Profiling Using Epidemiological Tools and Health Needs Assessment (HNA)</w:t>
      </w:r>
    </w:p>
    <w:p w14:paraId="2D186ECA" w14:textId="77777777" w:rsidR="005D18C3" w:rsidRDefault="0026390E" w:rsidP="0026390E">
      <w:pPr>
        <w:spacing w:line="360" w:lineRule="auto"/>
        <w:jc w:val="both"/>
        <w:rPr>
          <w:rFonts w:ascii="Arial" w:hAnsi="Arial" w:cs="Arial"/>
        </w:rPr>
      </w:pPr>
      <w:r w:rsidRPr="0026390E">
        <w:rPr>
          <w:rFonts w:ascii="Arial" w:hAnsi="Arial" w:cs="Arial"/>
        </w:rPr>
        <w:t>​Comprehensive Joint Strategic Needs Assessment (JSNA) based on cross-sectional analysis of local General Practices using the East London Database/Clinical Effectiveness Group shows huge inequalities in the risk level</w:t>
      </w:r>
      <w:r w:rsidR="008C7405">
        <w:rPr>
          <w:rFonts w:ascii="Arial" w:hAnsi="Arial" w:cs="Arial"/>
        </w:rPr>
        <w:t xml:space="preserve">. </w:t>
      </w:r>
    </w:p>
    <w:p w14:paraId="1EC850EC" w14:textId="67F7EBA8" w:rsidR="00182C3B" w:rsidRPr="00B766A5" w:rsidRDefault="00182C3B" w:rsidP="0026390E">
      <w:pPr>
        <w:spacing w:line="360" w:lineRule="auto"/>
        <w:jc w:val="both"/>
        <w:rPr>
          <w:rFonts w:ascii="Arial" w:hAnsi="Arial" w:cs="Arial"/>
        </w:rPr>
      </w:pPr>
    </w:p>
    <w:p w14:paraId="5E1712E3" w14:textId="77777777" w:rsidR="00182C3B" w:rsidRPr="00B766A5" w:rsidRDefault="00182C3B" w:rsidP="0026390E">
      <w:pPr>
        <w:spacing w:line="360" w:lineRule="auto"/>
        <w:jc w:val="both"/>
        <w:rPr>
          <w:rFonts w:ascii="Arial" w:hAnsi="Arial" w:cs="Arial"/>
        </w:rPr>
      </w:pPr>
    </w:p>
    <w:p w14:paraId="4B821012" w14:textId="77777777" w:rsidR="00182C3B" w:rsidRPr="00B766A5" w:rsidRDefault="00182C3B" w:rsidP="0026390E">
      <w:pPr>
        <w:spacing w:line="360" w:lineRule="auto"/>
        <w:jc w:val="both"/>
        <w:rPr>
          <w:rFonts w:ascii="Arial" w:hAnsi="Arial" w:cs="Arial"/>
        </w:rPr>
      </w:pPr>
    </w:p>
    <w:p w14:paraId="78896F79" w14:textId="77777777" w:rsidR="00B766A5" w:rsidRPr="00B766A5" w:rsidRDefault="00B766A5" w:rsidP="00B766A5">
      <w:pPr>
        <w:spacing w:line="360" w:lineRule="auto"/>
        <w:jc w:val="both"/>
        <w:rPr>
          <w:rFonts w:ascii="Arial" w:hAnsi="Arial" w:cs="Arial"/>
        </w:rPr>
      </w:pPr>
    </w:p>
    <w:tbl>
      <w:tblPr>
        <w:tblStyle w:val="TableGrid"/>
        <w:tblpPr w:leftFromText="180" w:rightFromText="180" w:vertAnchor="text" w:horzAnchor="margin" w:tblpXSpec="center" w:tblpY="1441"/>
        <w:tblW w:w="0" w:type="auto"/>
        <w:tblLook w:val="04A0" w:firstRow="1" w:lastRow="0" w:firstColumn="1" w:lastColumn="0" w:noHBand="0" w:noVBand="1"/>
      </w:tblPr>
      <w:tblGrid>
        <w:gridCol w:w="2237"/>
        <w:gridCol w:w="2237"/>
        <w:gridCol w:w="2906"/>
      </w:tblGrid>
      <w:tr w:rsidR="00677190" w:rsidRPr="00202864" w14:paraId="4F13A211" w14:textId="77777777" w:rsidTr="005120FE">
        <w:trPr>
          <w:cantSplit/>
          <w:trHeight w:val="664"/>
        </w:trPr>
        <w:tc>
          <w:tcPr>
            <w:tcW w:w="2237" w:type="dxa"/>
            <w:shd w:val="clear" w:color="auto" w:fill="DEEAF6" w:themeFill="accent1" w:themeFillTint="33"/>
          </w:tcPr>
          <w:p w14:paraId="273F72EF" w14:textId="77777777" w:rsidR="00677190" w:rsidRPr="00202864" w:rsidRDefault="00677190" w:rsidP="005120FE">
            <w:pPr>
              <w:spacing w:after="160" w:line="360" w:lineRule="auto"/>
              <w:jc w:val="center"/>
              <w:rPr>
                <w:rFonts w:ascii="Arial" w:hAnsi="Arial" w:cs="Arial"/>
                <w:b/>
                <w:bCs/>
              </w:rPr>
            </w:pPr>
            <w:r w:rsidRPr="00202864">
              <w:rPr>
                <w:rFonts w:ascii="Arial" w:hAnsi="Arial" w:cs="Arial"/>
                <w:b/>
                <w:bCs/>
              </w:rPr>
              <w:t>Population Sub-Group</w:t>
            </w:r>
          </w:p>
        </w:tc>
        <w:tc>
          <w:tcPr>
            <w:tcW w:w="2237" w:type="dxa"/>
            <w:shd w:val="clear" w:color="auto" w:fill="DEEAF6" w:themeFill="accent1" w:themeFillTint="33"/>
          </w:tcPr>
          <w:p w14:paraId="4828F139" w14:textId="77777777" w:rsidR="00677190" w:rsidRPr="00202864" w:rsidRDefault="00677190" w:rsidP="005120FE">
            <w:pPr>
              <w:spacing w:after="160" w:line="360" w:lineRule="auto"/>
              <w:jc w:val="center"/>
              <w:rPr>
                <w:rFonts w:ascii="Arial" w:hAnsi="Arial" w:cs="Arial"/>
                <w:b/>
                <w:bCs/>
              </w:rPr>
            </w:pPr>
            <w:r w:rsidRPr="00202864">
              <w:rPr>
                <w:rFonts w:ascii="Arial" w:hAnsi="Arial" w:cs="Arial"/>
                <w:b/>
                <w:bCs/>
              </w:rPr>
              <w:t>Prevalence / Risk Estimate</w:t>
            </w:r>
          </w:p>
        </w:tc>
        <w:tc>
          <w:tcPr>
            <w:tcW w:w="2906" w:type="dxa"/>
            <w:shd w:val="clear" w:color="auto" w:fill="DEEAF6" w:themeFill="accent1" w:themeFillTint="33"/>
          </w:tcPr>
          <w:p w14:paraId="65BAEC99" w14:textId="77777777" w:rsidR="00677190" w:rsidRPr="00202864" w:rsidRDefault="00677190" w:rsidP="005120FE">
            <w:pPr>
              <w:spacing w:after="160" w:line="360" w:lineRule="auto"/>
              <w:jc w:val="center"/>
              <w:rPr>
                <w:rFonts w:ascii="Arial" w:hAnsi="Arial" w:cs="Arial"/>
                <w:b/>
                <w:bCs/>
              </w:rPr>
            </w:pPr>
            <w:r w:rsidRPr="00202864">
              <w:rPr>
                <w:rFonts w:ascii="Arial" w:hAnsi="Arial" w:cs="Arial"/>
                <w:b/>
                <w:bCs/>
              </w:rPr>
              <w:t>Primary Risk Drivers</w:t>
            </w:r>
          </w:p>
        </w:tc>
      </w:tr>
      <w:tr w:rsidR="00677190" w:rsidRPr="00202864" w14:paraId="639B23C9" w14:textId="77777777" w:rsidTr="005120FE">
        <w:trPr>
          <w:cantSplit/>
          <w:trHeight w:val="1343"/>
        </w:trPr>
        <w:tc>
          <w:tcPr>
            <w:tcW w:w="2237" w:type="dxa"/>
            <w:shd w:val="clear" w:color="auto" w:fill="DEEAF6" w:themeFill="accent1" w:themeFillTint="33"/>
          </w:tcPr>
          <w:p w14:paraId="3F3D4303" w14:textId="77777777" w:rsidR="00677190" w:rsidRPr="00202864" w:rsidRDefault="00677190" w:rsidP="005120FE">
            <w:pPr>
              <w:spacing w:after="160" w:line="360" w:lineRule="auto"/>
              <w:jc w:val="center"/>
              <w:rPr>
                <w:rFonts w:ascii="Arial" w:hAnsi="Arial" w:cs="Arial"/>
              </w:rPr>
            </w:pPr>
            <w:r w:rsidRPr="00202864">
              <w:rPr>
                <w:rFonts w:ascii="Arial" w:hAnsi="Arial" w:cs="Arial"/>
              </w:rPr>
              <w:t>Bangladeshi Adults (Aged 35+)</w:t>
            </w:r>
          </w:p>
        </w:tc>
        <w:tc>
          <w:tcPr>
            <w:tcW w:w="2237" w:type="dxa"/>
            <w:shd w:val="clear" w:color="auto" w:fill="DEEAF6" w:themeFill="accent1" w:themeFillTint="33"/>
          </w:tcPr>
          <w:p w14:paraId="2C40A5F4" w14:textId="77777777" w:rsidR="00677190" w:rsidRPr="00202864" w:rsidRDefault="00677190" w:rsidP="005120FE">
            <w:pPr>
              <w:spacing w:after="160" w:line="360" w:lineRule="auto"/>
              <w:jc w:val="center"/>
              <w:rPr>
                <w:rFonts w:ascii="Arial" w:hAnsi="Arial" w:cs="Arial"/>
              </w:rPr>
            </w:pPr>
            <w:r w:rsidRPr="00202864">
              <w:rPr>
                <w:rFonts w:ascii="Arial" w:hAnsi="Arial" w:cs="Arial"/>
              </w:rPr>
              <w:t>18.5% - 22.0%</w:t>
            </w:r>
          </w:p>
        </w:tc>
        <w:tc>
          <w:tcPr>
            <w:tcW w:w="2906" w:type="dxa"/>
            <w:shd w:val="clear" w:color="auto" w:fill="DEEAF6" w:themeFill="accent1" w:themeFillTint="33"/>
          </w:tcPr>
          <w:p w14:paraId="472B4FA4" w14:textId="77777777" w:rsidR="00677190" w:rsidRPr="00202864" w:rsidRDefault="00677190" w:rsidP="005120FE">
            <w:pPr>
              <w:spacing w:after="160" w:line="360" w:lineRule="auto"/>
              <w:jc w:val="center"/>
              <w:rPr>
                <w:rFonts w:ascii="Arial" w:hAnsi="Arial" w:cs="Arial"/>
              </w:rPr>
            </w:pPr>
            <w:r w:rsidRPr="00202864">
              <w:rPr>
                <w:rFonts w:ascii="Arial" w:hAnsi="Arial" w:cs="Arial"/>
              </w:rPr>
              <w:t>Genetic metabolic sensitivity, dietary transition, central adiposity</w:t>
            </w:r>
          </w:p>
        </w:tc>
      </w:tr>
      <w:tr w:rsidR="00677190" w:rsidRPr="00202864" w14:paraId="512AAEA8" w14:textId="77777777" w:rsidTr="005120FE">
        <w:trPr>
          <w:cantSplit/>
          <w:trHeight w:val="664"/>
        </w:trPr>
        <w:tc>
          <w:tcPr>
            <w:tcW w:w="2237" w:type="dxa"/>
            <w:shd w:val="clear" w:color="auto" w:fill="DEEAF6" w:themeFill="accent1" w:themeFillTint="33"/>
          </w:tcPr>
          <w:p w14:paraId="51B8D4B9" w14:textId="77777777" w:rsidR="00677190" w:rsidRPr="00202864" w:rsidRDefault="00677190" w:rsidP="005120FE">
            <w:pPr>
              <w:spacing w:after="160" w:line="360" w:lineRule="auto"/>
              <w:jc w:val="center"/>
              <w:rPr>
                <w:rFonts w:ascii="Arial" w:hAnsi="Arial" w:cs="Arial"/>
              </w:rPr>
            </w:pPr>
            <w:r w:rsidRPr="00202864">
              <w:rPr>
                <w:rFonts w:ascii="Arial" w:hAnsi="Arial" w:cs="Arial"/>
              </w:rPr>
              <w:t>Black African / Caribbean</w:t>
            </w:r>
          </w:p>
        </w:tc>
        <w:tc>
          <w:tcPr>
            <w:tcW w:w="2237" w:type="dxa"/>
            <w:shd w:val="clear" w:color="auto" w:fill="DEEAF6" w:themeFill="accent1" w:themeFillTint="33"/>
          </w:tcPr>
          <w:p w14:paraId="3AC59CF7" w14:textId="77777777" w:rsidR="00677190" w:rsidRPr="00202864" w:rsidRDefault="00677190" w:rsidP="005120FE">
            <w:pPr>
              <w:spacing w:after="160" w:line="360" w:lineRule="auto"/>
              <w:jc w:val="center"/>
              <w:rPr>
                <w:rFonts w:ascii="Arial" w:hAnsi="Arial" w:cs="Arial"/>
              </w:rPr>
            </w:pPr>
            <w:r w:rsidRPr="00202864">
              <w:rPr>
                <w:rFonts w:ascii="Arial" w:hAnsi="Arial" w:cs="Arial"/>
              </w:rPr>
              <w:t>12.0% - 15.0%</w:t>
            </w:r>
          </w:p>
        </w:tc>
        <w:tc>
          <w:tcPr>
            <w:tcW w:w="2906" w:type="dxa"/>
            <w:shd w:val="clear" w:color="auto" w:fill="DEEAF6" w:themeFill="accent1" w:themeFillTint="33"/>
          </w:tcPr>
          <w:p w14:paraId="4A238ED0" w14:textId="77777777" w:rsidR="00677190" w:rsidRPr="00202864" w:rsidRDefault="00677190" w:rsidP="005120FE">
            <w:pPr>
              <w:spacing w:after="160" w:line="360" w:lineRule="auto"/>
              <w:jc w:val="center"/>
              <w:rPr>
                <w:rFonts w:ascii="Arial" w:hAnsi="Arial" w:cs="Arial"/>
              </w:rPr>
            </w:pPr>
            <w:r w:rsidRPr="00202864">
              <w:rPr>
                <w:rFonts w:ascii="Arial" w:hAnsi="Arial" w:cs="Arial"/>
              </w:rPr>
              <w:t>High background prevalence of essential hypertension and insulin resistance</w:t>
            </w:r>
          </w:p>
        </w:tc>
      </w:tr>
      <w:tr w:rsidR="00677190" w:rsidRPr="00202864" w14:paraId="7881945C" w14:textId="77777777" w:rsidTr="005120FE">
        <w:trPr>
          <w:cantSplit/>
          <w:trHeight w:val="293"/>
        </w:trPr>
        <w:tc>
          <w:tcPr>
            <w:tcW w:w="2237" w:type="dxa"/>
            <w:shd w:val="clear" w:color="auto" w:fill="DEEAF6" w:themeFill="accent1" w:themeFillTint="33"/>
          </w:tcPr>
          <w:p w14:paraId="6D7B4EDA" w14:textId="77777777" w:rsidR="00677190" w:rsidRPr="00202864" w:rsidRDefault="00677190" w:rsidP="005120FE">
            <w:pPr>
              <w:spacing w:after="160" w:line="360" w:lineRule="auto"/>
              <w:jc w:val="center"/>
              <w:rPr>
                <w:rFonts w:ascii="Arial" w:hAnsi="Arial" w:cs="Arial"/>
              </w:rPr>
            </w:pPr>
            <w:r w:rsidRPr="00202864">
              <w:rPr>
                <w:rFonts w:ascii="Arial" w:hAnsi="Arial" w:cs="Arial"/>
              </w:rPr>
              <w:t>White British (Deprived Quintile)</w:t>
            </w:r>
          </w:p>
        </w:tc>
        <w:tc>
          <w:tcPr>
            <w:tcW w:w="2237" w:type="dxa"/>
            <w:shd w:val="clear" w:color="auto" w:fill="DEEAF6" w:themeFill="accent1" w:themeFillTint="33"/>
          </w:tcPr>
          <w:p w14:paraId="2E8CE9A6" w14:textId="77777777" w:rsidR="00677190" w:rsidRPr="00202864" w:rsidRDefault="00677190" w:rsidP="005120FE">
            <w:pPr>
              <w:spacing w:after="160" w:line="360" w:lineRule="auto"/>
              <w:jc w:val="center"/>
              <w:rPr>
                <w:rFonts w:ascii="Arial" w:hAnsi="Arial" w:cs="Arial"/>
              </w:rPr>
            </w:pPr>
            <w:r w:rsidRPr="00202864">
              <w:rPr>
                <w:rFonts w:ascii="Arial" w:hAnsi="Arial" w:cs="Arial"/>
              </w:rPr>
              <w:t>7.5% - 9.0%</w:t>
            </w:r>
          </w:p>
        </w:tc>
        <w:tc>
          <w:tcPr>
            <w:tcW w:w="2906" w:type="dxa"/>
            <w:shd w:val="clear" w:color="auto" w:fill="DEEAF6" w:themeFill="accent1" w:themeFillTint="33"/>
          </w:tcPr>
          <w:p w14:paraId="6EEC40DF" w14:textId="5B8880D1" w:rsidR="00677190" w:rsidRPr="00202864" w:rsidRDefault="00677190" w:rsidP="005120FE">
            <w:pPr>
              <w:spacing w:after="160" w:line="360" w:lineRule="auto"/>
              <w:jc w:val="center"/>
              <w:rPr>
                <w:rFonts w:ascii="Arial" w:hAnsi="Arial" w:cs="Arial"/>
              </w:rPr>
            </w:pPr>
            <w:r w:rsidRPr="00202864">
              <w:rPr>
                <w:rFonts w:ascii="Arial" w:hAnsi="Arial" w:cs="Arial"/>
              </w:rPr>
              <w:t xml:space="preserve">High BMI, </w:t>
            </w:r>
            <w:r w:rsidR="009E04CD">
              <w:rPr>
                <w:rFonts w:ascii="Arial" w:hAnsi="Arial" w:cs="Arial"/>
              </w:rPr>
              <w:t>T</w:t>
            </w:r>
            <w:r w:rsidRPr="00202864">
              <w:rPr>
                <w:rFonts w:ascii="Arial" w:hAnsi="Arial" w:cs="Arial"/>
              </w:rPr>
              <w:t>abacco use, low physical activity levels</w:t>
            </w:r>
          </w:p>
        </w:tc>
      </w:tr>
    </w:tbl>
    <w:p w14:paraId="16DE04FA" w14:textId="77777777" w:rsidR="00A73C2A" w:rsidRDefault="00C97FAD" w:rsidP="00B766A5">
      <w:pPr>
        <w:spacing w:line="360" w:lineRule="auto"/>
        <w:jc w:val="both"/>
        <w:rPr>
          <w:rFonts w:ascii="Arial" w:hAnsi="Arial" w:cs="Arial"/>
          <w:b/>
          <w:bCs/>
        </w:rPr>
      </w:pPr>
      <w:r w:rsidRPr="002D07D8">
        <w:rPr>
          <w:rFonts w:ascii="Arial" w:hAnsi="Arial" w:cs="Arial"/>
          <w:b/>
          <w:bCs/>
        </w:rPr>
        <w:t>FIGURE</w:t>
      </w:r>
      <w:r w:rsidR="0033636C" w:rsidRPr="002D07D8">
        <w:rPr>
          <w:rFonts w:ascii="Arial" w:hAnsi="Arial" w:cs="Arial"/>
          <w:b/>
          <w:bCs/>
        </w:rPr>
        <w:t xml:space="preserve"> 6:</w:t>
      </w:r>
      <w:r w:rsidR="002D07D8">
        <w:rPr>
          <w:rFonts w:ascii="Arial" w:hAnsi="Arial" w:cs="Arial"/>
          <w:b/>
          <w:bCs/>
        </w:rPr>
        <w:t xml:space="preserve"> Population </w:t>
      </w:r>
      <w:r w:rsidR="005120FE">
        <w:rPr>
          <w:rFonts w:ascii="Arial" w:hAnsi="Arial" w:cs="Arial"/>
          <w:b/>
          <w:bCs/>
        </w:rPr>
        <w:t xml:space="preserve">risk Profiling matrix </w:t>
      </w:r>
    </w:p>
    <w:p w14:paraId="4E6F0FDB" w14:textId="5CADE95A" w:rsidR="008F57BF" w:rsidRPr="002D07D8" w:rsidRDefault="005120FE" w:rsidP="00B766A5">
      <w:pPr>
        <w:spacing w:line="360" w:lineRule="auto"/>
        <w:jc w:val="both"/>
        <w:rPr>
          <w:rFonts w:ascii="Arial" w:hAnsi="Arial" w:cs="Arial"/>
          <w:b/>
          <w:bCs/>
        </w:rPr>
      </w:pPr>
      <w:proofErr w:type="gramStart"/>
      <w:r>
        <w:rPr>
          <w:rFonts w:ascii="Arial" w:hAnsi="Arial" w:cs="Arial"/>
          <w:b/>
          <w:bCs/>
        </w:rPr>
        <w:t>Sou</w:t>
      </w:r>
      <w:r w:rsidR="00A02B6F">
        <w:rPr>
          <w:rFonts w:ascii="Arial" w:hAnsi="Arial" w:cs="Arial"/>
          <w:b/>
          <w:bCs/>
        </w:rPr>
        <w:t>rce :</w:t>
      </w:r>
      <w:proofErr w:type="gramEnd"/>
      <w:r w:rsidR="00A02B6F">
        <w:rPr>
          <w:rFonts w:ascii="Arial" w:hAnsi="Arial" w:cs="Arial"/>
          <w:b/>
          <w:bCs/>
        </w:rPr>
        <w:t xml:space="preserve"> T</w:t>
      </w:r>
      <w:r w:rsidR="00601D1C">
        <w:rPr>
          <w:rFonts w:ascii="Arial" w:hAnsi="Arial" w:cs="Arial"/>
          <w:b/>
          <w:bCs/>
        </w:rPr>
        <w:t xml:space="preserve">ower of hamlets council 2022 </w:t>
      </w:r>
      <w:r w:rsidR="00421192">
        <w:rPr>
          <w:rFonts w:ascii="Arial" w:hAnsi="Arial" w:cs="Arial"/>
          <w:b/>
          <w:bCs/>
        </w:rPr>
        <w:t xml:space="preserve">JSNA and East London </w:t>
      </w:r>
      <w:r w:rsidR="00770703">
        <w:rPr>
          <w:rFonts w:ascii="Arial" w:hAnsi="Arial" w:cs="Arial"/>
          <w:b/>
          <w:bCs/>
        </w:rPr>
        <w:t xml:space="preserve">clinical effectiveness group data </w:t>
      </w:r>
      <w:r w:rsidR="00421192">
        <w:rPr>
          <w:rFonts w:ascii="Arial" w:hAnsi="Arial" w:cs="Arial"/>
          <w:b/>
          <w:bCs/>
        </w:rPr>
        <w:t xml:space="preserve"> </w:t>
      </w:r>
    </w:p>
    <w:p w14:paraId="4059FC8E" w14:textId="77777777" w:rsidR="00F94C4D" w:rsidRDefault="00F94C4D" w:rsidP="00B766A5">
      <w:pPr>
        <w:spacing w:line="360" w:lineRule="auto"/>
        <w:jc w:val="both"/>
        <w:rPr>
          <w:rFonts w:ascii="Arial" w:hAnsi="Arial" w:cs="Arial"/>
        </w:rPr>
      </w:pPr>
    </w:p>
    <w:p w14:paraId="61D0B2D4" w14:textId="77777777" w:rsidR="0027217E" w:rsidRDefault="0027217E" w:rsidP="00B766A5">
      <w:pPr>
        <w:spacing w:line="360" w:lineRule="auto"/>
        <w:jc w:val="both"/>
        <w:rPr>
          <w:rFonts w:ascii="Arial" w:hAnsi="Arial" w:cs="Arial"/>
        </w:rPr>
      </w:pPr>
    </w:p>
    <w:p w14:paraId="4AE5AB28" w14:textId="77777777" w:rsidR="0027217E" w:rsidRDefault="0027217E" w:rsidP="00B766A5">
      <w:pPr>
        <w:spacing w:line="360" w:lineRule="auto"/>
        <w:jc w:val="both"/>
        <w:rPr>
          <w:rFonts w:ascii="Arial" w:hAnsi="Arial" w:cs="Arial"/>
        </w:rPr>
      </w:pPr>
    </w:p>
    <w:p w14:paraId="44A3DF2D" w14:textId="77777777" w:rsidR="0027217E" w:rsidRDefault="0027217E" w:rsidP="00B766A5">
      <w:pPr>
        <w:spacing w:line="360" w:lineRule="auto"/>
        <w:jc w:val="both"/>
        <w:rPr>
          <w:rFonts w:ascii="Arial" w:hAnsi="Arial" w:cs="Arial"/>
        </w:rPr>
      </w:pPr>
    </w:p>
    <w:p w14:paraId="082A76DD" w14:textId="77777777" w:rsidR="00677190" w:rsidRDefault="00677190" w:rsidP="00677190">
      <w:pPr>
        <w:spacing w:line="360" w:lineRule="auto"/>
        <w:jc w:val="both"/>
        <w:rPr>
          <w:rFonts w:ascii="Arial" w:hAnsi="Arial" w:cs="Arial"/>
        </w:rPr>
      </w:pPr>
    </w:p>
    <w:p w14:paraId="1621084E" w14:textId="77777777" w:rsidR="00677190" w:rsidRDefault="00677190" w:rsidP="00677190">
      <w:pPr>
        <w:spacing w:line="360" w:lineRule="auto"/>
        <w:jc w:val="both"/>
        <w:rPr>
          <w:rFonts w:ascii="Arial" w:hAnsi="Arial" w:cs="Arial"/>
        </w:rPr>
      </w:pPr>
    </w:p>
    <w:p w14:paraId="4EB363A9" w14:textId="77777777" w:rsidR="00677190" w:rsidRDefault="00677190" w:rsidP="00677190">
      <w:pPr>
        <w:spacing w:line="360" w:lineRule="auto"/>
        <w:jc w:val="both"/>
        <w:rPr>
          <w:rFonts w:ascii="Arial" w:hAnsi="Arial" w:cs="Arial"/>
        </w:rPr>
      </w:pPr>
    </w:p>
    <w:p w14:paraId="3DE4BD30" w14:textId="77777777" w:rsidR="00677190" w:rsidRDefault="00677190" w:rsidP="00677190">
      <w:pPr>
        <w:spacing w:line="360" w:lineRule="auto"/>
        <w:jc w:val="both"/>
        <w:rPr>
          <w:rFonts w:ascii="Arial" w:hAnsi="Arial" w:cs="Arial"/>
        </w:rPr>
      </w:pPr>
    </w:p>
    <w:p w14:paraId="673C8CCA" w14:textId="77777777" w:rsidR="00677190" w:rsidRDefault="00677190" w:rsidP="00677190">
      <w:pPr>
        <w:spacing w:line="360" w:lineRule="auto"/>
        <w:jc w:val="both"/>
        <w:rPr>
          <w:rFonts w:ascii="Arial" w:hAnsi="Arial" w:cs="Arial"/>
        </w:rPr>
      </w:pPr>
    </w:p>
    <w:p w14:paraId="22DC9EAB" w14:textId="77777777" w:rsidR="00E65A1C" w:rsidRDefault="00E65A1C" w:rsidP="00677190">
      <w:pPr>
        <w:spacing w:line="360" w:lineRule="auto"/>
        <w:jc w:val="both"/>
        <w:rPr>
          <w:rFonts w:ascii="Arial" w:hAnsi="Arial" w:cs="Arial"/>
        </w:rPr>
      </w:pPr>
    </w:p>
    <w:p w14:paraId="0132FF3D" w14:textId="77777777" w:rsidR="00F94C4D" w:rsidRDefault="00F94C4D" w:rsidP="00677190">
      <w:pPr>
        <w:spacing w:line="360" w:lineRule="auto"/>
        <w:jc w:val="both"/>
        <w:rPr>
          <w:rFonts w:ascii="Arial" w:hAnsi="Arial" w:cs="Arial"/>
        </w:rPr>
      </w:pPr>
    </w:p>
    <w:p w14:paraId="0909485B" w14:textId="77777777" w:rsidR="00F94C4D" w:rsidRDefault="00F94C4D" w:rsidP="00677190">
      <w:pPr>
        <w:spacing w:line="360" w:lineRule="auto"/>
        <w:jc w:val="both"/>
        <w:rPr>
          <w:rFonts w:ascii="Arial" w:hAnsi="Arial" w:cs="Arial"/>
        </w:rPr>
      </w:pPr>
    </w:p>
    <w:p w14:paraId="662C9A72" w14:textId="4AF6074E" w:rsidR="0026390E" w:rsidRPr="0026390E" w:rsidRDefault="0027217E" w:rsidP="00677190">
      <w:pPr>
        <w:spacing w:line="360" w:lineRule="auto"/>
        <w:jc w:val="both"/>
        <w:rPr>
          <w:rFonts w:ascii="Arial" w:hAnsi="Arial" w:cs="Arial"/>
        </w:rPr>
      </w:pPr>
      <w:r>
        <w:rPr>
          <w:rFonts w:ascii="Arial" w:hAnsi="Arial" w:cs="Arial"/>
        </w:rPr>
        <w:t xml:space="preserve">Epidemiological </w:t>
      </w:r>
      <w:r w:rsidRPr="0026390E">
        <w:rPr>
          <w:rFonts w:ascii="Arial" w:hAnsi="Arial" w:cs="Arial"/>
        </w:rPr>
        <w:t>risk scoring tool</w:t>
      </w:r>
      <w:r>
        <w:rPr>
          <w:rFonts w:ascii="Arial" w:hAnsi="Arial" w:cs="Arial"/>
        </w:rPr>
        <w:t xml:space="preserve"> </w:t>
      </w:r>
      <w:r w:rsidR="0026390E" w:rsidRPr="0026390E">
        <w:rPr>
          <w:rFonts w:ascii="Arial" w:hAnsi="Arial" w:cs="Arial"/>
        </w:rPr>
        <w:t xml:space="preserve">such as </w:t>
      </w:r>
      <w:proofErr w:type="spellStart"/>
      <w:r w:rsidR="0026390E" w:rsidRPr="0026390E">
        <w:rPr>
          <w:rFonts w:ascii="Arial" w:hAnsi="Arial" w:cs="Arial"/>
        </w:rPr>
        <w:t>QDScore</w:t>
      </w:r>
      <w:proofErr w:type="spellEnd"/>
      <w:r w:rsidR="0026390E" w:rsidRPr="0026390E">
        <w:rPr>
          <w:rFonts w:ascii="Arial" w:hAnsi="Arial" w:cs="Arial"/>
        </w:rPr>
        <w:t xml:space="preserve"> and Cambridge Diabetes Risk Score show that in Tower Hamlets one out of ten undiagnosed</w:t>
      </w:r>
      <w:r w:rsidR="008C7405">
        <w:rPr>
          <w:rFonts w:ascii="Arial" w:hAnsi="Arial" w:cs="Arial"/>
        </w:rPr>
        <w:t xml:space="preserve"> adult people have "high risk" (age 20</w:t>
      </w:r>
      <w:r w:rsidR="0026390E" w:rsidRPr="0026390E">
        <w:rPr>
          <w:rFonts w:ascii="Arial" w:hAnsi="Arial" w:cs="Arial"/>
        </w:rPr>
        <w:t>% 10-year risk) of developing T2DM, especially male South Asians who develop disease the fastest.</w:t>
      </w:r>
    </w:p>
    <w:p w14:paraId="582DE9CB" w14:textId="6DDA681A" w:rsidR="0026390E" w:rsidRPr="00AA6678" w:rsidRDefault="00945149" w:rsidP="0026390E">
      <w:pPr>
        <w:spacing w:line="360" w:lineRule="auto"/>
        <w:jc w:val="both"/>
        <w:rPr>
          <w:rFonts w:ascii="Arial" w:hAnsi="Arial" w:cs="Arial"/>
          <w:b/>
          <w:bCs/>
        </w:rPr>
      </w:pPr>
      <w:r>
        <w:rPr>
          <w:rFonts w:ascii="Arial" w:hAnsi="Arial" w:cs="Arial"/>
          <w:b/>
          <w:bCs/>
        </w:rPr>
        <w:t>5</w:t>
      </w:r>
      <w:r w:rsidR="00646B9B">
        <w:rPr>
          <w:rFonts w:ascii="Arial" w:hAnsi="Arial" w:cs="Arial"/>
          <w:b/>
          <w:bCs/>
        </w:rPr>
        <w:t xml:space="preserve">.6 </w:t>
      </w:r>
      <w:r w:rsidR="0026390E" w:rsidRPr="00AA6678">
        <w:rPr>
          <w:rFonts w:ascii="Arial" w:hAnsi="Arial" w:cs="Arial"/>
          <w:b/>
          <w:bCs/>
        </w:rPr>
        <w:t xml:space="preserve">Systems for Monitoring and Surveillance </w:t>
      </w:r>
    </w:p>
    <w:p w14:paraId="746EFD8A" w14:textId="77777777" w:rsidR="0026390E" w:rsidRPr="0026390E" w:rsidRDefault="0026390E" w:rsidP="0026390E">
      <w:pPr>
        <w:spacing w:line="360" w:lineRule="auto"/>
        <w:jc w:val="both"/>
        <w:rPr>
          <w:rFonts w:ascii="Arial" w:hAnsi="Arial" w:cs="Arial"/>
        </w:rPr>
      </w:pPr>
      <w:r w:rsidRPr="0026390E">
        <w:rPr>
          <w:rFonts w:ascii="Arial" w:hAnsi="Arial" w:cs="Arial"/>
        </w:rPr>
        <w:t>​In order to ensure continuous surveillance of T2DM rates, incidence, and outcomes, the surveillance approach adopted by Tower Hamlets consists of:</w:t>
      </w:r>
    </w:p>
    <w:p w14:paraId="61018D71" w14:textId="77777777" w:rsidR="0026390E" w:rsidRPr="000958DD" w:rsidRDefault="0026390E" w:rsidP="000958DD">
      <w:pPr>
        <w:pStyle w:val="ListParagraph"/>
        <w:numPr>
          <w:ilvl w:val="0"/>
          <w:numId w:val="16"/>
        </w:numPr>
        <w:spacing w:line="360" w:lineRule="auto"/>
        <w:jc w:val="both"/>
        <w:rPr>
          <w:rFonts w:ascii="Arial" w:hAnsi="Arial" w:cs="Arial"/>
        </w:rPr>
      </w:pPr>
      <w:r w:rsidRPr="000958DD">
        <w:rPr>
          <w:rFonts w:ascii="Arial" w:hAnsi="Arial" w:cs="Arial"/>
        </w:rPr>
        <w:lastRenderedPageBreak/>
        <w:t>​</w:t>
      </w:r>
      <w:r w:rsidRPr="000958DD">
        <w:rPr>
          <w:rFonts w:ascii="Arial" w:hAnsi="Arial" w:cs="Arial"/>
          <w:i/>
          <w:iCs/>
        </w:rPr>
        <w:t>Quality and Outcomes Framework (QOF):</w:t>
      </w:r>
      <w:r w:rsidRPr="000958DD">
        <w:rPr>
          <w:rFonts w:ascii="Arial" w:hAnsi="Arial" w:cs="Arial"/>
        </w:rPr>
        <w:t xml:space="preserve"> This is a national database for primary care which tracks disease registers, measuring the proportion of GP-registered patients with a diagnosis of T2DM.</w:t>
      </w:r>
    </w:p>
    <w:p w14:paraId="139C2110" w14:textId="77777777" w:rsidR="0026390E" w:rsidRPr="000958DD" w:rsidRDefault="0026390E" w:rsidP="000958DD">
      <w:pPr>
        <w:pStyle w:val="ListParagraph"/>
        <w:numPr>
          <w:ilvl w:val="0"/>
          <w:numId w:val="16"/>
        </w:numPr>
        <w:spacing w:line="360" w:lineRule="auto"/>
        <w:jc w:val="both"/>
        <w:rPr>
          <w:rFonts w:ascii="Arial" w:hAnsi="Arial" w:cs="Arial"/>
        </w:rPr>
      </w:pPr>
      <w:r w:rsidRPr="000958DD">
        <w:rPr>
          <w:rFonts w:ascii="Arial" w:hAnsi="Arial" w:cs="Arial"/>
        </w:rPr>
        <w:t>​</w:t>
      </w:r>
      <w:r w:rsidRPr="000958DD">
        <w:rPr>
          <w:rFonts w:ascii="Arial" w:hAnsi="Arial" w:cs="Arial"/>
          <w:i/>
          <w:iCs/>
        </w:rPr>
        <w:t>National Diabetes Audit (NDA):</w:t>
      </w:r>
      <w:r w:rsidRPr="000958DD">
        <w:rPr>
          <w:rFonts w:ascii="Arial" w:hAnsi="Arial" w:cs="Arial"/>
        </w:rPr>
        <w:t xml:space="preserve"> This uses both primary and secondary care electronic records for monitoring if patients have received the 8 NICE care processes, such as HbA1c, blood pressure, serum cholesterol, foot examination, and retinal screening. </w:t>
      </w:r>
    </w:p>
    <w:p w14:paraId="67AD23B3" w14:textId="77777777" w:rsidR="0026390E" w:rsidRPr="000958DD" w:rsidRDefault="0026390E" w:rsidP="000958DD">
      <w:pPr>
        <w:pStyle w:val="ListParagraph"/>
        <w:numPr>
          <w:ilvl w:val="0"/>
          <w:numId w:val="16"/>
        </w:numPr>
        <w:spacing w:line="360" w:lineRule="auto"/>
        <w:jc w:val="both"/>
        <w:rPr>
          <w:rFonts w:ascii="Arial" w:hAnsi="Arial" w:cs="Arial"/>
        </w:rPr>
      </w:pPr>
      <w:r w:rsidRPr="000958DD">
        <w:rPr>
          <w:rFonts w:ascii="Arial" w:hAnsi="Arial" w:cs="Arial"/>
        </w:rPr>
        <w:t>​</w:t>
      </w:r>
      <w:r w:rsidRPr="000958DD">
        <w:rPr>
          <w:rFonts w:ascii="Arial" w:hAnsi="Arial" w:cs="Arial"/>
          <w:i/>
          <w:iCs/>
        </w:rPr>
        <w:t>UKHSA Fingertips Public Health Profiles:</w:t>
      </w:r>
      <w:r w:rsidRPr="000958DD">
        <w:rPr>
          <w:rFonts w:ascii="Arial" w:hAnsi="Arial" w:cs="Arial"/>
        </w:rPr>
        <w:t xml:space="preserve"> This offers interactive population level intelligence of Tower Hamlets compared to other areas in London and England in terms of such factors as diabetic foot amputation and emergency admissions. </w:t>
      </w:r>
    </w:p>
    <w:p w14:paraId="783F6F67" w14:textId="77777777" w:rsidR="00AA6678" w:rsidRPr="000958DD" w:rsidRDefault="0026390E" w:rsidP="000958DD">
      <w:pPr>
        <w:pStyle w:val="ListParagraph"/>
        <w:numPr>
          <w:ilvl w:val="0"/>
          <w:numId w:val="16"/>
        </w:numPr>
        <w:spacing w:line="360" w:lineRule="auto"/>
        <w:jc w:val="both"/>
        <w:rPr>
          <w:rFonts w:ascii="Arial" w:hAnsi="Arial" w:cs="Arial"/>
        </w:rPr>
      </w:pPr>
      <w:r w:rsidRPr="000958DD">
        <w:rPr>
          <w:rFonts w:ascii="Arial" w:hAnsi="Arial" w:cs="Arial"/>
        </w:rPr>
        <w:t>​</w:t>
      </w:r>
      <w:r w:rsidRPr="000958DD">
        <w:rPr>
          <w:rFonts w:ascii="Arial" w:hAnsi="Arial" w:cs="Arial"/>
          <w:i/>
          <w:iCs/>
        </w:rPr>
        <w:t xml:space="preserve">Active Surveillance Using Primary Care Networks (PCNs): </w:t>
      </w:r>
      <w:r w:rsidRPr="000958DD">
        <w:rPr>
          <w:rFonts w:ascii="Arial" w:hAnsi="Arial" w:cs="Arial"/>
        </w:rPr>
        <w:t xml:space="preserve">This involves dashboard monitoring through the East London CEG for practices to audit patients with undiagnosed non-diabetic hyperglycemia (prediabetes). </w:t>
      </w:r>
    </w:p>
    <w:p w14:paraId="34A1B968" w14:textId="07F81D29" w:rsidR="0026390E" w:rsidRPr="000958DD" w:rsidRDefault="00945149" w:rsidP="0026390E">
      <w:pPr>
        <w:spacing w:line="360" w:lineRule="auto"/>
        <w:jc w:val="both"/>
        <w:rPr>
          <w:rFonts w:ascii="Arial" w:hAnsi="Arial" w:cs="Arial"/>
          <w:b/>
          <w:bCs/>
        </w:rPr>
      </w:pPr>
      <w:r>
        <w:rPr>
          <w:rFonts w:ascii="Arial" w:hAnsi="Arial" w:cs="Arial"/>
          <w:b/>
          <w:bCs/>
        </w:rPr>
        <w:t>5</w:t>
      </w:r>
      <w:r w:rsidR="0003009F">
        <w:rPr>
          <w:rFonts w:ascii="Arial" w:hAnsi="Arial" w:cs="Arial"/>
          <w:b/>
          <w:bCs/>
        </w:rPr>
        <w:t xml:space="preserve">.7 </w:t>
      </w:r>
      <w:r w:rsidR="0026390E" w:rsidRPr="000958DD">
        <w:rPr>
          <w:rFonts w:ascii="Arial" w:hAnsi="Arial" w:cs="Arial"/>
          <w:b/>
          <w:bCs/>
        </w:rPr>
        <w:t>Impacts on Public Health and Long-Term Effects</w:t>
      </w:r>
    </w:p>
    <w:p w14:paraId="3B528F57" w14:textId="77777777" w:rsidR="0026390E" w:rsidRPr="0026390E" w:rsidRDefault="0026390E" w:rsidP="0026390E">
      <w:pPr>
        <w:spacing w:line="360" w:lineRule="auto"/>
        <w:jc w:val="both"/>
        <w:rPr>
          <w:rFonts w:ascii="Arial" w:hAnsi="Arial" w:cs="Arial"/>
        </w:rPr>
      </w:pPr>
      <w:r w:rsidRPr="0026390E">
        <w:rPr>
          <w:rFonts w:ascii="Arial" w:hAnsi="Arial" w:cs="Arial"/>
        </w:rPr>
        <w:t>According to epidemiologic models, the long-term impacts of unaddressed T2DM progression are very grave:</w:t>
      </w:r>
      <w:r w:rsidR="00AA6678">
        <w:rPr>
          <w:rFonts w:ascii="Arial" w:hAnsi="Arial" w:cs="Arial"/>
        </w:rPr>
        <w:t xml:space="preserve"> </w:t>
      </w:r>
      <w:r w:rsidRPr="0026390E">
        <w:rPr>
          <w:rFonts w:ascii="Arial" w:hAnsi="Arial" w:cs="Arial"/>
        </w:rPr>
        <w:t>In Tower Hamlets, the prevalence of ESRD linked with diabetes is responsible for a disproportionately high percentage of local expenses for renal replacement treatment. In addition, premature cardiovascular mortality among the adult population between ages 40 and 64 is markedly higher in those with diabetes compared with the non-diabetic population.</w:t>
      </w:r>
    </w:p>
    <w:p w14:paraId="6951DE29" w14:textId="5071BD37" w:rsidR="0026390E" w:rsidRPr="0026390E" w:rsidRDefault="0026390E" w:rsidP="0026390E">
      <w:pPr>
        <w:spacing w:line="360" w:lineRule="auto"/>
        <w:jc w:val="both"/>
        <w:rPr>
          <w:rFonts w:ascii="Arial" w:hAnsi="Arial" w:cs="Arial"/>
        </w:rPr>
      </w:pPr>
      <w:r w:rsidRPr="0026390E">
        <w:rPr>
          <w:rFonts w:ascii="Arial" w:hAnsi="Arial" w:cs="Arial"/>
        </w:rPr>
        <w:t>​</w:t>
      </w:r>
      <w:r w:rsidR="00945149">
        <w:rPr>
          <w:rFonts w:ascii="Arial" w:hAnsi="Arial" w:cs="Arial"/>
          <w:b/>
          <w:bCs/>
        </w:rPr>
        <w:t>6</w:t>
      </w:r>
      <w:r w:rsidR="00AA6678" w:rsidRPr="00AA6678">
        <w:rPr>
          <w:rFonts w:ascii="Arial" w:hAnsi="Arial" w:cs="Arial"/>
          <w:b/>
          <w:bCs/>
        </w:rPr>
        <w:t xml:space="preserve">. </w:t>
      </w:r>
      <w:r w:rsidRPr="00AA6678">
        <w:rPr>
          <w:rFonts w:ascii="Arial" w:hAnsi="Arial" w:cs="Arial"/>
          <w:b/>
          <w:bCs/>
        </w:rPr>
        <w:t>Culturally Sensitive Intervention Program Design and Evaluation</w:t>
      </w:r>
    </w:p>
    <w:p w14:paraId="04C4B7C5" w14:textId="3A4F305B" w:rsidR="0026390E" w:rsidRPr="0003009F" w:rsidRDefault="0026390E" w:rsidP="0026390E">
      <w:pPr>
        <w:spacing w:line="360" w:lineRule="auto"/>
        <w:jc w:val="both"/>
        <w:rPr>
          <w:rFonts w:ascii="Arial" w:hAnsi="Arial" w:cs="Arial"/>
          <w:b/>
          <w:bCs/>
        </w:rPr>
      </w:pPr>
      <w:r w:rsidRPr="0026390E">
        <w:rPr>
          <w:rFonts w:ascii="Arial" w:hAnsi="Arial" w:cs="Arial"/>
        </w:rPr>
        <w:t>​</w:t>
      </w:r>
      <w:r w:rsidR="00945149">
        <w:rPr>
          <w:rFonts w:ascii="Arial" w:hAnsi="Arial" w:cs="Arial"/>
          <w:b/>
          <w:bCs/>
        </w:rPr>
        <w:t>6</w:t>
      </w:r>
      <w:r w:rsidR="0003009F" w:rsidRPr="0003009F">
        <w:rPr>
          <w:rFonts w:ascii="Arial" w:hAnsi="Arial" w:cs="Arial"/>
          <w:b/>
          <w:bCs/>
        </w:rPr>
        <w:t>.1</w:t>
      </w:r>
      <w:r w:rsidR="0003009F">
        <w:rPr>
          <w:rFonts w:ascii="Arial" w:hAnsi="Arial" w:cs="Arial"/>
          <w:b/>
          <w:bCs/>
        </w:rPr>
        <w:t xml:space="preserve"> </w:t>
      </w:r>
      <w:r w:rsidRPr="0003009F">
        <w:rPr>
          <w:rFonts w:ascii="Arial" w:hAnsi="Arial" w:cs="Arial"/>
          <w:b/>
          <w:bCs/>
        </w:rPr>
        <w:t>Intervention Program Design:</w:t>
      </w:r>
      <w:r w:rsidR="00737AA4">
        <w:rPr>
          <w:rFonts w:ascii="Arial" w:hAnsi="Arial" w:cs="Arial"/>
          <w:b/>
          <w:bCs/>
        </w:rPr>
        <w:t xml:space="preserve"> </w:t>
      </w:r>
      <w:r w:rsidRPr="0003009F">
        <w:rPr>
          <w:rFonts w:ascii="Arial" w:hAnsi="Arial" w:cs="Arial"/>
          <w:b/>
          <w:bCs/>
        </w:rPr>
        <w:t>"Tower Hamlets Culturally Integrated Diabetes Prevention &amp; Management Program" (TH-CIDP)</w:t>
      </w:r>
    </w:p>
    <w:p w14:paraId="09CAB120" w14:textId="77777777" w:rsidR="0026390E" w:rsidRPr="0026390E" w:rsidRDefault="0026390E" w:rsidP="0026390E">
      <w:pPr>
        <w:spacing w:line="360" w:lineRule="auto"/>
        <w:jc w:val="both"/>
        <w:rPr>
          <w:rFonts w:ascii="Arial" w:hAnsi="Arial" w:cs="Arial"/>
        </w:rPr>
      </w:pPr>
      <w:r w:rsidRPr="0026390E">
        <w:rPr>
          <w:rFonts w:ascii="Arial" w:hAnsi="Arial" w:cs="Arial"/>
        </w:rPr>
        <w:t>​As a response to the epidemic, a multifaceted public health intervention strategy is designed:</w:t>
      </w:r>
    </w:p>
    <w:p w14:paraId="3FF9C0B6" w14:textId="4817161A" w:rsidR="006209C8" w:rsidRPr="0026450E" w:rsidRDefault="00D976D2" w:rsidP="0026450E">
      <w:pPr>
        <w:pStyle w:val="ListParagraph"/>
        <w:numPr>
          <w:ilvl w:val="0"/>
          <w:numId w:val="17"/>
        </w:numPr>
        <w:spacing w:line="360" w:lineRule="auto"/>
        <w:jc w:val="both"/>
        <w:rPr>
          <w:rFonts w:ascii="Arial" w:hAnsi="Arial" w:cs="Arial"/>
        </w:rPr>
      </w:pPr>
      <w:r w:rsidRPr="0026450E">
        <w:rPr>
          <w:rFonts w:ascii="Arial" w:hAnsi="Arial" w:cs="Arial"/>
        </w:rPr>
        <w:t>Phase 1:</w:t>
      </w:r>
      <w:r w:rsidR="00737AA4">
        <w:rPr>
          <w:rFonts w:ascii="Arial" w:hAnsi="Arial" w:cs="Arial"/>
        </w:rPr>
        <w:t xml:space="preserve"> </w:t>
      </w:r>
      <w:r w:rsidR="0026390E" w:rsidRPr="0026450E">
        <w:rPr>
          <w:rFonts w:ascii="Arial" w:hAnsi="Arial" w:cs="Arial"/>
        </w:rPr>
        <w:t>Community-Based Screening &amp; Assessment</w:t>
      </w:r>
      <w:r w:rsidR="006209C8" w:rsidRPr="0026450E">
        <w:rPr>
          <w:rFonts w:ascii="Arial" w:hAnsi="Arial" w:cs="Arial"/>
        </w:rPr>
        <w:t xml:space="preserve"> (</w:t>
      </w:r>
      <w:r w:rsidR="0026390E" w:rsidRPr="0026450E">
        <w:rPr>
          <w:rFonts w:ascii="Arial" w:hAnsi="Arial" w:cs="Arial"/>
        </w:rPr>
        <w:t>Months 1-6</w:t>
      </w:r>
      <w:r w:rsidR="006209C8" w:rsidRPr="0026450E">
        <w:rPr>
          <w:rFonts w:ascii="Arial" w:hAnsi="Arial" w:cs="Arial"/>
        </w:rPr>
        <w:t>)</w:t>
      </w:r>
      <w:r w:rsidRPr="0026450E">
        <w:rPr>
          <w:rFonts w:ascii="Arial" w:hAnsi="Arial" w:cs="Arial"/>
        </w:rPr>
        <w:t xml:space="preserve"> </w:t>
      </w:r>
    </w:p>
    <w:p w14:paraId="6B62E6C6" w14:textId="77777777" w:rsidR="0026390E" w:rsidRPr="0026450E" w:rsidRDefault="0026390E" w:rsidP="00A31B6C">
      <w:pPr>
        <w:pStyle w:val="ListParagraph"/>
        <w:spacing w:line="360" w:lineRule="auto"/>
        <w:jc w:val="both"/>
        <w:rPr>
          <w:rFonts w:ascii="Arial" w:hAnsi="Arial" w:cs="Arial"/>
        </w:rPr>
      </w:pPr>
      <w:r w:rsidRPr="0026450E">
        <w:rPr>
          <w:rFonts w:ascii="Arial" w:hAnsi="Arial" w:cs="Arial"/>
        </w:rPr>
        <w:t>Employ bilingual healthcare assistants and community health champions to carry out point-of-care HbA1c and risk screening assessments outside clinical facilities (mosques, community centers, local markets).</w:t>
      </w:r>
    </w:p>
    <w:p w14:paraId="4C3C1FE8" w14:textId="77777777" w:rsidR="0005582E" w:rsidRPr="0026450E" w:rsidRDefault="0005582E" w:rsidP="0026450E">
      <w:pPr>
        <w:pStyle w:val="ListParagraph"/>
        <w:numPr>
          <w:ilvl w:val="0"/>
          <w:numId w:val="17"/>
        </w:numPr>
        <w:spacing w:line="360" w:lineRule="auto"/>
        <w:jc w:val="both"/>
        <w:rPr>
          <w:rFonts w:ascii="Arial" w:hAnsi="Arial" w:cs="Arial"/>
        </w:rPr>
      </w:pPr>
      <w:r w:rsidRPr="0026450E">
        <w:rPr>
          <w:rFonts w:ascii="Arial" w:hAnsi="Arial" w:cs="Arial"/>
        </w:rPr>
        <w:t xml:space="preserve">Phase 2: </w:t>
      </w:r>
      <w:r w:rsidR="0026390E" w:rsidRPr="0026450E">
        <w:rPr>
          <w:rFonts w:ascii="Arial" w:hAnsi="Arial" w:cs="Arial"/>
        </w:rPr>
        <w:t>Culture-Sp</w:t>
      </w:r>
      <w:r w:rsidRPr="0026450E">
        <w:rPr>
          <w:rFonts w:ascii="Arial" w:hAnsi="Arial" w:cs="Arial"/>
        </w:rPr>
        <w:t xml:space="preserve">ecific Training DESMOND-Bangla </w:t>
      </w:r>
      <w:r w:rsidR="006209C8" w:rsidRPr="0026450E">
        <w:rPr>
          <w:rFonts w:ascii="Arial" w:hAnsi="Arial" w:cs="Arial"/>
        </w:rPr>
        <w:t>(</w:t>
      </w:r>
      <w:r w:rsidR="0026390E" w:rsidRPr="0026450E">
        <w:rPr>
          <w:rFonts w:ascii="Arial" w:hAnsi="Arial" w:cs="Arial"/>
        </w:rPr>
        <w:t>Months 6-12</w:t>
      </w:r>
      <w:r w:rsidR="006209C8" w:rsidRPr="0026450E">
        <w:rPr>
          <w:rFonts w:ascii="Arial" w:hAnsi="Arial" w:cs="Arial"/>
        </w:rPr>
        <w:t>)</w:t>
      </w:r>
    </w:p>
    <w:p w14:paraId="39A0E95D" w14:textId="77777777" w:rsidR="0026390E" w:rsidRPr="0026450E" w:rsidRDefault="0026390E" w:rsidP="00A31B6C">
      <w:pPr>
        <w:pStyle w:val="ListParagraph"/>
        <w:spacing w:line="360" w:lineRule="auto"/>
        <w:jc w:val="both"/>
        <w:rPr>
          <w:rFonts w:ascii="Arial" w:hAnsi="Arial" w:cs="Arial"/>
        </w:rPr>
      </w:pPr>
      <w:r w:rsidRPr="0026450E">
        <w:rPr>
          <w:rFonts w:ascii="Arial" w:hAnsi="Arial" w:cs="Arial"/>
        </w:rPr>
        <w:t>Launch 6-week structured self-management training in Bengali/Sylheti that involves dietary adaptation (reduction in refined oil and rice intake without giving up on the traditional diet) and home-based glucose testing.</w:t>
      </w:r>
    </w:p>
    <w:p w14:paraId="6D2565B5" w14:textId="42FAD394" w:rsidR="0005582E" w:rsidRPr="0026450E" w:rsidRDefault="0005582E" w:rsidP="0026450E">
      <w:pPr>
        <w:pStyle w:val="ListParagraph"/>
        <w:numPr>
          <w:ilvl w:val="0"/>
          <w:numId w:val="17"/>
        </w:numPr>
        <w:spacing w:line="360" w:lineRule="auto"/>
        <w:jc w:val="both"/>
        <w:rPr>
          <w:rFonts w:ascii="Arial" w:hAnsi="Arial" w:cs="Arial"/>
        </w:rPr>
      </w:pPr>
      <w:r w:rsidRPr="0026450E">
        <w:rPr>
          <w:rFonts w:ascii="Arial" w:hAnsi="Arial" w:cs="Arial"/>
        </w:rPr>
        <w:t xml:space="preserve">Phase 3: </w:t>
      </w:r>
      <w:r w:rsidR="0026390E" w:rsidRPr="0026450E">
        <w:rPr>
          <w:rFonts w:ascii="Arial" w:hAnsi="Arial" w:cs="Arial"/>
        </w:rPr>
        <w:t>Clinical Optimizing in PCN</w:t>
      </w:r>
      <w:r w:rsidRPr="0026450E">
        <w:rPr>
          <w:rFonts w:ascii="Arial" w:hAnsi="Arial" w:cs="Arial"/>
        </w:rPr>
        <w:t xml:space="preserve"> (</w:t>
      </w:r>
      <w:r w:rsidR="0026390E" w:rsidRPr="0026450E">
        <w:rPr>
          <w:rFonts w:ascii="Arial" w:hAnsi="Arial" w:cs="Arial"/>
        </w:rPr>
        <w:t>Ongoing</w:t>
      </w:r>
      <w:r w:rsidRPr="0026450E">
        <w:rPr>
          <w:rFonts w:ascii="Arial" w:hAnsi="Arial" w:cs="Arial"/>
        </w:rPr>
        <w:t xml:space="preserve">) </w:t>
      </w:r>
    </w:p>
    <w:p w14:paraId="4EBBB130" w14:textId="77777777" w:rsidR="0026390E" w:rsidRDefault="0005582E" w:rsidP="00A31B6C">
      <w:pPr>
        <w:pStyle w:val="ListParagraph"/>
        <w:spacing w:line="360" w:lineRule="auto"/>
        <w:jc w:val="both"/>
        <w:rPr>
          <w:rFonts w:ascii="Arial" w:hAnsi="Arial" w:cs="Arial"/>
        </w:rPr>
      </w:pPr>
      <w:r w:rsidRPr="0026450E">
        <w:rPr>
          <w:rFonts w:ascii="Arial" w:hAnsi="Arial" w:cs="Arial"/>
        </w:rPr>
        <w:lastRenderedPageBreak/>
        <w:t>Integrating clinical pharmacists within PCNs to optimize cardiorenal protective therapies (SGLT2 inhibitors and GLP-RAs) for high-risk patients.</w:t>
      </w:r>
    </w:p>
    <w:p w14:paraId="030CA52F" w14:textId="77777777" w:rsidR="0096408F" w:rsidRDefault="0096408F" w:rsidP="00A31B6C">
      <w:pPr>
        <w:pStyle w:val="ListParagraph"/>
        <w:spacing w:line="360" w:lineRule="auto"/>
        <w:jc w:val="both"/>
        <w:rPr>
          <w:rFonts w:ascii="Arial" w:hAnsi="Arial" w:cs="Arial"/>
        </w:rPr>
      </w:pPr>
    </w:p>
    <w:p w14:paraId="097318D9" w14:textId="77777777" w:rsidR="00337080" w:rsidRDefault="0096408F" w:rsidP="00A31B6C">
      <w:pPr>
        <w:pStyle w:val="ListParagraph"/>
        <w:spacing w:line="360" w:lineRule="auto"/>
        <w:jc w:val="both"/>
        <w:rPr>
          <w:rFonts w:ascii="Arial" w:hAnsi="Arial" w:cs="Arial"/>
          <w:b/>
          <w:bCs/>
        </w:rPr>
      </w:pPr>
      <w:r w:rsidRPr="00B06BE1">
        <w:rPr>
          <w:rFonts w:ascii="Arial" w:hAnsi="Arial" w:cs="Arial"/>
          <w:b/>
          <w:bCs/>
        </w:rPr>
        <w:t>FIGURE</w:t>
      </w:r>
      <w:r w:rsidR="00CC44E7">
        <w:rPr>
          <w:rFonts w:ascii="Arial" w:hAnsi="Arial" w:cs="Arial"/>
          <w:b/>
          <w:bCs/>
        </w:rPr>
        <w:t xml:space="preserve"> 7</w:t>
      </w:r>
      <w:r w:rsidR="00B04644">
        <w:rPr>
          <w:rFonts w:ascii="Arial" w:hAnsi="Arial" w:cs="Arial"/>
          <w:b/>
          <w:bCs/>
        </w:rPr>
        <w:t xml:space="preserve">: </w:t>
      </w:r>
      <w:r w:rsidR="00601B21">
        <w:rPr>
          <w:rFonts w:ascii="Arial" w:hAnsi="Arial" w:cs="Arial"/>
          <w:b/>
          <w:bCs/>
        </w:rPr>
        <w:t>T</w:t>
      </w:r>
      <w:r w:rsidR="00EE7AB1">
        <w:rPr>
          <w:rFonts w:ascii="Arial" w:hAnsi="Arial" w:cs="Arial"/>
          <w:b/>
          <w:bCs/>
        </w:rPr>
        <w:t>H</w:t>
      </w:r>
      <w:r w:rsidR="001E6D70">
        <w:rPr>
          <w:rFonts w:ascii="Arial" w:hAnsi="Arial" w:cs="Arial"/>
          <w:b/>
          <w:bCs/>
        </w:rPr>
        <w:t>-CIDP</w:t>
      </w:r>
      <w:r w:rsidR="00601B21">
        <w:rPr>
          <w:rFonts w:ascii="Arial" w:hAnsi="Arial" w:cs="Arial"/>
          <w:b/>
          <w:bCs/>
        </w:rPr>
        <w:t xml:space="preserve"> </w:t>
      </w:r>
      <w:r w:rsidR="00EE7AB1">
        <w:rPr>
          <w:rFonts w:ascii="Arial" w:hAnsi="Arial" w:cs="Arial"/>
          <w:b/>
          <w:bCs/>
        </w:rPr>
        <w:t xml:space="preserve">&amp; </w:t>
      </w:r>
      <w:r w:rsidR="001E6D70">
        <w:rPr>
          <w:rFonts w:ascii="Arial" w:hAnsi="Arial" w:cs="Arial"/>
          <w:b/>
          <w:bCs/>
        </w:rPr>
        <w:t xml:space="preserve">Management Program </w:t>
      </w:r>
      <w:r w:rsidR="00614079">
        <w:rPr>
          <w:rFonts w:ascii="Arial" w:hAnsi="Arial" w:cs="Arial"/>
          <w:b/>
          <w:bCs/>
        </w:rPr>
        <w:t xml:space="preserve">Framework </w:t>
      </w:r>
    </w:p>
    <w:p w14:paraId="362C524A" w14:textId="66B6AF61" w:rsidR="0096408F" w:rsidRPr="00B06BE1" w:rsidRDefault="00614079" w:rsidP="00A31B6C">
      <w:pPr>
        <w:pStyle w:val="ListParagraph"/>
        <w:spacing w:line="360" w:lineRule="auto"/>
        <w:jc w:val="both"/>
        <w:rPr>
          <w:rFonts w:ascii="Arial" w:hAnsi="Arial" w:cs="Arial"/>
          <w:b/>
          <w:bCs/>
        </w:rPr>
      </w:pPr>
      <w:proofErr w:type="gramStart"/>
      <w:r>
        <w:rPr>
          <w:rFonts w:ascii="Arial" w:hAnsi="Arial" w:cs="Arial"/>
          <w:b/>
          <w:bCs/>
        </w:rPr>
        <w:t>SOURCE :</w:t>
      </w:r>
      <w:proofErr w:type="gramEnd"/>
      <w:r>
        <w:rPr>
          <w:rFonts w:ascii="Arial" w:hAnsi="Arial" w:cs="Arial"/>
          <w:b/>
          <w:bCs/>
        </w:rPr>
        <w:t xml:space="preserve"> NHS </w:t>
      </w:r>
      <w:r w:rsidR="00337080">
        <w:rPr>
          <w:rFonts w:ascii="Arial" w:hAnsi="Arial" w:cs="Arial"/>
          <w:b/>
          <w:bCs/>
        </w:rPr>
        <w:t xml:space="preserve">DPP Guidelines and DESMOND structured education models. </w:t>
      </w:r>
    </w:p>
    <w:p w14:paraId="6CC5F957" w14:textId="67714473" w:rsidR="000A533C" w:rsidRDefault="000A533C" w:rsidP="00A31B6C">
      <w:pPr>
        <w:pStyle w:val="ListParagraph"/>
        <w:spacing w:line="360" w:lineRule="auto"/>
        <w:jc w:val="both"/>
        <w:rPr>
          <w:rFonts w:ascii="Arial" w:hAnsi="Arial" w:cs="Arial"/>
        </w:rPr>
      </w:pPr>
    </w:p>
    <w:p w14:paraId="445F193E" w14:textId="0F252269" w:rsidR="00B76E2E" w:rsidRPr="0096408F" w:rsidRDefault="0096408F" w:rsidP="00DB1C4E">
      <w:pPr>
        <w:pStyle w:val="ListParagraph"/>
        <w:spacing w:line="360" w:lineRule="auto"/>
        <w:jc w:val="both"/>
        <w:rPr>
          <w:rFonts w:ascii="Arial" w:hAnsi="Arial" w:cs="Arial"/>
        </w:rPr>
      </w:pPr>
      <w:r>
        <w:rPr>
          <w:rFonts w:ascii="Arial" w:hAnsi="Arial" w:cs="Arial"/>
          <w:noProof/>
        </w:rPr>
        <w:drawing>
          <wp:inline distT="0" distB="0" distL="0" distR="0" wp14:anchorId="62AE0EC6" wp14:editId="75A60224">
            <wp:extent cx="4218940" cy="2638425"/>
            <wp:effectExtent l="76200" t="38100" r="48260" b="66675"/>
            <wp:docPr id="445131230"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1D4229D" w14:textId="77777777" w:rsidR="00EA2C90" w:rsidRDefault="00EA2C90" w:rsidP="0026390E">
      <w:pPr>
        <w:spacing w:line="360" w:lineRule="auto"/>
        <w:jc w:val="both"/>
        <w:rPr>
          <w:rFonts w:ascii="Arial" w:hAnsi="Arial" w:cs="Arial"/>
          <w:b/>
          <w:bCs/>
        </w:rPr>
      </w:pPr>
    </w:p>
    <w:p w14:paraId="63CD48E8" w14:textId="77777777" w:rsidR="00EA2C90" w:rsidRDefault="00EA2C90" w:rsidP="0026390E">
      <w:pPr>
        <w:spacing w:line="360" w:lineRule="auto"/>
        <w:jc w:val="both"/>
        <w:rPr>
          <w:rFonts w:ascii="Arial" w:hAnsi="Arial" w:cs="Arial"/>
          <w:b/>
          <w:bCs/>
        </w:rPr>
      </w:pPr>
    </w:p>
    <w:p w14:paraId="2F8640AB" w14:textId="77777777" w:rsidR="00EA2C90" w:rsidRDefault="00EA2C90" w:rsidP="0026390E">
      <w:pPr>
        <w:spacing w:line="360" w:lineRule="auto"/>
        <w:jc w:val="both"/>
        <w:rPr>
          <w:rFonts w:ascii="Arial" w:hAnsi="Arial" w:cs="Arial"/>
          <w:b/>
          <w:bCs/>
        </w:rPr>
      </w:pPr>
    </w:p>
    <w:p w14:paraId="11894F97" w14:textId="1E61C8AC" w:rsidR="00C54A3A" w:rsidRDefault="00E62292" w:rsidP="0026390E">
      <w:pPr>
        <w:spacing w:line="360" w:lineRule="auto"/>
        <w:jc w:val="both"/>
        <w:rPr>
          <w:rFonts w:ascii="Arial" w:hAnsi="Arial" w:cs="Arial"/>
          <w:b/>
          <w:bCs/>
        </w:rPr>
      </w:pPr>
      <w:r>
        <w:rPr>
          <w:rFonts w:ascii="Arial" w:hAnsi="Arial" w:cs="Arial"/>
          <w:b/>
          <w:bCs/>
        </w:rPr>
        <w:t xml:space="preserve">6.2 </w:t>
      </w:r>
      <w:r w:rsidR="0026390E" w:rsidRPr="00C54A3A">
        <w:rPr>
          <w:rFonts w:ascii="Arial" w:hAnsi="Arial" w:cs="Arial"/>
          <w:b/>
          <w:bCs/>
        </w:rPr>
        <w:t>Evaluation Plan</w:t>
      </w:r>
    </w:p>
    <w:p w14:paraId="5BBEFC77" w14:textId="77777777" w:rsidR="00C54A3A" w:rsidRDefault="0026390E" w:rsidP="0026390E">
      <w:pPr>
        <w:spacing w:line="360" w:lineRule="auto"/>
        <w:jc w:val="both"/>
        <w:rPr>
          <w:rFonts w:ascii="Arial" w:hAnsi="Arial" w:cs="Arial"/>
          <w:b/>
          <w:bCs/>
        </w:rPr>
      </w:pPr>
      <w:r w:rsidRPr="0026390E">
        <w:rPr>
          <w:rFonts w:ascii="Arial" w:hAnsi="Arial" w:cs="Arial"/>
        </w:rPr>
        <w:t xml:space="preserve">Evaluation will be carried out using the </w:t>
      </w:r>
      <w:r w:rsidRPr="00A31B6C">
        <w:rPr>
          <w:rFonts w:ascii="Arial" w:hAnsi="Arial" w:cs="Arial"/>
          <w:b/>
          <w:bCs/>
        </w:rPr>
        <w:t>RE-AIM framework</w:t>
      </w:r>
      <w:r w:rsidRPr="0026390E">
        <w:rPr>
          <w:rFonts w:ascii="Arial" w:hAnsi="Arial" w:cs="Arial"/>
        </w:rPr>
        <w:t xml:space="preserve"> (Reach, Efficacy, Adoption, Implementation, Maintenance):</w:t>
      </w:r>
    </w:p>
    <w:p w14:paraId="48E84C4E" w14:textId="77777777" w:rsidR="0026390E" w:rsidRPr="00F342C1" w:rsidRDefault="0026390E" w:rsidP="00F342C1">
      <w:pPr>
        <w:pStyle w:val="ListParagraph"/>
        <w:numPr>
          <w:ilvl w:val="0"/>
          <w:numId w:val="17"/>
        </w:numPr>
        <w:spacing w:line="360" w:lineRule="auto"/>
        <w:jc w:val="both"/>
        <w:rPr>
          <w:rFonts w:ascii="Arial" w:hAnsi="Arial" w:cs="Arial"/>
          <w:b/>
          <w:bCs/>
        </w:rPr>
      </w:pPr>
      <w:r w:rsidRPr="00F342C1">
        <w:rPr>
          <w:rFonts w:ascii="Arial" w:hAnsi="Arial" w:cs="Arial"/>
          <w:i/>
          <w:iCs/>
        </w:rPr>
        <w:t>Process Indicators:</w:t>
      </w:r>
      <w:r w:rsidRPr="00F342C1">
        <w:rPr>
          <w:rFonts w:ascii="Arial" w:hAnsi="Arial" w:cs="Arial"/>
        </w:rPr>
        <w:t xml:space="preserve"> Number of individuals identified to be at risk; the percentage of eligible South Asians enrolled in DESMOND-Bangla.</w:t>
      </w:r>
    </w:p>
    <w:p w14:paraId="06DA0FC5" w14:textId="14AA8EC0" w:rsidR="00C70F12" w:rsidRPr="00F342C1" w:rsidRDefault="0026390E" w:rsidP="00F342C1">
      <w:pPr>
        <w:pStyle w:val="ListParagraph"/>
        <w:numPr>
          <w:ilvl w:val="0"/>
          <w:numId w:val="17"/>
        </w:numPr>
        <w:spacing w:line="360" w:lineRule="auto"/>
        <w:jc w:val="both"/>
        <w:rPr>
          <w:rFonts w:ascii="Arial" w:hAnsi="Arial" w:cs="Arial"/>
        </w:rPr>
      </w:pPr>
      <w:r w:rsidRPr="00F342C1">
        <w:rPr>
          <w:rFonts w:ascii="Arial" w:hAnsi="Arial" w:cs="Arial"/>
        </w:rPr>
        <w:t>​</w:t>
      </w:r>
      <w:r w:rsidRPr="00F342C1">
        <w:rPr>
          <w:rFonts w:ascii="Arial" w:hAnsi="Arial" w:cs="Arial"/>
          <w:i/>
          <w:iCs/>
        </w:rPr>
        <w:t>Outcome Indicators:</w:t>
      </w:r>
      <w:r w:rsidRPr="00F342C1">
        <w:rPr>
          <w:rFonts w:ascii="Arial" w:hAnsi="Arial" w:cs="Arial"/>
        </w:rPr>
        <w:t xml:space="preserve"> Aver</w:t>
      </w:r>
      <w:r w:rsidR="00C54A3A" w:rsidRPr="00F342C1">
        <w:rPr>
          <w:rFonts w:ascii="Arial" w:hAnsi="Arial" w:cs="Arial"/>
        </w:rPr>
        <w:t xml:space="preserve">age drop in HbA1c levels (with </w:t>
      </w:r>
      <w:r w:rsidR="005803CD" w:rsidRPr="00F342C1">
        <w:rPr>
          <w:rFonts w:ascii="Arial" w:hAnsi="Arial" w:cs="Arial"/>
        </w:rPr>
        <w:t>≥</w:t>
      </w:r>
      <w:r w:rsidR="00C54A3A" w:rsidRPr="00F342C1">
        <w:rPr>
          <w:rFonts w:ascii="Arial" w:hAnsi="Arial" w:cs="Arial"/>
        </w:rPr>
        <w:t>5 {</w:t>
      </w:r>
      <w:r w:rsidRPr="00F342C1">
        <w:rPr>
          <w:rFonts w:ascii="Arial" w:hAnsi="Arial" w:cs="Arial"/>
        </w:rPr>
        <w:t>mmol/</w:t>
      </w:r>
      <w:r w:rsidR="005803CD" w:rsidRPr="00F342C1">
        <w:rPr>
          <w:rFonts w:ascii="Arial" w:hAnsi="Arial" w:cs="Arial"/>
        </w:rPr>
        <w:t>mol} reduction after 12 months)</w:t>
      </w:r>
      <w:r w:rsidRPr="00F342C1">
        <w:rPr>
          <w:rFonts w:ascii="Arial" w:hAnsi="Arial" w:cs="Arial"/>
        </w:rPr>
        <w:t xml:space="preserve"> the number of participants who reached the de</w:t>
      </w:r>
      <w:r w:rsidR="00C54A3A" w:rsidRPr="00F342C1">
        <w:rPr>
          <w:rFonts w:ascii="Arial" w:hAnsi="Arial" w:cs="Arial"/>
        </w:rPr>
        <w:t>sired blood pressure level (at</w:t>
      </w:r>
      <w:r w:rsidR="00683B59" w:rsidRPr="00683B59">
        <w:t xml:space="preserve"> </w:t>
      </w:r>
      <w:r w:rsidR="00683B59" w:rsidRPr="00F342C1">
        <w:rPr>
          <w:rFonts w:ascii="Arial" w:hAnsi="Arial" w:cs="Arial"/>
        </w:rPr>
        <w:t>≤</w:t>
      </w:r>
      <w:r w:rsidR="005803CD" w:rsidRPr="00F342C1">
        <w:rPr>
          <w:rFonts w:ascii="Arial" w:hAnsi="Arial" w:cs="Arial"/>
        </w:rPr>
        <w:t>140/80 {</w:t>
      </w:r>
      <w:r w:rsidRPr="00F342C1">
        <w:rPr>
          <w:rFonts w:ascii="Arial" w:hAnsi="Arial" w:cs="Arial"/>
        </w:rPr>
        <w:t>mmHg}</w:t>
      </w:r>
      <w:proofErr w:type="gramStart"/>
      <w:r w:rsidRPr="00F342C1">
        <w:rPr>
          <w:rFonts w:ascii="Arial" w:hAnsi="Arial" w:cs="Arial"/>
        </w:rPr>
        <w:t>)</w:t>
      </w:r>
      <w:r w:rsidR="00417346">
        <w:rPr>
          <w:rFonts w:ascii="Arial" w:hAnsi="Arial" w:cs="Arial"/>
        </w:rPr>
        <w:t xml:space="preserve"> .</w:t>
      </w:r>
      <w:proofErr w:type="gramEnd"/>
    </w:p>
    <w:p w14:paraId="514E9667" w14:textId="1D7145F5" w:rsidR="0021283A" w:rsidRDefault="00C70F12" w:rsidP="00DB1C4E">
      <w:pPr>
        <w:pStyle w:val="ListParagraph"/>
        <w:numPr>
          <w:ilvl w:val="0"/>
          <w:numId w:val="17"/>
        </w:numPr>
        <w:spacing w:line="360" w:lineRule="auto"/>
        <w:jc w:val="both"/>
        <w:rPr>
          <w:rFonts w:ascii="Arial" w:hAnsi="Arial" w:cs="Arial"/>
        </w:rPr>
      </w:pPr>
      <w:r w:rsidRPr="00F342C1">
        <w:rPr>
          <w:rFonts w:ascii="Arial" w:hAnsi="Arial" w:cs="Arial"/>
          <w:i/>
          <w:iCs/>
        </w:rPr>
        <w:t>Long-Term Effect:</w:t>
      </w:r>
      <w:r w:rsidRPr="00F342C1">
        <w:rPr>
          <w:rFonts w:ascii="Arial" w:hAnsi="Arial" w:cs="Arial"/>
        </w:rPr>
        <w:t xml:space="preserve"> Reduction in rates of emergency admission due to diabetic ketoacidosis (DKA), hyperosmolar hyperglycemic state (HHS), and major lower limb amputation over 5 years.</w:t>
      </w:r>
    </w:p>
    <w:p w14:paraId="0B4468A2" w14:textId="77777777" w:rsidR="0021283A" w:rsidRDefault="0021283A" w:rsidP="002E3DD7">
      <w:pPr>
        <w:spacing w:line="360" w:lineRule="auto"/>
        <w:jc w:val="both"/>
        <w:rPr>
          <w:rFonts w:ascii="Arial" w:hAnsi="Arial" w:cs="Arial"/>
        </w:rPr>
      </w:pPr>
    </w:p>
    <w:p w14:paraId="0B21C2D5" w14:textId="7E3D2760" w:rsidR="002E3DD7" w:rsidRDefault="002E3DD7" w:rsidP="009C358C">
      <w:pPr>
        <w:spacing w:line="360" w:lineRule="auto"/>
        <w:ind w:left="1440"/>
        <w:jc w:val="both"/>
        <w:rPr>
          <w:rFonts w:ascii="Arial" w:hAnsi="Arial" w:cs="Arial"/>
          <w:b/>
          <w:bCs/>
        </w:rPr>
      </w:pPr>
      <w:r>
        <w:rPr>
          <w:rFonts w:ascii="Arial" w:hAnsi="Arial" w:cs="Arial"/>
          <w:b/>
          <w:bCs/>
        </w:rPr>
        <w:t xml:space="preserve">FIGURE </w:t>
      </w:r>
      <w:proofErr w:type="gramStart"/>
      <w:r>
        <w:rPr>
          <w:rFonts w:ascii="Arial" w:hAnsi="Arial" w:cs="Arial"/>
          <w:b/>
          <w:bCs/>
        </w:rPr>
        <w:t>8 :</w:t>
      </w:r>
      <w:proofErr w:type="gramEnd"/>
      <w:r>
        <w:rPr>
          <w:rFonts w:ascii="Arial" w:hAnsi="Arial" w:cs="Arial"/>
          <w:b/>
          <w:bCs/>
        </w:rPr>
        <w:t xml:space="preserve"> RE-AIM </w:t>
      </w:r>
      <w:r w:rsidR="00317B8B">
        <w:rPr>
          <w:rFonts w:ascii="Arial" w:hAnsi="Arial" w:cs="Arial"/>
          <w:b/>
          <w:bCs/>
        </w:rPr>
        <w:t>Program Evalu</w:t>
      </w:r>
      <w:r w:rsidR="00122711">
        <w:rPr>
          <w:rFonts w:ascii="Arial" w:hAnsi="Arial" w:cs="Arial"/>
          <w:b/>
          <w:bCs/>
        </w:rPr>
        <w:t xml:space="preserve">ation Matrix </w:t>
      </w:r>
    </w:p>
    <w:p w14:paraId="62B1395B" w14:textId="00642517" w:rsidR="00122711" w:rsidRPr="002E3DD7" w:rsidRDefault="00122711" w:rsidP="009C358C">
      <w:pPr>
        <w:spacing w:line="360" w:lineRule="auto"/>
        <w:ind w:left="1440"/>
        <w:jc w:val="both"/>
        <w:rPr>
          <w:rFonts w:ascii="Arial" w:hAnsi="Arial" w:cs="Arial"/>
          <w:b/>
          <w:bCs/>
        </w:rPr>
      </w:pPr>
      <w:r>
        <w:rPr>
          <w:rFonts w:ascii="Arial" w:hAnsi="Arial" w:cs="Arial"/>
          <w:b/>
          <w:bCs/>
        </w:rPr>
        <w:t xml:space="preserve">Source: Glasgow </w:t>
      </w:r>
      <w:r w:rsidR="009C358C">
        <w:rPr>
          <w:rFonts w:ascii="Arial" w:hAnsi="Arial" w:cs="Arial"/>
          <w:b/>
          <w:bCs/>
        </w:rPr>
        <w:t xml:space="preserve">et al. (1999) RE-AIM Evaluation Framework. </w:t>
      </w:r>
    </w:p>
    <w:p w14:paraId="7BA5EE6F" w14:textId="77777777" w:rsidR="00EA2C90" w:rsidRPr="00DB1C4E" w:rsidRDefault="00EA2C90" w:rsidP="00DB1C4E">
      <w:pPr>
        <w:spacing w:line="360" w:lineRule="auto"/>
        <w:jc w:val="both"/>
        <w:rPr>
          <w:rFonts w:ascii="Arial" w:hAnsi="Arial" w:cs="Arial"/>
        </w:rPr>
      </w:pPr>
    </w:p>
    <w:tbl>
      <w:tblPr>
        <w:tblStyle w:val="TableGrid"/>
        <w:tblpPr w:leftFromText="180" w:rightFromText="180" w:vertAnchor="text" w:horzAnchor="margin" w:tblpXSpec="center" w:tblpY="98"/>
        <w:tblW w:w="0" w:type="auto"/>
        <w:tblLook w:val="04A0" w:firstRow="1" w:lastRow="0" w:firstColumn="1" w:lastColumn="0" w:noHBand="0" w:noVBand="1"/>
      </w:tblPr>
      <w:tblGrid>
        <w:gridCol w:w="2511"/>
        <w:gridCol w:w="2512"/>
        <w:gridCol w:w="2512"/>
      </w:tblGrid>
      <w:tr w:rsidR="00B06BE1" w:rsidRPr="00D50173" w14:paraId="794E2517" w14:textId="77777777" w:rsidTr="005A2A7F">
        <w:trPr>
          <w:trHeight w:val="153"/>
        </w:trPr>
        <w:tc>
          <w:tcPr>
            <w:tcW w:w="2511" w:type="dxa"/>
            <w:shd w:val="clear" w:color="auto" w:fill="ACB9CA" w:themeFill="text2" w:themeFillTint="66"/>
            <w:vAlign w:val="center"/>
          </w:tcPr>
          <w:p w14:paraId="533E544C" w14:textId="77777777" w:rsidR="00B06BE1" w:rsidRPr="00D50173" w:rsidRDefault="00B06BE1" w:rsidP="00B06BE1">
            <w:pPr>
              <w:spacing w:line="360" w:lineRule="auto"/>
              <w:jc w:val="center"/>
              <w:rPr>
                <w:rFonts w:ascii="Arial" w:hAnsi="Arial" w:cs="Arial"/>
                <w:b/>
                <w:bCs/>
              </w:rPr>
            </w:pPr>
            <w:r w:rsidRPr="00D50173">
              <w:rPr>
                <w:rFonts w:ascii="Arial" w:hAnsi="Arial" w:cs="Arial"/>
                <w:b/>
                <w:bCs/>
              </w:rPr>
              <w:t>RE-AIM Dimensions</w:t>
            </w:r>
          </w:p>
        </w:tc>
        <w:tc>
          <w:tcPr>
            <w:tcW w:w="2512" w:type="dxa"/>
            <w:shd w:val="clear" w:color="auto" w:fill="ACB9CA" w:themeFill="text2" w:themeFillTint="66"/>
            <w:vAlign w:val="center"/>
          </w:tcPr>
          <w:p w14:paraId="1934CC77" w14:textId="77777777" w:rsidR="00B06BE1" w:rsidRPr="00D50173" w:rsidRDefault="00B06BE1" w:rsidP="00B06BE1">
            <w:pPr>
              <w:spacing w:line="360" w:lineRule="auto"/>
              <w:jc w:val="center"/>
              <w:rPr>
                <w:rFonts w:ascii="Arial" w:hAnsi="Arial" w:cs="Arial"/>
                <w:b/>
                <w:bCs/>
              </w:rPr>
            </w:pPr>
            <w:r w:rsidRPr="00D50173">
              <w:rPr>
                <w:rFonts w:ascii="Arial" w:hAnsi="Arial" w:cs="Arial"/>
                <w:b/>
                <w:bCs/>
              </w:rPr>
              <w:t>Operation metric/indicator</w:t>
            </w:r>
          </w:p>
        </w:tc>
        <w:tc>
          <w:tcPr>
            <w:tcW w:w="2512" w:type="dxa"/>
            <w:shd w:val="clear" w:color="auto" w:fill="ACB9CA" w:themeFill="text2" w:themeFillTint="66"/>
            <w:vAlign w:val="center"/>
          </w:tcPr>
          <w:p w14:paraId="1994B771" w14:textId="77777777" w:rsidR="00B06BE1" w:rsidRPr="00D50173" w:rsidRDefault="00B06BE1" w:rsidP="00B06BE1">
            <w:pPr>
              <w:spacing w:line="360" w:lineRule="auto"/>
              <w:jc w:val="center"/>
              <w:rPr>
                <w:rFonts w:ascii="Arial" w:hAnsi="Arial" w:cs="Arial"/>
                <w:b/>
                <w:bCs/>
              </w:rPr>
            </w:pPr>
            <w:r w:rsidRPr="00D50173">
              <w:rPr>
                <w:rFonts w:ascii="Arial" w:hAnsi="Arial" w:cs="Arial"/>
                <w:b/>
                <w:bCs/>
              </w:rPr>
              <w:t>Target goal</w:t>
            </w:r>
          </w:p>
        </w:tc>
      </w:tr>
      <w:tr w:rsidR="00B06BE1" w14:paraId="3F171D39" w14:textId="77777777" w:rsidTr="005A2A7F">
        <w:trPr>
          <w:trHeight w:val="471"/>
        </w:trPr>
        <w:tc>
          <w:tcPr>
            <w:tcW w:w="2511" w:type="dxa"/>
            <w:shd w:val="clear" w:color="auto" w:fill="ACB9CA" w:themeFill="text2" w:themeFillTint="66"/>
            <w:vAlign w:val="center"/>
          </w:tcPr>
          <w:p w14:paraId="45F1E8A7" w14:textId="77777777" w:rsidR="00B06BE1" w:rsidRDefault="00B06BE1" w:rsidP="00B06BE1">
            <w:pPr>
              <w:spacing w:line="360" w:lineRule="auto"/>
              <w:jc w:val="center"/>
              <w:rPr>
                <w:rFonts w:ascii="Arial" w:hAnsi="Arial" w:cs="Arial"/>
              </w:rPr>
            </w:pPr>
            <w:r>
              <w:rPr>
                <w:rFonts w:ascii="Arial" w:hAnsi="Arial" w:cs="Arial"/>
              </w:rPr>
              <w:t>Reach</w:t>
            </w:r>
          </w:p>
        </w:tc>
        <w:tc>
          <w:tcPr>
            <w:tcW w:w="2512" w:type="dxa"/>
            <w:shd w:val="clear" w:color="auto" w:fill="ACB9CA" w:themeFill="text2" w:themeFillTint="66"/>
            <w:vAlign w:val="center"/>
          </w:tcPr>
          <w:p w14:paraId="6C772DE6" w14:textId="77777777" w:rsidR="00B06BE1" w:rsidRDefault="00B06BE1" w:rsidP="00B06BE1">
            <w:pPr>
              <w:spacing w:line="360" w:lineRule="auto"/>
              <w:jc w:val="center"/>
              <w:rPr>
                <w:rFonts w:ascii="Arial" w:hAnsi="Arial" w:cs="Arial"/>
              </w:rPr>
            </w:pPr>
            <w:r w:rsidRPr="00A72216">
              <w:rPr>
                <w:rFonts w:ascii="Arial" w:hAnsi="Arial" w:cs="Arial"/>
              </w:rPr>
              <w:t>Number of high-risk South Asian adults screened and recruited</w:t>
            </w:r>
          </w:p>
        </w:tc>
        <w:tc>
          <w:tcPr>
            <w:tcW w:w="2512" w:type="dxa"/>
            <w:shd w:val="clear" w:color="auto" w:fill="ACB9CA" w:themeFill="text2" w:themeFillTint="66"/>
            <w:vAlign w:val="center"/>
          </w:tcPr>
          <w:p w14:paraId="3328CB97" w14:textId="77777777" w:rsidR="00B06BE1" w:rsidRDefault="00B06BE1" w:rsidP="00B06BE1">
            <w:pPr>
              <w:spacing w:line="360" w:lineRule="auto"/>
              <w:jc w:val="center"/>
              <w:rPr>
                <w:rFonts w:ascii="Arial" w:hAnsi="Arial" w:cs="Arial"/>
              </w:rPr>
            </w:pPr>
            <w:r w:rsidRPr="0051351B">
              <w:rPr>
                <w:rFonts w:ascii="Arial" w:hAnsi="Arial" w:cs="Arial"/>
              </w:rPr>
              <w:t>Target group participation at maximum level</w:t>
            </w:r>
          </w:p>
        </w:tc>
      </w:tr>
      <w:tr w:rsidR="00B06BE1" w14:paraId="630436AB" w14:textId="77777777" w:rsidTr="005A2A7F">
        <w:trPr>
          <w:trHeight w:val="308"/>
        </w:trPr>
        <w:tc>
          <w:tcPr>
            <w:tcW w:w="2511" w:type="dxa"/>
            <w:tcBorders>
              <w:bottom w:val="single" w:sz="4" w:space="0" w:color="auto"/>
            </w:tcBorders>
            <w:shd w:val="clear" w:color="auto" w:fill="ACB9CA" w:themeFill="text2" w:themeFillTint="66"/>
            <w:vAlign w:val="center"/>
          </w:tcPr>
          <w:p w14:paraId="74C8E47A" w14:textId="77777777" w:rsidR="00B06BE1" w:rsidRDefault="00B06BE1" w:rsidP="00B06BE1">
            <w:pPr>
              <w:spacing w:line="360" w:lineRule="auto"/>
              <w:jc w:val="center"/>
              <w:rPr>
                <w:rFonts w:ascii="Arial" w:hAnsi="Arial" w:cs="Arial"/>
              </w:rPr>
            </w:pPr>
            <w:r>
              <w:rPr>
                <w:rFonts w:ascii="Arial" w:hAnsi="Arial" w:cs="Arial"/>
              </w:rPr>
              <w:t>Efficacy</w:t>
            </w:r>
          </w:p>
        </w:tc>
        <w:tc>
          <w:tcPr>
            <w:tcW w:w="2512" w:type="dxa"/>
            <w:tcBorders>
              <w:bottom w:val="single" w:sz="4" w:space="0" w:color="auto"/>
            </w:tcBorders>
            <w:shd w:val="clear" w:color="auto" w:fill="ACB9CA" w:themeFill="text2" w:themeFillTint="66"/>
            <w:vAlign w:val="center"/>
          </w:tcPr>
          <w:p w14:paraId="59F2152E" w14:textId="77777777" w:rsidR="00B06BE1" w:rsidRDefault="00B06BE1" w:rsidP="00B06BE1">
            <w:pPr>
              <w:spacing w:line="360" w:lineRule="auto"/>
              <w:jc w:val="center"/>
              <w:rPr>
                <w:rFonts w:ascii="Arial" w:hAnsi="Arial" w:cs="Arial"/>
              </w:rPr>
            </w:pPr>
            <w:r w:rsidRPr="00377D2D">
              <w:rPr>
                <w:rFonts w:ascii="Arial" w:hAnsi="Arial" w:cs="Arial"/>
              </w:rPr>
              <w:t>Percentage decrease in HbA1c values after one year</w:t>
            </w:r>
          </w:p>
        </w:tc>
        <w:tc>
          <w:tcPr>
            <w:tcW w:w="2512" w:type="dxa"/>
            <w:tcBorders>
              <w:bottom w:val="single" w:sz="4" w:space="0" w:color="auto"/>
            </w:tcBorders>
            <w:shd w:val="clear" w:color="auto" w:fill="ACB9CA" w:themeFill="text2" w:themeFillTint="66"/>
            <w:vAlign w:val="center"/>
          </w:tcPr>
          <w:p w14:paraId="37235F1A" w14:textId="77777777" w:rsidR="00B06BE1" w:rsidRDefault="00B06BE1" w:rsidP="00B06BE1">
            <w:pPr>
              <w:spacing w:line="360" w:lineRule="auto"/>
              <w:jc w:val="center"/>
              <w:rPr>
                <w:rFonts w:ascii="Arial" w:hAnsi="Arial" w:cs="Arial"/>
              </w:rPr>
            </w:pPr>
            <w:r w:rsidRPr="008B1E6D">
              <w:rPr>
                <w:rFonts w:ascii="Arial" w:hAnsi="Arial" w:cs="Arial"/>
              </w:rPr>
              <w:t>≥</w:t>
            </w:r>
            <w:r w:rsidRPr="00C06DF9">
              <w:rPr>
                <w:rFonts w:ascii="Arial" w:hAnsi="Arial" w:cs="Arial"/>
              </w:rPr>
              <w:t>5 {mmol/mol} reduction</w:t>
            </w:r>
          </w:p>
        </w:tc>
      </w:tr>
      <w:tr w:rsidR="00B06BE1" w14:paraId="6FB76519" w14:textId="77777777" w:rsidTr="005A2A7F">
        <w:trPr>
          <w:trHeight w:val="465"/>
        </w:trPr>
        <w:tc>
          <w:tcPr>
            <w:tcW w:w="2511" w:type="dxa"/>
            <w:shd w:val="clear" w:color="auto" w:fill="ACB9CA" w:themeFill="text2" w:themeFillTint="66"/>
            <w:vAlign w:val="center"/>
          </w:tcPr>
          <w:p w14:paraId="33B2303D" w14:textId="77777777" w:rsidR="00B06BE1" w:rsidRDefault="00B06BE1" w:rsidP="00B06BE1">
            <w:pPr>
              <w:spacing w:line="360" w:lineRule="auto"/>
              <w:jc w:val="center"/>
              <w:rPr>
                <w:rFonts w:ascii="Arial" w:hAnsi="Arial" w:cs="Arial"/>
              </w:rPr>
            </w:pPr>
            <w:r>
              <w:rPr>
                <w:rFonts w:ascii="Arial" w:hAnsi="Arial" w:cs="Arial"/>
              </w:rPr>
              <w:t>Adoption</w:t>
            </w:r>
          </w:p>
        </w:tc>
        <w:tc>
          <w:tcPr>
            <w:tcW w:w="2512" w:type="dxa"/>
            <w:shd w:val="clear" w:color="auto" w:fill="ACB9CA" w:themeFill="text2" w:themeFillTint="66"/>
            <w:vAlign w:val="center"/>
          </w:tcPr>
          <w:p w14:paraId="55F16023" w14:textId="77777777" w:rsidR="00B06BE1" w:rsidRDefault="00B06BE1" w:rsidP="00B06BE1">
            <w:pPr>
              <w:spacing w:line="360" w:lineRule="auto"/>
              <w:jc w:val="center"/>
              <w:rPr>
                <w:rFonts w:ascii="Arial" w:hAnsi="Arial" w:cs="Arial"/>
              </w:rPr>
            </w:pPr>
            <w:r w:rsidRPr="004D1C42">
              <w:rPr>
                <w:rFonts w:ascii="Arial" w:hAnsi="Arial" w:cs="Arial"/>
              </w:rPr>
              <w:t>PCN and local faith-based organization delivering the intervention</w:t>
            </w:r>
          </w:p>
        </w:tc>
        <w:tc>
          <w:tcPr>
            <w:tcW w:w="2512" w:type="dxa"/>
            <w:shd w:val="clear" w:color="auto" w:fill="ACB9CA" w:themeFill="text2" w:themeFillTint="66"/>
            <w:vAlign w:val="center"/>
          </w:tcPr>
          <w:p w14:paraId="2801FF99" w14:textId="77777777" w:rsidR="00B06BE1" w:rsidRDefault="00B06BE1" w:rsidP="00B06BE1">
            <w:pPr>
              <w:spacing w:line="360" w:lineRule="auto"/>
              <w:jc w:val="center"/>
              <w:rPr>
                <w:rFonts w:ascii="Arial" w:hAnsi="Arial" w:cs="Arial"/>
              </w:rPr>
            </w:pPr>
            <w:r w:rsidRPr="008D4D56">
              <w:rPr>
                <w:rFonts w:ascii="Arial" w:hAnsi="Arial" w:cs="Arial"/>
              </w:rPr>
              <w:t>High level of local involvement from general practitioners</w:t>
            </w:r>
          </w:p>
        </w:tc>
      </w:tr>
      <w:tr w:rsidR="00B06BE1" w14:paraId="5C0E538F" w14:textId="77777777" w:rsidTr="005A2A7F">
        <w:trPr>
          <w:trHeight w:val="471"/>
        </w:trPr>
        <w:tc>
          <w:tcPr>
            <w:tcW w:w="2511" w:type="dxa"/>
            <w:shd w:val="clear" w:color="auto" w:fill="ACB9CA" w:themeFill="text2" w:themeFillTint="66"/>
            <w:vAlign w:val="center"/>
          </w:tcPr>
          <w:p w14:paraId="69AE6C16" w14:textId="77777777" w:rsidR="00B06BE1" w:rsidRDefault="00B06BE1" w:rsidP="00B06BE1">
            <w:pPr>
              <w:spacing w:line="360" w:lineRule="auto"/>
              <w:jc w:val="center"/>
              <w:rPr>
                <w:rFonts w:ascii="Arial" w:hAnsi="Arial" w:cs="Arial"/>
              </w:rPr>
            </w:pPr>
            <w:r>
              <w:rPr>
                <w:rFonts w:ascii="Arial" w:hAnsi="Arial" w:cs="Arial"/>
              </w:rPr>
              <w:t>Implementation</w:t>
            </w:r>
          </w:p>
        </w:tc>
        <w:tc>
          <w:tcPr>
            <w:tcW w:w="2512" w:type="dxa"/>
            <w:shd w:val="clear" w:color="auto" w:fill="ACB9CA" w:themeFill="text2" w:themeFillTint="66"/>
            <w:vAlign w:val="center"/>
          </w:tcPr>
          <w:p w14:paraId="63757982" w14:textId="77777777" w:rsidR="00B06BE1" w:rsidRDefault="00B06BE1" w:rsidP="00B06BE1">
            <w:pPr>
              <w:spacing w:line="360" w:lineRule="auto"/>
              <w:jc w:val="center"/>
              <w:rPr>
                <w:rFonts w:ascii="Arial" w:hAnsi="Arial" w:cs="Arial"/>
              </w:rPr>
            </w:pPr>
            <w:r w:rsidRPr="004E5EA8">
              <w:rPr>
                <w:rFonts w:ascii="Arial" w:hAnsi="Arial" w:cs="Arial"/>
              </w:rPr>
              <w:t>DESMOND-Bangla being delivered using the primary language</w:t>
            </w:r>
          </w:p>
        </w:tc>
        <w:tc>
          <w:tcPr>
            <w:tcW w:w="2512" w:type="dxa"/>
            <w:shd w:val="clear" w:color="auto" w:fill="ACB9CA" w:themeFill="text2" w:themeFillTint="66"/>
            <w:vAlign w:val="center"/>
          </w:tcPr>
          <w:p w14:paraId="2CC3512F" w14:textId="77777777" w:rsidR="00B06BE1" w:rsidRDefault="00B06BE1" w:rsidP="00B06BE1">
            <w:pPr>
              <w:spacing w:line="360" w:lineRule="auto"/>
              <w:jc w:val="center"/>
              <w:rPr>
                <w:rFonts w:ascii="Arial" w:hAnsi="Arial" w:cs="Arial"/>
              </w:rPr>
            </w:pPr>
            <w:r w:rsidRPr="00D8285E">
              <w:rPr>
                <w:rFonts w:ascii="Arial" w:hAnsi="Arial" w:cs="Arial"/>
              </w:rPr>
              <w:t>Execution that fits culture</w:t>
            </w:r>
          </w:p>
        </w:tc>
      </w:tr>
      <w:tr w:rsidR="00B06BE1" w14:paraId="3F0CD6DB" w14:textId="77777777" w:rsidTr="005A2A7F">
        <w:trPr>
          <w:trHeight w:val="465"/>
        </w:trPr>
        <w:tc>
          <w:tcPr>
            <w:tcW w:w="2511" w:type="dxa"/>
            <w:tcBorders>
              <w:bottom w:val="single" w:sz="4" w:space="0" w:color="auto"/>
            </w:tcBorders>
            <w:shd w:val="clear" w:color="auto" w:fill="ACB9CA" w:themeFill="text2" w:themeFillTint="66"/>
            <w:vAlign w:val="center"/>
          </w:tcPr>
          <w:p w14:paraId="2CA88CD6" w14:textId="77777777" w:rsidR="00B06BE1" w:rsidRDefault="00B06BE1" w:rsidP="00B06BE1">
            <w:pPr>
              <w:spacing w:line="360" w:lineRule="auto"/>
              <w:jc w:val="center"/>
              <w:rPr>
                <w:rFonts w:ascii="Arial" w:hAnsi="Arial" w:cs="Arial"/>
              </w:rPr>
            </w:pPr>
            <w:r>
              <w:rPr>
                <w:rFonts w:ascii="Arial" w:hAnsi="Arial" w:cs="Arial"/>
              </w:rPr>
              <w:t>Maintenance</w:t>
            </w:r>
          </w:p>
        </w:tc>
        <w:tc>
          <w:tcPr>
            <w:tcW w:w="2512" w:type="dxa"/>
            <w:tcBorders>
              <w:bottom w:val="single" w:sz="4" w:space="0" w:color="auto"/>
            </w:tcBorders>
            <w:shd w:val="clear" w:color="auto" w:fill="ACB9CA" w:themeFill="text2" w:themeFillTint="66"/>
            <w:vAlign w:val="center"/>
          </w:tcPr>
          <w:p w14:paraId="592FB932" w14:textId="77777777" w:rsidR="00B06BE1" w:rsidRDefault="00B06BE1" w:rsidP="00B06BE1">
            <w:pPr>
              <w:spacing w:line="360" w:lineRule="auto"/>
              <w:jc w:val="center"/>
              <w:rPr>
                <w:rFonts w:ascii="Arial" w:hAnsi="Arial" w:cs="Arial"/>
              </w:rPr>
            </w:pPr>
            <w:r w:rsidRPr="00CE62FA">
              <w:rPr>
                <w:rFonts w:ascii="Arial" w:hAnsi="Arial" w:cs="Arial"/>
              </w:rPr>
              <w:t>5-year follow-up on rates of diabetic ketoacidosis and amputations</w:t>
            </w:r>
          </w:p>
        </w:tc>
        <w:tc>
          <w:tcPr>
            <w:tcW w:w="2512" w:type="dxa"/>
            <w:tcBorders>
              <w:bottom w:val="single" w:sz="4" w:space="0" w:color="auto"/>
            </w:tcBorders>
            <w:shd w:val="clear" w:color="auto" w:fill="ACB9CA" w:themeFill="text2" w:themeFillTint="66"/>
            <w:vAlign w:val="center"/>
          </w:tcPr>
          <w:p w14:paraId="16E089A2" w14:textId="77777777" w:rsidR="00B06BE1" w:rsidRDefault="00B06BE1" w:rsidP="00B06BE1">
            <w:pPr>
              <w:spacing w:line="360" w:lineRule="auto"/>
              <w:jc w:val="center"/>
              <w:rPr>
                <w:rFonts w:ascii="Arial" w:hAnsi="Arial" w:cs="Arial"/>
              </w:rPr>
            </w:pPr>
            <w:r w:rsidRPr="00497766">
              <w:rPr>
                <w:rFonts w:ascii="Arial" w:hAnsi="Arial" w:cs="Arial"/>
              </w:rPr>
              <w:t>Reduction measurable over a long period</w:t>
            </w:r>
          </w:p>
        </w:tc>
      </w:tr>
    </w:tbl>
    <w:p w14:paraId="0173CBA3" w14:textId="77777777" w:rsidR="00B06BE1" w:rsidRPr="00F342C1" w:rsidRDefault="00B06BE1" w:rsidP="00B06BE1">
      <w:pPr>
        <w:pStyle w:val="ListParagraph"/>
        <w:spacing w:line="360" w:lineRule="auto"/>
        <w:jc w:val="both"/>
        <w:rPr>
          <w:rFonts w:ascii="Arial" w:hAnsi="Arial" w:cs="Arial"/>
        </w:rPr>
      </w:pPr>
    </w:p>
    <w:p w14:paraId="02F43F46" w14:textId="77777777" w:rsidR="00C70F12" w:rsidRPr="00C70F12" w:rsidRDefault="00C70F12" w:rsidP="00C70F12">
      <w:pPr>
        <w:spacing w:line="360" w:lineRule="auto"/>
        <w:jc w:val="both"/>
        <w:rPr>
          <w:rFonts w:ascii="Arial" w:hAnsi="Arial" w:cs="Arial"/>
        </w:rPr>
      </w:pPr>
    </w:p>
    <w:p w14:paraId="6CB5D0CB" w14:textId="08327AEB" w:rsidR="00230423" w:rsidRDefault="0026390E" w:rsidP="0026390E">
      <w:pPr>
        <w:spacing w:line="360" w:lineRule="auto"/>
        <w:jc w:val="both"/>
        <w:rPr>
          <w:rFonts w:ascii="Arial" w:hAnsi="Arial" w:cs="Arial"/>
        </w:rPr>
      </w:pPr>
      <w:r w:rsidRPr="0026390E">
        <w:rPr>
          <w:rFonts w:ascii="Arial" w:hAnsi="Arial" w:cs="Arial"/>
        </w:rPr>
        <w:t>​</w:t>
      </w:r>
    </w:p>
    <w:p w14:paraId="4EBF9F7E" w14:textId="77777777" w:rsidR="00FC3726" w:rsidRDefault="00FC3726" w:rsidP="0026390E">
      <w:pPr>
        <w:spacing w:line="360" w:lineRule="auto"/>
        <w:jc w:val="both"/>
        <w:rPr>
          <w:rFonts w:ascii="Arial" w:hAnsi="Arial" w:cs="Arial"/>
        </w:rPr>
      </w:pPr>
    </w:p>
    <w:p w14:paraId="40142BF5" w14:textId="77777777" w:rsidR="00497766" w:rsidRDefault="00497766" w:rsidP="0026390E">
      <w:pPr>
        <w:spacing w:line="360" w:lineRule="auto"/>
        <w:jc w:val="both"/>
        <w:rPr>
          <w:rFonts w:ascii="Arial" w:hAnsi="Arial" w:cs="Arial"/>
        </w:rPr>
      </w:pPr>
    </w:p>
    <w:p w14:paraId="12FBDBB7" w14:textId="7115A3B4" w:rsidR="00FC3726" w:rsidRDefault="00FC3726" w:rsidP="0026390E">
      <w:pPr>
        <w:spacing w:line="360" w:lineRule="auto"/>
        <w:jc w:val="both"/>
        <w:rPr>
          <w:rFonts w:ascii="Arial" w:hAnsi="Arial" w:cs="Arial"/>
          <w:b/>
          <w:bCs/>
        </w:rPr>
      </w:pPr>
    </w:p>
    <w:p w14:paraId="603FD737" w14:textId="77777777" w:rsidR="00FC3726" w:rsidRDefault="00FC3726" w:rsidP="0026390E">
      <w:pPr>
        <w:spacing w:line="360" w:lineRule="auto"/>
        <w:jc w:val="both"/>
        <w:rPr>
          <w:rFonts w:ascii="Arial" w:hAnsi="Arial" w:cs="Arial"/>
          <w:b/>
          <w:bCs/>
        </w:rPr>
      </w:pPr>
    </w:p>
    <w:p w14:paraId="32FD32BA" w14:textId="77777777" w:rsidR="00FC3726" w:rsidRDefault="00FC3726" w:rsidP="0026390E">
      <w:pPr>
        <w:spacing w:line="360" w:lineRule="auto"/>
        <w:jc w:val="both"/>
        <w:rPr>
          <w:rFonts w:ascii="Arial" w:hAnsi="Arial" w:cs="Arial"/>
          <w:b/>
          <w:bCs/>
        </w:rPr>
      </w:pPr>
    </w:p>
    <w:p w14:paraId="4584CDD0" w14:textId="77777777" w:rsidR="00FC3726" w:rsidRDefault="00FC3726" w:rsidP="0026390E">
      <w:pPr>
        <w:spacing w:line="360" w:lineRule="auto"/>
        <w:jc w:val="both"/>
        <w:rPr>
          <w:rFonts w:ascii="Arial" w:hAnsi="Arial" w:cs="Arial"/>
          <w:b/>
          <w:bCs/>
        </w:rPr>
      </w:pPr>
    </w:p>
    <w:p w14:paraId="16B26460" w14:textId="77777777" w:rsidR="00FC3726" w:rsidRDefault="00FC3726" w:rsidP="0026390E">
      <w:pPr>
        <w:spacing w:line="360" w:lineRule="auto"/>
        <w:jc w:val="both"/>
        <w:rPr>
          <w:rFonts w:ascii="Arial" w:hAnsi="Arial" w:cs="Arial"/>
          <w:b/>
          <w:bCs/>
        </w:rPr>
      </w:pPr>
    </w:p>
    <w:p w14:paraId="32D1F606" w14:textId="77777777" w:rsidR="00FC3726" w:rsidRDefault="00FC3726" w:rsidP="0026390E">
      <w:pPr>
        <w:spacing w:line="360" w:lineRule="auto"/>
        <w:jc w:val="both"/>
        <w:rPr>
          <w:rFonts w:ascii="Arial" w:hAnsi="Arial" w:cs="Arial"/>
          <w:b/>
          <w:bCs/>
        </w:rPr>
      </w:pPr>
    </w:p>
    <w:p w14:paraId="041117A8" w14:textId="77777777" w:rsidR="00EA2C90" w:rsidRDefault="00EA2C90" w:rsidP="0026390E">
      <w:pPr>
        <w:spacing w:line="360" w:lineRule="auto"/>
        <w:jc w:val="both"/>
        <w:rPr>
          <w:rFonts w:ascii="Arial" w:hAnsi="Arial" w:cs="Arial"/>
          <w:b/>
          <w:bCs/>
        </w:rPr>
      </w:pPr>
    </w:p>
    <w:p w14:paraId="1054D2B8" w14:textId="77777777" w:rsidR="00EA2C90" w:rsidRDefault="00EA2C90" w:rsidP="0026390E">
      <w:pPr>
        <w:spacing w:line="360" w:lineRule="auto"/>
        <w:jc w:val="both"/>
        <w:rPr>
          <w:rFonts w:ascii="Arial" w:hAnsi="Arial" w:cs="Arial"/>
          <w:b/>
          <w:bCs/>
        </w:rPr>
      </w:pPr>
    </w:p>
    <w:p w14:paraId="14D5338A" w14:textId="77777777" w:rsidR="00EA2C90" w:rsidRDefault="00EA2C90" w:rsidP="0026390E">
      <w:pPr>
        <w:spacing w:line="360" w:lineRule="auto"/>
        <w:jc w:val="both"/>
        <w:rPr>
          <w:rFonts w:ascii="Arial" w:hAnsi="Arial" w:cs="Arial"/>
          <w:b/>
          <w:bCs/>
        </w:rPr>
      </w:pPr>
    </w:p>
    <w:p w14:paraId="3A6012B7" w14:textId="77777777" w:rsidR="00EA2C90" w:rsidRDefault="00EA2C90" w:rsidP="0026390E">
      <w:pPr>
        <w:spacing w:line="360" w:lineRule="auto"/>
        <w:jc w:val="both"/>
        <w:rPr>
          <w:rFonts w:ascii="Arial" w:hAnsi="Arial" w:cs="Arial"/>
          <w:b/>
          <w:bCs/>
        </w:rPr>
      </w:pPr>
    </w:p>
    <w:p w14:paraId="2E2C9E8C" w14:textId="009A70C5" w:rsidR="009C358C" w:rsidRDefault="009C358C" w:rsidP="0026390E">
      <w:pPr>
        <w:spacing w:line="360" w:lineRule="auto"/>
        <w:jc w:val="both"/>
        <w:rPr>
          <w:rFonts w:ascii="Arial" w:hAnsi="Arial" w:cs="Arial"/>
          <w:b/>
          <w:bCs/>
        </w:rPr>
      </w:pPr>
    </w:p>
    <w:p w14:paraId="6AD91975" w14:textId="1EA7DF27" w:rsidR="00FC3726" w:rsidRPr="0026390E" w:rsidRDefault="00E62292" w:rsidP="0026390E">
      <w:pPr>
        <w:spacing w:line="360" w:lineRule="auto"/>
        <w:jc w:val="both"/>
        <w:rPr>
          <w:rFonts w:ascii="Arial" w:hAnsi="Arial" w:cs="Arial"/>
        </w:rPr>
      </w:pPr>
      <w:r>
        <w:rPr>
          <w:rFonts w:ascii="Arial" w:hAnsi="Arial" w:cs="Arial"/>
          <w:b/>
          <w:bCs/>
        </w:rPr>
        <w:t>7</w:t>
      </w:r>
      <w:r w:rsidR="00FC3726" w:rsidRPr="005803CD">
        <w:rPr>
          <w:rFonts w:ascii="Arial" w:hAnsi="Arial" w:cs="Arial"/>
          <w:b/>
          <w:bCs/>
        </w:rPr>
        <w:t>.</w:t>
      </w:r>
      <w:r w:rsidR="00380457">
        <w:rPr>
          <w:rFonts w:ascii="Arial" w:hAnsi="Arial" w:cs="Arial"/>
          <w:b/>
          <w:bCs/>
        </w:rPr>
        <w:t xml:space="preserve"> </w:t>
      </w:r>
      <w:r w:rsidR="00FC3726" w:rsidRPr="005803CD">
        <w:rPr>
          <w:rFonts w:ascii="Arial" w:hAnsi="Arial" w:cs="Arial"/>
          <w:b/>
          <w:bCs/>
        </w:rPr>
        <w:t>Critical Evaluation of the Epidemiology Approach</w:t>
      </w:r>
    </w:p>
    <w:p w14:paraId="2BD7F927" w14:textId="3B70FDEC" w:rsidR="0026390E" w:rsidRPr="0026390E" w:rsidRDefault="0026390E" w:rsidP="0026390E">
      <w:pPr>
        <w:spacing w:line="360" w:lineRule="auto"/>
        <w:jc w:val="both"/>
        <w:rPr>
          <w:rFonts w:ascii="Arial" w:hAnsi="Arial" w:cs="Arial"/>
        </w:rPr>
      </w:pPr>
      <w:r w:rsidRPr="0026390E">
        <w:rPr>
          <w:rFonts w:ascii="Arial" w:hAnsi="Arial" w:cs="Arial"/>
        </w:rPr>
        <w:t>​</w:t>
      </w:r>
      <w:r w:rsidRPr="00683B59">
        <w:rPr>
          <w:rFonts w:ascii="Arial" w:hAnsi="Arial" w:cs="Arial"/>
          <w:i/>
          <w:iCs/>
        </w:rPr>
        <w:t>Reflection on Methodology:</w:t>
      </w:r>
      <w:r w:rsidRPr="0026390E">
        <w:rPr>
          <w:rFonts w:ascii="Arial" w:hAnsi="Arial" w:cs="Arial"/>
        </w:rPr>
        <w:t xml:space="preserve"> Though epidemiology offers an important methodological contribution by providing rigorous quantifiable methods to plan public health strategies, it is limited by its observational nature, which should be evaluated critically.</w:t>
      </w:r>
    </w:p>
    <w:p w14:paraId="177E1088" w14:textId="3703D580" w:rsidR="005803CD" w:rsidRPr="005E507B" w:rsidRDefault="00E62292" w:rsidP="0026390E">
      <w:pPr>
        <w:spacing w:line="360" w:lineRule="auto"/>
        <w:jc w:val="both"/>
        <w:rPr>
          <w:rFonts w:ascii="Arial" w:hAnsi="Arial" w:cs="Arial"/>
          <w:b/>
          <w:bCs/>
        </w:rPr>
      </w:pPr>
      <w:r>
        <w:rPr>
          <w:rFonts w:ascii="Arial" w:hAnsi="Arial" w:cs="Arial"/>
          <w:b/>
          <w:bCs/>
        </w:rPr>
        <w:t>7</w:t>
      </w:r>
      <w:r w:rsidR="005E507B">
        <w:rPr>
          <w:rFonts w:ascii="Arial" w:hAnsi="Arial" w:cs="Arial"/>
          <w:b/>
          <w:bCs/>
        </w:rPr>
        <w:t xml:space="preserve">.1 </w:t>
      </w:r>
      <w:r w:rsidR="0026390E" w:rsidRPr="005E507B">
        <w:rPr>
          <w:rFonts w:ascii="Arial" w:hAnsi="Arial" w:cs="Arial"/>
          <w:b/>
          <w:bCs/>
        </w:rPr>
        <w:t>Strengths</w:t>
      </w:r>
      <w:r w:rsidR="00683B59" w:rsidRPr="005E507B">
        <w:rPr>
          <w:rFonts w:ascii="Arial" w:hAnsi="Arial" w:cs="Arial"/>
          <w:b/>
          <w:bCs/>
        </w:rPr>
        <w:t>:</w:t>
      </w:r>
    </w:p>
    <w:p w14:paraId="6635B509" w14:textId="3D2D1DA1" w:rsidR="005D19F5" w:rsidRPr="00C355C7" w:rsidRDefault="0026390E" w:rsidP="00C355C7">
      <w:pPr>
        <w:pStyle w:val="ListParagraph"/>
        <w:numPr>
          <w:ilvl w:val="0"/>
          <w:numId w:val="18"/>
        </w:numPr>
        <w:spacing w:line="360" w:lineRule="auto"/>
        <w:jc w:val="both"/>
        <w:rPr>
          <w:rFonts w:ascii="Arial" w:hAnsi="Arial" w:cs="Arial"/>
        </w:rPr>
      </w:pPr>
      <w:r w:rsidRPr="00C355C7">
        <w:rPr>
          <w:rFonts w:ascii="Arial" w:hAnsi="Arial" w:cs="Arial"/>
          <w:i/>
          <w:iCs/>
        </w:rPr>
        <w:lastRenderedPageBreak/>
        <w:t>Statistical Precision on a Population Level:</w:t>
      </w:r>
      <w:r w:rsidRPr="00C355C7">
        <w:rPr>
          <w:rFonts w:ascii="Arial" w:hAnsi="Arial" w:cs="Arial"/>
        </w:rPr>
        <w:t xml:space="preserve"> Using QOF, NDA, and CEG primary care data, we can achieve high statistical power since we cover more than 95% of the registered local population.</w:t>
      </w:r>
    </w:p>
    <w:p w14:paraId="6EB27C99" w14:textId="2BB8BC5F" w:rsidR="00FC3ED4" w:rsidRPr="00C355C7" w:rsidRDefault="00FC3ED4" w:rsidP="00C355C7">
      <w:pPr>
        <w:pStyle w:val="ListParagraph"/>
        <w:numPr>
          <w:ilvl w:val="0"/>
          <w:numId w:val="18"/>
        </w:numPr>
        <w:spacing w:line="360" w:lineRule="auto"/>
        <w:jc w:val="both"/>
        <w:rPr>
          <w:rFonts w:ascii="Arial" w:hAnsi="Arial" w:cs="Arial"/>
        </w:rPr>
      </w:pPr>
      <w:r w:rsidRPr="00C355C7">
        <w:rPr>
          <w:rFonts w:ascii="Arial" w:hAnsi="Arial" w:cs="Arial"/>
          <w:i/>
          <w:iCs/>
        </w:rPr>
        <w:t>S</w:t>
      </w:r>
      <w:r w:rsidR="00193CDB" w:rsidRPr="00C355C7">
        <w:rPr>
          <w:rFonts w:ascii="Arial" w:hAnsi="Arial" w:cs="Arial"/>
          <w:i/>
          <w:iCs/>
        </w:rPr>
        <w:t>t</w:t>
      </w:r>
      <w:r w:rsidR="00F66B59">
        <w:rPr>
          <w:rFonts w:ascii="Arial" w:hAnsi="Arial" w:cs="Arial"/>
          <w:i/>
          <w:iCs/>
        </w:rPr>
        <w:t>ra</w:t>
      </w:r>
      <w:r w:rsidR="00193CDB" w:rsidRPr="00C355C7">
        <w:rPr>
          <w:rFonts w:ascii="Arial" w:hAnsi="Arial" w:cs="Arial"/>
          <w:i/>
          <w:iCs/>
        </w:rPr>
        <w:t>tification based on Equity:</w:t>
      </w:r>
      <w:r w:rsidR="00193CDB" w:rsidRPr="00C355C7">
        <w:rPr>
          <w:rFonts w:ascii="Arial" w:hAnsi="Arial" w:cs="Arial"/>
        </w:rPr>
        <w:t xml:space="preserve"> Detailed demographic coding enables fine dissection accor</w:t>
      </w:r>
      <w:r w:rsidR="00C355C7" w:rsidRPr="00C355C7">
        <w:rPr>
          <w:rFonts w:ascii="Arial" w:hAnsi="Arial" w:cs="Arial"/>
        </w:rPr>
        <w:t>ding to ethnicity and deci</w:t>
      </w:r>
      <w:r w:rsidR="00966F3B">
        <w:rPr>
          <w:rFonts w:ascii="Arial" w:hAnsi="Arial" w:cs="Arial"/>
        </w:rPr>
        <w:t>l</w:t>
      </w:r>
      <w:r w:rsidR="00C355C7" w:rsidRPr="00C355C7">
        <w:rPr>
          <w:rFonts w:ascii="Arial" w:hAnsi="Arial" w:cs="Arial"/>
        </w:rPr>
        <w:t xml:space="preserve">es of deprivation.  </w:t>
      </w:r>
    </w:p>
    <w:p w14:paraId="54A7903F" w14:textId="0F15AD8D" w:rsidR="0026390E" w:rsidRPr="00AF3005" w:rsidRDefault="00472DD1" w:rsidP="0026390E">
      <w:pPr>
        <w:spacing w:line="360" w:lineRule="auto"/>
        <w:jc w:val="both"/>
        <w:rPr>
          <w:rFonts w:ascii="Arial" w:hAnsi="Arial" w:cs="Arial"/>
          <w:b/>
          <w:bCs/>
        </w:rPr>
      </w:pPr>
      <w:r>
        <w:rPr>
          <w:rFonts w:ascii="Arial" w:hAnsi="Arial" w:cs="Arial"/>
          <w:b/>
          <w:bCs/>
        </w:rPr>
        <w:t>7</w:t>
      </w:r>
      <w:r w:rsidR="00AF3005">
        <w:rPr>
          <w:rFonts w:ascii="Arial" w:hAnsi="Arial" w:cs="Arial"/>
          <w:b/>
          <w:bCs/>
        </w:rPr>
        <w:t xml:space="preserve">.2 </w:t>
      </w:r>
      <w:r w:rsidR="0026390E" w:rsidRPr="00574E17">
        <w:rPr>
          <w:rFonts w:ascii="Arial" w:hAnsi="Arial" w:cs="Arial"/>
          <w:b/>
          <w:bCs/>
        </w:rPr>
        <w:t>Weaknesses/Limitations</w:t>
      </w:r>
      <w:r w:rsidR="00AF3005">
        <w:rPr>
          <w:rFonts w:ascii="Arial" w:hAnsi="Arial" w:cs="Arial"/>
          <w:b/>
          <w:bCs/>
        </w:rPr>
        <w:t>:</w:t>
      </w:r>
    </w:p>
    <w:p w14:paraId="3B5591CF" w14:textId="77777777" w:rsidR="0026390E" w:rsidRPr="004A3A81" w:rsidRDefault="0026390E" w:rsidP="004A3A81">
      <w:pPr>
        <w:pStyle w:val="ListParagraph"/>
        <w:numPr>
          <w:ilvl w:val="0"/>
          <w:numId w:val="19"/>
        </w:numPr>
        <w:spacing w:line="360" w:lineRule="auto"/>
        <w:jc w:val="both"/>
        <w:rPr>
          <w:rFonts w:ascii="Arial" w:hAnsi="Arial" w:cs="Arial"/>
        </w:rPr>
      </w:pPr>
      <w:r w:rsidRPr="004A3A81">
        <w:rPr>
          <w:rFonts w:ascii="Arial" w:hAnsi="Arial" w:cs="Arial"/>
        </w:rPr>
        <w:t>​</w:t>
      </w:r>
      <w:r w:rsidRPr="00352528">
        <w:rPr>
          <w:rFonts w:ascii="Arial" w:hAnsi="Arial" w:cs="Arial"/>
          <w:i/>
          <w:iCs/>
        </w:rPr>
        <w:t>Selection and diagnostic bias:</w:t>
      </w:r>
      <w:r w:rsidRPr="004A3A81">
        <w:rPr>
          <w:rFonts w:ascii="Arial" w:hAnsi="Arial" w:cs="Arial"/>
        </w:rPr>
        <w:t xml:space="preserve"> The process of routine primary care surveillance is dependent on attendance at GPs. Documented migrants, unregistered groups, and young men of </w:t>
      </w:r>
      <w:proofErr w:type="gramStart"/>
      <w:r w:rsidRPr="004A3A81">
        <w:rPr>
          <w:rFonts w:ascii="Arial" w:hAnsi="Arial" w:cs="Arial"/>
        </w:rPr>
        <w:t>working class</w:t>
      </w:r>
      <w:proofErr w:type="gramEnd"/>
      <w:r w:rsidRPr="004A3A81">
        <w:rPr>
          <w:rFonts w:ascii="Arial" w:hAnsi="Arial" w:cs="Arial"/>
        </w:rPr>
        <w:t xml:space="preserve"> origin are systematically excluded, resulting in a misrepresentation of undiagnosed disease prevalence (estimated to be as high as 2,000–3,000 cases in Tower Hamlets).</w:t>
      </w:r>
    </w:p>
    <w:p w14:paraId="5CC792A1" w14:textId="77777777" w:rsidR="0026390E" w:rsidRPr="004A3A81" w:rsidRDefault="0026390E" w:rsidP="004A3A81">
      <w:pPr>
        <w:pStyle w:val="ListParagraph"/>
        <w:numPr>
          <w:ilvl w:val="0"/>
          <w:numId w:val="19"/>
        </w:numPr>
        <w:spacing w:line="360" w:lineRule="auto"/>
        <w:jc w:val="both"/>
        <w:rPr>
          <w:rFonts w:ascii="Arial" w:hAnsi="Arial" w:cs="Arial"/>
        </w:rPr>
      </w:pPr>
      <w:r w:rsidRPr="004A3A81">
        <w:rPr>
          <w:rFonts w:ascii="Arial" w:hAnsi="Arial" w:cs="Arial"/>
        </w:rPr>
        <w:t>​</w:t>
      </w:r>
      <w:r w:rsidRPr="004A3A81">
        <w:rPr>
          <w:rFonts w:ascii="Arial" w:hAnsi="Arial" w:cs="Arial"/>
          <w:i/>
          <w:iCs/>
        </w:rPr>
        <w:t>Ecological Fallacy:</w:t>
      </w:r>
      <w:r w:rsidRPr="004A3A81">
        <w:rPr>
          <w:rFonts w:ascii="Arial" w:hAnsi="Arial" w:cs="Arial"/>
        </w:rPr>
        <w:t xml:space="preserve"> The use of area level deprivation indicators (IMD), measured on MSOA level is prone to an ecological fallacy, meaning that all individuals from a deprived MSOA would experience the same health risks.</w:t>
      </w:r>
    </w:p>
    <w:p w14:paraId="6F5121EC" w14:textId="77777777" w:rsidR="0026390E" w:rsidRPr="004A3A81" w:rsidRDefault="0026390E" w:rsidP="004A3A81">
      <w:pPr>
        <w:pStyle w:val="ListParagraph"/>
        <w:numPr>
          <w:ilvl w:val="0"/>
          <w:numId w:val="19"/>
        </w:numPr>
        <w:spacing w:line="360" w:lineRule="auto"/>
        <w:jc w:val="both"/>
        <w:rPr>
          <w:rFonts w:ascii="Arial" w:hAnsi="Arial" w:cs="Arial"/>
        </w:rPr>
      </w:pPr>
      <w:r w:rsidRPr="004A3A81">
        <w:rPr>
          <w:rFonts w:ascii="Arial" w:hAnsi="Arial" w:cs="Arial"/>
        </w:rPr>
        <w:t>​</w:t>
      </w:r>
      <w:r w:rsidRPr="004A3A81">
        <w:rPr>
          <w:rFonts w:ascii="Arial" w:hAnsi="Arial" w:cs="Arial"/>
          <w:i/>
          <w:iCs/>
        </w:rPr>
        <w:t>Limitations of cross-sectional data:</w:t>
      </w:r>
      <w:r w:rsidRPr="004A3A81">
        <w:rPr>
          <w:rFonts w:ascii="Arial" w:hAnsi="Arial" w:cs="Arial"/>
        </w:rPr>
        <w:t xml:space="preserve"> The nature of observational surveillance means that such data predominantly identify relationships rather than causal pathways, which makes it difficult to distinguish the effect of a public health policy from macroeconomic trends.</w:t>
      </w:r>
    </w:p>
    <w:p w14:paraId="5DFE21C6" w14:textId="77777777" w:rsidR="00352528" w:rsidRDefault="0026390E" w:rsidP="0026390E">
      <w:pPr>
        <w:spacing w:line="360" w:lineRule="auto"/>
        <w:jc w:val="both"/>
        <w:rPr>
          <w:rFonts w:ascii="Arial" w:hAnsi="Arial" w:cs="Arial"/>
        </w:rPr>
      </w:pPr>
      <w:r w:rsidRPr="0026390E">
        <w:rPr>
          <w:rFonts w:ascii="Arial" w:hAnsi="Arial" w:cs="Arial"/>
        </w:rPr>
        <w:t>​</w:t>
      </w:r>
    </w:p>
    <w:p w14:paraId="168F491B" w14:textId="377D53A1" w:rsidR="0026390E" w:rsidRPr="00683B59" w:rsidRDefault="0026390E" w:rsidP="0026390E">
      <w:pPr>
        <w:spacing w:line="360" w:lineRule="auto"/>
        <w:jc w:val="both"/>
        <w:rPr>
          <w:rFonts w:ascii="Arial" w:hAnsi="Arial" w:cs="Arial"/>
          <w:b/>
          <w:bCs/>
          <w:u w:val="single"/>
        </w:rPr>
      </w:pPr>
      <w:r w:rsidRPr="00683B59">
        <w:rPr>
          <w:rFonts w:ascii="Arial" w:hAnsi="Arial" w:cs="Arial"/>
          <w:b/>
          <w:bCs/>
          <w:u w:val="single"/>
        </w:rPr>
        <w:t>Conclusion</w:t>
      </w:r>
    </w:p>
    <w:p w14:paraId="11F459B8" w14:textId="77777777" w:rsidR="0026390E" w:rsidRPr="0026390E" w:rsidRDefault="0026390E" w:rsidP="0026390E">
      <w:pPr>
        <w:spacing w:line="360" w:lineRule="auto"/>
        <w:jc w:val="both"/>
        <w:rPr>
          <w:rFonts w:ascii="Arial" w:hAnsi="Arial" w:cs="Arial"/>
        </w:rPr>
      </w:pPr>
      <w:r w:rsidRPr="0026390E">
        <w:rPr>
          <w:rFonts w:ascii="Arial" w:hAnsi="Arial" w:cs="Arial"/>
        </w:rPr>
        <w:t>​Type 2 diabetes mellitus (T2DM) in the London Borough of Tower Hamlets is a problem, the formation of which results from the interaction between genetic predisposition, deprivation and socio-environmental factors. Epidemiology techniques, including risk profiling and surveillance with QOF and NDA, are crucial in this respect. In adopting culturally specific primary prevention strategies combined with focused tertiary intervention, public health professionals in these urban settings are able to reduce the clinical and financial repercussions associated with T2DM.</w:t>
      </w:r>
    </w:p>
    <w:p w14:paraId="7D8A08D3" w14:textId="7EAD8219" w:rsidR="00B54C21" w:rsidRPr="00297028" w:rsidRDefault="00510A30" w:rsidP="00297028">
      <w:pPr>
        <w:rPr>
          <w:rFonts w:ascii="Arial" w:hAnsi="Arial" w:cs="Arial"/>
        </w:rPr>
      </w:pPr>
      <w:r w:rsidRPr="00510A30">
        <w:rPr>
          <w:rFonts w:ascii="Arial" w:hAnsi="Arial" w:cs="Arial"/>
          <w:b/>
          <w:bCs/>
          <w:u w:val="single"/>
        </w:rPr>
        <w:t>REFRENCES</w:t>
      </w:r>
      <w:r>
        <w:rPr>
          <w:rFonts w:ascii="Arial" w:hAnsi="Arial" w:cs="Arial"/>
          <w:b/>
          <w:bCs/>
          <w:u w:val="single"/>
        </w:rPr>
        <w:t>:</w:t>
      </w:r>
    </w:p>
    <w:p w14:paraId="338187D4"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Chowdhury, T.A. and Huda, B. (2016) 'A decade of change in diabetes services in a deprived multiethnic </w:t>
      </w:r>
      <w:proofErr w:type="gramStart"/>
      <w:r w:rsidRPr="00510A30">
        <w:rPr>
          <w:rFonts w:ascii="Arial" w:hAnsi="Arial" w:cs="Arial"/>
        </w:rPr>
        <w:t>inner city</w:t>
      </w:r>
      <w:proofErr w:type="gramEnd"/>
      <w:r w:rsidRPr="00510A30">
        <w:rPr>
          <w:rFonts w:ascii="Arial" w:hAnsi="Arial" w:cs="Arial"/>
        </w:rPr>
        <w:t xml:space="preserve"> area: diabetes in Tower Hamlets', British Journal of Diabetes, 16(4), pp. 188–192. Available at: </w:t>
      </w:r>
      <w:hyperlink r:id="rId17" w:tgtFrame="_blank" w:history="1">
        <w:r w:rsidRPr="00510A30">
          <w:rPr>
            <w:rStyle w:val="Hyperlink"/>
            <w:rFonts w:ascii="Arial" w:hAnsi="Arial" w:cs="Arial"/>
          </w:rPr>
          <w:t>https://doi.org/10.15277/bjd.2016.108</w:t>
        </w:r>
      </w:hyperlink>
    </w:p>
    <w:p w14:paraId="0B44AF8E"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lastRenderedPageBreak/>
        <w:t xml:space="preserve">Department of Health and Social Care (DHSC) (2024) Diabetes Profiles: Tower Hamlets and England Data. Office for Health Improvement and Disparities (OHID) Fingertips. Available at: </w:t>
      </w:r>
      <w:hyperlink r:id="rId18" w:tgtFrame="_blank" w:history="1">
        <w:r w:rsidRPr="00510A30">
          <w:rPr>
            <w:rStyle w:val="Hyperlink"/>
            <w:rFonts w:ascii="Arial" w:hAnsi="Arial" w:cs="Arial"/>
          </w:rPr>
          <w:t>https://fingertips.phe.org.uk/profile/diabetes-ft</w:t>
        </w:r>
      </w:hyperlink>
      <w:r>
        <w:rPr>
          <w:rFonts w:ascii="Arial" w:hAnsi="Arial" w:cs="Arial"/>
        </w:rPr>
        <w:t xml:space="preserve"> </w:t>
      </w:r>
    </w:p>
    <w:p w14:paraId="650F7E66"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Diabetes UK (2021) Diabetes hits almost 600,000 in London. London: Diabetes UK. Available at: </w:t>
      </w:r>
      <w:hyperlink r:id="rId19" w:tgtFrame="_blank" w:history="1">
        <w:r w:rsidRPr="00510A30">
          <w:rPr>
            <w:rStyle w:val="Hyperlink"/>
            <w:rFonts w:ascii="Arial" w:hAnsi="Arial" w:cs="Arial"/>
          </w:rPr>
          <w:t>https://www.diabetes.org.uk/about-us/news-and-views/london-region-news/prevalance</w:t>
        </w:r>
      </w:hyperlink>
      <w:r>
        <w:rPr>
          <w:rFonts w:ascii="Arial" w:hAnsi="Arial" w:cs="Arial"/>
        </w:rPr>
        <w:t xml:space="preserve"> </w:t>
      </w:r>
    </w:p>
    <w:p w14:paraId="1E710884" w14:textId="00E4B8FF"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Diabetes UK (2023) Diabetes Statistics: UK Prevalence and Risk Factors. London: Diabetes UK. Available at: </w:t>
      </w:r>
      <w:hyperlink r:id="rId20" w:history="1">
        <w:r w:rsidR="00FB776F" w:rsidRPr="007E417C">
          <w:rPr>
            <w:rStyle w:val="Hyperlink"/>
            <w:rFonts w:ascii="Arial" w:hAnsi="Arial" w:cs="Arial"/>
          </w:rPr>
          <w:t>https://www.diabetes.org.uk/professionals/position-statements-reports/statistics</w:t>
        </w:r>
      </w:hyperlink>
      <w:r>
        <w:rPr>
          <w:rFonts w:ascii="Arial" w:hAnsi="Arial" w:cs="Arial"/>
        </w:rPr>
        <w:t xml:space="preserve"> </w:t>
      </w:r>
    </w:p>
    <w:p w14:paraId="71607449"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Greater London Authority (GLA) (2022) Health Inequalities Strategy: London Borough Data Profiles. London: Greater London Authority. Available at: </w:t>
      </w:r>
      <w:hyperlink r:id="rId21" w:tgtFrame="_blank" w:history="1">
        <w:r w:rsidRPr="00510A30">
          <w:rPr>
            <w:rStyle w:val="Hyperlink"/>
            <w:rFonts w:ascii="Arial" w:hAnsi="Arial" w:cs="Arial"/>
          </w:rPr>
          <w:t>https://data.london.gov.uk/dataset/health-inequalities-indicators</w:t>
        </w:r>
      </w:hyperlink>
    </w:p>
    <w:p w14:paraId="43BEB735" w14:textId="0F535C8D" w:rsidR="00AB520F" w:rsidRDefault="00AB520F" w:rsidP="00510A30">
      <w:pPr>
        <w:numPr>
          <w:ilvl w:val="0"/>
          <w:numId w:val="7"/>
        </w:numPr>
        <w:spacing w:line="360" w:lineRule="auto"/>
        <w:jc w:val="both"/>
        <w:rPr>
          <w:rFonts w:ascii="Arial" w:hAnsi="Arial" w:cs="Arial"/>
        </w:rPr>
      </w:pPr>
      <w:r w:rsidRPr="00AB520F">
        <w:rPr>
          <w:rFonts w:ascii="Arial" w:hAnsi="Arial" w:cs="Arial"/>
        </w:rPr>
        <w:t xml:space="preserve">Joseph Rowntree Foundation (JRF) (2022) UK Poverty 2022: The leading report on poverty rates and trends across the UK. York: Joseph Rowntree Foundation. Available at: </w:t>
      </w:r>
      <w:hyperlink r:id="rId22" w:tgtFrame="_blank" w:history="1">
        <w:r w:rsidRPr="00AB520F">
          <w:rPr>
            <w:rStyle w:val="Hyperlink"/>
            <w:rFonts w:ascii="Arial" w:hAnsi="Arial" w:cs="Arial"/>
          </w:rPr>
          <w:t>https://www.jrf.org.uk/uk-poverty-2022-the-leading-report-on-poverty-rates-and-trends-across-the-uk</w:t>
        </w:r>
      </w:hyperlink>
    </w:p>
    <w:p w14:paraId="44DFE5B7" w14:textId="1E447810"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Link, B.G. and Phelan, J. (1995) 'Social conditions as fundamental causes of disease', Journal of Health and Social Behavior, 36(Extra Issue), pp. 80–94. Available at: </w:t>
      </w:r>
      <w:hyperlink r:id="rId23" w:tgtFrame="_blank" w:history="1">
        <w:r w:rsidRPr="00510A30">
          <w:rPr>
            <w:rStyle w:val="Hyperlink"/>
            <w:rFonts w:ascii="Arial" w:hAnsi="Arial" w:cs="Arial"/>
          </w:rPr>
          <w:t>https://doi.org/10.2307/2137286</w:t>
        </w:r>
      </w:hyperlink>
    </w:p>
    <w:p w14:paraId="5C7C7A3E"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MBRRACE-UK (2023) Saving Lives, Improving Mothers' Care: Lessons learned to inform maternity care from the UK and Ireland Confidential Enquiries into Maternal Deaths and Morbidity 2019-21. Oxford: National Perinatal Epidemiology Unit. Available at: </w:t>
      </w:r>
      <w:hyperlink r:id="rId24" w:tgtFrame="_blank" w:history="1">
        <w:r w:rsidRPr="00510A30">
          <w:rPr>
            <w:rStyle w:val="Hyperlink"/>
            <w:rFonts w:ascii="Arial" w:hAnsi="Arial" w:cs="Arial"/>
          </w:rPr>
          <w:t>https://www.npeu.ox.ac.uk/mbrrace-uk/reports</w:t>
        </w:r>
      </w:hyperlink>
    </w:p>
    <w:p w14:paraId="2E6A716B"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Marmot, M., Allen, J., Goldblatt, P., Herd, E. and Morrison, J. (2020) Build Back Fairer: The COVID-19 Marmot Review. The Health Equity Assessment. London: Institute of Health Equity. Available at: </w:t>
      </w:r>
      <w:hyperlink r:id="rId25" w:tgtFrame="_blank" w:history="1">
        <w:r w:rsidRPr="00510A30">
          <w:rPr>
            <w:rStyle w:val="Hyperlink"/>
            <w:rFonts w:ascii="Arial" w:hAnsi="Arial" w:cs="Arial"/>
          </w:rPr>
          <w:t>https://www.instituteofhealthequity.org/resources-reports/build-back-fairer-the-covid-19-marmot-review</w:t>
        </w:r>
      </w:hyperlink>
      <w:r>
        <w:rPr>
          <w:rFonts w:ascii="Arial" w:hAnsi="Arial" w:cs="Arial"/>
        </w:rPr>
        <w:t xml:space="preserve"> </w:t>
      </w:r>
    </w:p>
    <w:p w14:paraId="448DE7FE"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Marmot, M., Allen, J., Boyce, T., Goldblatt, P. and Morrison, J. (2020) Health Equity in England: The Marmot Review 10 Years On. London: Institute of Health Equity. Available at: </w:t>
      </w:r>
      <w:hyperlink r:id="rId26" w:tgtFrame="_blank" w:history="1">
        <w:r w:rsidRPr="00510A30">
          <w:rPr>
            <w:rStyle w:val="Hyperlink"/>
            <w:rFonts w:ascii="Arial" w:hAnsi="Arial" w:cs="Arial"/>
          </w:rPr>
          <w:t>https://www.instituteofhealthequity.org/resources-reports/marmot-review-10-years-on</w:t>
        </w:r>
      </w:hyperlink>
      <w:r>
        <w:rPr>
          <w:rFonts w:ascii="Arial" w:hAnsi="Arial" w:cs="Arial"/>
        </w:rPr>
        <w:t xml:space="preserve"> </w:t>
      </w:r>
    </w:p>
    <w:p w14:paraId="1309D81D"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lastRenderedPageBreak/>
        <w:t xml:space="preserve">NHS Digital (2022) Health Survey for England 2021: Diabetes and Cardiovascular Risk. Leeds: Health and Social Care Information Centre. Available at: </w:t>
      </w:r>
      <w:hyperlink r:id="rId27" w:tgtFrame="_blank" w:history="1">
        <w:r w:rsidRPr="00510A30">
          <w:rPr>
            <w:rStyle w:val="Hyperlink"/>
            <w:rFonts w:ascii="Arial" w:hAnsi="Arial" w:cs="Arial"/>
          </w:rPr>
          <w:t>https://digital.nhs.uk/data-and-information/publications/statistical/health-survey-for-england</w:t>
        </w:r>
      </w:hyperlink>
      <w:r>
        <w:rPr>
          <w:rFonts w:ascii="Arial" w:hAnsi="Arial" w:cs="Arial"/>
        </w:rPr>
        <w:t xml:space="preserve"> </w:t>
      </w:r>
    </w:p>
    <w:p w14:paraId="7BB48608"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NHS Digital (2023) National Diabetes Audit (NDA) 2021-22 and 2022-23 Report. Leeds: NHS Digital. Available at: </w:t>
      </w:r>
      <w:hyperlink r:id="rId28" w:tgtFrame="_blank" w:history="1">
        <w:r w:rsidRPr="00510A30">
          <w:rPr>
            <w:rStyle w:val="Hyperlink"/>
            <w:rFonts w:ascii="Arial" w:hAnsi="Arial" w:cs="Arial"/>
          </w:rPr>
          <w:t>https://digital.nhs.uk/data-and-information/publications/statistical/national-diabetes-audit</w:t>
        </w:r>
      </w:hyperlink>
    </w:p>
    <w:p w14:paraId="5786D545"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NHS England (2019) The NHS Long Term Plan. London: NHS England. Available at: </w:t>
      </w:r>
      <w:hyperlink r:id="rId29" w:tgtFrame="_blank" w:history="1">
        <w:r w:rsidRPr="00510A30">
          <w:rPr>
            <w:rStyle w:val="Hyperlink"/>
            <w:rFonts w:ascii="Arial" w:hAnsi="Arial" w:cs="Arial"/>
          </w:rPr>
          <w:t>https://www.longtermplan.nhs.uk/</w:t>
        </w:r>
      </w:hyperlink>
    </w:p>
    <w:p w14:paraId="6AB0955A"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NHS England (2021) Core20PLUS5 – An approach to reducing healthcare inequalities. London: NHS England. Available at: </w:t>
      </w:r>
      <w:hyperlink r:id="rId30" w:tgtFrame="_blank" w:history="1">
        <w:r w:rsidRPr="00510A30">
          <w:rPr>
            <w:rStyle w:val="Hyperlink"/>
            <w:rFonts w:ascii="Arial" w:hAnsi="Arial" w:cs="Arial"/>
          </w:rPr>
          <w:t>https://www.england.nhs.uk/about/equality/core20plus5/</w:t>
        </w:r>
      </w:hyperlink>
    </w:p>
    <w:p w14:paraId="135E7D02"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NHS England (2023) NHS Diabetes Prevention </w:t>
      </w:r>
      <w:proofErr w:type="spellStart"/>
      <w:r w:rsidRPr="00510A30">
        <w:rPr>
          <w:rFonts w:ascii="Arial" w:hAnsi="Arial" w:cs="Arial"/>
        </w:rPr>
        <w:t>Programme</w:t>
      </w:r>
      <w:proofErr w:type="spellEnd"/>
      <w:r w:rsidRPr="00510A30">
        <w:rPr>
          <w:rFonts w:ascii="Arial" w:hAnsi="Arial" w:cs="Arial"/>
        </w:rPr>
        <w:t xml:space="preserve"> (NHS DPP): Non-Diabetic </w:t>
      </w:r>
      <w:proofErr w:type="spellStart"/>
      <w:r w:rsidRPr="00510A30">
        <w:rPr>
          <w:rFonts w:ascii="Arial" w:hAnsi="Arial" w:cs="Arial"/>
        </w:rPr>
        <w:t>Hyperglycaemia</w:t>
      </w:r>
      <w:proofErr w:type="spellEnd"/>
      <w:r w:rsidRPr="00510A30">
        <w:rPr>
          <w:rFonts w:ascii="Arial" w:hAnsi="Arial" w:cs="Arial"/>
        </w:rPr>
        <w:t xml:space="preserve"> Audit. London: NHS England. Available at: </w:t>
      </w:r>
      <w:hyperlink r:id="rId31" w:tgtFrame="_blank" w:history="1">
        <w:r w:rsidRPr="00510A30">
          <w:rPr>
            <w:rStyle w:val="Hyperlink"/>
            <w:rFonts w:ascii="Arial" w:hAnsi="Arial" w:cs="Arial"/>
          </w:rPr>
          <w:t>https://www.england.nhs.uk/diabetes/diabetes-prevention/</w:t>
        </w:r>
      </w:hyperlink>
      <w:r>
        <w:rPr>
          <w:rFonts w:ascii="Arial" w:hAnsi="Arial" w:cs="Arial"/>
        </w:rPr>
        <w:t xml:space="preserve"> </w:t>
      </w:r>
    </w:p>
    <w:p w14:paraId="2AEE6B01"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NHS Race and Health Observatory (2022) Ethnic Health Inequalities in Healthcare: A Rapid Evidence Assessment. London: NHS Race and Health Observatory. Available at: </w:t>
      </w:r>
      <w:hyperlink r:id="rId32" w:tgtFrame="_blank" w:history="1">
        <w:r w:rsidRPr="00510A30">
          <w:rPr>
            <w:rStyle w:val="Hyperlink"/>
            <w:rFonts w:ascii="Arial" w:hAnsi="Arial" w:cs="Arial"/>
          </w:rPr>
          <w:t>https://www.nhsrho.org/research/ethnic-inequalities-in-healthcare-a-rapid-evidence-review-3/</w:t>
        </w:r>
      </w:hyperlink>
      <w:r>
        <w:rPr>
          <w:rFonts w:ascii="Arial" w:hAnsi="Arial" w:cs="Arial"/>
        </w:rPr>
        <w:t xml:space="preserve"> </w:t>
      </w:r>
    </w:p>
    <w:p w14:paraId="178BBE76"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National Institute for Health and Care Excellence (NICE) (2022) Type 2 diabetes in adults: management (NICE Guideline NG28). London: NICE. Available at: </w:t>
      </w:r>
      <w:hyperlink r:id="rId33" w:tgtFrame="_blank" w:history="1">
        <w:r w:rsidRPr="00510A30">
          <w:rPr>
            <w:rStyle w:val="Hyperlink"/>
            <w:rFonts w:ascii="Arial" w:hAnsi="Arial" w:cs="Arial"/>
          </w:rPr>
          <w:t>https://www.nice.org.uk/guidance/ng28</w:t>
        </w:r>
      </w:hyperlink>
      <w:r>
        <w:rPr>
          <w:rFonts w:ascii="Arial" w:hAnsi="Arial" w:cs="Arial"/>
        </w:rPr>
        <w:t xml:space="preserve"> </w:t>
      </w:r>
    </w:p>
    <w:p w14:paraId="67167813"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Office for Health Improvement and Disparities (OHID) (2022) Public Health Outcomes Framework: Indicators for Health Inequalities in England. London: Department of Health and Social Care. Available at: </w:t>
      </w:r>
      <w:hyperlink r:id="rId34" w:tgtFrame="_blank" w:history="1">
        <w:r w:rsidRPr="00510A30">
          <w:rPr>
            <w:rStyle w:val="Hyperlink"/>
            <w:rFonts w:ascii="Arial" w:hAnsi="Arial" w:cs="Arial"/>
          </w:rPr>
          <w:t>https://www.gov.uk/government/collections/public-health-outcomes-framework</w:t>
        </w:r>
      </w:hyperlink>
      <w:r>
        <w:rPr>
          <w:rFonts w:ascii="Arial" w:hAnsi="Arial" w:cs="Arial"/>
        </w:rPr>
        <w:t xml:space="preserve"> </w:t>
      </w:r>
    </w:p>
    <w:p w14:paraId="64096E7B"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Office for National Statistics (ONS) (2021) Ethnic group, England and Wales: Census 2021. London: ONS. Available at: </w:t>
      </w:r>
      <w:hyperlink r:id="rId35" w:tgtFrame="_blank" w:history="1">
        <w:r w:rsidRPr="00510A30">
          <w:rPr>
            <w:rStyle w:val="Hyperlink"/>
            <w:rFonts w:ascii="Arial" w:hAnsi="Arial" w:cs="Arial"/>
          </w:rPr>
          <w:t>https://www.ons.gov.uk/peoplepopulationandcommunity/culturalidentity/ethnicity/bulletins/ethnicgroupenglandandwales/census2021</w:t>
        </w:r>
      </w:hyperlink>
    </w:p>
    <w:p w14:paraId="58E04F01"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lastRenderedPageBreak/>
        <w:t xml:space="preserve">Office for National Statistics (ONS) (2022) Housing and overcrowding in England and Wales: Census 2021. London: ONS. Available at: </w:t>
      </w:r>
      <w:hyperlink r:id="rId36" w:tgtFrame="_blank" w:history="1">
        <w:r w:rsidRPr="00510A30">
          <w:rPr>
            <w:rStyle w:val="Hyperlink"/>
            <w:rFonts w:ascii="Arial" w:hAnsi="Arial" w:cs="Arial"/>
          </w:rPr>
          <w:t>https://www.ons.gov.uk/peoplepopulationandcommunity/housing/bulletins/housingenglandandwales/census2021</w:t>
        </w:r>
      </w:hyperlink>
      <w:r>
        <w:rPr>
          <w:rFonts w:ascii="Arial" w:hAnsi="Arial" w:cs="Arial"/>
        </w:rPr>
        <w:t xml:space="preserve"> </w:t>
      </w:r>
    </w:p>
    <w:p w14:paraId="3043CFE7"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Office for National Statistics (ONS) (2023) Mortality by ethnic group, England and Wales: 2020 to 2022. London: ONS. Available at: </w:t>
      </w:r>
      <w:hyperlink r:id="rId37" w:tgtFrame="_blank" w:history="1">
        <w:r w:rsidRPr="00510A30">
          <w:rPr>
            <w:rStyle w:val="Hyperlink"/>
            <w:rFonts w:ascii="Arial" w:hAnsi="Arial" w:cs="Arial"/>
          </w:rPr>
          <w:t>https://www.ons.gov.uk/peoplepopulationandcommunity/birthsdeathsandmarriages/deaths/bulletins/mortalitybyethnicgroupenglandandwales/2020to2022</w:t>
        </w:r>
      </w:hyperlink>
      <w:r>
        <w:rPr>
          <w:rFonts w:ascii="Arial" w:hAnsi="Arial" w:cs="Arial"/>
        </w:rPr>
        <w:t xml:space="preserve"> </w:t>
      </w:r>
    </w:p>
    <w:p w14:paraId="348B9208"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Race Equality Foundation (2022) Addressing Racial Inequities in Health and Social Care. London: Race Equality Foundation. Available at: </w:t>
      </w:r>
      <w:hyperlink r:id="rId38" w:tgtFrame="_blank" w:history="1">
        <w:r w:rsidRPr="00510A30">
          <w:rPr>
            <w:rStyle w:val="Hyperlink"/>
            <w:rFonts w:ascii="Arial" w:hAnsi="Arial" w:cs="Arial"/>
          </w:rPr>
          <w:t>https://raceequalityfoundation.org.uk/health-and-care/</w:t>
        </w:r>
      </w:hyperlink>
      <w:r>
        <w:rPr>
          <w:rFonts w:ascii="Arial" w:hAnsi="Arial" w:cs="Arial"/>
        </w:rPr>
        <w:t xml:space="preserve"> </w:t>
      </w:r>
    </w:p>
    <w:p w14:paraId="696E10D3"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Robson, J., Smith, S.M., Cattell, D. and Griffiths, C. (2021) 'A decade of change in diabetes services in a deprived multiethnic </w:t>
      </w:r>
      <w:proofErr w:type="gramStart"/>
      <w:r w:rsidRPr="00510A30">
        <w:rPr>
          <w:rFonts w:ascii="Arial" w:hAnsi="Arial" w:cs="Arial"/>
        </w:rPr>
        <w:t>inner city</w:t>
      </w:r>
      <w:proofErr w:type="gramEnd"/>
      <w:r w:rsidRPr="00510A30">
        <w:rPr>
          <w:rFonts w:ascii="Arial" w:hAnsi="Arial" w:cs="Arial"/>
        </w:rPr>
        <w:t xml:space="preserve"> area: diabetes in Tower Hamlets', British Journal of Diabetes, 21(1), pp. 45–52. Available at: </w:t>
      </w:r>
      <w:hyperlink r:id="rId39" w:tgtFrame="_blank" w:history="1">
        <w:r w:rsidRPr="00510A30">
          <w:rPr>
            <w:rStyle w:val="Hyperlink"/>
            <w:rFonts w:ascii="Arial" w:hAnsi="Arial" w:cs="Arial"/>
          </w:rPr>
          <w:t>https://doi.org/10.15277/bjd.2021.288</w:t>
        </w:r>
      </w:hyperlink>
    </w:p>
    <w:p w14:paraId="7F99C3E1" w14:textId="0749D21B" w:rsidR="00A7038F" w:rsidRDefault="00A7038F" w:rsidP="00510A30">
      <w:pPr>
        <w:numPr>
          <w:ilvl w:val="0"/>
          <w:numId w:val="7"/>
        </w:numPr>
        <w:spacing w:line="360" w:lineRule="auto"/>
        <w:jc w:val="both"/>
        <w:rPr>
          <w:rFonts w:ascii="Arial" w:hAnsi="Arial" w:cs="Arial"/>
        </w:rPr>
      </w:pPr>
      <w:r w:rsidRPr="00A7038F">
        <w:rPr>
          <w:rFonts w:ascii="Arial" w:hAnsi="Arial" w:cs="Arial"/>
        </w:rPr>
        <w:t xml:space="preserve">Royal College of Physicians (RCP) (2021) Out of sight: Health inequalities and racial disparities in healthcare access. London: RCP. Available at: </w:t>
      </w:r>
      <w:hyperlink r:id="rId40" w:tgtFrame="_blank" w:history="1">
        <w:r w:rsidRPr="00A7038F">
          <w:rPr>
            <w:rStyle w:val="Hyperlink"/>
            <w:rFonts w:ascii="Arial" w:hAnsi="Arial" w:cs="Arial"/>
          </w:rPr>
          <w:t>https://www.rcplondon.ac.uk/projects/outputs/health-inequalities-and-racial-disparities</w:t>
        </w:r>
      </w:hyperlink>
    </w:p>
    <w:p w14:paraId="0FD5BE7B" w14:textId="3778FD47" w:rsidR="00510A30" w:rsidRPr="00510A30" w:rsidRDefault="00B70C32" w:rsidP="00510A30">
      <w:pPr>
        <w:numPr>
          <w:ilvl w:val="0"/>
          <w:numId w:val="7"/>
        </w:numPr>
        <w:spacing w:line="360" w:lineRule="auto"/>
        <w:jc w:val="both"/>
        <w:rPr>
          <w:rFonts w:ascii="Arial" w:hAnsi="Arial" w:cs="Arial"/>
        </w:rPr>
      </w:pPr>
      <w:r w:rsidRPr="00B70C32">
        <w:rPr>
          <w:rFonts w:ascii="Arial" w:hAnsi="Arial" w:cs="Arial"/>
        </w:rPr>
        <w:t xml:space="preserve">Tower Hamlets Council (2022) Joint Strategic Needs Assessment (JSNA) Factsheet: Diabetes in Tower Hamlets. London: Tower Hamlets Local Authority. Available at: </w:t>
      </w:r>
      <w:hyperlink r:id="rId41" w:tgtFrame="_blank" w:history="1">
        <w:r w:rsidRPr="00B70C32">
          <w:rPr>
            <w:rStyle w:val="Hyperlink"/>
            <w:rFonts w:ascii="Arial" w:hAnsi="Arial" w:cs="Arial"/>
          </w:rPr>
          <w:t>https://www.towerhamlets.gov.uk/lgb/health__social_care/joint_strategic_needs_assessment/jsna_factsheets.aspx</w:t>
        </w:r>
      </w:hyperlink>
    </w:p>
    <w:p w14:paraId="24D979DF" w14:textId="6EE74560" w:rsidR="00B70C32" w:rsidRDefault="00FF187C" w:rsidP="00510A30">
      <w:pPr>
        <w:numPr>
          <w:ilvl w:val="0"/>
          <w:numId w:val="7"/>
        </w:numPr>
        <w:spacing w:line="360" w:lineRule="auto"/>
        <w:jc w:val="both"/>
        <w:rPr>
          <w:rFonts w:ascii="Arial" w:hAnsi="Arial" w:cs="Arial"/>
        </w:rPr>
      </w:pPr>
      <w:r w:rsidRPr="00FF187C">
        <w:rPr>
          <w:rFonts w:ascii="Arial" w:hAnsi="Arial" w:cs="Arial"/>
        </w:rPr>
        <w:t xml:space="preserve">Tower Hamlets Together (2023) Tower Hamlets Health and Wellbeing Strategy 2021–2025. London: Tower Hamlets Integrated Care System. Available at: </w:t>
      </w:r>
      <w:hyperlink r:id="rId42" w:tgtFrame="_blank" w:history="1">
        <w:r w:rsidRPr="00FF187C">
          <w:rPr>
            <w:rStyle w:val="Hyperlink"/>
            <w:rFonts w:ascii="Arial" w:hAnsi="Arial" w:cs="Arial"/>
          </w:rPr>
          <w:t>https://www.towerhamlets.gov.uk/lgb/health__social_care/health_and_wellbeing_board/health_and_wellbeing_strategy.aspx</w:t>
        </w:r>
      </w:hyperlink>
    </w:p>
    <w:p w14:paraId="1219437C" w14:textId="3973A6F9"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UK Health Security Agency (UKHSA) (2022) Disparities in the risk and outcomes of chronic conditions. London: UKHSA. Available at: </w:t>
      </w:r>
      <w:hyperlink r:id="rId43" w:tgtFrame="_blank" w:history="1">
        <w:r w:rsidRPr="00510A30">
          <w:rPr>
            <w:rStyle w:val="Hyperlink"/>
            <w:rFonts w:ascii="Arial" w:hAnsi="Arial" w:cs="Arial"/>
          </w:rPr>
          <w:t>https://www.gov.uk/government/organisations/uk-health-security-agency</w:t>
        </w:r>
      </w:hyperlink>
      <w:r>
        <w:rPr>
          <w:rFonts w:ascii="Arial" w:hAnsi="Arial" w:cs="Arial"/>
        </w:rPr>
        <w:t xml:space="preserve"> </w:t>
      </w:r>
    </w:p>
    <w:p w14:paraId="6E3EA238"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lastRenderedPageBreak/>
        <w:t xml:space="preserve">UK Health Security Agency (UKHSA) (2023) Health Disparities Report: Diabetes prevalence and ethnicity in England. London: UKHSA. Available at: </w:t>
      </w:r>
      <w:hyperlink r:id="rId44" w:tgtFrame="_blank" w:history="1">
        <w:r w:rsidRPr="00510A30">
          <w:rPr>
            <w:rStyle w:val="Hyperlink"/>
            <w:rFonts w:ascii="Arial" w:hAnsi="Arial" w:cs="Arial"/>
          </w:rPr>
          <w:t>https://www.gov.uk/government/publications/health-disparities-report</w:t>
        </w:r>
      </w:hyperlink>
    </w:p>
    <w:p w14:paraId="73E224B1"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World Health Organization (WHO) (2022) Social determinants of health inequalities in urban environments. Geneva: World Health Organization. Available at: </w:t>
      </w:r>
      <w:hyperlink r:id="rId45" w:tgtFrame="_blank" w:history="1">
        <w:r w:rsidRPr="00510A30">
          <w:rPr>
            <w:rStyle w:val="Hyperlink"/>
            <w:rFonts w:ascii="Arial" w:hAnsi="Arial" w:cs="Arial"/>
          </w:rPr>
          <w:t>https://www.who.int/health-topics/social-determinants-of-health</w:t>
        </w:r>
      </w:hyperlink>
      <w:r>
        <w:rPr>
          <w:rFonts w:ascii="Arial" w:hAnsi="Arial" w:cs="Arial"/>
        </w:rPr>
        <w:t xml:space="preserve"> </w:t>
      </w:r>
    </w:p>
    <w:p w14:paraId="45A69F26" w14:textId="77777777" w:rsidR="00510A30" w:rsidRPr="00510A30" w:rsidRDefault="00510A30" w:rsidP="00510A30">
      <w:pPr>
        <w:numPr>
          <w:ilvl w:val="0"/>
          <w:numId w:val="7"/>
        </w:numPr>
        <w:spacing w:line="360" w:lineRule="auto"/>
        <w:jc w:val="both"/>
        <w:rPr>
          <w:rFonts w:ascii="Arial" w:hAnsi="Arial" w:cs="Arial"/>
        </w:rPr>
      </w:pPr>
      <w:r w:rsidRPr="00510A30">
        <w:rPr>
          <w:rFonts w:ascii="Arial" w:hAnsi="Arial" w:cs="Arial"/>
        </w:rPr>
        <w:t xml:space="preserve">World Health Organization (WHO) (2023) Global report on diabetes. Geneva: World Health Organization. Available at: </w:t>
      </w:r>
      <w:hyperlink r:id="rId46" w:tgtFrame="_blank" w:history="1">
        <w:r w:rsidRPr="00510A30">
          <w:rPr>
            <w:rStyle w:val="Hyperlink"/>
            <w:rFonts w:ascii="Arial" w:hAnsi="Arial" w:cs="Arial"/>
          </w:rPr>
          <w:t>https://www.who.int/news-room/fact-sheets/detail/diabetes</w:t>
        </w:r>
      </w:hyperlink>
      <w:r>
        <w:rPr>
          <w:rFonts w:ascii="Arial" w:hAnsi="Arial" w:cs="Arial"/>
        </w:rPr>
        <w:t xml:space="preserve"> </w:t>
      </w:r>
    </w:p>
    <w:p w14:paraId="5AB7DC55" w14:textId="77777777" w:rsidR="00EA30A9" w:rsidRPr="00510A30" w:rsidRDefault="00EA30A9" w:rsidP="000B5C61">
      <w:pPr>
        <w:spacing w:line="360" w:lineRule="auto"/>
        <w:jc w:val="both"/>
        <w:rPr>
          <w:rFonts w:ascii="Arial" w:hAnsi="Arial" w:cs="Arial"/>
        </w:rPr>
      </w:pPr>
    </w:p>
    <w:sectPr w:rsidR="00EA30A9" w:rsidRPr="00510A30">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25D78" w14:textId="77777777" w:rsidR="00457194" w:rsidRDefault="00457194" w:rsidP="00683B59">
      <w:pPr>
        <w:spacing w:after="0" w:line="240" w:lineRule="auto"/>
      </w:pPr>
      <w:r>
        <w:separator/>
      </w:r>
    </w:p>
  </w:endnote>
  <w:endnote w:type="continuationSeparator" w:id="0">
    <w:p w14:paraId="2E5DC84C" w14:textId="77777777" w:rsidR="00457194" w:rsidRDefault="00457194" w:rsidP="00683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E9FCA" w14:textId="77777777" w:rsidR="003D3F8F" w:rsidRDefault="003D3F8F">
    <w:pPr>
      <w:pStyle w:val="Footer"/>
      <w:rPr>
        <w:lang w:val="en-IN"/>
      </w:rPr>
    </w:pPr>
  </w:p>
  <w:p w14:paraId="022C407A" w14:textId="77777777" w:rsidR="003D3F8F" w:rsidRPr="003D3F8F" w:rsidRDefault="003D3F8F">
    <w:pPr>
      <w:pStyle w:val="Footer"/>
      <w:rPr>
        <w:lang w:val="en-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D6EDA" w14:textId="77777777" w:rsidR="00457194" w:rsidRDefault="00457194" w:rsidP="00683B59">
      <w:pPr>
        <w:spacing w:after="0" w:line="240" w:lineRule="auto"/>
      </w:pPr>
      <w:r>
        <w:separator/>
      </w:r>
    </w:p>
  </w:footnote>
  <w:footnote w:type="continuationSeparator" w:id="0">
    <w:p w14:paraId="3F628B16" w14:textId="77777777" w:rsidR="00457194" w:rsidRDefault="00457194" w:rsidP="00683B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8B3"/>
    <w:multiLevelType w:val="multilevel"/>
    <w:tmpl w:val="CB1ED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72293"/>
    <w:multiLevelType w:val="hybridMultilevel"/>
    <w:tmpl w:val="550E6D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C05D1C"/>
    <w:multiLevelType w:val="hybridMultilevel"/>
    <w:tmpl w:val="9D6CC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B0199"/>
    <w:multiLevelType w:val="hybridMultilevel"/>
    <w:tmpl w:val="B37E66E0"/>
    <w:lvl w:ilvl="0" w:tplc="FFFFFFFF">
      <w:numFmt w:val="bullet"/>
      <w:lvlText w:val="•"/>
      <w:lvlJc w:val="left"/>
      <w:pPr>
        <w:ind w:left="720" w:hanging="36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863913"/>
    <w:multiLevelType w:val="hybridMultilevel"/>
    <w:tmpl w:val="B0B0E7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FDC7F1B"/>
    <w:multiLevelType w:val="hybridMultilevel"/>
    <w:tmpl w:val="0E1A7E92"/>
    <w:lvl w:ilvl="0" w:tplc="B3A8E688">
      <w:start w:val="1"/>
      <w:numFmt w:val="bullet"/>
      <w:lvlText w:val="o"/>
      <w:lvlJc w:val="left"/>
      <w:pPr>
        <w:ind w:left="720" w:hanging="360"/>
      </w:pPr>
      <w:rPr>
        <w:rFonts w:ascii="Courier New" w:hAnsi="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A2910D9"/>
    <w:multiLevelType w:val="hybridMultilevel"/>
    <w:tmpl w:val="18C46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B2017E"/>
    <w:multiLevelType w:val="hybridMultilevel"/>
    <w:tmpl w:val="CA4EA10E"/>
    <w:lvl w:ilvl="0" w:tplc="B3A8E688">
      <w:start w:val="1"/>
      <w:numFmt w:val="bullet"/>
      <w:lvlText w:val="o"/>
      <w:lvlJc w:val="left"/>
      <w:pPr>
        <w:ind w:left="720" w:hanging="360"/>
      </w:pPr>
      <w:rPr>
        <w:rFonts w:ascii="Courier New" w:hAnsi="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227408C"/>
    <w:multiLevelType w:val="hybridMultilevel"/>
    <w:tmpl w:val="006466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D85B8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4A2B1834"/>
    <w:multiLevelType w:val="hybridMultilevel"/>
    <w:tmpl w:val="5D2CF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2B5115"/>
    <w:multiLevelType w:val="hybridMultilevel"/>
    <w:tmpl w:val="5DEA2CD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E07C89"/>
    <w:multiLevelType w:val="hybridMultilevel"/>
    <w:tmpl w:val="DB3C19F8"/>
    <w:lvl w:ilvl="0" w:tplc="B3A8E688">
      <w:start w:val="1"/>
      <w:numFmt w:val="bullet"/>
      <w:lvlText w:val="o"/>
      <w:lvlJc w:val="left"/>
      <w:pPr>
        <w:ind w:left="720" w:hanging="360"/>
      </w:pPr>
      <w:rPr>
        <w:rFonts w:ascii="Courier New" w:hAnsi="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FE50FDA"/>
    <w:multiLevelType w:val="hybridMultilevel"/>
    <w:tmpl w:val="C18CB156"/>
    <w:lvl w:ilvl="0" w:tplc="FFFFFFFF">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6C7707"/>
    <w:multiLevelType w:val="hybridMultilevel"/>
    <w:tmpl w:val="4586A72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56342B2"/>
    <w:multiLevelType w:val="hybridMultilevel"/>
    <w:tmpl w:val="B04AB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035092"/>
    <w:multiLevelType w:val="hybridMultilevel"/>
    <w:tmpl w:val="4ABC69C0"/>
    <w:lvl w:ilvl="0" w:tplc="FFFFFFFF">
      <w:start w:val="4"/>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A365C0D"/>
    <w:multiLevelType w:val="multilevel"/>
    <w:tmpl w:val="0CECFC06"/>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6B9504BC"/>
    <w:multiLevelType w:val="hybridMultilevel"/>
    <w:tmpl w:val="4AC48FB2"/>
    <w:lvl w:ilvl="0" w:tplc="B3A8E688">
      <w:start w:val="1"/>
      <w:numFmt w:val="bullet"/>
      <w:lvlText w:val="o"/>
      <w:lvlJc w:val="left"/>
      <w:pPr>
        <w:ind w:left="720" w:hanging="360"/>
      </w:pPr>
      <w:rPr>
        <w:rFonts w:ascii="Courier New" w:hAnsi="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D2156BB"/>
    <w:multiLevelType w:val="hybridMultilevel"/>
    <w:tmpl w:val="1BD2A176"/>
    <w:lvl w:ilvl="0" w:tplc="B3A8E688">
      <w:start w:val="1"/>
      <w:numFmt w:val="bullet"/>
      <w:lvlText w:val="o"/>
      <w:lvlJc w:val="left"/>
      <w:pPr>
        <w:ind w:left="720" w:hanging="360"/>
      </w:pPr>
      <w:rPr>
        <w:rFonts w:ascii="Courier New" w:hAnsi="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E186766"/>
    <w:multiLevelType w:val="hybridMultilevel"/>
    <w:tmpl w:val="12EA078E"/>
    <w:lvl w:ilvl="0" w:tplc="B3A8E688">
      <w:start w:val="1"/>
      <w:numFmt w:val="bullet"/>
      <w:lvlText w:val="o"/>
      <w:lvlJc w:val="left"/>
      <w:pPr>
        <w:ind w:left="720" w:hanging="360"/>
      </w:pPr>
      <w:rPr>
        <w:rFonts w:ascii="Courier New" w:hAnsi="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00C3F45"/>
    <w:multiLevelType w:val="hybridMultilevel"/>
    <w:tmpl w:val="14A09D84"/>
    <w:lvl w:ilvl="0" w:tplc="B3A8E688">
      <w:start w:val="1"/>
      <w:numFmt w:val="bullet"/>
      <w:lvlText w:val="o"/>
      <w:lvlJc w:val="left"/>
      <w:pPr>
        <w:ind w:left="720" w:hanging="360"/>
      </w:pPr>
      <w:rPr>
        <w:rFonts w:ascii="Courier New" w:hAnsi="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6752EE7"/>
    <w:multiLevelType w:val="hybridMultilevel"/>
    <w:tmpl w:val="1C08D34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715010">
    <w:abstractNumId w:val="15"/>
  </w:num>
  <w:num w:numId="2" w16cid:durableId="1604918135">
    <w:abstractNumId w:val="10"/>
  </w:num>
  <w:num w:numId="3" w16cid:durableId="1716194157">
    <w:abstractNumId w:val="2"/>
  </w:num>
  <w:num w:numId="4" w16cid:durableId="421294610">
    <w:abstractNumId w:val="9"/>
  </w:num>
  <w:num w:numId="5" w16cid:durableId="603072302">
    <w:abstractNumId w:val="6"/>
  </w:num>
  <w:num w:numId="6" w16cid:durableId="1307203785">
    <w:abstractNumId w:val="1"/>
  </w:num>
  <w:num w:numId="7" w16cid:durableId="787621085">
    <w:abstractNumId w:val="0"/>
  </w:num>
  <w:num w:numId="8" w16cid:durableId="2057315357">
    <w:abstractNumId w:val="8"/>
  </w:num>
  <w:num w:numId="9" w16cid:durableId="2019382396">
    <w:abstractNumId w:val="3"/>
  </w:num>
  <w:num w:numId="10" w16cid:durableId="363796678">
    <w:abstractNumId w:val="22"/>
  </w:num>
  <w:num w:numId="11" w16cid:durableId="163475786">
    <w:abstractNumId w:val="14"/>
  </w:num>
  <w:num w:numId="12" w16cid:durableId="1261794400">
    <w:abstractNumId w:val="13"/>
  </w:num>
  <w:num w:numId="13" w16cid:durableId="1471285696">
    <w:abstractNumId w:val="12"/>
  </w:num>
  <w:num w:numId="14" w16cid:durableId="926770834">
    <w:abstractNumId w:val="7"/>
  </w:num>
  <w:num w:numId="15" w16cid:durableId="372078242">
    <w:abstractNumId w:val="19"/>
  </w:num>
  <w:num w:numId="16" w16cid:durableId="1553925249">
    <w:abstractNumId w:val="20"/>
  </w:num>
  <w:num w:numId="17" w16cid:durableId="685793055">
    <w:abstractNumId w:val="18"/>
  </w:num>
  <w:num w:numId="18" w16cid:durableId="960650001">
    <w:abstractNumId w:val="21"/>
  </w:num>
  <w:num w:numId="19" w16cid:durableId="933512320">
    <w:abstractNumId w:val="5"/>
  </w:num>
  <w:num w:numId="20" w16cid:durableId="231742654">
    <w:abstractNumId w:val="4"/>
  </w:num>
  <w:num w:numId="21" w16cid:durableId="1628003505">
    <w:abstractNumId w:val="11"/>
  </w:num>
  <w:num w:numId="22" w16cid:durableId="934244338">
    <w:abstractNumId w:val="17"/>
  </w:num>
  <w:num w:numId="23" w16cid:durableId="9174474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F4B"/>
    <w:rsid w:val="00002C3B"/>
    <w:rsid w:val="00005069"/>
    <w:rsid w:val="00006452"/>
    <w:rsid w:val="00026497"/>
    <w:rsid w:val="0003009F"/>
    <w:rsid w:val="00045CAB"/>
    <w:rsid w:val="00046BF6"/>
    <w:rsid w:val="00046D49"/>
    <w:rsid w:val="00050DC3"/>
    <w:rsid w:val="000554B1"/>
    <w:rsid w:val="000554D4"/>
    <w:rsid w:val="0005582E"/>
    <w:rsid w:val="00056D06"/>
    <w:rsid w:val="0006400F"/>
    <w:rsid w:val="00064FCD"/>
    <w:rsid w:val="00082575"/>
    <w:rsid w:val="00086512"/>
    <w:rsid w:val="000958DD"/>
    <w:rsid w:val="000A0DCC"/>
    <w:rsid w:val="000A533C"/>
    <w:rsid w:val="000B09FD"/>
    <w:rsid w:val="000B17D5"/>
    <w:rsid w:val="000B2191"/>
    <w:rsid w:val="000B59FE"/>
    <w:rsid w:val="000B5C61"/>
    <w:rsid w:val="000D0188"/>
    <w:rsid w:val="000F67EE"/>
    <w:rsid w:val="00113178"/>
    <w:rsid w:val="0011426D"/>
    <w:rsid w:val="00122711"/>
    <w:rsid w:val="00123E9F"/>
    <w:rsid w:val="00130D42"/>
    <w:rsid w:val="00143615"/>
    <w:rsid w:val="00145B73"/>
    <w:rsid w:val="0014684B"/>
    <w:rsid w:val="00151D57"/>
    <w:rsid w:val="0015203F"/>
    <w:rsid w:val="0015495A"/>
    <w:rsid w:val="001626A8"/>
    <w:rsid w:val="00173D8D"/>
    <w:rsid w:val="00174486"/>
    <w:rsid w:val="00182C3B"/>
    <w:rsid w:val="00183D67"/>
    <w:rsid w:val="00191FE7"/>
    <w:rsid w:val="00193CDB"/>
    <w:rsid w:val="001C2048"/>
    <w:rsid w:val="001E4851"/>
    <w:rsid w:val="001E6D70"/>
    <w:rsid w:val="001E72C5"/>
    <w:rsid w:val="001E7DC7"/>
    <w:rsid w:val="001F4ADC"/>
    <w:rsid w:val="001F4D1E"/>
    <w:rsid w:val="00201785"/>
    <w:rsid w:val="0020258D"/>
    <w:rsid w:val="00202864"/>
    <w:rsid w:val="0021283A"/>
    <w:rsid w:val="00230423"/>
    <w:rsid w:val="00230E47"/>
    <w:rsid w:val="00233766"/>
    <w:rsid w:val="0023517F"/>
    <w:rsid w:val="00255587"/>
    <w:rsid w:val="00255B96"/>
    <w:rsid w:val="00256717"/>
    <w:rsid w:val="0026390E"/>
    <w:rsid w:val="0026450E"/>
    <w:rsid w:val="00272151"/>
    <w:rsid w:val="0027217E"/>
    <w:rsid w:val="00273353"/>
    <w:rsid w:val="00297028"/>
    <w:rsid w:val="002A0116"/>
    <w:rsid w:val="002B412F"/>
    <w:rsid w:val="002B61FC"/>
    <w:rsid w:val="002B6F2E"/>
    <w:rsid w:val="002C61E7"/>
    <w:rsid w:val="002C6BD3"/>
    <w:rsid w:val="002C77F3"/>
    <w:rsid w:val="002D07D8"/>
    <w:rsid w:val="002D08B2"/>
    <w:rsid w:val="002D2AAF"/>
    <w:rsid w:val="002D5751"/>
    <w:rsid w:val="002D68DB"/>
    <w:rsid w:val="002E16BC"/>
    <w:rsid w:val="002E2CCE"/>
    <w:rsid w:val="002E3828"/>
    <w:rsid w:val="002E3DD7"/>
    <w:rsid w:val="002E5167"/>
    <w:rsid w:val="002E7932"/>
    <w:rsid w:val="002F21B4"/>
    <w:rsid w:val="00312858"/>
    <w:rsid w:val="00317B8B"/>
    <w:rsid w:val="00321625"/>
    <w:rsid w:val="00323921"/>
    <w:rsid w:val="003335F1"/>
    <w:rsid w:val="0033636C"/>
    <w:rsid w:val="00337080"/>
    <w:rsid w:val="0035205D"/>
    <w:rsid w:val="00352528"/>
    <w:rsid w:val="0035601B"/>
    <w:rsid w:val="00356B2E"/>
    <w:rsid w:val="00365454"/>
    <w:rsid w:val="00365E69"/>
    <w:rsid w:val="00370720"/>
    <w:rsid w:val="00371BE6"/>
    <w:rsid w:val="003722C7"/>
    <w:rsid w:val="00375F3A"/>
    <w:rsid w:val="00377D2D"/>
    <w:rsid w:val="00380457"/>
    <w:rsid w:val="003820A5"/>
    <w:rsid w:val="00386107"/>
    <w:rsid w:val="003931BD"/>
    <w:rsid w:val="00396D95"/>
    <w:rsid w:val="003B047E"/>
    <w:rsid w:val="003B26B5"/>
    <w:rsid w:val="003B39D7"/>
    <w:rsid w:val="003C109F"/>
    <w:rsid w:val="003C34DB"/>
    <w:rsid w:val="003D3F8F"/>
    <w:rsid w:val="003D42AA"/>
    <w:rsid w:val="003D5F7F"/>
    <w:rsid w:val="003E2CE2"/>
    <w:rsid w:val="003F2EE7"/>
    <w:rsid w:val="00402708"/>
    <w:rsid w:val="00402B44"/>
    <w:rsid w:val="00414BA0"/>
    <w:rsid w:val="00417346"/>
    <w:rsid w:val="00420FD4"/>
    <w:rsid w:val="00421192"/>
    <w:rsid w:val="00423866"/>
    <w:rsid w:val="00427585"/>
    <w:rsid w:val="00436037"/>
    <w:rsid w:val="00446A6F"/>
    <w:rsid w:val="0044714F"/>
    <w:rsid w:val="004551C2"/>
    <w:rsid w:val="00457194"/>
    <w:rsid w:val="00461704"/>
    <w:rsid w:val="00461CBB"/>
    <w:rsid w:val="004630C7"/>
    <w:rsid w:val="00472DD1"/>
    <w:rsid w:val="00480581"/>
    <w:rsid w:val="00481C71"/>
    <w:rsid w:val="00482CDA"/>
    <w:rsid w:val="004839D9"/>
    <w:rsid w:val="004910AF"/>
    <w:rsid w:val="0049402A"/>
    <w:rsid w:val="00494D90"/>
    <w:rsid w:val="00496EEB"/>
    <w:rsid w:val="00497766"/>
    <w:rsid w:val="004A26D1"/>
    <w:rsid w:val="004A2F80"/>
    <w:rsid w:val="004A3A81"/>
    <w:rsid w:val="004B2F52"/>
    <w:rsid w:val="004B3A6C"/>
    <w:rsid w:val="004B63F8"/>
    <w:rsid w:val="004B6C79"/>
    <w:rsid w:val="004B7338"/>
    <w:rsid w:val="004B734E"/>
    <w:rsid w:val="004C0FAB"/>
    <w:rsid w:val="004C4C03"/>
    <w:rsid w:val="004D1C42"/>
    <w:rsid w:val="004D51AA"/>
    <w:rsid w:val="004E5AF5"/>
    <w:rsid w:val="004E5EA8"/>
    <w:rsid w:val="004F2224"/>
    <w:rsid w:val="0051031B"/>
    <w:rsid w:val="00510840"/>
    <w:rsid w:val="00510A30"/>
    <w:rsid w:val="005120FE"/>
    <w:rsid w:val="0051351B"/>
    <w:rsid w:val="00515606"/>
    <w:rsid w:val="00520D11"/>
    <w:rsid w:val="00523A1C"/>
    <w:rsid w:val="00566254"/>
    <w:rsid w:val="00574E17"/>
    <w:rsid w:val="005803CD"/>
    <w:rsid w:val="00581CC0"/>
    <w:rsid w:val="0059023C"/>
    <w:rsid w:val="00590FD4"/>
    <w:rsid w:val="0059528D"/>
    <w:rsid w:val="005A0672"/>
    <w:rsid w:val="005A0BEF"/>
    <w:rsid w:val="005A2A7F"/>
    <w:rsid w:val="005A5E50"/>
    <w:rsid w:val="005A6894"/>
    <w:rsid w:val="005A6AA5"/>
    <w:rsid w:val="005B377F"/>
    <w:rsid w:val="005C00E1"/>
    <w:rsid w:val="005C39FB"/>
    <w:rsid w:val="005C5075"/>
    <w:rsid w:val="005C5C7B"/>
    <w:rsid w:val="005C767A"/>
    <w:rsid w:val="005D18C3"/>
    <w:rsid w:val="005D19F5"/>
    <w:rsid w:val="005D64A1"/>
    <w:rsid w:val="005D7980"/>
    <w:rsid w:val="005D7F30"/>
    <w:rsid w:val="005E4BBF"/>
    <w:rsid w:val="005E507B"/>
    <w:rsid w:val="005E68DE"/>
    <w:rsid w:val="00601B21"/>
    <w:rsid w:val="00601D1C"/>
    <w:rsid w:val="006055E4"/>
    <w:rsid w:val="00614079"/>
    <w:rsid w:val="00616364"/>
    <w:rsid w:val="00617AE5"/>
    <w:rsid w:val="006209C8"/>
    <w:rsid w:val="00622F24"/>
    <w:rsid w:val="00627EA7"/>
    <w:rsid w:val="00635307"/>
    <w:rsid w:val="00644B53"/>
    <w:rsid w:val="006456BC"/>
    <w:rsid w:val="00646B9B"/>
    <w:rsid w:val="0064758E"/>
    <w:rsid w:val="00652758"/>
    <w:rsid w:val="00653D59"/>
    <w:rsid w:val="0065402E"/>
    <w:rsid w:val="0065411C"/>
    <w:rsid w:val="00655578"/>
    <w:rsid w:val="006623F9"/>
    <w:rsid w:val="00662957"/>
    <w:rsid w:val="00662BBF"/>
    <w:rsid w:val="00662D86"/>
    <w:rsid w:val="00663C90"/>
    <w:rsid w:val="00663F4B"/>
    <w:rsid w:val="00665975"/>
    <w:rsid w:val="006672F2"/>
    <w:rsid w:val="00673A2A"/>
    <w:rsid w:val="0067400E"/>
    <w:rsid w:val="00676100"/>
    <w:rsid w:val="006768F7"/>
    <w:rsid w:val="00677190"/>
    <w:rsid w:val="00683B59"/>
    <w:rsid w:val="0068534E"/>
    <w:rsid w:val="006900F7"/>
    <w:rsid w:val="00690471"/>
    <w:rsid w:val="0069075D"/>
    <w:rsid w:val="00690EAF"/>
    <w:rsid w:val="006912B9"/>
    <w:rsid w:val="00694541"/>
    <w:rsid w:val="00696C6E"/>
    <w:rsid w:val="006B723A"/>
    <w:rsid w:val="006C24F8"/>
    <w:rsid w:val="006C3864"/>
    <w:rsid w:val="006D1DAE"/>
    <w:rsid w:val="006D2377"/>
    <w:rsid w:val="006E2E44"/>
    <w:rsid w:val="006E402E"/>
    <w:rsid w:val="006F267B"/>
    <w:rsid w:val="007038DE"/>
    <w:rsid w:val="00706104"/>
    <w:rsid w:val="0071583F"/>
    <w:rsid w:val="007303D1"/>
    <w:rsid w:val="00730512"/>
    <w:rsid w:val="007348D9"/>
    <w:rsid w:val="00737AA4"/>
    <w:rsid w:val="00745F05"/>
    <w:rsid w:val="00751DEA"/>
    <w:rsid w:val="00754456"/>
    <w:rsid w:val="00770703"/>
    <w:rsid w:val="00777A9A"/>
    <w:rsid w:val="00781389"/>
    <w:rsid w:val="00781422"/>
    <w:rsid w:val="00783EF5"/>
    <w:rsid w:val="00784D88"/>
    <w:rsid w:val="00786B33"/>
    <w:rsid w:val="00790CC7"/>
    <w:rsid w:val="00792431"/>
    <w:rsid w:val="0079752A"/>
    <w:rsid w:val="007A4573"/>
    <w:rsid w:val="007A474F"/>
    <w:rsid w:val="007A5BE5"/>
    <w:rsid w:val="007B2E7E"/>
    <w:rsid w:val="007C159C"/>
    <w:rsid w:val="007C4E8C"/>
    <w:rsid w:val="007D6810"/>
    <w:rsid w:val="007F0958"/>
    <w:rsid w:val="007F61B9"/>
    <w:rsid w:val="007F6CC5"/>
    <w:rsid w:val="00806874"/>
    <w:rsid w:val="00814BCF"/>
    <w:rsid w:val="00817A11"/>
    <w:rsid w:val="008227C9"/>
    <w:rsid w:val="00822FFF"/>
    <w:rsid w:val="00827846"/>
    <w:rsid w:val="00830F3E"/>
    <w:rsid w:val="00834708"/>
    <w:rsid w:val="00837207"/>
    <w:rsid w:val="0084505A"/>
    <w:rsid w:val="00853D39"/>
    <w:rsid w:val="00854FAA"/>
    <w:rsid w:val="00856CAE"/>
    <w:rsid w:val="00874A85"/>
    <w:rsid w:val="00882C80"/>
    <w:rsid w:val="0089493D"/>
    <w:rsid w:val="008A15F9"/>
    <w:rsid w:val="008A1C1C"/>
    <w:rsid w:val="008A55BB"/>
    <w:rsid w:val="008B126A"/>
    <w:rsid w:val="008B1E6D"/>
    <w:rsid w:val="008B3C62"/>
    <w:rsid w:val="008B6615"/>
    <w:rsid w:val="008B6A22"/>
    <w:rsid w:val="008B7686"/>
    <w:rsid w:val="008C5D2C"/>
    <w:rsid w:val="008C7405"/>
    <w:rsid w:val="008D4D56"/>
    <w:rsid w:val="008D5E26"/>
    <w:rsid w:val="008D717C"/>
    <w:rsid w:val="008E5BA2"/>
    <w:rsid w:val="008F0F06"/>
    <w:rsid w:val="008F3612"/>
    <w:rsid w:val="008F5165"/>
    <w:rsid w:val="008F57BF"/>
    <w:rsid w:val="009042F4"/>
    <w:rsid w:val="0090647B"/>
    <w:rsid w:val="009068AB"/>
    <w:rsid w:val="009259CA"/>
    <w:rsid w:val="00932168"/>
    <w:rsid w:val="009359B1"/>
    <w:rsid w:val="00940D7B"/>
    <w:rsid w:val="00945149"/>
    <w:rsid w:val="00946B95"/>
    <w:rsid w:val="00951CB3"/>
    <w:rsid w:val="009631FE"/>
    <w:rsid w:val="00963A48"/>
    <w:rsid w:val="0096408F"/>
    <w:rsid w:val="0096472B"/>
    <w:rsid w:val="009654F0"/>
    <w:rsid w:val="00966F3B"/>
    <w:rsid w:val="00972730"/>
    <w:rsid w:val="0097316A"/>
    <w:rsid w:val="00973B55"/>
    <w:rsid w:val="0097530E"/>
    <w:rsid w:val="00976CDB"/>
    <w:rsid w:val="00980C30"/>
    <w:rsid w:val="00980DFD"/>
    <w:rsid w:val="00981048"/>
    <w:rsid w:val="00984BD7"/>
    <w:rsid w:val="0098655D"/>
    <w:rsid w:val="00992BB8"/>
    <w:rsid w:val="00992E28"/>
    <w:rsid w:val="009A2FAD"/>
    <w:rsid w:val="009B15D6"/>
    <w:rsid w:val="009B2F91"/>
    <w:rsid w:val="009C019C"/>
    <w:rsid w:val="009C1C4E"/>
    <w:rsid w:val="009C358C"/>
    <w:rsid w:val="009D35C0"/>
    <w:rsid w:val="009E04CD"/>
    <w:rsid w:val="009E1F72"/>
    <w:rsid w:val="009E3B60"/>
    <w:rsid w:val="009E48A9"/>
    <w:rsid w:val="009F3D7E"/>
    <w:rsid w:val="009F6E58"/>
    <w:rsid w:val="00A02B6F"/>
    <w:rsid w:val="00A11D46"/>
    <w:rsid w:val="00A132ED"/>
    <w:rsid w:val="00A17DD5"/>
    <w:rsid w:val="00A31B6C"/>
    <w:rsid w:val="00A404AB"/>
    <w:rsid w:val="00A4172B"/>
    <w:rsid w:val="00A41DE4"/>
    <w:rsid w:val="00A43F1C"/>
    <w:rsid w:val="00A45CDD"/>
    <w:rsid w:val="00A4664B"/>
    <w:rsid w:val="00A51D21"/>
    <w:rsid w:val="00A55460"/>
    <w:rsid w:val="00A7038F"/>
    <w:rsid w:val="00A71ACA"/>
    <w:rsid w:val="00A72216"/>
    <w:rsid w:val="00A72F61"/>
    <w:rsid w:val="00A73176"/>
    <w:rsid w:val="00A73C2A"/>
    <w:rsid w:val="00A74AB6"/>
    <w:rsid w:val="00A75978"/>
    <w:rsid w:val="00A82B05"/>
    <w:rsid w:val="00A82E9A"/>
    <w:rsid w:val="00A87E08"/>
    <w:rsid w:val="00AA1D52"/>
    <w:rsid w:val="00AA6678"/>
    <w:rsid w:val="00AA74DF"/>
    <w:rsid w:val="00AB32D6"/>
    <w:rsid w:val="00AB520F"/>
    <w:rsid w:val="00AC004E"/>
    <w:rsid w:val="00AC6F8C"/>
    <w:rsid w:val="00AD0B95"/>
    <w:rsid w:val="00AE0C78"/>
    <w:rsid w:val="00AE6C1D"/>
    <w:rsid w:val="00AF2F70"/>
    <w:rsid w:val="00AF3005"/>
    <w:rsid w:val="00AF397A"/>
    <w:rsid w:val="00AF473D"/>
    <w:rsid w:val="00B01ABC"/>
    <w:rsid w:val="00B024C9"/>
    <w:rsid w:val="00B04644"/>
    <w:rsid w:val="00B04727"/>
    <w:rsid w:val="00B06BE1"/>
    <w:rsid w:val="00B2217B"/>
    <w:rsid w:val="00B40854"/>
    <w:rsid w:val="00B4781E"/>
    <w:rsid w:val="00B54C21"/>
    <w:rsid w:val="00B623CD"/>
    <w:rsid w:val="00B65525"/>
    <w:rsid w:val="00B70C32"/>
    <w:rsid w:val="00B766A5"/>
    <w:rsid w:val="00B76E2E"/>
    <w:rsid w:val="00B90618"/>
    <w:rsid w:val="00B90B49"/>
    <w:rsid w:val="00B91A45"/>
    <w:rsid w:val="00B94415"/>
    <w:rsid w:val="00BA6949"/>
    <w:rsid w:val="00BB11FB"/>
    <w:rsid w:val="00BB1522"/>
    <w:rsid w:val="00BB3451"/>
    <w:rsid w:val="00BB550A"/>
    <w:rsid w:val="00BC1959"/>
    <w:rsid w:val="00BC714F"/>
    <w:rsid w:val="00BD0323"/>
    <w:rsid w:val="00BD291A"/>
    <w:rsid w:val="00BD52A0"/>
    <w:rsid w:val="00BD55DB"/>
    <w:rsid w:val="00BD77C3"/>
    <w:rsid w:val="00BE187C"/>
    <w:rsid w:val="00BE3595"/>
    <w:rsid w:val="00BE6BAD"/>
    <w:rsid w:val="00BE6F8B"/>
    <w:rsid w:val="00BF4F0A"/>
    <w:rsid w:val="00BF77F5"/>
    <w:rsid w:val="00C01497"/>
    <w:rsid w:val="00C037E6"/>
    <w:rsid w:val="00C041D5"/>
    <w:rsid w:val="00C04468"/>
    <w:rsid w:val="00C050C0"/>
    <w:rsid w:val="00C06C6B"/>
    <w:rsid w:val="00C06DF9"/>
    <w:rsid w:val="00C21907"/>
    <w:rsid w:val="00C224E9"/>
    <w:rsid w:val="00C22E8C"/>
    <w:rsid w:val="00C27945"/>
    <w:rsid w:val="00C27ADA"/>
    <w:rsid w:val="00C355C7"/>
    <w:rsid w:val="00C4041D"/>
    <w:rsid w:val="00C46DCD"/>
    <w:rsid w:val="00C54A3A"/>
    <w:rsid w:val="00C56C28"/>
    <w:rsid w:val="00C57F25"/>
    <w:rsid w:val="00C57FF2"/>
    <w:rsid w:val="00C70F12"/>
    <w:rsid w:val="00C731D1"/>
    <w:rsid w:val="00C937AF"/>
    <w:rsid w:val="00C9566F"/>
    <w:rsid w:val="00C97FAD"/>
    <w:rsid w:val="00CB007C"/>
    <w:rsid w:val="00CB2E13"/>
    <w:rsid w:val="00CB393A"/>
    <w:rsid w:val="00CC1216"/>
    <w:rsid w:val="00CC44E7"/>
    <w:rsid w:val="00CD3ED9"/>
    <w:rsid w:val="00CD6BB9"/>
    <w:rsid w:val="00CD7705"/>
    <w:rsid w:val="00CE12C6"/>
    <w:rsid w:val="00CE4131"/>
    <w:rsid w:val="00CE62FA"/>
    <w:rsid w:val="00CE69F4"/>
    <w:rsid w:val="00CE7C5B"/>
    <w:rsid w:val="00CF026A"/>
    <w:rsid w:val="00CF0690"/>
    <w:rsid w:val="00CF1336"/>
    <w:rsid w:val="00CF248B"/>
    <w:rsid w:val="00D00963"/>
    <w:rsid w:val="00D06782"/>
    <w:rsid w:val="00D07E80"/>
    <w:rsid w:val="00D179F4"/>
    <w:rsid w:val="00D179FF"/>
    <w:rsid w:val="00D32E55"/>
    <w:rsid w:val="00D34DCC"/>
    <w:rsid w:val="00D34E31"/>
    <w:rsid w:val="00D46E4D"/>
    <w:rsid w:val="00D47443"/>
    <w:rsid w:val="00D47773"/>
    <w:rsid w:val="00D50173"/>
    <w:rsid w:val="00D53823"/>
    <w:rsid w:val="00D54372"/>
    <w:rsid w:val="00D63A2C"/>
    <w:rsid w:val="00D67DE6"/>
    <w:rsid w:val="00D72740"/>
    <w:rsid w:val="00D757B9"/>
    <w:rsid w:val="00D81611"/>
    <w:rsid w:val="00D8285E"/>
    <w:rsid w:val="00D8386F"/>
    <w:rsid w:val="00D85B8B"/>
    <w:rsid w:val="00D86D36"/>
    <w:rsid w:val="00D932F6"/>
    <w:rsid w:val="00D961C0"/>
    <w:rsid w:val="00D976D2"/>
    <w:rsid w:val="00DA42CD"/>
    <w:rsid w:val="00DA748B"/>
    <w:rsid w:val="00DB1C4E"/>
    <w:rsid w:val="00DB335F"/>
    <w:rsid w:val="00DC1D99"/>
    <w:rsid w:val="00DC398D"/>
    <w:rsid w:val="00DC67FF"/>
    <w:rsid w:val="00DC79DF"/>
    <w:rsid w:val="00DD1DBC"/>
    <w:rsid w:val="00DD1EC8"/>
    <w:rsid w:val="00DD4BFD"/>
    <w:rsid w:val="00DE1F26"/>
    <w:rsid w:val="00DE37F6"/>
    <w:rsid w:val="00DE6708"/>
    <w:rsid w:val="00DF08B4"/>
    <w:rsid w:val="00DF3F18"/>
    <w:rsid w:val="00DF6E9F"/>
    <w:rsid w:val="00DF76FB"/>
    <w:rsid w:val="00E042D9"/>
    <w:rsid w:val="00E2040E"/>
    <w:rsid w:val="00E20D60"/>
    <w:rsid w:val="00E30CF5"/>
    <w:rsid w:val="00E332E0"/>
    <w:rsid w:val="00E335AC"/>
    <w:rsid w:val="00E336E7"/>
    <w:rsid w:val="00E35D33"/>
    <w:rsid w:val="00E36485"/>
    <w:rsid w:val="00E51035"/>
    <w:rsid w:val="00E56EDD"/>
    <w:rsid w:val="00E62292"/>
    <w:rsid w:val="00E65A1C"/>
    <w:rsid w:val="00E731C7"/>
    <w:rsid w:val="00E7759D"/>
    <w:rsid w:val="00E80544"/>
    <w:rsid w:val="00E80F73"/>
    <w:rsid w:val="00E81296"/>
    <w:rsid w:val="00E91F57"/>
    <w:rsid w:val="00EA2C90"/>
    <w:rsid w:val="00EA2E31"/>
    <w:rsid w:val="00EA30A9"/>
    <w:rsid w:val="00EB31A2"/>
    <w:rsid w:val="00EB7F30"/>
    <w:rsid w:val="00EC21A9"/>
    <w:rsid w:val="00EC2AE6"/>
    <w:rsid w:val="00EC2C63"/>
    <w:rsid w:val="00EC62E8"/>
    <w:rsid w:val="00EE0702"/>
    <w:rsid w:val="00EE2A1B"/>
    <w:rsid w:val="00EE3DF8"/>
    <w:rsid w:val="00EE7AB1"/>
    <w:rsid w:val="00EF15A7"/>
    <w:rsid w:val="00EF21C6"/>
    <w:rsid w:val="00F00309"/>
    <w:rsid w:val="00F00392"/>
    <w:rsid w:val="00F0741C"/>
    <w:rsid w:val="00F252BA"/>
    <w:rsid w:val="00F32E53"/>
    <w:rsid w:val="00F33A06"/>
    <w:rsid w:val="00F342C1"/>
    <w:rsid w:val="00F37C8D"/>
    <w:rsid w:val="00F449C1"/>
    <w:rsid w:val="00F476F9"/>
    <w:rsid w:val="00F514A5"/>
    <w:rsid w:val="00F52D7E"/>
    <w:rsid w:val="00F55E77"/>
    <w:rsid w:val="00F6027B"/>
    <w:rsid w:val="00F62E3E"/>
    <w:rsid w:val="00F62E83"/>
    <w:rsid w:val="00F66B59"/>
    <w:rsid w:val="00F67297"/>
    <w:rsid w:val="00F7236A"/>
    <w:rsid w:val="00F7556C"/>
    <w:rsid w:val="00F75A1C"/>
    <w:rsid w:val="00F87544"/>
    <w:rsid w:val="00F94C4D"/>
    <w:rsid w:val="00F96B73"/>
    <w:rsid w:val="00FA226D"/>
    <w:rsid w:val="00FB06F9"/>
    <w:rsid w:val="00FB2BBE"/>
    <w:rsid w:val="00FB441D"/>
    <w:rsid w:val="00FB776F"/>
    <w:rsid w:val="00FC3726"/>
    <w:rsid w:val="00FC3ED4"/>
    <w:rsid w:val="00FC663F"/>
    <w:rsid w:val="00FD0B6E"/>
    <w:rsid w:val="00FD2CFF"/>
    <w:rsid w:val="00FD5414"/>
    <w:rsid w:val="00FD6F2F"/>
    <w:rsid w:val="00FE1657"/>
    <w:rsid w:val="00FE1691"/>
    <w:rsid w:val="00FE4555"/>
    <w:rsid w:val="00FF187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561D9"/>
  <w15:chartTrackingRefBased/>
  <w15:docId w15:val="{DD33699D-C1C1-4CF1-BB04-488BF933E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B59"/>
  </w:style>
  <w:style w:type="paragraph" w:styleId="Heading1">
    <w:name w:val="heading 1"/>
    <w:basedOn w:val="Normal"/>
    <w:next w:val="Normal"/>
    <w:link w:val="Heading1Char"/>
    <w:uiPriority w:val="9"/>
    <w:qFormat/>
    <w:rsid w:val="0026390E"/>
    <w:pPr>
      <w:keepNext/>
      <w:keepLines/>
      <w:numPr>
        <w:numId w:val="4"/>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6390E"/>
    <w:pPr>
      <w:keepNext/>
      <w:keepLines/>
      <w:numPr>
        <w:ilvl w:val="1"/>
        <w:numId w:val="4"/>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6390E"/>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6390E"/>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6390E"/>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6390E"/>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6390E"/>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6390E"/>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6390E"/>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83F"/>
    <w:pPr>
      <w:ind w:left="720"/>
      <w:contextualSpacing/>
    </w:pPr>
  </w:style>
  <w:style w:type="character" w:customStyle="1" w:styleId="Heading1Char">
    <w:name w:val="Heading 1 Char"/>
    <w:basedOn w:val="DefaultParagraphFont"/>
    <w:link w:val="Heading1"/>
    <w:uiPriority w:val="9"/>
    <w:rsid w:val="0026390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26390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6390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6390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6390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6390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6390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6390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6390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83B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B59"/>
  </w:style>
  <w:style w:type="paragraph" w:styleId="Footer">
    <w:name w:val="footer"/>
    <w:basedOn w:val="Normal"/>
    <w:link w:val="FooterChar"/>
    <w:uiPriority w:val="99"/>
    <w:unhideWhenUsed/>
    <w:rsid w:val="00683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B59"/>
  </w:style>
  <w:style w:type="character" w:styleId="Hyperlink">
    <w:name w:val="Hyperlink"/>
    <w:basedOn w:val="DefaultParagraphFont"/>
    <w:uiPriority w:val="99"/>
    <w:unhideWhenUsed/>
    <w:rsid w:val="00510A30"/>
    <w:rPr>
      <w:color w:val="0563C1" w:themeColor="hyperlink"/>
      <w:u w:val="single"/>
    </w:rPr>
  </w:style>
  <w:style w:type="table" w:styleId="TableGrid">
    <w:name w:val="Table Grid"/>
    <w:basedOn w:val="TableNormal"/>
    <w:uiPriority w:val="39"/>
    <w:rsid w:val="00005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71AC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71A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semiHidden/>
    <w:unhideWhenUsed/>
    <w:rsid w:val="009359B1"/>
    <w:pPr>
      <w:spacing w:after="100"/>
    </w:pPr>
  </w:style>
  <w:style w:type="character" w:styleId="UnresolvedMention">
    <w:name w:val="Unresolved Mention"/>
    <w:basedOn w:val="DefaultParagraphFont"/>
    <w:uiPriority w:val="99"/>
    <w:semiHidden/>
    <w:unhideWhenUsed/>
    <w:rsid w:val="00FB7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40088">
      <w:bodyDiv w:val="1"/>
      <w:marLeft w:val="0"/>
      <w:marRight w:val="0"/>
      <w:marTop w:val="0"/>
      <w:marBottom w:val="0"/>
      <w:divBdr>
        <w:top w:val="none" w:sz="0" w:space="0" w:color="auto"/>
        <w:left w:val="none" w:sz="0" w:space="0" w:color="auto"/>
        <w:bottom w:val="none" w:sz="0" w:space="0" w:color="auto"/>
        <w:right w:val="none" w:sz="0" w:space="0" w:color="auto"/>
      </w:divBdr>
    </w:div>
    <w:div w:id="33261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fingertips.phe.org.uk/profile/diabetes-ft" TargetMode="External"/><Relationship Id="rId26" Type="http://schemas.openxmlformats.org/officeDocument/2006/relationships/hyperlink" Target="https://www.instituteofhealthequity.org/resources-reports/marmot-review-10-years-on" TargetMode="External"/><Relationship Id="rId39" Type="http://schemas.openxmlformats.org/officeDocument/2006/relationships/hyperlink" Target="https://doi.org/10.15277/bjd.2021.288" TargetMode="External"/><Relationship Id="rId21" Type="http://schemas.openxmlformats.org/officeDocument/2006/relationships/hyperlink" Target="https://data.london.gov.uk/dataset/health-inequalities-indicators" TargetMode="External"/><Relationship Id="rId34" Type="http://schemas.openxmlformats.org/officeDocument/2006/relationships/hyperlink" Target="https://www.gov.uk/government/collections/public-health-outcomes-framework" TargetMode="External"/><Relationship Id="rId42" Type="http://schemas.openxmlformats.org/officeDocument/2006/relationships/hyperlink" Target="https://www.towerhamlets.gov.uk/lgb/health__social_care/health_and_wellbeing_board/health_and_wellbeing_strategy.aspx"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www.longtermplan.nhs.uk/" TargetMode="External"/><Relationship Id="rId11" Type="http://schemas.openxmlformats.org/officeDocument/2006/relationships/image" Target="media/image2.jpeg"/><Relationship Id="rId24" Type="http://schemas.openxmlformats.org/officeDocument/2006/relationships/hyperlink" Target="https://www.npeu.ox.ac.uk/mbrrace-uk/reports" TargetMode="External"/><Relationship Id="rId32" Type="http://schemas.openxmlformats.org/officeDocument/2006/relationships/hyperlink" Target="https://www.nhsrho.org/research/ethnic-inequalities-in-healthcare-a-rapid-evidence-review-3/" TargetMode="External"/><Relationship Id="rId37" Type="http://schemas.openxmlformats.org/officeDocument/2006/relationships/hyperlink" Target="https://www.ons.gov.uk/peoplepopulationandcommunity/birthsdeathsandmarriages/deaths/bulletins/mortalitybyethnicgroupenglandandwales/2020to2022" TargetMode="External"/><Relationship Id="rId40" Type="http://schemas.openxmlformats.org/officeDocument/2006/relationships/hyperlink" Target="https://www.rcplondon.ac.uk/projects/outputs/health-inequalities-and-racial-disparities" TargetMode="External"/><Relationship Id="rId45" Type="http://schemas.openxmlformats.org/officeDocument/2006/relationships/hyperlink" Target="https://www.who.int/health-topics/social-determinants-of-health"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doi.org/10.2307/2137286" TargetMode="External"/><Relationship Id="rId28" Type="http://schemas.openxmlformats.org/officeDocument/2006/relationships/hyperlink" Target="https://digital.nhs.uk/data-and-information/publications/statistical/national-diabetes-audit" TargetMode="External"/><Relationship Id="rId36" Type="http://schemas.openxmlformats.org/officeDocument/2006/relationships/hyperlink" Target="https://www.ons.gov.uk/peoplepopulationandcommunity/housing/bulletins/housingenglandandwales/census2021" TargetMode="External"/><Relationship Id="rId49"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diabetes.org.uk/about-us/news-and-views/london-region-news/prevalance" TargetMode="External"/><Relationship Id="rId31" Type="http://schemas.openxmlformats.org/officeDocument/2006/relationships/hyperlink" Target="https://www.england.nhs.uk/diabetes/diabetes-prevention/" TargetMode="External"/><Relationship Id="rId44" Type="http://schemas.openxmlformats.org/officeDocument/2006/relationships/hyperlink" Target="https://www.gov.uk/government/publications/health-disparities-report"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QuickStyle" Target="diagrams/quickStyle1.xml"/><Relationship Id="rId22" Type="http://schemas.openxmlformats.org/officeDocument/2006/relationships/hyperlink" Target="https://www.jrf.org.uk/uk-poverty-2022-the-leading-report-on-poverty-rates-and-trends-across-the-uk" TargetMode="External"/><Relationship Id="rId27" Type="http://schemas.openxmlformats.org/officeDocument/2006/relationships/hyperlink" Target="https://digital.nhs.uk/data-and-information/publications/statistical/health-survey-for-england" TargetMode="External"/><Relationship Id="rId30" Type="http://schemas.openxmlformats.org/officeDocument/2006/relationships/hyperlink" Target="https://www.england.nhs.uk/about/equality/core20plus5/" TargetMode="External"/><Relationship Id="rId35" Type="http://schemas.openxmlformats.org/officeDocument/2006/relationships/hyperlink" Target="https://www.ons.gov.uk/peoplepopulationandcommunity/culturalidentity/ethnicity/bulletins/ethnicgroupenglandandwales/census2021" TargetMode="External"/><Relationship Id="rId43" Type="http://schemas.openxmlformats.org/officeDocument/2006/relationships/hyperlink" Target="https://www.gov.uk/government/organisations/uk-health-security-agency"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yperlink" Target="https://doi.org/10.15277/bjd.2016.108" TargetMode="External"/><Relationship Id="rId25" Type="http://schemas.openxmlformats.org/officeDocument/2006/relationships/hyperlink" Target="https://www.instituteofhealthequity.org/resources-reports/build-back-fairer-the-covid-19-marmot-review" TargetMode="External"/><Relationship Id="rId33" Type="http://schemas.openxmlformats.org/officeDocument/2006/relationships/hyperlink" Target="https://www.nice.org.uk/guidance/ng28" TargetMode="External"/><Relationship Id="rId38" Type="http://schemas.openxmlformats.org/officeDocument/2006/relationships/hyperlink" Target="https://raceequalityfoundation.org.uk/health-and-care/" TargetMode="External"/><Relationship Id="rId46" Type="http://schemas.openxmlformats.org/officeDocument/2006/relationships/hyperlink" Target="https://www.who.int/news-room/fact-sheets/detail/diabetes" TargetMode="External"/><Relationship Id="rId20" Type="http://schemas.openxmlformats.org/officeDocument/2006/relationships/hyperlink" Target="https://www.diabetes.org.uk/professionals/position-statements-reports/statistics" TargetMode="External"/><Relationship Id="rId41" Type="http://schemas.openxmlformats.org/officeDocument/2006/relationships/hyperlink" Target="https://www.towerhamlets.gov.uk/lgb/health__social_care/joint_strategic_needs_assessment/jsna_factsheets.aspx"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South Asian</c:v>
                </c:pt>
                <c:pt idx="1">
                  <c:v>Black African</c:v>
                </c:pt>
                <c:pt idx="2">
                  <c:v>Black Caribbean</c:v>
                </c:pt>
                <c:pt idx="3">
                  <c:v>White British</c:v>
                </c:pt>
              </c:strCache>
            </c:strRef>
          </c:cat>
          <c:val>
            <c:numRef>
              <c:f>Sheet1!$B$2:$B$5</c:f>
              <c:numCache>
                <c:formatCode>General</c:formatCode>
                <c:ptCount val="4"/>
              </c:numCache>
            </c:numRef>
          </c:val>
          <c:extLst>
            <c:ext xmlns:c16="http://schemas.microsoft.com/office/drawing/2014/chart" uri="{C3380CC4-5D6E-409C-BE32-E72D297353CC}">
              <c16:uniqueId val="{00000000-D310-4788-866E-7CB1AEAF7CDB}"/>
            </c:ext>
          </c:extLst>
        </c:ser>
        <c:ser>
          <c:idx val="1"/>
          <c:order val="1"/>
          <c:tx>
            <c:strRef>
              <c:f>Sheet1!$C$1</c:f>
              <c:strCache>
                <c:ptCount val="1"/>
                <c:pt idx="0">
                  <c:v>Relative Risk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South Asian</c:v>
                </c:pt>
                <c:pt idx="1">
                  <c:v>Black African</c:v>
                </c:pt>
                <c:pt idx="2">
                  <c:v>Black Caribbean</c:v>
                </c:pt>
                <c:pt idx="3">
                  <c:v>White British</c:v>
                </c:pt>
              </c:strCache>
            </c:strRef>
          </c:cat>
          <c:val>
            <c:numRef>
              <c:f>Sheet1!$C$2:$C$5</c:f>
              <c:numCache>
                <c:formatCode>General</c:formatCode>
                <c:ptCount val="4"/>
                <c:pt idx="0">
                  <c:v>3.5</c:v>
                </c:pt>
                <c:pt idx="1">
                  <c:v>2</c:v>
                </c:pt>
                <c:pt idx="2">
                  <c:v>2</c:v>
                </c:pt>
                <c:pt idx="3">
                  <c:v>1</c:v>
                </c:pt>
              </c:numCache>
            </c:numRef>
          </c:val>
          <c:extLst>
            <c:ext xmlns:c16="http://schemas.microsoft.com/office/drawing/2014/chart" uri="{C3380CC4-5D6E-409C-BE32-E72D297353CC}">
              <c16:uniqueId val="{00000001-D310-4788-866E-7CB1AEAF7CDB}"/>
            </c:ext>
          </c:extLst>
        </c:ser>
        <c:ser>
          <c:idx val="2"/>
          <c:order val="2"/>
          <c:tx>
            <c:strRef>
              <c:f>Sheet1!$D$1</c:f>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South Asian</c:v>
                </c:pt>
                <c:pt idx="1">
                  <c:v>Black African</c:v>
                </c:pt>
                <c:pt idx="2">
                  <c:v>Black Caribbean</c:v>
                </c:pt>
                <c:pt idx="3">
                  <c:v>White British</c:v>
                </c:pt>
              </c:strCache>
            </c:strRef>
          </c:cat>
          <c:val>
            <c:numRef>
              <c:f>Sheet1!$D$2:$D$5</c:f>
              <c:numCache>
                <c:formatCode>General</c:formatCode>
                <c:ptCount val="4"/>
              </c:numCache>
            </c:numRef>
          </c:val>
          <c:extLst>
            <c:ext xmlns:c16="http://schemas.microsoft.com/office/drawing/2014/chart" uri="{C3380CC4-5D6E-409C-BE32-E72D297353CC}">
              <c16:uniqueId val="{00000002-D310-4788-866E-7CB1AEAF7CDB}"/>
            </c:ext>
          </c:extLst>
        </c:ser>
        <c:dLbls>
          <c:showLegendKey val="0"/>
          <c:showVal val="0"/>
          <c:showCatName val="0"/>
          <c:showSerName val="0"/>
          <c:showPercent val="0"/>
          <c:showBubbleSize val="0"/>
        </c:dLbls>
        <c:gapWidth val="100"/>
        <c:overlap val="-24"/>
        <c:axId val="1252942879"/>
        <c:axId val="1252930399"/>
      </c:barChart>
      <c:catAx>
        <c:axId val="1252942879"/>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930399"/>
        <c:crosses val="autoZero"/>
        <c:auto val="1"/>
        <c:lblAlgn val="ctr"/>
        <c:lblOffset val="100"/>
        <c:noMultiLvlLbl val="0"/>
      </c:catAx>
      <c:valAx>
        <c:axId val="12529303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942879"/>
        <c:crosses val="autoZero"/>
        <c:crossBetween val="between"/>
      </c:valAx>
      <c:spPr>
        <a:noFill/>
        <a:ln>
          <a:noFill/>
        </a:ln>
        <a:effectLst/>
      </c:spPr>
    </c:plotArea>
    <c:legend>
      <c:legendPos val="b"/>
      <c:legendEntry>
        <c:idx val="0"/>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Overcrowding(%)</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2DA-4798-AB78-188A6015750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2DA-4798-AB78-188A6015750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2DA-4798-AB78-188A6015750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2DA-4798-AB78-188A6015750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Bangladeshi</c:v>
                </c:pt>
                <c:pt idx="1">
                  <c:v>Black African</c:v>
                </c:pt>
                <c:pt idx="2">
                  <c:v>White British </c:v>
                </c:pt>
              </c:strCache>
            </c:strRef>
          </c:cat>
          <c:val>
            <c:numRef>
              <c:f>Sheet1!$B$2:$B$5</c:f>
              <c:numCache>
                <c:formatCode>0%</c:formatCode>
                <c:ptCount val="4"/>
                <c:pt idx="0">
                  <c:v>0.3</c:v>
                </c:pt>
                <c:pt idx="1">
                  <c:v>0.16</c:v>
                </c:pt>
                <c:pt idx="2">
                  <c:v>0.02</c:v>
                </c:pt>
              </c:numCache>
            </c:numRef>
          </c:val>
          <c:extLst>
            <c:ext xmlns:c16="http://schemas.microsoft.com/office/drawing/2014/chart" uri="{C3380CC4-5D6E-409C-BE32-E72D297353CC}">
              <c16:uniqueId val="{00000000-8A60-47DB-991A-25333FB983C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C524A5-35FC-4404-88DB-175357B19E50}" type="doc">
      <dgm:prSet loTypeId="urn:microsoft.com/office/officeart/2005/8/layout/vProcess5" loCatId="process" qsTypeId="urn:microsoft.com/office/officeart/2005/8/quickstyle/simple5" qsCatId="simple" csTypeId="urn:microsoft.com/office/officeart/2005/8/colors/colorful1" csCatId="colorful" phldr="1"/>
      <dgm:spPr/>
    </dgm:pt>
    <dgm:pt modelId="{67531CDE-724F-4133-960A-FF0D16435BD1}">
      <dgm:prSet phldrT="[Text]"/>
      <dgm:spPr/>
      <dgm:t>
        <a:bodyPr/>
        <a:lstStyle/>
        <a:p>
          <a:r>
            <a:rPr lang="en-IN"/>
            <a:t>Phase 1(Months 1-6) :</a:t>
          </a:r>
        </a:p>
        <a:p>
          <a:r>
            <a:rPr lang="en-IN"/>
            <a:t>Community-Based screening (Mosque &amp; Pharmacy HbA1c outreach).</a:t>
          </a:r>
        </a:p>
      </dgm:t>
    </dgm:pt>
    <dgm:pt modelId="{EAF20BD7-6B1B-47AF-BF2F-3FC09A0D7AC5}" type="parTrans" cxnId="{E71915E8-76E5-48ED-A91E-71B857873136}">
      <dgm:prSet/>
      <dgm:spPr/>
      <dgm:t>
        <a:bodyPr/>
        <a:lstStyle/>
        <a:p>
          <a:endParaRPr lang="en-IN"/>
        </a:p>
      </dgm:t>
    </dgm:pt>
    <dgm:pt modelId="{610AFF1B-764A-4D03-9279-60672804CFE0}" type="sibTrans" cxnId="{E71915E8-76E5-48ED-A91E-71B857873136}">
      <dgm:prSet/>
      <dgm:spPr/>
      <dgm:t>
        <a:bodyPr/>
        <a:lstStyle/>
        <a:p>
          <a:endParaRPr lang="en-IN"/>
        </a:p>
      </dgm:t>
    </dgm:pt>
    <dgm:pt modelId="{233D4E54-7041-4BE7-A5F7-BA26744AE3B5}">
      <dgm:prSet phldrT="[Text]"/>
      <dgm:spPr/>
      <dgm:t>
        <a:bodyPr/>
        <a:lstStyle/>
        <a:p>
          <a:r>
            <a:rPr lang="en-IN"/>
            <a:t>Phase 2 (Months 6-12):</a:t>
          </a:r>
        </a:p>
        <a:p>
          <a:r>
            <a:rPr lang="en-IN"/>
            <a:t>Culturally Adapted Education ( DESMOND- Bangla in Bengali / Sylheti )</a:t>
          </a:r>
        </a:p>
      </dgm:t>
    </dgm:pt>
    <dgm:pt modelId="{D34282CD-A838-420C-BEC5-67F1E450C1EE}" type="parTrans" cxnId="{50D49060-99CC-4316-A0BD-51B2070F1D1A}">
      <dgm:prSet/>
      <dgm:spPr/>
      <dgm:t>
        <a:bodyPr/>
        <a:lstStyle/>
        <a:p>
          <a:endParaRPr lang="en-IN"/>
        </a:p>
      </dgm:t>
    </dgm:pt>
    <dgm:pt modelId="{9E889EED-70AE-449A-9287-1A9D6F0D44AB}" type="sibTrans" cxnId="{50D49060-99CC-4316-A0BD-51B2070F1D1A}">
      <dgm:prSet/>
      <dgm:spPr/>
      <dgm:t>
        <a:bodyPr/>
        <a:lstStyle/>
        <a:p>
          <a:endParaRPr lang="en-IN"/>
        </a:p>
      </dgm:t>
    </dgm:pt>
    <dgm:pt modelId="{48762756-F4AC-4EFB-BC6A-5AEB77320842}">
      <dgm:prSet phldrT="[Text]"/>
      <dgm:spPr/>
      <dgm:t>
        <a:bodyPr/>
        <a:lstStyle/>
        <a:p>
          <a:r>
            <a:rPr lang="en-IN"/>
            <a:t>Phase 3 (Ongoning) :</a:t>
          </a:r>
        </a:p>
        <a:p>
          <a:r>
            <a:rPr lang="en-IN"/>
            <a:t>PCN Clinical Optimization (Pharmacist-led SGLT2i/GLP-1 RAs</a:t>
          </a:r>
        </a:p>
      </dgm:t>
    </dgm:pt>
    <dgm:pt modelId="{3447AE72-BFAB-40C5-AD05-0D262C2BFE6B}" type="parTrans" cxnId="{09D829C8-1EC4-45EE-8CC4-400ABC6E9F54}">
      <dgm:prSet/>
      <dgm:spPr/>
      <dgm:t>
        <a:bodyPr/>
        <a:lstStyle/>
        <a:p>
          <a:endParaRPr lang="en-IN"/>
        </a:p>
      </dgm:t>
    </dgm:pt>
    <dgm:pt modelId="{EA9A647F-C7C9-4DF6-9154-1DB39071575B}" type="sibTrans" cxnId="{09D829C8-1EC4-45EE-8CC4-400ABC6E9F54}">
      <dgm:prSet/>
      <dgm:spPr/>
      <dgm:t>
        <a:bodyPr/>
        <a:lstStyle/>
        <a:p>
          <a:endParaRPr lang="en-IN"/>
        </a:p>
      </dgm:t>
    </dgm:pt>
    <dgm:pt modelId="{EE94AA5E-0059-4239-A67B-28AC626579F6}" type="pres">
      <dgm:prSet presAssocID="{1EC524A5-35FC-4404-88DB-175357B19E50}" presName="outerComposite" presStyleCnt="0">
        <dgm:presLayoutVars>
          <dgm:chMax val="5"/>
          <dgm:dir/>
          <dgm:resizeHandles val="exact"/>
        </dgm:presLayoutVars>
      </dgm:prSet>
      <dgm:spPr/>
    </dgm:pt>
    <dgm:pt modelId="{1D2A7227-EE8D-4664-BE71-C05E9BFC21FA}" type="pres">
      <dgm:prSet presAssocID="{1EC524A5-35FC-4404-88DB-175357B19E50}" presName="dummyMaxCanvas" presStyleCnt="0">
        <dgm:presLayoutVars/>
      </dgm:prSet>
      <dgm:spPr/>
    </dgm:pt>
    <dgm:pt modelId="{0CCC5635-B4B7-44AF-AB1E-9FD6ED3BFB65}" type="pres">
      <dgm:prSet presAssocID="{1EC524A5-35FC-4404-88DB-175357B19E50}" presName="ThreeNodes_1" presStyleLbl="node1" presStyleIdx="0" presStyleCnt="3">
        <dgm:presLayoutVars>
          <dgm:bulletEnabled val="1"/>
        </dgm:presLayoutVars>
      </dgm:prSet>
      <dgm:spPr/>
    </dgm:pt>
    <dgm:pt modelId="{1F001CC2-AADB-4CF1-B521-D4390E198708}" type="pres">
      <dgm:prSet presAssocID="{1EC524A5-35FC-4404-88DB-175357B19E50}" presName="ThreeNodes_2" presStyleLbl="node1" presStyleIdx="1" presStyleCnt="3" custLinFactNeighborY="-1801">
        <dgm:presLayoutVars>
          <dgm:bulletEnabled val="1"/>
        </dgm:presLayoutVars>
      </dgm:prSet>
      <dgm:spPr/>
    </dgm:pt>
    <dgm:pt modelId="{9E88075E-1364-4998-AEF4-633FEC260C45}" type="pres">
      <dgm:prSet presAssocID="{1EC524A5-35FC-4404-88DB-175357B19E50}" presName="ThreeNodes_3" presStyleLbl="node1" presStyleIdx="2" presStyleCnt="3">
        <dgm:presLayoutVars>
          <dgm:bulletEnabled val="1"/>
        </dgm:presLayoutVars>
      </dgm:prSet>
      <dgm:spPr/>
    </dgm:pt>
    <dgm:pt modelId="{60A528FB-F531-4428-8E51-7CC47BA388C4}" type="pres">
      <dgm:prSet presAssocID="{1EC524A5-35FC-4404-88DB-175357B19E50}" presName="ThreeConn_1-2" presStyleLbl="fgAccFollowNode1" presStyleIdx="0" presStyleCnt="2">
        <dgm:presLayoutVars>
          <dgm:bulletEnabled val="1"/>
        </dgm:presLayoutVars>
      </dgm:prSet>
      <dgm:spPr/>
    </dgm:pt>
    <dgm:pt modelId="{32807745-F12F-4ED9-94DB-75232671BA04}" type="pres">
      <dgm:prSet presAssocID="{1EC524A5-35FC-4404-88DB-175357B19E50}" presName="ThreeConn_2-3" presStyleLbl="fgAccFollowNode1" presStyleIdx="1" presStyleCnt="2">
        <dgm:presLayoutVars>
          <dgm:bulletEnabled val="1"/>
        </dgm:presLayoutVars>
      </dgm:prSet>
      <dgm:spPr/>
    </dgm:pt>
    <dgm:pt modelId="{716DC84D-C16F-4461-85C2-938BAEF3178E}" type="pres">
      <dgm:prSet presAssocID="{1EC524A5-35FC-4404-88DB-175357B19E50}" presName="ThreeNodes_1_text" presStyleLbl="node1" presStyleIdx="2" presStyleCnt="3">
        <dgm:presLayoutVars>
          <dgm:bulletEnabled val="1"/>
        </dgm:presLayoutVars>
      </dgm:prSet>
      <dgm:spPr/>
    </dgm:pt>
    <dgm:pt modelId="{92AB542D-75BF-4928-A58D-B55AA99E835B}" type="pres">
      <dgm:prSet presAssocID="{1EC524A5-35FC-4404-88DB-175357B19E50}" presName="ThreeNodes_2_text" presStyleLbl="node1" presStyleIdx="2" presStyleCnt="3">
        <dgm:presLayoutVars>
          <dgm:bulletEnabled val="1"/>
        </dgm:presLayoutVars>
      </dgm:prSet>
      <dgm:spPr/>
    </dgm:pt>
    <dgm:pt modelId="{C26D709C-2551-4005-832F-E7E97EA3C71E}" type="pres">
      <dgm:prSet presAssocID="{1EC524A5-35FC-4404-88DB-175357B19E50}" presName="ThreeNodes_3_text" presStyleLbl="node1" presStyleIdx="2" presStyleCnt="3">
        <dgm:presLayoutVars>
          <dgm:bulletEnabled val="1"/>
        </dgm:presLayoutVars>
      </dgm:prSet>
      <dgm:spPr/>
    </dgm:pt>
  </dgm:ptLst>
  <dgm:cxnLst>
    <dgm:cxn modelId="{E1340B0B-D4D8-4C4C-A445-C7DFFE057A2F}" type="presOf" srcId="{67531CDE-724F-4133-960A-FF0D16435BD1}" destId="{0CCC5635-B4B7-44AF-AB1E-9FD6ED3BFB65}" srcOrd="0" destOrd="0" presId="urn:microsoft.com/office/officeart/2005/8/layout/vProcess5"/>
    <dgm:cxn modelId="{7F212623-5BFC-4B21-ACF1-79AF6B32830F}" type="presOf" srcId="{233D4E54-7041-4BE7-A5F7-BA26744AE3B5}" destId="{1F001CC2-AADB-4CF1-B521-D4390E198708}" srcOrd="0" destOrd="0" presId="urn:microsoft.com/office/officeart/2005/8/layout/vProcess5"/>
    <dgm:cxn modelId="{50D49060-99CC-4316-A0BD-51B2070F1D1A}" srcId="{1EC524A5-35FC-4404-88DB-175357B19E50}" destId="{233D4E54-7041-4BE7-A5F7-BA26744AE3B5}" srcOrd="1" destOrd="0" parTransId="{D34282CD-A838-420C-BEC5-67F1E450C1EE}" sibTransId="{9E889EED-70AE-449A-9287-1A9D6F0D44AB}"/>
    <dgm:cxn modelId="{F4E6EF63-7771-4800-BAB3-3ED7D03459BB}" type="presOf" srcId="{67531CDE-724F-4133-960A-FF0D16435BD1}" destId="{716DC84D-C16F-4461-85C2-938BAEF3178E}" srcOrd="1" destOrd="0" presId="urn:microsoft.com/office/officeart/2005/8/layout/vProcess5"/>
    <dgm:cxn modelId="{3BB3988D-225F-45FD-839E-4F6803B45118}" type="presOf" srcId="{9E889EED-70AE-449A-9287-1A9D6F0D44AB}" destId="{32807745-F12F-4ED9-94DB-75232671BA04}" srcOrd="0" destOrd="0" presId="urn:microsoft.com/office/officeart/2005/8/layout/vProcess5"/>
    <dgm:cxn modelId="{E21CA08F-A6C4-4DE7-AD60-72AC003F6AB9}" type="presOf" srcId="{233D4E54-7041-4BE7-A5F7-BA26744AE3B5}" destId="{92AB542D-75BF-4928-A58D-B55AA99E835B}" srcOrd="1" destOrd="0" presId="urn:microsoft.com/office/officeart/2005/8/layout/vProcess5"/>
    <dgm:cxn modelId="{2A4DD791-2C86-4B87-832C-E350FC800E45}" type="presOf" srcId="{48762756-F4AC-4EFB-BC6A-5AEB77320842}" destId="{9E88075E-1364-4998-AEF4-633FEC260C45}" srcOrd="0" destOrd="0" presId="urn:microsoft.com/office/officeart/2005/8/layout/vProcess5"/>
    <dgm:cxn modelId="{0CE49BB4-E73F-437E-85E0-1B972B85AB1C}" type="presOf" srcId="{610AFF1B-764A-4D03-9279-60672804CFE0}" destId="{60A528FB-F531-4428-8E51-7CC47BA388C4}" srcOrd="0" destOrd="0" presId="urn:microsoft.com/office/officeart/2005/8/layout/vProcess5"/>
    <dgm:cxn modelId="{4B57FDBC-5456-4216-897A-6E51C72F0E4B}" type="presOf" srcId="{48762756-F4AC-4EFB-BC6A-5AEB77320842}" destId="{C26D709C-2551-4005-832F-E7E97EA3C71E}" srcOrd="1" destOrd="0" presId="urn:microsoft.com/office/officeart/2005/8/layout/vProcess5"/>
    <dgm:cxn modelId="{09D829C8-1EC4-45EE-8CC4-400ABC6E9F54}" srcId="{1EC524A5-35FC-4404-88DB-175357B19E50}" destId="{48762756-F4AC-4EFB-BC6A-5AEB77320842}" srcOrd="2" destOrd="0" parTransId="{3447AE72-BFAB-40C5-AD05-0D262C2BFE6B}" sibTransId="{EA9A647F-C7C9-4DF6-9154-1DB39071575B}"/>
    <dgm:cxn modelId="{E71915E8-76E5-48ED-A91E-71B857873136}" srcId="{1EC524A5-35FC-4404-88DB-175357B19E50}" destId="{67531CDE-724F-4133-960A-FF0D16435BD1}" srcOrd="0" destOrd="0" parTransId="{EAF20BD7-6B1B-47AF-BF2F-3FC09A0D7AC5}" sibTransId="{610AFF1B-764A-4D03-9279-60672804CFE0}"/>
    <dgm:cxn modelId="{3932D0FD-794B-4142-9CBD-A0D9B724ACBF}" type="presOf" srcId="{1EC524A5-35FC-4404-88DB-175357B19E50}" destId="{EE94AA5E-0059-4239-A67B-28AC626579F6}" srcOrd="0" destOrd="0" presId="urn:microsoft.com/office/officeart/2005/8/layout/vProcess5"/>
    <dgm:cxn modelId="{CB38D061-D1D3-493E-8E19-E7584328C966}" type="presParOf" srcId="{EE94AA5E-0059-4239-A67B-28AC626579F6}" destId="{1D2A7227-EE8D-4664-BE71-C05E9BFC21FA}" srcOrd="0" destOrd="0" presId="urn:microsoft.com/office/officeart/2005/8/layout/vProcess5"/>
    <dgm:cxn modelId="{13D5EBF9-3AD6-45E2-AB93-AB7CE7BAD413}" type="presParOf" srcId="{EE94AA5E-0059-4239-A67B-28AC626579F6}" destId="{0CCC5635-B4B7-44AF-AB1E-9FD6ED3BFB65}" srcOrd="1" destOrd="0" presId="urn:microsoft.com/office/officeart/2005/8/layout/vProcess5"/>
    <dgm:cxn modelId="{9D6E609F-3FD3-41BB-962F-4659759A24DE}" type="presParOf" srcId="{EE94AA5E-0059-4239-A67B-28AC626579F6}" destId="{1F001CC2-AADB-4CF1-B521-D4390E198708}" srcOrd="2" destOrd="0" presId="urn:microsoft.com/office/officeart/2005/8/layout/vProcess5"/>
    <dgm:cxn modelId="{6D4DEC87-7BFC-4485-8588-D88F4083DECA}" type="presParOf" srcId="{EE94AA5E-0059-4239-A67B-28AC626579F6}" destId="{9E88075E-1364-4998-AEF4-633FEC260C45}" srcOrd="3" destOrd="0" presId="urn:microsoft.com/office/officeart/2005/8/layout/vProcess5"/>
    <dgm:cxn modelId="{FA679F57-31CD-4932-8675-10A90EDC4E2D}" type="presParOf" srcId="{EE94AA5E-0059-4239-A67B-28AC626579F6}" destId="{60A528FB-F531-4428-8E51-7CC47BA388C4}" srcOrd="4" destOrd="0" presId="urn:microsoft.com/office/officeart/2005/8/layout/vProcess5"/>
    <dgm:cxn modelId="{AC95D281-37A3-4E93-9921-1909AE034FEC}" type="presParOf" srcId="{EE94AA5E-0059-4239-A67B-28AC626579F6}" destId="{32807745-F12F-4ED9-94DB-75232671BA04}" srcOrd="5" destOrd="0" presId="urn:microsoft.com/office/officeart/2005/8/layout/vProcess5"/>
    <dgm:cxn modelId="{5B98226B-420E-4F41-876B-5AF432CE6F50}" type="presParOf" srcId="{EE94AA5E-0059-4239-A67B-28AC626579F6}" destId="{716DC84D-C16F-4461-85C2-938BAEF3178E}" srcOrd="6" destOrd="0" presId="urn:microsoft.com/office/officeart/2005/8/layout/vProcess5"/>
    <dgm:cxn modelId="{F67FEC42-8359-480E-9F9B-D2324697C2FF}" type="presParOf" srcId="{EE94AA5E-0059-4239-A67B-28AC626579F6}" destId="{92AB542D-75BF-4928-A58D-B55AA99E835B}" srcOrd="7" destOrd="0" presId="urn:microsoft.com/office/officeart/2005/8/layout/vProcess5"/>
    <dgm:cxn modelId="{A6F6631F-395A-4F58-9779-17C4D4D3BB8D}" type="presParOf" srcId="{EE94AA5E-0059-4239-A67B-28AC626579F6}" destId="{C26D709C-2551-4005-832F-E7E97EA3C71E}" srcOrd="8" destOrd="0" presId="urn:microsoft.com/office/officeart/2005/8/layout/vProcess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CC5635-B4B7-44AF-AB1E-9FD6ED3BFB65}">
      <dsp:nvSpPr>
        <dsp:cNvPr id="0" name=""/>
        <dsp:cNvSpPr/>
      </dsp:nvSpPr>
      <dsp:spPr>
        <a:xfrm>
          <a:off x="0" y="0"/>
          <a:ext cx="3586099" cy="791527"/>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IN" sz="1200" kern="1200"/>
            <a:t>Phase 1(Months 1-6) :</a:t>
          </a:r>
        </a:p>
        <a:p>
          <a:pPr marL="0" lvl="0" indent="0" algn="l" defTabSz="533400">
            <a:lnSpc>
              <a:spcPct val="90000"/>
            </a:lnSpc>
            <a:spcBef>
              <a:spcPct val="0"/>
            </a:spcBef>
            <a:spcAft>
              <a:spcPct val="35000"/>
            </a:spcAft>
            <a:buNone/>
          </a:pPr>
          <a:r>
            <a:rPr lang="en-IN" sz="1200" kern="1200"/>
            <a:t>Community-Based screening (Mosque &amp; Pharmacy HbA1c outreach).</a:t>
          </a:r>
        </a:p>
      </dsp:txBody>
      <dsp:txXfrm>
        <a:off x="23183" y="23183"/>
        <a:ext cx="2731979" cy="745161"/>
      </dsp:txXfrm>
    </dsp:sp>
    <dsp:sp modelId="{1F001CC2-AADB-4CF1-B521-D4390E198708}">
      <dsp:nvSpPr>
        <dsp:cNvPr id="0" name=""/>
        <dsp:cNvSpPr/>
      </dsp:nvSpPr>
      <dsp:spPr>
        <a:xfrm>
          <a:off x="316420" y="909193"/>
          <a:ext cx="3586099" cy="791527"/>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IN" sz="1200" kern="1200"/>
            <a:t>Phase 2 (Months 6-12):</a:t>
          </a:r>
        </a:p>
        <a:p>
          <a:pPr marL="0" lvl="0" indent="0" algn="l" defTabSz="533400">
            <a:lnSpc>
              <a:spcPct val="90000"/>
            </a:lnSpc>
            <a:spcBef>
              <a:spcPct val="0"/>
            </a:spcBef>
            <a:spcAft>
              <a:spcPct val="35000"/>
            </a:spcAft>
            <a:buNone/>
          </a:pPr>
          <a:r>
            <a:rPr lang="en-IN" sz="1200" kern="1200"/>
            <a:t>Culturally Adapted Education ( DESMOND- Bangla in Bengali / Sylheti )</a:t>
          </a:r>
        </a:p>
      </dsp:txBody>
      <dsp:txXfrm>
        <a:off x="339603" y="932376"/>
        <a:ext cx="2708819" cy="745161"/>
      </dsp:txXfrm>
    </dsp:sp>
    <dsp:sp modelId="{9E88075E-1364-4998-AEF4-633FEC260C45}">
      <dsp:nvSpPr>
        <dsp:cNvPr id="0" name=""/>
        <dsp:cNvSpPr/>
      </dsp:nvSpPr>
      <dsp:spPr>
        <a:xfrm>
          <a:off x="632840" y="1846897"/>
          <a:ext cx="3586099" cy="791527"/>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IN" sz="1200" kern="1200"/>
            <a:t>Phase 3 (Ongoning) :</a:t>
          </a:r>
        </a:p>
        <a:p>
          <a:pPr marL="0" lvl="0" indent="0" algn="l" defTabSz="533400">
            <a:lnSpc>
              <a:spcPct val="90000"/>
            </a:lnSpc>
            <a:spcBef>
              <a:spcPct val="0"/>
            </a:spcBef>
            <a:spcAft>
              <a:spcPct val="35000"/>
            </a:spcAft>
            <a:buNone/>
          </a:pPr>
          <a:r>
            <a:rPr lang="en-IN" sz="1200" kern="1200"/>
            <a:t>PCN Clinical Optimization (Pharmacist-led SGLT2i/GLP-1 RAs</a:t>
          </a:r>
        </a:p>
      </dsp:txBody>
      <dsp:txXfrm>
        <a:off x="656023" y="1870080"/>
        <a:ext cx="2708819" cy="745161"/>
      </dsp:txXfrm>
    </dsp:sp>
    <dsp:sp modelId="{60A528FB-F531-4428-8E51-7CC47BA388C4}">
      <dsp:nvSpPr>
        <dsp:cNvPr id="0" name=""/>
        <dsp:cNvSpPr/>
      </dsp:nvSpPr>
      <dsp:spPr>
        <a:xfrm>
          <a:off x="3071606" y="600241"/>
          <a:ext cx="514492" cy="514492"/>
        </a:xfrm>
        <a:prstGeom prst="downArrow">
          <a:avLst>
            <a:gd name="adj1" fmla="val 55000"/>
            <a:gd name="adj2" fmla="val 45000"/>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endParaRPr lang="en-IN" sz="2300" kern="1200"/>
        </a:p>
      </dsp:txBody>
      <dsp:txXfrm>
        <a:off x="3187367" y="600241"/>
        <a:ext cx="282970" cy="387155"/>
      </dsp:txXfrm>
    </dsp:sp>
    <dsp:sp modelId="{32807745-F12F-4ED9-94DB-75232671BA04}">
      <dsp:nvSpPr>
        <dsp:cNvPr id="0" name=""/>
        <dsp:cNvSpPr/>
      </dsp:nvSpPr>
      <dsp:spPr>
        <a:xfrm>
          <a:off x="3388026" y="1518413"/>
          <a:ext cx="514492" cy="514492"/>
        </a:xfrm>
        <a:prstGeom prst="downArrow">
          <a:avLst>
            <a:gd name="adj1" fmla="val 55000"/>
            <a:gd name="adj2" fmla="val 45000"/>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endParaRPr lang="en-IN" sz="2300" kern="1200"/>
        </a:p>
      </dsp:txBody>
      <dsp:txXfrm>
        <a:off x="3503787" y="1518413"/>
        <a:ext cx="282970" cy="387155"/>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3608C-2D00-43CD-9D5B-6309A0F42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5079</Words>
  <Characters>28956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vatsalgajre2001@outlook.com</cp:lastModifiedBy>
  <cp:revision>2</cp:revision>
  <dcterms:created xsi:type="dcterms:W3CDTF">2026-08-16T16:04:00Z</dcterms:created>
  <dcterms:modified xsi:type="dcterms:W3CDTF">2026-08-16T16:04:00Z</dcterms:modified>
</cp:coreProperties>
</file>