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77E" w:rsidRDefault="00A2777E" w:rsidP="00A2777E">
      <w:pPr>
        <w:jc w:val="center"/>
        <w:rPr>
          <w:b/>
          <w:u w:val="single"/>
        </w:rPr>
      </w:pPr>
      <w:r>
        <w:rPr>
          <w:b/>
          <w:u w:val="single"/>
        </w:rPr>
        <w:t xml:space="preserve">The tomb of </w:t>
      </w:r>
      <w:r w:rsidRPr="00A2777E">
        <w:rPr>
          <w:b/>
          <w:u w:val="single"/>
        </w:rPr>
        <w:t>John FitzAlan, the 14</w:t>
      </w:r>
      <w:r w:rsidRPr="00A2777E">
        <w:rPr>
          <w:b/>
          <w:u w:val="single"/>
          <w:vertAlign w:val="superscript"/>
        </w:rPr>
        <w:t>th</w:t>
      </w:r>
      <w:r w:rsidRPr="00A2777E">
        <w:rPr>
          <w:b/>
          <w:u w:val="single"/>
        </w:rPr>
        <w:t xml:space="preserve"> Earl of Arundel (d.1435) in the FitzAlan Chapel, West Sussex</w:t>
      </w:r>
      <w:r>
        <w:rPr>
          <w:b/>
          <w:u w:val="single"/>
        </w:rPr>
        <w:t>: A commentary on late medieval attitudes to death, burial and the afterlife.</w:t>
      </w:r>
    </w:p>
    <w:p w:rsidR="00A2777E" w:rsidRDefault="00A2777E" w:rsidP="00A2777E">
      <w:pPr>
        <w:jc w:val="center"/>
        <w:rPr>
          <w:b/>
          <w:u w:val="single"/>
        </w:rPr>
      </w:pPr>
    </w:p>
    <w:p w:rsidR="00A2777E" w:rsidRDefault="00A2777E" w:rsidP="00A2777E">
      <w:pPr>
        <w:jc w:val="center"/>
        <w:rPr>
          <w:b/>
          <w:u w:val="single"/>
        </w:rPr>
      </w:pPr>
    </w:p>
    <w:p w:rsidR="00CA13BB" w:rsidRDefault="00CA13BB" w:rsidP="005D3F7B">
      <w:pPr>
        <w:spacing w:line="480" w:lineRule="auto"/>
        <w:jc w:val="both"/>
      </w:pPr>
      <w:r>
        <w:t>The tomb of John FitzAlan, the 14</w:t>
      </w:r>
      <w:r w:rsidRPr="00CA13BB">
        <w:rPr>
          <w:vertAlign w:val="superscript"/>
        </w:rPr>
        <w:t>th</w:t>
      </w:r>
      <w:r>
        <w:t xml:space="preserve"> Earl of Arundel is a fine example of a wider trend for what is commonly </w:t>
      </w:r>
      <w:r w:rsidR="00420A33">
        <w:t>referred</w:t>
      </w:r>
      <w:r>
        <w:t xml:space="preserve"> to as a cadaver tomb. This commentary intends to explore the wider theology and aesthetic culture surrounding this style of tomb </w:t>
      </w:r>
      <w:r w:rsidR="009143ED">
        <w:t>to</w:t>
      </w:r>
      <w:r>
        <w:t xml:space="preserve"> better shed light on the </w:t>
      </w:r>
      <w:r w:rsidR="009143ED">
        <w:t>late medieval attitude towards death, dying, burial and the afterlife. Furth</w:t>
      </w:r>
      <w:r w:rsidR="00420A33">
        <w:t>er</w:t>
      </w:r>
      <w:r w:rsidR="009143ED">
        <w:t>more</w:t>
      </w:r>
      <w:r w:rsidR="00DA3A33">
        <w:t>,</w:t>
      </w:r>
      <w:r w:rsidR="009143ED">
        <w:t xml:space="preserve"> it will explore the extent to which the cadaver tomb of John FitzAlan is </w:t>
      </w:r>
      <w:r w:rsidR="00420A33">
        <w:t>consistent</w:t>
      </w:r>
      <w:r w:rsidR="009143ED">
        <w:t xml:space="preserve"> with the funerary practices usually </w:t>
      </w:r>
      <w:r w:rsidR="00420A33">
        <w:t>associated</w:t>
      </w:r>
      <w:r w:rsidR="009143ED">
        <w:t xml:space="preserve"> with such burials.</w:t>
      </w:r>
    </w:p>
    <w:p w:rsidR="00D464E3" w:rsidRDefault="00D464E3" w:rsidP="005D3F7B">
      <w:pPr>
        <w:spacing w:line="480" w:lineRule="auto"/>
        <w:jc w:val="both"/>
      </w:pPr>
    </w:p>
    <w:p w:rsidR="001551FB" w:rsidRDefault="00420A33" w:rsidP="005D3F7B">
      <w:pPr>
        <w:spacing w:line="480" w:lineRule="auto"/>
        <w:jc w:val="both"/>
      </w:pPr>
      <w:r>
        <w:t>The roots of cadaver</w:t>
      </w:r>
      <w:r w:rsidR="001551FB">
        <w:t xml:space="preserve"> tomb ostensibly lie</w:t>
      </w:r>
      <w:r>
        <w:t xml:space="preserve"> </w:t>
      </w:r>
      <w:r w:rsidR="00BA140D">
        <w:t>the rise of the doctrine of purgatory</w:t>
      </w:r>
      <w:r w:rsidR="001551FB">
        <w:rPr>
          <w:rStyle w:val="FootnoteReference"/>
        </w:rPr>
        <w:footnoteReference w:id="1"/>
      </w:r>
      <w:r w:rsidR="001551FB">
        <w:t xml:space="preserve">, with an increased </w:t>
      </w:r>
      <w:r w:rsidR="00DA3A33">
        <w:t>cultural</w:t>
      </w:r>
      <w:r w:rsidR="001551FB">
        <w:t xml:space="preserve"> emphasis on remembering </w:t>
      </w:r>
      <w:r w:rsidR="00DA3A33">
        <w:t>one’s</w:t>
      </w:r>
      <w:r w:rsidR="001551FB">
        <w:t xml:space="preserve"> mortality. Some scholars have posited that this was an intentional power play by the church, suggesting that </w:t>
      </w:r>
      <w:r w:rsidR="001551FB" w:rsidRPr="00DA3A33">
        <w:rPr>
          <w:i/>
        </w:rPr>
        <w:t>“</w:t>
      </w:r>
      <w:r w:rsidR="007871EC" w:rsidRPr="00DA3A33">
        <w:rPr>
          <w:i/>
        </w:rPr>
        <w:t>the church deliberately set out t</w:t>
      </w:r>
      <w:r w:rsidR="00DA3A33" w:rsidRPr="00DA3A33">
        <w:rPr>
          <w:i/>
        </w:rPr>
        <w:t>o promote what has been called ‘the cult of death’ and ‘</w:t>
      </w:r>
      <w:r w:rsidR="007871EC" w:rsidRPr="00DA3A33">
        <w:rPr>
          <w:i/>
        </w:rPr>
        <w:t xml:space="preserve">the </w:t>
      </w:r>
      <w:r w:rsidR="00DA3A33" w:rsidRPr="00DA3A33">
        <w:rPr>
          <w:i/>
        </w:rPr>
        <w:t>catechism</w:t>
      </w:r>
      <w:r w:rsidR="007871EC" w:rsidRPr="00DA3A33">
        <w:rPr>
          <w:i/>
        </w:rPr>
        <w:t xml:space="preserve"> of fear’</w:t>
      </w:r>
      <w:r w:rsidR="001551FB" w:rsidRPr="00DA3A33">
        <w:rPr>
          <w:i/>
        </w:rPr>
        <w:t>”</w:t>
      </w:r>
      <w:r w:rsidR="001551FB" w:rsidRPr="00DA3A33">
        <w:rPr>
          <w:rStyle w:val="FootnoteReference"/>
          <w:i/>
        </w:rPr>
        <w:footnoteReference w:id="2"/>
      </w:r>
      <w:r w:rsidR="007871EC">
        <w:t xml:space="preserve"> because it realised that</w:t>
      </w:r>
      <w:r w:rsidR="001551FB">
        <w:t xml:space="preserve"> the changing nature of personal devotion could be a threat to papal power</w:t>
      </w:r>
      <w:r w:rsidR="001551FB">
        <w:rPr>
          <w:rStyle w:val="FootnoteReference"/>
        </w:rPr>
        <w:footnoteReference w:id="3"/>
      </w:r>
      <w:r w:rsidR="001551FB">
        <w:t>.</w:t>
      </w:r>
      <w:r w:rsidR="00362EFC">
        <w:t xml:space="preserve"> </w:t>
      </w:r>
      <w:r w:rsidR="00362EFC">
        <w:t xml:space="preserve">While cadaver effigies were used as a warning to the living against the deadly sin of pride, they were not necessarily a part of the personal narrative that bore much relation to the identity of the deceased. The necessity for such need for a pageantry in </w:t>
      </w:r>
      <w:r w:rsidR="00362EFC">
        <w:t>remembrance</w:t>
      </w:r>
      <w:r w:rsidR="00362EFC">
        <w:t xml:space="preserve"> may have ultimately boiled down to the rise in the theology of Purgatory. The growing theology of purgatory meant that the pr</w:t>
      </w:r>
      <w:r w:rsidR="00A3403E">
        <w:t>ayers and masses of the living became increasingly fundamental</w:t>
      </w:r>
      <w:r w:rsidR="00362EFC">
        <w:t xml:space="preserve"> in the afterlives of the deceased, therefore it was importan</w:t>
      </w:r>
      <w:r w:rsidR="00A3403E">
        <w:t>t that one was remembered</w:t>
      </w:r>
      <w:r w:rsidR="00A3403E">
        <w:rPr>
          <w:rStyle w:val="FootnoteReference"/>
        </w:rPr>
        <w:footnoteReference w:id="4"/>
      </w:r>
      <w:r w:rsidR="00362EFC">
        <w:t xml:space="preserve">. This may at least partly account for the growing trend for dramatic and visually </w:t>
      </w:r>
      <w:r w:rsidR="00362EFC">
        <w:lastRenderedPageBreak/>
        <w:t xml:space="preserve">compelling funerary art. </w:t>
      </w:r>
      <w:r w:rsidR="00A3403E">
        <w:t>As one commentator astutely suggests “</w:t>
      </w:r>
      <w:r w:rsidR="00362EFC">
        <w:t xml:space="preserve">The medieval faithful viewed the body as a tangible link denoting the </w:t>
      </w:r>
      <w:r w:rsidR="00A3403E">
        <w:t>presence</w:t>
      </w:r>
      <w:r w:rsidR="00362EFC">
        <w:t xml:space="preserve"> not absenc</w:t>
      </w:r>
      <w:r w:rsidR="00A3403E">
        <w:t>e of the deceased”</w:t>
      </w:r>
      <w:r w:rsidR="00A3403E">
        <w:rPr>
          <w:rStyle w:val="FootnoteReference"/>
        </w:rPr>
        <w:footnoteReference w:id="5"/>
      </w:r>
    </w:p>
    <w:p w:rsidR="005D3F7B" w:rsidRDefault="005D3F7B" w:rsidP="005D3F7B">
      <w:pPr>
        <w:spacing w:line="480" w:lineRule="auto"/>
        <w:jc w:val="both"/>
      </w:pPr>
    </w:p>
    <w:p w:rsidR="00B53E54" w:rsidRDefault="00296FF8" w:rsidP="005D3F7B">
      <w:pPr>
        <w:spacing w:line="480" w:lineRule="auto"/>
        <w:jc w:val="both"/>
      </w:pPr>
      <w:r>
        <w:t xml:space="preserve">The double decker nature of the </w:t>
      </w:r>
      <w:r w:rsidR="00FB6974">
        <w:t>tomb may have been</w:t>
      </w:r>
      <w:r w:rsidR="005C2268">
        <w:t xml:space="preserve"> indicative of the growing dualism of that was prevailing in late medieval theology. There are many examples of the body in conversation or even </w:t>
      </w:r>
      <w:r w:rsidR="00D464E3">
        <w:t>dispute with the soul</w:t>
      </w:r>
      <w:r w:rsidR="00D464E3">
        <w:rPr>
          <w:rStyle w:val="FootnoteReference"/>
        </w:rPr>
        <w:footnoteReference w:id="6"/>
      </w:r>
      <w:r w:rsidR="005C2268">
        <w:t xml:space="preserve">. </w:t>
      </w:r>
      <w:r w:rsidR="00D464E3">
        <w:t>While the juxtaposition of a rotting corpse and an effigy in peaceful reposed might lend merit to a didactic interpretation, p</w:t>
      </w:r>
      <w:r w:rsidR="00226092">
        <w:t>erhaps</w:t>
      </w:r>
      <w:r w:rsidR="00D464E3">
        <w:t xml:space="preserve"> it is not the body versus s</w:t>
      </w:r>
      <w:r w:rsidR="00226092">
        <w:t xml:space="preserve">oul </w:t>
      </w:r>
      <w:r w:rsidR="00D464E3">
        <w:t>didactic</w:t>
      </w:r>
      <w:r w:rsidR="00226092">
        <w:t xml:space="preserve"> that was being represented in the double decker tomb</w:t>
      </w:r>
      <w:r w:rsidR="00864209">
        <w:t xml:space="preserve"> so much as two different views of the body. </w:t>
      </w:r>
      <w:r w:rsidR="00DA3A33">
        <w:t>I</w:t>
      </w:r>
      <w:r w:rsidR="00D464E3">
        <w:t>n the case of John FitzAlan it could be suggested that</w:t>
      </w:r>
      <w:r w:rsidR="00864209">
        <w:t xml:space="preserve"> cadaver is used as a </w:t>
      </w:r>
      <w:r w:rsidR="00864209" w:rsidRPr="00D464E3">
        <w:rPr>
          <w:i/>
        </w:rPr>
        <w:t>memento mori</w:t>
      </w:r>
      <w:r w:rsidR="00864209">
        <w:t xml:space="preserve"> and the</w:t>
      </w:r>
      <w:r w:rsidR="00D464E3">
        <w:t xml:space="preserve"> top effigy of the</w:t>
      </w:r>
      <w:r w:rsidR="00864209">
        <w:t xml:space="preserve"> Earl in his eternal repose is a tool of </w:t>
      </w:r>
      <w:r w:rsidR="00D464E3">
        <w:t>remembrance</w:t>
      </w:r>
      <w:r w:rsidR="00D464E3">
        <w:rPr>
          <w:rStyle w:val="FootnoteReference"/>
        </w:rPr>
        <w:footnoteReference w:id="7"/>
      </w:r>
      <w:r w:rsidR="00864209">
        <w:t xml:space="preserve">. </w:t>
      </w:r>
      <w:r w:rsidR="00030E7E">
        <w:t>This is supported by the fact that in double decker monuments that are for more than one person, it has been observed that often there is only on</w:t>
      </w:r>
      <w:r w:rsidR="00D464E3">
        <w:t>e cadaver which would suggest</w:t>
      </w:r>
      <w:r w:rsidR="00D464E3" w:rsidRPr="00D464E3">
        <w:rPr>
          <w:i/>
        </w:rPr>
        <w:t xml:space="preserve"> “</w:t>
      </w:r>
      <w:r w:rsidR="00030E7E" w:rsidRPr="00D464E3">
        <w:rPr>
          <w:i/>
        </w:rPr>
        <w:t>a symbolic rather than a representative function</w:t>
      </w:r>
      <w:r w:rsidR="00D464E3" w:rsidRPr="00D464E3">
        <w:rPr>
          <w:i/>
        </w:rPr>
        <w:t>”</w:t>
      </w:r>
      <w:r w:rsidR="00D464E3">
        <w:rPr>
          <w:rStyle w:val="FootnoteReference"/>
        </w:rPr>
        <w:footnoteReference w:id="8"/>
      </w:r>
      <w:r w:rsidR="00030E7E">
        <w:t xml:space="preserve">. </w:t>
      </w:r>
      <w:r w:rsidR="00B53E54">
        <w:t>Some scholars</w:t>
      </w:r>
      <w:r w:rsidR="00D464E3">
        <w:t xml:space="preserve">, however, </w:t>
      </w:r>
      <w:r w:rsidR="00B53E54">
        <w:t xml:space="preserve">have suggested that the tombs may be both didactic and </w:t>
      </w:r>
      <w:r w:rsidR="00DA3A33">
        <w:t>commemorative</w:t>
      </w:r>
      <w:r w:rsidR="00D464E3">
        <w:rPr>
          <w:rStyle w:val="FootnoteReference"/>
        </w:rPr>
        <w:footnoteReference w:id="9"/>
      </w:r>
      <w:r w:rsidR="00B53E54">
        <w:t xml:space="preserve">. There was a great trend for the literature of the time to feature aspects of death, </w:t>
      </w:r>
      <w:r w:rsidR="00DA3A33">
        <w:t>especially</w:t>
      </w:r>
      <w:r w:rsidR="00B53E54">
        <w:t xml:space="preserve"> in the </w:t>
      </w:r>
      <w:proofErr w:type="spellStart"/>
      <w:r w:rsidR="00B53E54" w:rsidRPr="00DA3A33">
        <w:rPr>
          <w:i/>
        </w:rPr>
        <w:t>ubi</w:t>
      </w:r>
      <w:proofErr w:type="spellEnd"/>
      <w:r w:rsidR="00B53E54" w:rsidRPr="00DA3A33">
        <w:rPr>
          <w:i/>
        </w:rPr>
        <w:t xml:space="preserve"> </w:t>
      </w:r>
      <w:proofErr w:type="spellStart"/>
      <w:r w:rsidR="00B53E54" w:rsidRPr="00DA3A33">
        <w:rPr>
          <w:i/>
        </w:rPr>
        <w:t>sunt</w:t>
      </w:r>
      <w:proofErr w:type="spellEnd"/>
      <w:r w:rsidR="00B53E54">
        <w:t xml:space="preserve"> motif that asked the </w:t>
      </w:r>
      <w:r w:rsidR="00DA3A33">
        <w:t>question</w:t>
      </w:r>
      <w:r w:rsidR="00B53E54">
        <w:t xml:space="preserve"> ‘where are they now?’</w:t>
      </w:r>
      <w:r w:rsidR="00DA3A33">
        <w:rPr>
          <w:rStyle w:val="FootnoteReference"/>
        </w:rPr>
        <w:footnoteReference w:id="10"/>
      </w:r>
      <w:r w:rsidR="00DA3A33">
        <w:t>, scholars have suggested</w:t>
      </w:r>
      <w:r w:rsidR="00B53E54">
        <w:t xml:space="preserve"> that the cadaver tombs would have provided a visual answer for a popular text</w:t>
      </w:r>
      <w:r w:rsidR="00DA3A33">
        <w:rPr>
          <w:rStyle w:val="FootnoteReference"/>
        </w:rPr>
        <w:footnoteReference w:id="11"/>
      </w:r>
      <w:r w:rsidR="00B53E54">
        <w:t xml:space="preserve">. This would not be unusual as there are many examples of literature being a key stimulus for aesthetic culture, depictions of the Ars </w:t>
      </w:r>
      <w:proofErr w:type="spellStart"/>
      <w:r w:rsidR="00B53E54">
        <w:t>Morie</w:t>
      </w:r>
      <w:r w:rsidR="00DA3A33">
        <w:t>ndi</w:t>
      </w:r>
      <w:proofErr w:type="spellEnd"/>
      <w:r w:rsidR="00DA3A33">
        <w:t xml:space="preserve"> and The Three Living and The Three D</w:t>
      </w:r>
      <w:r w:rsidR="00B53E54">
        <w:t>ead being the most obvious examples. It could be suggested that, more than merely a stimulus, art was not viewed in a vacuum or by subject, but as an accompaniment for a text.</w:t>
      </w:r>
    </w:p>
    <w:p w:rsidR="00DA3A33" w:rsidRDefault="00DA3A33" w:rsidP="005D3F7B">
      <w:pPr>
        <w:spacing w:line="480" w:lineRule="auto"/>
        <w:jc w:val="both"/>
      </w:pPr>
    </w:p>
    <w:p w:rsidR="00DA3A33" w:rsidRDefault="00DA3A33" w:rsidP="00DA3A33">
      <w:pPr>
        <w:spacing w:line="480" w:lineRule="auto"/>
        <w:jc w:val="both"/>
      </w:pPr>
      <w:r>
        <w:t>The style of tomb has been shown to be potentially as much a fashion choice as anything else. Some scholars</w:t>
      </w:r>
      <w:r>
        <w:rPr>
          <w:rStyle w:val="FootnoteReference"/>
        </w:rPr>
        <w:footnoteReference w:id="12"/>
      </w:r>
      <w:r>
        <w:t>, suggest that the style of tomb was as much a political choice as a religious one.  links have been drawn between Lancastrian supporters in the 15</w:t>
      </w:r>
      <w:r w:rsidRPr="00A44A28">
        <w:rPr>
          <w:vertAlign w:val="superscript"/>
        </w:rPr>
        <w:t>th</w:t>
      </w:r>
      <w:r>
        <w:t xml:space="preserve"> century and the use of cadaver tombs and highlights that Yorkists tended to avoid the style</w:t>
      </w:r>
      <w:r>
        <w:rPr>
          <w:rStyle w:val="FootnoteReference"/>
        </w:rPr>
        <w:footnoteReference w:id="13"/>
      </w:r>
      <w:r>
        <w:t xml:space="preserve">. One writer describes this </w:t>
      </w:r>
      <w:r w:rsidRPr="00FB6974">
        <w:rPr>
          <w:i/>
        </w:rPr>
        <w:t xml:space="preserve">as “the living reinforcing their own </w:t>
      </w:r>
      <w:r w:rsidRPr="00FB6974">
        <w:rPr>
          <w:i/>
        </w:rPr>
        <w:t>allegiances</w:t>
      </w:r>
      <w:r w:rsidRPr="00FB6974">
        <w:rPr>
          <w:i/>
        </w:rPr>
        <w:t xml:space="preserve"> through the burial of the dead”</w:t>
      </w:r>
      <w:r>
        <w:rPr>
          <w:rStyle w:val="FootnoteReference"/>
        </w:rPr>
        <w:footnoteReference w:id="14"/>
      </w:r>
      <w:r>
        <w:t>. The tomb of John Barats is a fine example intertwining of the politics of Lancastrian heraldry and the anti-</w:t>
      </w:r>
      <w:r w:rsidRPr="00FB6974">
        <w:rPr>
          <w:i/>
        </w:rPr>
        <w:t>vanitas</w:t>
      </w:r>
      <w:r>
        <w:t xml:space="preserve"> message that a cadaver effigy was </w:t>
      </w:r>
      <w:r>
        <w:t>intended</w:t>
      </w:r>
      <w:r>
        <w:t xml:space="preserve"> to convey</w:t>
      </w:r>
      <w:r>
        <w:rPr>
          <w:rStyle w:val="FootnoteReference"/>
        </w:rPr>
        <w:footnoteReference w:id="15"/>
      </w:r>
      <w:r>
        <w:t>. In a similar vein</w:t>
      </w:r>
      <w:r w:rsidRPr="00FB6974">
        <w:t xml:space="preserve"> </w:t>
      </w:r>
      <w:r>
        <w:t>accounts that suggest Catherine de Medici turned down her initial cadaver tomb in favour of a more flattering repose seem equally at odd with the theological message of a cadaver tomb</w:t>
      </w:r>
      <w:r>
        <w:rPr>
          <w:rStyle w:val="FootnoteReference"/>
        </w:rPr>
        <w:footnoteReference w:id="16"/>
      </w:r>
      <w:r>
        <w:t>. These seemingly opposing messages are an excellent example of the populace taking on the imagery promoted by the church but not necessarily taking up the accompanying message.</w:t>
      </w:r>
    </w:p>
    <w:p w:rsidR="00DA3A33" w:rsidRDefault="00DA3A33" w:rsidP="005D3F7B">
      <w:pPr>
        <w:spacing w:line="480" w:lineRule="auto"/>
        <w:jc w:val="both"/>
      </w:pPr>
    </w:p>
    <w:p w:rsidR="005C416C" w:rsidRDefault="0054357F" w:rsidP="005C416C">
      <w:pPr>
        <w:spacing w:line="480" w:lineRule="auto"/>
        <w:jc w:val="both"/>
      </w:pPr>
      <w:r>
        <w:t xml:space="preserve">Despite the more sombre effect of the cadaver tombs it is necessary to understand that they were not exempt from the growing carnivalesque surrounding ritual in general during the late medieval period. </w:t>
      </w:r>
      <w:r w:rsidR="00362EFC">
        <w:t xml:space="preserve">It is </w:t>
      </w:r>
      <w:r w:rsidR="00A3403E">
        <w:t>particularly</w:t>
      </w:r>
      <w:r w:rsidR="00362EFC">
        <w:t xml:space="preserve"> easy to imagine the burials as being far less colourful than they </w:t>
      </w:r>
      <w:proofErr w:type="gramStart"/>
      <w:r w:rsidR="00362EFC">
        <w:t>actually were</w:t>
      </w:r>
      <w:proofErr w:type="gramEnd"/>
      <w:r w:rsidR="00362EFC">
        <w:t>,</w:t>
      </w:r>
      <w:r w:rsidR="00362EFC" w:rsidRPr="00362EFC">
        <w:t xml:space="preserve"> </w:t>
      </w:r>
      <w:r w:rsidR="00362EFC">
        <w:t>however, it</w:t>
      </w:r>
      <w:r w:rsidR="00362EFC">
        <w:t xml:space="preserve"> is also prudent to remember that, although in the present day most of the tombs appear in sombre stone or marble, the tombs would have been an altogether more colourful affair</w:t>
      </w:r>
      <w:r w:rsidR="00362EFC">
        <w:rPr>
          <w:rStyle w:val="FootnoteReference"/>
        </w:rPr>
        <w:footnoteReference w:id="17"/>
      </w:r>
      <w:r w:rsidR="00362EFC">
        <w:t xml:space="preserve">. </w:t>
      </w:r>
      <w:r>
        <w:t xml:space="preserve">Death was an increasingly theatrical theme and permeated late medieval culture in </w:t>
      </w:r>
      <w:r w:rsidR="00362EFC">
        <w:t>ecclesiastical</w:t>
      </w:r>
      <w:r>
        <w:t xml:space="preserve"> art and </w:t>
      </w:r>
      <w:r>
        <w:lastRenderedPageBreak/>
        <w:t>monument, literature and in the popular morality pla</w:t>
      </w:r>
      <w:r w:rsidR="00DA3A33">
        <w:t>ys of the period</w:t>
      </w:r>
      <w:r w:rsidR="00DA3A33">
        <w:rPr>
          <w:rStyle w:val="FootnoteReference"/>
        </w:rPr>
        <w:footnoteReference w:id="18"/>
      </w:r>
      <w:r w:rsidR="00362EFC">
        <w:t xml:space="preserve"> The</w:t>
      </w:r>
      <w:r w:rsidR="005C416C">
        <w:t xml:space="preserve"> flamboyant narrative driven tombs may have been influence by a wider socio-economic context. The impact of the black death lead to population decreases which, in turn lead to </w:t>
      </w:r>
      <w:r w:rsidR="00362EFC">
        <w:t>increased urbanisation. Some s</w:t>
      </w:r>
      <w:r w:rsidR="005C416C">
        <w:t>cholars</w:t>
      </w:r>
      <w:r w:rsidR="00362EFC">
        <w:rPr>
          <w:rStyle w:val="FootnoteReference"/>
        </w:rPr>
        <w:footnoteReference w:id="19"/>
      </w:r>
      <w:r w:rsidR="00362EFC">
        <w:t xml:space="preserve"> </w:t>
      </w:r>
      <w:r w:rsidR="005C416C">
        <w:t xml:space="preserve">suggest that the </w:t>
      </w:r>
      <w:r w:rsidR="00362EFC">
        <w:t>loss of place and identity associated with urbanisation</w:t>
      </w:r>
      <w:r w:rsidR="005C416C">
        <w:t xml:space="preserve"> lead to a rise in individualism that was </w:t>
      </w:r>
      <w:r w:rsidR="00362EFC">
        <w:t>specifically</w:t>
      </w:r>
      <w:r w:rsidR="005C416C">
        <w:t xml:space="preserve"> </w:t>
      </w:r>
      <w:r w:rsidR="00362EFC">
        <w:t>exhibited in</w:t>
      </w:r>
      <w:r w:rsidR="005C416C">
        <w:t xml:space="preserve"> the funerary practices of the </w:t>
      </w:r>
      <w:r w:rsidR="00362EFC">
        <w:t>time.</w:t>
      </w:r>
    </w:p>
    <w:p w:rsidR="00FB6974" w:rsidRDefault="00FB6974" w:rsidP="00FB6974">
      <w:pPr>
        <w:spacing w:line="480" w:lineRule="auto"/>
        <w:jc w:val="both"/>
      </w:pPr>
    </w:p>
    <w:p w:rsidR="00420A33" w:rsidRDefault="00420A33" w:rsidP="00420A33">
      <w:pPr>
        <w:spacing w:line="480" w:lineRule="auto"/>
        <w:jc w:val="both"/>
      </w:pPr>
    </w:p>
    <w:p w:rsidR="00FB6974" w:rsidRDefault="00DA3A33" w:rsidP="00420A33">
      <w:pPr>
        <w:spacing w:line="480" w:lineRule="auto"/>
        <w:jc w:val="both"/>
      </w:pPr>
      <w:r>
        <w:t xml:space="preserve">In conclusion, the use of images of the macabre were a strong motif across Christendom for a period of up to three hundred years </w:t>
      </w:r>
      <w:r w:rsidR="00362EFC">
        <w:t xml:space="preserve">and, as such, it is unwise to attempt a concrete statement </w:t>
      </w:r>
      <w:proofErr w:type="gramStart"/>
      <w:r w:rsidR="00A3403E">
        <w:t>in regard to</w:t>
      </w:r>
      <w:proofErr w:type="gramEnd"/>
      <w:r w:rsidR="00362EFC">
        <w:t xml:space="preserve"> how they were used. What is evident, however, is that death and funerary practices were used as a tool by both the church and the nobility </w:t>
      </w:r>
      <w:proofErr w:type="gramStart"/>
      <w:r w:rsidR="00362EFC">
        <w:t>in order to</w:t>
      </w:r>
      <w:proofErr w:type="gramEnd"/>
      <w:r w:rsidR="00362EFC">
        <w:t xml:space="preserve"> gain both self-legitimacy and heavenly security.</w:t>
      </w:r>
    </w:p>
    <w:p w:rsidR="009143ED" w:rsidRDefault="009143ED" w:rsidP="009143ED">
      <w:pPr>
        <w:spacing w:line="480" w:lineRule="auto"/>
        <w:jc w:val="both"/>
      </w:pPr>
    </w:p>
    <w:p w:rsidR="009143ED" w:rsidRDefault="009143ED" w:rsidP="009143ED">
      <w:pPr>
        <w:spacing w:line="480" w:lineRule="auto"/>
        <w:jc w:val="both"/>
      </w:pPr>
    </w:p>
    <w:p w:rsidR="005C416C" w:rsidRDefault="005C416C" w:rsidP="008A4FAF">
      <w:pPr>
        <w:spacing w:line="480" w:lineRule="auto"/>
        <w:jc w:val="both"/>
      </w:pPr>
    </w:p>
    <w:p w:rsidR="008A4FAF" w:rsidRDefault="008A4FAF" w:rsidP="005D3F7B">
      <w:pPr>
        <w:spacing w:line="480" w:lineRule="auto"/>
        <w:jc w:val="both"/>
      </w:pPr>
    </w:p>
    <w:p w:rsidR="005C416C" w:rsidRDefault="00030E7E" w:rsidP="00DA3A33">
      <w:pPr>
        <w:spacing w:line="480" w:lineRule="auto"/>
        <w:jc w:val="both"/>
      </w:pPr>
      <w:r>
        <w:t xml:space="preserve"> </w:t>
      </w:r>
    </w:p>
    <w:p w:rsidR="005D3F7B" w:rsidRDefault="005D3F7B" w:rsidP="005D3F7B">
      <w:pPr>
        <w:spacing w:line="480" w:lineRule="auto"/>
        <w:jc w:val="both"/>
        <w:rPr>
          <w:b/>
          <w:u w:val="single"/>
        </w:rPr>
      </w:pPr>
      <w:r>
        <w:rPr>
          <w:b/>
          <w:u w:val="single"/>
        </w:rPr>
        <w:t>Bibliography</w:t>
      </w:r>
    </w:p>
    <w:p w:rsidR="005C416C" w:rsidRPr="001A69BB" w:rsidRDefault="005C416C" w:rsidP="005D3F7B">
      <w:pPr>
        <w:spacing w:line="276" w:lineRule="auto"/>
        <w:jc w:val="both"/>
        <w:rPr>
          <w:sz w:val="18"/>
          <w:szCs w:val="18"/>
        </w:rPr>
      </w:pPr>
      <w:proofErr w:type="spellStart"/>
      <w:r>
        <w:rPr>
          <w:sz w:val="18"/>
          <w:szCs w:val="18"/>
        </w:rPr>
        <w:t>Badham</w:t>
      </w:r>
      <w:proofErr w:type="spellEnd"/>
      <w:r>
        <w:rPr>
          <w:sz w:val="18"/>
          <w:szCs w:val="18"/>
        </w:rPr>
        <w:t xml:space="preserve">, S </w:t>
      </w:r>
      <w:r w:rsidR="001A69BB">
        <w:rPr>
          <w:sz w:val="18"/>
          <w:szCs w:val="18"/>
        </w:rPr>
        <w:t xml:space="preserve">and </w:t>
      </w:r>
      <w:proofErr w:type="spellStart"/>
      <w:r w:rsidR="001A69BB">
        <w:rPr>
          <w:sz w:val="18"/>
          <w:szCs w:val="18"/>
        </w:rPr>
        <w:t>Oosterwijk</w:t>
      </w:r>
      <w:proofErr w:type="spellEnd"/>
      <w:r w:rsidR="001A69BB">
        <w:rPr>
          <w:sz w:val="18"/>
          <w:szCs w:val="18"/>
        </w:rPr>
        <w:t xml:space="preserve">, S ‘The Tomb Monument of Katherine, Daughter of Henry III and Eleanor of Provence (1253-7), </w:t>
      </w:r>
      <w:r w:rsidR="001A69BB">
        <w:rPr>
          <w:i/>
          <w:sz w:val="18"/>
          <w:szCs w:val="18"/>
        </w:rPr>
        <w:t>The Antiquaries Journal</w:t>
      </w:r>
      <w:r w:rsidR="001A69BB">
        <w:rPr>
          <w:sz w:val="18"/>
          <w:szCs w:val="18"/>
        </w:rPr>
        <w:t>, 92 (2012), 1 - 28</w:t>
      </w:r>
    </w:p>
    <w:p w:rsidR="005D3F7B" w:rsidRDefault="005D3F7B" w:rsidP="005D3F7B">
      <w:pPr>
        <w:spacing w:line="276" w:lineRule="auto"/>
        <w:jc w:val="both"/>
        <w:rPr>
          <w:sz w:val="18"/>
          <w:szCs w:val="18"/>
        </w:rPr>
      </w:pPr>
      <w:r w:rsidRPr="005D3F7B">
        <w:rPr>
          <w:sz w:val="18"/>
          <w:szCs w:val="18"/>
        </w:rPr>
        <w:t>Curry,</w:t>
      </w:r>
      <w:r w:rsidR="00952685">
        <w:rPr>
          <w:sz w:val="18"/>
          <w:szCs w:val="18"/>
        </w:rPr>
        <w:t xml:space="preserve"> A.</w:t>
      </w:r>
      <w:r w:rsidRPr="005D3F7B">
        <w:rPr>
          <w:sz w:val="18"/>
          <w:szCs w:val="18"/>
        </w:rPr>
        <w:t xml:space="preserve"> ‘</w:t>
      </w:r>
      <w:proofErr w:type="spellStart"/>
      <w:r w:rsidRPr="005D3F7B">
        <w:rPr>
          <w:sz w:val="18"/>
          <w:szCs w:val="18"/>
        </w:rPr>
        <w:t>Fitzalan</w:t>
      </w:r>
      <w:proofErr w:type="spellEnd"/>
      <w:r w:rsidRPr="005D3F7B">
        <w:rPr>
          <w:sz w:val="18"/>
          <w:szCs w:val="18"/>
        </w:rPr>
        <w:t>, John (VI), seventh earl of Arundel (1408–1435)’, </w:t>
      </w:r>
      <w:r w:rsidRPr="005D3F7B">
        <w:rPr>
          <w:i/>
          <w:iCs/>
          <w:sz w:val="18"/>
          <w:szCs w:val="18"/>
        </w:rPr>
        <w:t>Oxford Dictionary of National Biography</w:t>
      </w:r>
      <w:r w:rsidRPr="005D3F7B">
        <w:rPr>
          <w:sz w:val="18"/>
          <w:szCs w:val="18"/>
        </w:rPr>
        <w:t xml:space="preserve">, Oxford University Press, 2004; online </w:t>
      </w:r>
      <w:proofErr w:type="spellStart"/>
      <w:r w:rsidRPr="005D3F7B">
        <w:rPr>
          <w:sz w:val="18"/>
          <w:szCs w:val="18"/>
        </w:rPr>
        <w:t>edn</w:t>
      </w:r>
      <w:proofErr w:type="spellEnd"/>
      <w:r w:rsidRPr="005D3F7B">
        <w:rPr>
          <w:sz w:val="18"/>
          <w:szCs w:val="18"/>
        </w:rPr>
        <w:t>, Jan 2008 [http://www.oxforddnb.com/view/article/9532, accessed 14 Nov 2017]</w:t>
      </w:r>
    </w:p>
    <w:p w:rsidR="00D144BA" w:rsidRDefault="00D144BA" w:rsidP="005D3F7B">
      <w:pPr>
        <w:spacing w:line="276" w:lineRule="auto"/>
        <w:jc w:val="both"/>
        <w:rPr>
          <w:sz w:val="18"/>
          <w:szCs w:val="18"/>
        </w:rPr>
      </w:pPr>
      <w:bookmarkStart w:id="1" w:name="_Hlk498725907"/>
      <w:proofErr w:type="spellStart"/>
      <w:r>
        <w:rPr>
          <w:sz w:val="18"/>
          <w:szCs w:val="18"/>
        </w:rPr>
        <w:t>Daniell</w:t>
      </w:r>
      <w:proofErr w:type="spellEnd"/>
      <w:r>
        <w:rPr>
          <w:sz w:val="18"/>
          <w:szCs w:val="18"/>
        </w:rPr>
        <w:t xml:space="preserve">, C. </w:t>
      </w:r>
      <w:r>
        <w:rPr>
          <w:i/>
          <w:sz w:val="18"/>
          <w:szCs w:val="18"/>
        </w:rPr>
        <w:t xml:space="preserve">Death and Burial in Medieval England 1066 </w:t>
      </w:r>
      <w:r w:rsidR="009559C8">
        <w:rPr>
          <w:i/>
          <w:sz w:val="18"/>
          <w:szCs w:val="18"/>
        </w:rPr>
        <w:t>–</w:t>
      </w:r>
      <w:r>
        <w:rPr>
          <w:i/>
          <w:sz w:val="18"/>
          <w:szCs w:val="18"/>
        </w:rPr>
        <w:t xml:space="preserve"> 1550</w:t>
      </w:r>
      <w:r w:rsidR="009559C8">
        <w:rPr>
          <w:i/>
          <w:sz w:val="18"/>
          <w:szCs w:val="18"/>
        </w:rPr>
        <w:t xml:space="preserve"> </w:t>
      </w:r>
      <w:r w:rsidR="009559C8">
        <w:rPr>
          <w:sz w:val="18"/>
          <w:szCs w:val="18"/>
        </w:rPr>
        <w:t>(London: Routledge, 1997)</w:t>
      </w:r>
    </w:p>
    <w:p w:rsidR="001A69BB" w:rsidRPr="001A69BB" w:rsidRDefault="001A69BB" w:rsidP="005D3F7B">
      <w:pPr>
        <w:spacing w:line="276" w:lineRule="auto"/>
        <w:jc w:val="both"/>
        <w:rPr>
          <w:sz w:val="18"/>
          <w:szCs w:val="18"/>
        </w:rPr>
      </w:pPr>
      <w:bookmarkStart w:id="2" w:name="_Hlk498726160"/>
      <w:bookmarkEnd w:id="1"/>
      <w:r>
        <w:rPr>
          <w:sz w:val="18"/>
          <w:szCs w:val="18"/>
        </w:rPr>
        <w:lastRenderedPageBreak/>
        <w:t xml:space="preserve">King, P. ‘The Cadaver Tomb in the Late Fifteenth Century: Some </w:t>
      </w:r>
      <w:proofErr w:type="spellStart"/>
      <w:r>
        <w:rPr>
          <w:sz w:val="18"/>
          <w:szCs w:val="18"/>
        </w:rPr>
        <w:t>Indictaions</w:t>
      </w:r>
      <w:proofErr w:type="spellEnd"/>
      <w:r>
        <w:rPr>
          <w:sz w:val="18"/>
          <w:szCs w:val="18"/>
        </w:rPr>
        <w:t xml:space="preserve"> of a Lancastrian connection’ in Taylor, J (ed.). </w:t>
      </w:r>
      <w:r>
        <w:rPr>
          <w:i/>
          <w:sz w:val="18"/>
          <w:szCs w:val="18"/>
        </w:rPr>
        <w:t>Dies Illa, Death in the Middle Ages</w:t>
      </w:r>
      <w:r>
        <w:rPr>
          <w:sz w:val="18"/>
          <w:szCs w:val="18"/>
        </w:rPr>
        <w:t xml:space="preserve"> (Liverpool: Francis Cairns</w:t>
      </w:r>
      <w:r w:rsidR="00C462FA">
        <w:rPr>
          <w:sz w:val="18"/>
          <w:szCs w:val="18"/>
        </w:rPr>
        <w:t>, 1984)</w:t>
      </w:r>
    </w:p>
    <w:bookmarkEnd w:id="2"/>
    <w:p w:rsidR="001A69BB" w:rsidRPr="001A69BB" w:rsidRDefault="001A69BB" w:rsidP="005D3F7B">
      <w:pPr>
        <w:spacing w:line="276" w:lineRule="auto"/>
        <w:jc w:val="both"/>
        <w:rPr>
          <w:sz w:val="18"/>
          <w:szCs w:val="18"/>
        </w:rPr>
      </w:pPr>
      <w:proofErr w:type="spellStart"/>
      <w:r>
        <w:rPr>
          <w:sz w:val="18"/>
          <w:szCs w:val="18"/>
        </w:rPr>
        <w:t>Menache</w:t>
      </w:r>
      <w:proofErr w:type="spellEnd"/>
      <w:r>
        <w:rPr>
          <w:sz w:val="18"/>
          <w:szCs w:val="18"/>
        </w:rPr>
        <w:t xml:space="preserve">, S. </w:t>
      </w:r>
      <w:r>
        <w:rPr>
          <w:i/>
          <w:sz w:val="18"/>
          <w:szCs w:val="18"/>
        </w:rPr>
        <w:t xml:space="preserve">Vox Dei, Communication in the Middle Ages </w:t>
      </w:r>
      <w:r>
        <w:rPr>
          <w:sz w:val="18"/>
          <w:szCs w:val="18"/>
        </w:rPr>
        <w:t>(Oxford: Oxford University Press, 1990)</w:t>
      </w:r>
    </w:p>
    <w:p w:rsidR="00952685" w:rsidRDefault="00952685" w:rsidP="005D3F7B">
      <w:pPr>
        <w:spacing w:line="276" w:lineRule="auto"/>
        <w:jc w:val="both"/>
        <w:rPr>
          <w:sz w:val="18"/>
          <w:szCs w:val="18"/>
        </w:rPr>
      </w:pPr>
      <w:bookmarkStart w:id="3" w:name="_Hlk498726224"/>
      <w:proofErr w:type="spellStart"/>
      <w:r>
        <w:rPr>
          <w:sz w:val="18"/>
          <w:szCs w:val="18"/>
        </w:rPr>
        <w:t>Oosterwijk</w:t>
      </w:r>
      <w:proofErr w:type="spellEnd"/>
      <w:r>
        <w:rPr>
          <w:sz w:val="18"/>
          <w:szCs w:val="18"/>
        </w:rPr>
        <w:t xml:space="preserve">, S. ‘Food for Worms - Food for Thought: The appearance and interpretation of the ‘verminous’ cadaver in Britain and Europe’, </w:t>
      </w:r>
      <w:r>
        <w:rPr>
          <w:i/>
          <w:sz w:val="18"/>
          <w:szCs w:val="18"/>
        </w:rPr>
        <w:t xml:space="preserve">Church Monuments, </w:t>
      </w:r>
      <w:r w:rsidR="00D144BA">
        <w:rPr>
          <w:sz w:val="18"/>
          <w:szCs w:val="18"/>
        </w:rPr>
        <w:t xml:space="preserve">XX (2005), </w:t>
      </w:r>
      <w:bookmarkEnd w:id="3"/>
      <w:r w:rsidR="00D144BA">
        <w:rPr>
          <w:sz w:val="18"/>
          <w:szCs w:val="18"/>
        </w:rPr>
        <w:t>40 – 80</w:t>
      </w:r>
    </w:p>
    <w:p w:rsidR="00C462FA" w:rsidRPr="00C462FA" w:rsidRDefault="00C462FA" w:rsidP="005D3F7B">
      <w:pPr>
        <w:spacing w:line="276" w:lineRule="auto"/>
        <w:jc w:val="both"/>
        <w:rPr>
          <w:i/>
          <w:sz w:val="18"/>
          <w:szCs w:val="18"/>
        </w:rPr>
      </w:pPr>
      <w:proofErr w:type="spellStart"/>
      <w:r>
        <w:rPr>
          <w:sz w:val="18"/>
          <w:szCs w:val="18"/>
        </w:rPr>
        <w:t>Rytting</w:t>
      </w:r>
      <w:proofErr w:type="spellEnd"/>
      <w:r>
        <w:rPr>
          <w:sz w:val="18"/>
          <w:szCs w:val="18"/>
        </w:rPr>
        <w:t xml:space="preserve">, J. ‘A </w:t>
      </w:r>
      <w:proofErr w:type="spellStart"/>
      <w:r>
        <w:rPr>
          <w:sz w:val="18"/>
          <w:szCs w:val="18"/>
        </w:rPr>
        <w:t>Disputacioun</w:t>
      </w:r>
      <w:proofErr w:type="spellEnd"/>
      <w:r>
        <w:rPr>
          <w:sz w:val="18"/>
          <w:szCs w:val="18"/>
        </w:rPr>
        <w:t xml:space="preserve"> </w:t>
      </w:r>
      <w:proofErr w:type="spellStart"/>
      <w:r>
        <w:rPr>
          <w:sz w:val="18"/>
          <w:szCs w:val="18"/>
        </w:rPr>
        <w:t>Betwyx</w:t>
      </w:r>
      <w:proofErr w:type="spellEnd"/>
      <w:r>
        <w:rPr>
          <w:sz w:val="18"/>
          <w:szCs w:val="18"/>
        </w:rPr>
        <w:t xml:space="preserve"> the Body and </w:t>
      </w:r>
      <w:proofErr w:type="spellStart"/>
      <w:r>
        <w:rPr>
          <w:sz w:val="18"/>
          <w:szCs w:val="18"/>
        </w:rPr>
        <w:t>Wormes</w:t>
      </w:r>
      <w:proofErr w:type="spellEnd"/>
      <w:r>
        <w:rPr>
          <w:sz w:val="18"/>
          <w:szCs w:val="18"/>
        </w:rPr>
        <w:t xml:space="preserve">: A Translation’, </w:t>
      </w:r>
      <w:r>
        <w:rPr>
          <w:i/>
          <w:sz w:val="18"/>
          <w:szCs w:val="18"/>
        </w:rPr>
        <w:t>Comitatus: A Journal of Medieval and Renaissance Studies</w:t>
      </w:r>
      <w:r>
        <w:rPr>
          <w:sz w:val="18"/>
          <w:szCs w:val="18"/>
        </w:rPr>
        <w:t>, Vol 31, No. 1 (2000) 217 - 232</w:t>
      </w:r>
      <w:r>
        <w:rPr>
          <w:i/>
          <w:sz w:val="18"/>
          <w:szCs w:val="18"/>
        </w:rPr>
        <w:t xml:space="preserve"> </w:t>
      </w:r>
    </w:p>
    <w:p w:rsidR="009559C8" w:rsidRDefault="009559C8" w:rsidP="005D3F7B">
      <w:pPr>
        <w:spacing w:line="276" w:lineRule="auto"/>
        <w:jc w:val="both"/>
        <w:rPr>
          <w:sz w:val="18"/>
          <w:szCs w:val="18"/>
        </w:rPr>
      </w:pPr>
      <w:r>
        <w:rPr>
          <w:sz w:val="18"/>
          <w:szCs w:val="18"/>
        </w:rPr>
        <w:t xml:space="preserve">Stanford, C. ‘The Body at the Funeral: Imagery and Commemoration at Notre-Dame, Paris, about 1304-18’, </w:t>
      </w:r>
      <w:r>
        <w:rPr>
          <w:i/>
          <w:sz w:val="18"/>
          <w:szCs w:val="18"/>
        </w:rPr>
        <w:t>The Art Bulletin</w:t>
      </w:r>
      <w:r w:rsidR="005C416C">
        <w:rPr>
          <w:sz w:val="18"/>
          <w:szCs w:val="18"/>
        </w:rPr>
        <w:t>, Vol 89, No.4 (2007), 657 – 673</w:t>
      </w:r>
    </w:p>
    <w:p w:rsidR="005C416C" w:rsidRPr="009559C8" w:rsidRDefault="005C416C" w:rsidP="005D3F7B">
      <w:pPr>
        <w:spacing w:line="276" w:lineRule="auto"/>
        <w:jc w:val="both"/>
        <w:rPr>
          <w:sz w:val="18"/>
          <w:szCs w:val="18"/>
        </w:rPr>
      </w:pPr>
    </w:p>
    <w:p w:rsidR="00D144BA" w:rsidRPr="00952685" w:rsidRDefault="00D144BA" w:rsidP="005D3F7B">
      <w:pPr>
        <w:spacing w:line="276" w:lineRule="auto"/>
        <w:jc w:val="both"/>
        <w:rPr>
          <w:sz w:val="18"/>
          <w:szCs w:val="18"/>
        </w:rPr>
      </w:pPr>
    </w:p>
    <w:p w:rsidR="008D30A3" w:rsidRDefault="008D30A3" w:rsidP="005D3F7B">
      <w:pPr>
        <w:spacing w:line="480" w:lineRule="auto"/>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A2777E">
      <w:pPr>
        <w:jc w:val="center"/>
      </w:pPr>
    </w:p>
    <w:p w:rsidR="008D30A3" w:rsidRDefault="008D30A3" w:rsidP="005D3F7B">
      <w:pPr>
        <w:spacing w:line="480" w:lineRule="auto"/>
        <w:jc w:val="both"/>
      </w:pPr>
    </w:p>
    <w:p w:rsidR="00973F0C" w:rsidRPr="00A2777E" w:rsidRDefault="00A72AA7" w:rsidP="00A2777E">
      <w:pPr>
        <w:jc w:val="center"/>
        <w:rPr>
          <w:b/>
          <w:u w:val="single"/>
        </w:rPr>
      </w:pPr>
      <w:r>
        <w:t xml:space="preserve"> </w:t>
      </w:r>
      <w:r w:rsidR="00A2777E">
        <w:rPr>
          <w:b/>
          <w:u w:val="single"/>
        </w:rPr>
        <w:t xml:space="preserve"> </w:t>
      </w:r>
    </w:p>
    <w:sectPr w:rsidR="00973F0C" w:rsidRPr="00A277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07BD" w:rsidRDefault="00C507BD" w:rsidP="001551FB">
      <w:pPr>
        <w:spacing w:after="0" w:line="240" w:lineRule="auto"/>
      </w:pPr>
      <w:r>
        <w:separator/>
      </w:r>
    </w:p>
  </w:endnote>
  <w:endnote w:type="continuationSeparator" w:id="0">
    <w:p w:rsidR="00C507BD" w:rsidRDefault="00C507BD" w:rsidP="00155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07BD" w:rsidRDefault="00C507BD" w:rsidP="001551FB">
      <w:pPr>
        <w:spacing w:after="0" w:line="240" w:lineRule="auto"/>
      </w:pPr>
      <w:r>
        <w:separator/>
      </w:r>
    </w:p>
  </w:footnote>
  <w:footnote w:type="continuationSeparator" w:id="0">
    <w:p w:rsidR="00C507BD" w:rsidRDefault="00C507BD" w:rsidP="001551FB">
      <w:pPr>
        <w:spacing w:after="0" w:line="240" w:lineRule="auto"/>
      </w:pPr>
      <w:r>
        <w:continuationSeparator/>
      </w:r>
    </w:p>
  </w:footnote>
  <w:footnote w:id="1">
    <w:p w:rsidR="00A3403E" w:rsidRPr="00A3403E" w:rsidRDefault="001551FB" w:rsidP="00A3403E">
      <w:pPr>
        <w:spacing w:line="240" w:lineRule="auto"/>
        <w:jc w:val="both"/>
        <w:rPr>
          <w:sz w:val="16"/>
          <w:szCs w:val="16"/>
        </w:rPr>
      </w:pPr>
      <w:r w:rsidRPr="00A3403E">
        <w:rPr>
          <w:rStyle w:val="FootnoteReference"/>
          <w:sz w:val="16"/>
          <w:szCs w:val="16"/>
        </w:rPr>
        <w:footnoteRef/>
      </w:r>
      <w:proofErr w:type="spellStart"/>
      <w:r w:rsidR="00A3403E" w:rsidRPr="00A3403E">
        <w:rPr>
          <w:sz w:val="16"/>
          <w:szCs w:val="16"/>
        </w:rPr>
        <w:t>Daniell</w:t>
      </w:r>
      <w:proofErr w:type="spellEnd"/>
      <w:r w:rsidR="00A3403E" w:rsidRPr="00A3403E">
        <w:rPr>
          <w:sz w:val="16"/>
          <w:szCs w:val="16"/>
        </w:rPr>
        <w:t xml:space="preserve">, C. </w:t>
      </w:r>
      <w:r w:rsidR="00A3403E" w:rsidRPr="00A3403E">
        <w:rPr>
          <w:i/>
          <w:sz w:val="16"/>
          <w:szCs w:val="16"/>
        </w:rPr>
        <w:t xml:space="preserve">Death and Burial in Medieval England 1066 – 1550 </w:t>
      </w:r>
      <w:r w:rsidR="00A3403E" w:rsidRPr="00A3403E">
        <w:rPr>
          <w:sz w:val="16"/>
          <w:szCs w:val="16"/>
        </w:rPr>
        <w:t>(London: Routledge, 1997)</w:t>
      </w:r>
    </w:p>
    <w:p w:rsidR="001551FB" w:rsidRPr="00A3403E" w:rsidRDefault="001551FB" w:rsidP="00A3403E">
      <w:pPr>
        <w:pStyle w:val="FootnoteText"/>
        <w:rPr>
          <w:sz w:val="16"/>
          <w:szCs w:val="16"/>
        </w:rPr>
      </w:pPr>
      <w:r w:rsidRPr="00A3403E">
        <w:rPr>
          <w:sz w:val="16"/>
          <w:szCs w:val="16"/>
        </w:rPr>
        <w:t xml:space="preserve"> 181</w:t>
      </w:r>
    </w:p>
  </w:footnote>
  <w:footnote w:id="2">
    <w:p w:rsidR="00A3403E" w:rsidRPr="00A3403E" w:rsidRDefault="001551FB" w:rsidP="00A3403E">
      <w:pPr>
        <w:spacing w:line="240" w:lineRule="auto"/>
        <w:jc w:val="both"/>
        <w:rPr>
          <w:sz w:val="16"/>
          <w:szCs w:val="16"/>
        </w:rPr>
      </w:pPr>
      <w:r w:rsidRPr="00A3403E">
        <w:rPr>
          <w:rStyle w:val="FootnoteReference"/>
          <w:sz w:val="16"/>
          <w:szCs w:val="16"/>
        </w:rPr>
        <w:footnoteRef/>
      </w:r>
      <w:r w:rsidR="00A3403E" w:rsidRPr="00A3403E">
        <w:rPr>
          <w:sz w:val="16"/>
          <w:szCs w:val="16"/>
        </w:rPr>
        <w:t xml:space="preserve"> </w:t>
      </w:r>
      <w:proofErr w:type="spellStart"/>
      <w:r w:rsidR="00A3403E" w:rsidRPr="00A3403E">
        <w:rPr>
          <w:sz w:val="16"/>
          <w:szCs w:val="16"/>
        </w:rPr>
        <w:t>Daniell</w:t>
      </w:r>
      <w:proofErr w:type="spellEnd"/>
      <w:r w:rsidR="00A3403E" w:rsidRPr="00A3403E">
        <w:rPr>
          <w:sz w:val="16"/>
          <w:szCs w:val="16"/>
        </w:rPr>
        <w:t xml:space="preserve">, C. </w:t>
      </w:r>
      <w:r w:rsidR="00A3403E" w:rsidRPr="00A3403E">
        <w:rPr>
          <w:i/>
          <w:sz w:val="16"/>
          <w:szCs w:val="16"/>
        </w:rPr>
        <w:t xml:space="preserve">Death and Burial in Medieval England 1066 – 1550 </w:t>
      </w:r>
      <w:r w:rsidR="00A3403E" w:rsidRPr="00A3403E">
        <w:rPr>
          <w:sz w:val="16"/>
          <w:szCs w:val="16"/>
        </w:rPr>
        <w:t>(London: Routledge, 1997)</w:t>
      </w:r>
    </w:p>
    <w:p w:rsidR="001551FB" w:rsidRPr="00A3403E" w:rsidRDefault="001551FB" w:rsidP="00A3403E">
      <w:pPr>
        <w:pStyle w:val="FootnoteText"/>
        <w:rPr>
          <w:sz w:val="16"/>
          <w:szCs w:val="16"/>
        </w:rPr>
      </w:pPr>
      <w:r w:rsidRPr="00A3403E">
        <w:rPr>
          <w:sz w:val="16"/>
          <w:szCs w:val="16"/>
        </w:rPr>
        <w:t xml:space="preserve"> 183</w:t>
      </w:r>
    </w:p>
  </w:footnote>
  <w:footnote w:id="3">
    <w:p w:rsidR="001551FB" w:rsidRPr="00A3403E" w:rsidRDefault="001551FB" w:rsidP="00A3403E">
      <w:pPr>
        <w:spacing w:line="240" w:lineRule="auto"/>
        <w:jc w:val="both"/>
        <w:rPr>
          <w:sz w:val="16"/>
          <w:szCs w:val="16"/>
        </w:rPr>
      </w:pPr>
      <w:r w:rsidRPr="00A3403E">
        <w:rPr>
          <w:rStyle w:val="FootnoteReference"/>
          <w:sz w:val="16"/>
          <w:szCs w:val="16"/>
        </w:rPr>
        <w:footnoteRef/>
      </w:r>
      <w:r w:rsidR="00A3403E" w:rsidRPr="00A3403E">
        <w:rPr>
          <w:sz w:val="16"/>
          <w:szCs w:val="16"/>
        </w:rPr>
        <w:t xml:space="preserve">  </w:t>
      </w:r>
      <w:proofErr w:type="spellStart"/>
      <w:r w:rsidR="00A3403E" w:rsidRPr="00A3403E">
        <w:rPr>
          <w:sz w:val="16"/>
          <w:szCs w:val="16"/>
        </w:rPr>
        <w:t>Menache</w:t>
      </w:r>
      <w:proofErr w:type="spellEnd"/>
      <w:r w:rsidR="00A3403E" w:rsidRPr="00A3403E">
        <w:rPr>
          <w:sz w:val="16"/>
          <w:szCs w:val="16"/>
        </w:rPr>
        <w:t xml:space="preserve">, S. </w:t>
      </w:r>
      <w:r w:rsidR="00A3403E" w:rsidRPr="00A3403E">
        <w:rPr>
          <w:i/>
          <w:sz w:val="16"/>
          <w:szCs w:val="16"/>
        </w:rPr>
        <w:t xml:space="preserve">Vox Dei, Communication in the Middle Ages </w:t>
      </w:r>
      <w:r w:rsidR="00A3403E" w:rsidRPr="00A3403E">
        <w:rPr>
          <w:sz w:val="16"/>
          <w:szCs w:val="16"/>
        </w:rPr>
        <w:t>(Oxford: Oxford University Press, 1990)</w:t>
      </w:r>
      <w:r w:rsidR="00A3403E" w:rsidRPr="00A3403E">
        <w:rPr>
          <w:sz w:val="16"/>
          <w:szCs w:val="16"/>
        </w:rPr>
        <w:t xml:space="preserve"> 82</w:t>
      </w:r>
      <w:bookmarkStart w:id="0" w:name="_GoBack"/>
      <w:bookmarkEnd w:id="0"/>
    </w:p>
  </w:footnote>
  <w:footnote w:id="4">
    <w:p w:rsidR="00A3403E" w:rsidRPr="00A3403E" w:rsidRDefault="00A3403E" w:rsidP="00A3403E">
      <w:pPr>
        <w:spacing w:line="240" w:lineRule="auto"/>
        <w:jc w:val="both"/>
        <w:rPr>
          <w:sz w:val="16"/>
          <w:szCs w:val="16"/>
        </w:rPr>
      </w:pPr>
      <w:r w:rsidRPr="00A3403E">
        <w:rPr>
          <w:rStyle w:val="FootnoteReference"/>
          <w:sz w:val="16"/>
          <w:szCs w:val="16"/>
        </w:rPr>
        <w:footnoteRef/>
      </w:r>
      <w:r w:rsidRPr="00A3403E">
        <w:rPr>
          <w:sz w:val="16"/>
          <w:szCs w:val="16"/>
        </w:rPr>
        <w:t xml:space="preserve"> </w:t>
      </w:r>
      <w:proofErr w:type="spellStart"/>
      <w:r w:rsidRPr="00A3403E">
        <w:rPr>
          <w:sz w:val="16"/>
          <w:szCs w:val="16"/>
        </w:rPr>
        <w:t>Daniell</w:t>
      </w:r>
      <w:proofErr w:type="spellEnd"/>
      <w:r w:rsidRPr="00A3403E">
        <w:rPr>
          <w:sz w:val="16"/>
          <w:szCs w:val="16"/>
        </w:rPr>
        <w:t xml:space="preserve">, C. </w:t>
      </w:r>
      <w:r w:rsidRPr="00A3403E">
        <w:rPr>
          <w:i/>
          <w:sz w:val="16"/>
          <w:szCs w:val="16"/>
        </w:rPr>
        <w:t xml:space="preserve">Death and Burial in Medieval England 1066 – 1550 </w:t>
      </w:r>
      <w:r w:rsidRPr="00A3403E">
        <w:rPr>
          <w:sz w:val="16"/>
          <w:szCs w:val="16"/>
        </w:rPr>
        <w:t>(London: Routledge, 1997)</w:t>
      </w:r>
    </w:p>
    <w:p w:rsidR="00A3403E" w:rsidRPr="00A3403E" w:rsidRDefault="00A3403E" w:rsidP="00A3403E">
      <w:pPr>
        <w:pStyle w:val="FootnoteText"/>
        <w:rPr>
          <w:sz w:val="16"/>
          <w:szCs w:val="16"/>
        </w:rPr>
      </w:pPr>
      <w:r w:rsidRPr="00A3403E">
        <w:rPr>
          <w:sz w:val="16"/>
          <w:szCs w:val="16"/>
        </w:rPr>
        <w:t xml:space="preserve"> 187</w:t>
      </w:r>
    </w:p>
  </w:footnote>
  <w:footnote w:id="5">
    <w:p w:rsidR="00A3403E" w:rsidRPr="00A3403E" w:rsidRDefault="00A3403E" w:rsidP="00A3403E">
      <w:pPr>
        <w:pStyle w:val="FootnoteText"/>
        <w:rPr>
          <w:sz w:val="16"/>
          <w:szCs w:val="16"/>
        </w:rPr>
      </w:pPr>
      <w:r w:rsidRPr="00A3403E">
        <w:rPr>
          <w:rStyle w:val="FootnoteReference"/>
          <w:sz w:val="16"/>
          <w:szCs w:val="16"/>
        </w:rPr>
        <w:footnoteRef/>
      </w:r>
      <w:r w:rsidRPr="00A3403E">
        <w:rPr>
          <w:sz w:val="16"/>
          <w:szCs w:val="16"/>
        </w:rPr>
        <w:t xml:space="preserve"> </w:t>
      </w:r>
      <w:r w:rsidRPr="00A3403E">
        <w:rPr>
          <w:sz w:val="16"/>
          <w:szCs w:val="16"/>
        </w:rPr>
        <w:t xml:space="preserve">Stanford, C. ‘The Body at the Funeral: Imagery and Commemoration at Notre-Dame, Paris, about 1304-18’, </w:t>
      </w:r>
      <w:r w:rsidRPr="00A3403E">
        <w:rPr>
          <w:i/>
          <w:sz w:val="16"/>
          <w:szCs w:val="16"/>
        </w:rPr>
        <w:t>The Art Bulletin</w:t>
      </w:r>
      <w:r w:rsidRPr="00A3403E">
        <w:rPr>
          <w:sz w:val="16"/>
          <w:szCs w:val="16"/>
        </w:rPr>
        <w:t>, Vol 89, No.4 (2007)</w:t>
      </w:r>
      <w:r w:rsidRPr="00A3403E">
        <w:rPr>
          <w:sz w:val="16"/>
          <w:szCs w:val="16"/>
        </w:rPr>
        <w:t>666</w:t>
      </w:r>
    </w:p>
  </w:footnote>
  <w:footnote w:id="6">
    <w:p w:rsidR="00D464E3" w:rsidRPr="00A3403E" w:rsidRDefault="00D464E3" w:rsidP="00A3403E">
      <w:pPr>
        <w:spacing w:line="240" w:lineRule="auto"/>
        <w:jc w:val="both"/>
        <w:rPr>
          <w:sz w:val="16"/>
          <w:szCs w:val="16"/>
        </w:rPr>
      </w:pPr>
      <w:r w:rsidRPr="00A3403E">
        <w:rPr>
          <w:rStyle w:val="FootnoteReference"/>
          <w:sz w:val="16"/>
          <w:szCs w:val="16"/>
        </w:rPr>
        <w:footnoteRef/>
      </w:r>
      <w:r w:rsidRPr="00A3403E">
        <w:rPr>
          <w:sz w:val="16"/>
          <w:szCs w:val="16"/>
        </w:rPr>
        <w:t xml:space="preserve"> </w:t>
      </w:r>
      <w:proofErr w:type="spellStart"/>
      <w:r w:rsidR="00A3403E" w:rsidRPr="00A3403E">
        <w:rPr>
          <w:sz w:val="16"/>
          <w:szCs w:val="16"/>
        </w:rPr>
        <w:t>Daniell</w:t>
      </w:r>
      <w:proofErr w:type="spellEnd"/>
      <w:r w:rsidR="00A3403E" w:rsidRPr="00A3403E">
        <w:rPr>
          <w:sz w:val="16"/>
          <w:szCs w:val="16"/>
        </w:rPr>
        <w:t xml:space="preserve">, C. </w:t>
      </w:r>
      <w:r w:rsidR="00A3403E" w:rsidRPr="00A3403E">
        <w:rPr>
          <w:i/>
          <w:sz w:val="16"/>
          <w:szCs w:val="16"/>
        </w:rPr>
        <w:t xml:space="preserve">Death and Burial in Medieval England 1066 – 1550 </w:t>
      </w:r>
      <w:r w:rsidR="00A3403E" w:rsidRPr="00A3403E">
        <w:rPr>
          <w:sz w:val="16"/>
          <w:szCs w:val="16"/>
        </w:rPr>
        <w:t>(London: Routledge, 1997)</w:t>
      </w:r>
      <w:r w:rsidRPr="00A3403E">
        <w:rPr>
          <w:sz w:val="16"/>
          <w:szCs w:val="16"/>
        </w:rPr>
        <w:t xml:space="preserve"> 70</w:t>
      </w:r>
    </w:p>
  </w:footnote>
  <w:footnote w:id="7">
    <w:p w:rsidR="00D464E3" w:rsidRPr="00A3403E" w:rsidRDefault="00D464E3" w:rsidP="00A3403E">
      <w:pPr>
        <w:pStyle w:val="FootnoteText"/>
        <w:rPr>
          <w:sz w:val="16"/>
          <w:szCs w:val="16"/>
        </w:rPr>
      </w:pPr>
      <w:r w:rsidRPr="00A3403E">
        <w:rPr>
          <w:rStyle w:val="FootnoteReference"/>
          <w:sz w:val="16"/>
          <w:szCs w:val="16"/>
        </w:rPr>
        <w:footnoteRef/>
      </w:r>
      <w:r w:rsidRPr="00A3403E">
        <w:rPr>
          <w:sz w:val="16"/>
          <w:szCs w:val="16"/>
        </w:rPr>
        <w:t xml:space="preserve"> </w:t>
      </w:r>
      <w:r w:rsidR="00A3403E" w:rsidRPr="00A3403E">
        <w:rPr>
          <w:rStyle w:val="FootnoteReference"/>
          <w:sz w:val="16"/>
          <w:szCs w:val="16"/>
        </w:rPr>
        <w:footnoteRef/>
      </w:r>
      <w:r w:rsidR="00A3403E" w:rsidRPr="00A3403E">
        <w:rPr>
          <w:sz w:val="16"/>
          <w:szCs w:val="16"/>
        </w:rPr>
        <w:t xml:space="preserve"> Stanford, C. ‘The Body at the Funeral: Imagery and Commemoration at Notre-Dame, Paris, about 1304-18’, </w:t>
      </w:r>
      <w:r w:rsidR="00A3403E" w:rsidRPr="00A3403E">
        <w:rPr>
          <w:i/>
          <w:sz w:val="16"/>
          <w:szCs w:val="16"/>
        </w:rPr>
        <w:t>The Art Bulletin</w:t>
      </w:r>
      <w:r w:rsidR="00A3403E" w:rsidRPr="00A3403E">
        <w:rPr>
          <w:sz w:val="16"/>
          <w:szCs w:val="16"/>
        </w:rPr>
        <w:t>, Vol 89, No.4 (2007)666</w:t>
      </w:r>
    </w:p>
  </w:footnote>
  <w:footnote w:id="8">
    <w:p w:rsidR="00D464E3" w:rsidRPr="00A3403E" w:rsidRDefault="00D464E3" w:rsidP="00A3403E">
      <w:pPr>
        <w:pStyle w:val="FootnoteText"/>
        <w:rPr>
          <w:sz w:val="16"/>
          <w:szCs w:val="16"/>
        </w:rPr>
      </w:pPr>
      <w:r w:rsidRPr="00A3403E">
        <w:rPr>
          <w:rStyle w:val="FootnoteReference"/>
          <w:sz w:val="16"/>
          <w:szCs w:val="16"/>
        </w:rPr>
        <w:footnoteRef/>
      </w:r>
      <w:r w:rsidRPr="00A3403E">
        <w:rPr>
          <w:sz w:val="16"/>
          <w:szCs w:val="16"/>
        </w:rPr>
        <w:t xml:space="preserve"> </w:t>
      </w:r>
      <w:proofErr w:type="spellStart"/>
      <w:r w:rsidR="00A3403E" w:rsidRPr="00A3403E">
        <w:rPr>
          <w:sz w:val="16"/>
          <w:szCs w:val="16"/>
        </w:rPr>
        <w:t>Oosterwijk</w:t>
      </w:r>
      <w:proofErr w:type="spellEnd"/>
      <w:r w:rsidR="00A3403E" w:rsidRPr="00A3403E">
        <w:rPr>
          <w:sz w:val="16"/>
          <w:szCs w:val="16"/>
        </w:rPr>
        <w:t xml:space="preserve">, S. ‘Food for Worms - Food for Thought: The appearance and interpretation of the ‘verminous’ cadaver in Britain and Europe’, </w:t>
      </w:r>
      <w:r w:rsidR="00A3403E" w:rsidRPr="00A3403E">
        <w:rPr>
          <w:i/>
          <w:sz w:val="16"/>
          <w:szCs w:val="16"/>
        </w:rPr>
        <w:t xml:space="preserve">Church Monuments, </w:t>
      </w:r>
      <w:r w:rsidR="00A3403E" w:rsidRPr="00A3403E">
        <w:rPr>
          <w:sz w:val="16"/>
          <w:szCs w:val="16"/>
        </w:rPr>
        <w:t xml:space="preserve">XX (2005), </w:t>
      </w:r>
      <w:r w:rsidRPr="00A3403E">
        <w:rPr>
          <w:sz w:val="16"/>
          <w:szCs w:val="16"/>
        </w:rPr>
        <w:t>45</w:t>
      </w:r>
    </w:p>
  </w:footnote>
  <w:footnote w:id="9">
    <w:p w:rsidR="00D464E3" w:rsidRPr="00A3403E" w:rsidRDefault="00D464E3" w:rsidP="00A3403E">
      <w:pPr>
        <w:pStyle w:val="FootnoteText"/>
        <w:rPr>
          <w:sz w:val="16"/>
          <w:szCs w:val="16"/>
        </w:rPr>
      </w:pPr>
      <w:r w:rsidRPr="00A3403E">
        <w:rPr>
          <w:rStyle w:val="FootnoteReference"/>
          <w:sz w:val="16"/>
          <w:szCs w:val="16"/>
        </w:rPr>
        <w:footnoteRef/>
      </w:r>
      <w:r w:rsidRPr="00A3403E">
        <w:rPr>
          <w:sz w:val="16"/>
          <w:szCs w:val="16"/>
        </w:rPr>
        <w:t xml:space="preserve"> </w:t>
      </w:r>
      <w:proofErr w:type="spellStart"/>
      <w:r w:rsidR="00A3403E" w:rsidRPr="00A3403E">
        <w:rPr>
          <w:sz w:val="16"/>
          <w:szCs w:val="16"/>
        </w:rPr>
        <w:t>Oosterwijk</w:t>
      </w:r>
      <w:proofErr w:type="spellEnd"/>
      <w:r w:rsidR="00A3403E" w:rsidRPr="00A3403E">
        <w:rPr>
          <w:sz w:val="16"/>
          <w:szCs w:val="16"/>
        </w:rPr>
        <w:t xml:space="preserve">, S. ‘Food for Worms - Food for Thought: The appearance and interpretation of the ‘verminous’ cadaver in Britain and Europe’, </w:t>
      </w:r>
      <w:r w:rsidR="00A3403E" w:rsidRPr="00A3403E">
        <w:rPr>
          <w:i/>
          <w:sz w:val="16"/>
          <w:szCs w:val="16"/>
        </w:rPr>
        <w:t xml:space="preserve">Church Monuments, </w:t>
      </w:r>
      <w:r w:rsidR="00A3403E" w:rsidRPr="00A3403E">
        <w:rPr>
          <w:sz w:val="16"/>
          <w:szCs w:val="16"/>
        </w:rPr>
        <w:t>XX (2005</w:t>
      </w:r>
      <w:proofErr w:type="gramStart"/>
      <w:r w:rsidR="00A3403E" w:rsidRPr="00A3403E">
        <w:rPr>
          <w:sz w:val="16"/>
          <w:szCs w:val="16"/>
        </w:rPr>
        <w:t xml:space="preserve">), </w:t>
      </w:r>
      <w:r w:rsidRPr="00A3403E">
        <w:rPr>
          <w:sz w:val="16"/>
          <w:szCs w:val="16"/>
        </w:rPr>
        <w:t xml:space="preserve"> 47</w:t>
      </w:r>
      <w:proofErr w:type="gramEnd"/>
    </w:p>
  </w:footnote>
  <w:footnote w:id="10">
    <w:p w:rsidR="00DA3A33" w:rsidRPr="00A3403E" w:rsidRDefault="00DA3A33" w:rsidP="00A3403E">
      <w:pPr>
        <w:pStyle w:val="FootnoteText"/>
        <w:rPr>
          <w:sz w:val="16"/>
          <w:szCs w:val="16"/>
        </w:rPr>
      </w:pPr>
      <w:r w:rsidRPr="00A3403E">
        <w:rPr>
          <w:rStyle w:val="FootnoteReference"/>
          <w:sz w:val="16"/>
          <w:szCs w:val="16"/>
        </w:rPr>
        <w:footnoteRef/>
      </w:r>
      <w:r w:rsidRPr="00A3403E">
        <w:rPr>
          <w:sz w:val="16"/>
          <w:szCs w:val="16"/>
        </w:rPr>
        <w:t xml:space="preserve"> Ibid </w:t>
      </w:r>
    </w:p>
  </w:footnote>
  <w:footnote w:id="11">
    <w:p w:rsidR="00DA3A33" w:rsidRPr="00A3403E" w:rsidRDefault="00DA3A33" w:rsidP="00A3403E">
      <w:pPr>
        <w:pStyle w:val="FootnoteText"/>
        <w:rPr>
          <w:sz w:val="16"/>
          <w:szCs w:val="16"/>
        </w:rPr>
      </w:pPr>
      <w:r w:rsidRPr="00A3403E">
        <w:rPr>
          <w:rStyle w:val="FootnoteReference"/>
          <w:sz w:val="16"/>
          <w:szCs w:val="16"/>
        </w:rPr>
        <w:footnoteRef/>
      </w:r>
      <w:r w:rsidRPr="00A3403E">
        <w:rPr>
          <w:sz w:val="16"/>
          <w:szCs w:val="16"/>
        </w:rPr>
        <w:t xml:space="preserve"> Ibid </w:t>
      </w:r>
    </w:p>
  </w:footnote>
  <w:footnote w:id="12">
    <w:p w:rsidR="00A3403E" w:rsidRPr="00A3403E" w:rsidRDefault="00DA3A33" w:rsidP="00A3403E">
      <w:pPr>
        <w:spacing w:line="240" w:lineRule="auto"/>
        <w:jc w:val="both"/>
        <w:rPr>
          <w:sz w:val="16"/>
          <w:szCs w:val="16"/>
        </w:rPr>
      </w:pPr>
      <w:r w:rsidRPr="00A3403E">
        <w:rPr>
          <w:rStyle w:val="FootnoteReference"/>
          <w:sz w:val="16"/>
          <w:szCs w:val="16"/>
        </w:rPr>
        <w:footnoteRef/>
      </w:r>
      <w:r w:rsidR="00A3403E" w:rsidRPr="00A3403E">
        <w:rPr>
          <w:sz w:val="16"/>
          <w:szCs w:val="16"/>
        </w:rPr>
        <w:t xml:space="preserve"> </w:t>
      </w:r>
      <w:r w:rsidR="00A3403E" w:rsidRPr="00A3403E">
        <w:rPr>
          <w:sz w:val="16"/>
          <w:szCs w:val="16"/>
        </w:rPr>
        <w:t xml:space="preserve">King, P. ‘The Cadaver Tomb in the Late Fifteenth Century: Some </w:t>
      </w:r>
      <w:proofErr w:type="spellStart"/>
      <w:r w:rsidR="00A3403E" w:rsidRPr="00A3403E">
        <w:rPr>
          <w:sz w:val="16"/>
          <w:szCs w:val="16"/>
        </w:rPr>
        <w:t>Indictaions</w:t>
      </w:r>
      <w:proofErr w:type="spellEnd"/>
      <w:r w:rsidR="00A3403E" w:rsidRPr="00A3403E">
        <w:rPr>
          <w:sz w:val="16"/>
          <w:szCs w:val="16"/>
        </w:rPr>
        <w:t xml:space="preserve"> of a Lancastrian connection’ in Taylor, J (ed.). </w:t>
      </w:r>
      <w:r w:rsidR="00A3403E" w:rsidRPr="00A3403E">
        <w:rPr>
          <w:i/>
          <w:sz w:val="16"/>
          <w:szCs w:val="16"/>
        </w:rPr>
        <w:t>Dies Illa, Death in the Middle Ages</w:t>
      </w:r>
      <w:r w:rsidR="00A3403E" w:rsidRPr="00A3403E">
        <w:rPr>
          <w:sz w:val="16"/>
          <w:szCs w:val="16"/>
        </w:rPr>
        <w:t xml:space="preserve"> (Liverpool: Francis Cairns, 1984)</w:t>
      </w:r>
      <w:r w:rsidR="00A3403E" w:rsidRPr="00A3403E">
        <w:rPr>
          <w:sz w:val="16"/>
          <w:szCs w:val="16"/>
        </w:rPr>
        <w:t xml:space="preserve"> 54</w:t>
      </w:r>
    </w:p>
    <w:p w:rsidR="00DA3A33" w:rsidRPr="00A3403E" w:rsidRDefault="00DA3A33" w:rsidP="00A3403E">
      <w:pPr>
        <w:pStyle w:val="FootnoteText"/>
        <w:rPr>
          <w:sz w:val="16"/>
          <w:szCs w:val="16"/>
        </w:rPr>
      </w:pPr>
    </w:p>
  </w:footnote>
  <w:footnote w:id="13">
    <w:p w:rsidR="00DA3A33" w:rsidRPr="00A3403E" w:rsidRDefault="00DA3A33" w:rsidP="00A3403E">
      <w:pPr>
        <w:pStyle w:val="FootnoteText"/>
        <w:rPr>
          <w:sz w:val="16"/>
          <w:szCs w:val="16"/>
        </w:rPr>
      </w:pPr>
      <w:r w:rsidRPr="00A3403E">
        <w:rPr>
          <w:rStyle w:val="FootnoteReference"/>
          <w:sz w:val="16"/>
          <w:szCs w:val="16"/>
        </w:rPr>
        <w:footnoteRef/>
      </w:r>
      <w:r w:rsidRPr="00A3403E">
        <w:rPr>
          <w:sz w:val="16"/>
          <w:szCs w:val="16"/>
        </w:rPr>
        <w:t xml:space="preserve"> Ibid.</w:t>
      </w:r>
    </w:p>
  </w:footnote>
  <w:footnote w:id="14">
    <w:p w:rsidR="00A3403E" w:rsidRPr="00A3403E" w:rsidRDefault="00DA3A33" w:rsidP="00A3403E">
      <w:pPr>
        <w:spacing w:line="240" w:lineRule="auto"/>
        <w:jc w:val="both"/>
        <w:rPr>
          <w:sz w:val="16"/>
          <w:szCs w:val="16"/>
        </w:rPr>
      </w:pPr>
      <w:r w:rsidRPr="00A3403E">
        <w:rPr>
          <w:rStyle w:val="FootnoteReference"/>
          <w:sz w:val="16"/>
          <w:szCs w:val="16"/>
        </w:rPr>
        <w:footnoteRef/>
      </w:r>
      <w:proofErr w:type="spellStart"/>
      <w:r w:rsidR="00A3403E" w:rsidRPr="00A3403E">
        <w:rPr>
          <w:sz w:val="16"/>
          <w:szCs w:val="16"/>
        </w:rPr>
        <w:t>Daniell</w:t>
      </w:r>
      <w:proofErr w:type="spellEnd"/>
      <w:r w:rsidR="00A3403E" w:rsidRPr="00A3403E">
        <w:rPr>
          <w:sz w:val="16"/>
          <w:szCs w:val="16"/>
        </w:rPr>
        <w:t xml:space="preserve">, C. </w:t>
      </w:r>
      <w:r w:rsidR="00A3403E" w:rsidRPr="00A3403E">
        <w:rPr>
          <w:i/>
          <w:sz w:val="16"/>
          <w:szCs w:val="16"/>
        </w:rPr>
        <w:t xml:space="preserve">Death and Burial in Medieval England 1066 – 1550 </w:t>
      </w:r>
      <w:r w:rsidR="00A3403E" w:rsidRPr="00A3403E">
        <w:rPr>
          <w:sz w:val="16"/>
          <w:szCs w:val="16"/>
        </w:rPr>
        <w:t>(London: Routledge, 1997)</w:t>
      </w:r>
    </w:p>
    <w:p w:rsidR="00DA3A33" w:rsidRPr="00A3403E" w:rsidRDefault="00DA3A33" w:rsidP="00A3403E">
      <w:pPr>
        <w:pStyle w:val="FootnoteText"/>
        <w:rPr>
          <w:sz w:val="16"/>
          <w:szCs w:val="16"/>
        </w:rPr>
      </w:pPr>
      <w:r w:rsidRPr="00A3403E">
        <w:rPr>
          <w:sz w:val="16"/>
          <w:szCs w:val="16"/>
        </w:rPr>
        <w:t xml:space="preserve"> 185</w:t>
      </w:r>
    </w:p>
  </w:footnote>
  <w:footnote w:id="15">
    <w:p w:rsidR="00DA3A33" w:rsidRPr="00A3403E" w:rsidRDefault="00DA3A33" w:rsidP="00A3403E">
      <w:pPr>
        <w:pStyle w:val="FootnoteText"/>
        <w:rPr>
          <w:sz w:val="16"/>
          <w:szCs w:val="16"/>
        </w:rPr>
      </w:pPr>
      <w:r w:rsidRPr="00A3403E">
        <w:rPr>
          <w:rStyle w:val="FootnoteReference"/>
          <w:sz w:val="16"/>
          <w:szCs w:val="16"/>
        </w:rPr>
        <w:footnoteRef/>
      </w:r>
      <w:r w:rsidRPr="00A3403E">
        <w:rPr>
          <w:sz w:val="16"/>
          <w:szCs w:val="16"/>
        </w:rPr>
        <w:t xml:space="preserve"> Ibid.</w:t>
      </w:r>
    </w:p>
  </w:footnote>
  <w:footnote w:id="16">
    <w:p w:rsidR="00DA3A33" w:rsidRPr="00A3403E" w:rsidRDefault="00DA3A33" w:rsidP="00A3403E">
      <w:pPr>
        <w:pStyle w:val="FootnoteText"/>
        <w:rPr>
          <w:sz w:val="16"/>
          <w:szCs w:val="16"/>
        </w:rPr>
      </w:pPr>
      <w:r w:rsidRPr="00A3403E">
        <w:rPr>
          <w:rStyle w:val="FootnoteReference"/>
          <w:sz w:val="16"/>
          <w:szCs w:val="16"/>
        </w:rPr>
        <w:footnoteRef/>
      </w:r>
      <w:r w:rsidR="00A3403E" w:rsidRPr="00A3403E">
        <w:rPr>
          <w:sz w:val="16"/>
          <w:szCs w:val="16"/>
        </w:rPr>
        <w:t xml:space="preserve"> </w:t>
      </w:r>
      <w:proofErr w:type="spellStart"/>
      <w:r w:rsidR="00A3403E" w:rsidRPr="00A3403E">
        <w:rPr>
          <w:sz w:val="16"/>
          <w:szCs w:val="16"/>
        </w:rPr>
        <w:t>Oosterwijk</w:t>
      </w:r>
      <w:proofErr w:type="spellEnd"/>
      <w:r w:rsidR="00A3403E" w:rsidRPr="00A3403E">
        <w:rPr>
          <w:sz w:val="16"/>
          <w:szCs w:val="16"/>
        </w:rPr>
        <w:t xml:space="preserve">, S. ‘Food for Worms - Food for Thought: The appearance and interpretation of the ‘verminous’ cadaver in Britain and Europe’, </w:t>
      </w:r>
      <w:r w:rsidR="00A3403E" w:rsidRPr="00A3403E">
        <w:rPr>
          <w:i/>
          <w:sz w:val="16"/>
          <w:szCs w:val="16"/>
        </w:rPr>
        <w:t xml:space="preserve">Church Monuments, </w:t>
      </w:r>
      <w:r w:rsidR="00A3403E" w:rsidRPr="00A3403E">
        <w:rPr>
          <w:sz w:val="16"/>
          <w:szCs w:val="16"/>
        </w:rPr>
        <w:t>XX (2005</w:t>
      </w:r>
      <w:proofErr w:type="gramStart"/>
      <w:r w:rsidR="00A3403E" w:rsidRPr="00A3403E">
        <w:rPr>
          <w:sz w:val="16"/>
          <w:szCs w:val="16"/>
        </w:rPr>
        <w:t xml:space="preserve">), </w:t>
      </w:r>
      <w:r w:rsidRPr="00A3403E">
        <w:rPr>
          <w:sz w:val="16"/>
          <w:szCs w:val="16"/>
        </w:rPr>
        <w:t xml:space="preserve"> 44</w:t>
      </w:r>
      <w:proofErr w:type="gramEnd"/>
    </w:p>
  </w:footnote>
  <w:footnote w:id="17">
    <w:p w:rsidR="00362EFC" w:rsidRPr="00A3403E" w:rsidRDefault="00362EFC" w:rsidP="00A3403E">
      <w:pPr>
        <w:pStyle w:val="FootnoteText"/>
        <w:rPr>
          <w:sz w:val="16"/>
          <w:szCs w:val="16"/>
        </w:rPr>
      </w:pPr>
      <w:r w:rsidRPr="00A3403E">
        <w:rPr>
          <w:rStyle w:val="FootnoteReference"/>
          <w:sz w:val="16"/>
          <w:szCs w:val="16"/>
        </w:rPr>
        <w:footnoteRef/>
      </w:r>
      <w:proofErr w:type="spellStart"/>
      <w:r w:rsidR="00A3403E" w:rsidRPr="00A3403E">
        <w:rPr>
          <w:sz w:val="16"/>
          <w:szCs w:val="16"/>
        </w:rPr>
        <w:t>Oosterwijk</w:t>
      </w:r>
      <w:proofErr w:type="spellEnd"/>
      <w:r w:rsidR="00A3403E" w:rsidRPr="00A3403E">
        <w:rPr>
          <w:sz w:val="16"/>
          <w:szCs w:val="16"/>
        </w:rPr>
        <w:t xml:space="preserve">, S. ‘Food for Worms - Food for Thought: The appearance and interpretation of the ‘verminous’ cadaver in Britain and Europe’, </w:t>
      </w:r>
      <w:r w:rsidR="00A3403E" w:rsidRPr="00A3403E">
        <w:rPr>
          <w:i/>
          <w:sz w:val="16"/>
          <w:szCs w:val="16"/>
        </w:rPr>
        <w:t xml:space="preserve">Church Monuments, </w:t>
      </w:r>
      <w:r w:rsidR="00A3403E" w:rsidRPr="00A3403E">
        <w:rPr>
          <w:sz w:val="16"/>
          <w:szCs w:val="16"/>
        </w:rPr>
        <w:t>XX (2005</w:t>
      </w:r>
      <w:proofErr w:type="gramStart"/>
      <w:r w:rsidR="00A3403E" w:rsidRPr="00A3403E">
        <w:rPr>
          <w:sz w:val="16"/>
          <w:szCs w:val="16"/>
        </w:rPr>
        <w:t xml:space="preserve">), </w:t>
      </w:r>
      <w:r w:rsidR="00A3403E" w:rsidRPr="00A3403E">
        <w:rPr>
          <w:sz w:val="16"/>
          <w:szCs w:val="16"/>
        </w:rPr>
        <w:t xml:space="preserve"> </w:t>
      </w:r>
      <w:r w:rsidRPr="00A3403E">
        <w:rPr>
          <w:sz w:val="16"/>
          <w:szCs w:val="16"/>
        </w:rPr>
        <w:t xml:space="preserve"> </w:t>
      </w:r>
      <w:proofErr w:type="gramEnd"/>
      <w:r w:rsidRPr="00A3403E">
        <w:rPr>
          <w:sz w:val="16"/>
          <w:szCs w:val="16"/>
        </w:rPr>
        <w:t>68</w:t>
      </w:r>
    </w:p>
  </w:footnote>
  <w:footnote w:id="18">
    <w:p w:rsidR="00DA3A33" w:rsidRPr="00A3403E" w:rsidRDefault="00DA3A33" w:rsidP="00A3403E">
      <w:pPr>
        <w:pStyle w:val="FootnoteText"/>
        <w:rPr>
          <w:sz w:val="16"/>
          <w:szCs w:val="16"/>
        </w:rPr>
      </w:pPr>
      <w:r w:rsidRPr="00A3403E">
        <w:rPr>
          <w:rStyle w:val="FootnoteReference"/>
          <w:sz w:val="16"/>
          <w:szCs w:val="16"/>
        </w:rPr>
        <w:footnoteRef/>
      </w:r>
      <w:r w:rsidRPr="00A3403E">
        <w:rPr>
          <w:sz w:val="16"/>
          <w:szCs w:val="16"/>
        </w:rPr>
        <w:t xml:space="preserve"> </w:t>
      </w:r>
      <w:proofErr w:type="spellStart"/>
      <w:r w:rsidR="00A3403E" w:rsidRPr="00A3403E">
        <w:rPr>
          <w:sz w:val="16"/>
          <w:szCs w:val="16"/>
        </w:rPr>
        <w:t>Oosterwijk</w:t>
      </w:r>
      <w:proofErr w:type="spellEnd"/>
      <w:r w:rsidR="00A3403E" w:rsidRPr="00A3403E">
        <w:rPr>
          <w:sz w:val="16"/>
          <w:szCs w:val="16"/>
        </w:rPr>
        <w:t xml:space="preserve">, S. ‘Food for Worms - Food for Thought: The appearance and interpretation of the ‘verminous’ cadaver in Britain and Europe’, </w:t>
      </w:r>
      <w:r w:rsidR="00A3403E" w:rsidRPr="00A3403E">
        <w:rPr>
          <w:i/>
          <w:sz w:val="16"/>
          <w:szCs w:val="16"/>
        </w:rPr>
        <w:t xml:space="preserve">Church Monuments, </w:t>
      </w:r>
      <w:r w:rsidR="00A3403E" w:rsidRPr="00A3403E">
        <w:rPr>
          <w:sz w:val="16"/>
          <w:szCs w:val="16"/>
        </w:rPr>
        <w:t>XX (2005</w:t>
      </w:r>
      <w:proofErr w:type="gramStart"/>
      <w:r w:rsidR="00A3403E" w:rsidRPr="00A3403E">
        <w:rPr>
          <w:sz w:val="16"/>
          <w:szCs w:val="16"/>
        </w:rPr>
        <w:t xml:space="preserve">), </w:t>
      </w:r>
      <w:r w:rsidRPr="00A3403E">
        <w:rPr>
          <w:sz w:val="16"/>
          <w:szCs w:val="16"/>
        </w:rPr>
        <w:t xml:space="preserve"> 52</w:t>
      </w:r>
      <w:proofErr w:type="gramEnd"/>
    </w:p>
  </w:footnote>
  <w:footnote w:id="19">
    <w:p w:rsidR="00A3403E" w:rsidRPr="00A3403E" w:rsidRDefault="00362EFC" w:rsidP="00A3403E">
      <w:pPr>
        <w:spacing w:line="240" w:lineRule="auto"/>
        <w:jc w:val="both"/>
        <w:rPr>
          <w:sz w:val="16"/>
          <w:szCs w:val="16"/>
        </w:rPr>
      </w:pPr>
      <w:r w:rsidRPr="00A3403E">
        <w:rPr>
          <w:rStyle w:val="FootnoteReference"/>
          <w:sz w:val="16"/>
          <w:szCs w:val="16"/>
        </w:rPr>
        <w:footnoteRef/>
      </w:r>
      <w:proofErr w:type="spellStart"/>
      <w:r w:rsidR="00A3403E" w:rsidRPr="00A3403E">
        <w:rPr>
          <w:sz w:val="16"/>
          <w:szCs w:val="16"/>
        </w:rPr>
        <w:t>Daniell</w:t>
      </w:r>
      <w:proofErr w:type="spellEnd"/>
      <w:r w:rsidR="00A3403E" w:rsidRPr="00A3403E">
        <w:rPr>
          <w:sz w:val="16"/>
          <w:szCs w:val="16"/>
        </w:rPr>
        <w:t xml:space="preserve">, C. </w:t>
      </w:r>
      <w:r w:rsidR="00A3403E" w:rsidRPr="00A3403E">
        <w:rPr>
          <w:i/>
          <w:sz w:val="16"/>
          <w:szCs w:val="16"/>
        </w:rPr>
        <w:t xml:space="preserve">Death and Burial in Medieval England 1066 – 1550 </w:t>
      </w:r>
      <w:r w:rsidR="00A3403E" w:rsidRPr="00A3403E">
        <w:rPr>
          <w:sz w:val="16"/>
          <w:szCs w:val="16"/>
        </w:rPr>
        <w:t>(London: Routledge, 1997)</w:t>
      </w:r>
    </w:p>
    <w:p w:rsidR="00362EFC" w:rsidRDefault="00362EFC" w:rsidP="00A3403E">
      <w:pPr>
        <w:pStyle w:val="FootnoteText"/>
      </w:pPr>
      <w:r w:rsidRPr="00A3403E">
        <w:rPr>
          <w:sz w:val="16"/>
          <w:szCs w:val="16"/>
        </w:rPr>
        <w:t xml:space="preserve"> 181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77E"/>
    <w:rsid w:val="00030E7E"/>
    <w:rsid w:val="000D35B8"/>
    <w:rsid w:val="001551FB"/>
    <w:rsid w:val="001A69BB"/>
    <w:rsid w:val="00226092"/>
    <w:rsid w:val="00296FF8"/>
    <w:rsid w:val="00354D8A"/>
    <w:rsid w:val="00362EFC"/>
    <w:rsid w:val="00420A33"/>
    <w:rsid w:val="004E48CE"/>
    <w:rsid w:val="0054357F"/>
    <w:rsid w:val="00560D84"/>
    <w:rsid w:val="00576B6F"/>
    <w:rsid w:val="005C0F2C"/>
    <w:rsid w:val="005C2268"/>
    <w:rsid w:val="005C416C"/>
    <w:rsid w:val="005D05D9"/>
    <w:rsid w:val="005D3F7B"/>
    <w:rsid w:val="0065308C"/>
    <w:rsid w:val="00717CCA"/>
    <w:rsid w:val="007871EC"/>
    <w:rsid w:val="007D1F5E"/>
    <w:rsid w:val="00852FAB"/>
    <w:rsid w:val="00864209"/>
    <w:rsid w:val="008A4FAF"/>
    <w:rsid w:val="008D30A3"/>
    <w:rsid w:val="009143ED"/>
    <w:rsid w:val="00952685"/>
    <w:rsid w:val="009559C8"/>
    <w:rsid w:val="00973F0C"/>
    <w:rsid w:val="00A2777E"/>
    <w:rsid w:val="00A3403E"/>
    <w:rsid w:val="00A352AD"/>
    <w:rsid w:val="00A44A28"/>
    <w:rsid w:val="00A72AA7"/>
    <w:rsid w:val="00A7499D"/>
    <w:rsid w:val="00A9644A"/>
    <w:rsid w:val="00B05612"/>
    <w:rsid w:val="00B34CE2"/>
    <w:rsid w:val="00B53E54"/>
    <w:rsid w:val="00B84CC7"/>
    <w:rsid w:val="00B934AA"/>
    <w:rsid w:val="00BA140D"/>
    <w:rsid w:val="00C462FA"/>
    <w:rsid w:val="00C507BD"/>
    <w:rsid w:val="00CA13BB"/>
    <w:rsid w:val="00CA30F6"/>
    <w:rsid w:val="00CC4301"/>
    <w:rsid w:val="00D144BA"/>
    <w:rsid w:val="00D464E3"/>
    <w:rsid w:val="00DA3A33"/>
    <w:rsid w:val="00DE48A3"/>
    <w:rsid w:val="00ED5319"/>
    <w:rsid w:val="00EE6EBA"/>
    <w:rsid w:val="00F12C91"/>
    <w:rsid w:val="00F12D3A"/>
    <w:rsid w:val="00FB6974"/>
    <w:rsid w:val="00FD4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05197"/>
  <w15:chartTrackingRefBased/>
  <w15:docId w15:val="{033FDC79-33B0-469A-898C-B656EDD73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551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51FB"/>
    <w:rPr>
      <w:sz w:val="20"/>
      <w:szCs w:val="20"/>
    </w:rPr>
  </w:style>
  <w:style w:type="character" w:styleId="FootnoteReference">
    <w:name w:val="footnote reference"/>
    <w:basedOn w:val="DefaultParagraphFont"/>
    <w:uiPriority w:val="99"/>
    <w:semiHidden/>
    <w:unhideWhenUsed/>
    <w:rsid w:val="001551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3B4DF-5B5B-4815-BEFB-6DA363926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1094</Words>
  <Characters>6239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Hoffman (1501219)</dc:creator>
  <cp:keywords/>
  <dc:description/>
  <cp:lastModifiedBy>Mary Hoffman (1501219)</cp:lastModifiedBy>
  <cp:revision>3</cp:revision>
  <dcterms:created xsi:type="dcterms:W3CDTF">2017-11-17T22:31:00Z</dcterms:created>
  <dcterms:modified xsi:type="dcterms:W3CDTF">2017-11-17T23:55:00Z</dcterms:modified>
</cp:coreProperties>
</file>