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2A6659" w14:textId="414A3554" w:rsidR="00B322E0" w:rsidRPr="00344167" w:rsidRDefault="00046531" w:rsidP="009C2D59">
      <w:pPr>
        <w:rPr>
          <w:rFonts w:ascii="Arial" w:hAnsi="Arial" w:cs="Arial"/>
          <w:b/>
          <w:i/>
          <w:color w:val="auto"/>
          <w:sz w:val="88"/>
          <w:szCs w:val="88"/>
        </w:rPr>
      </w:pPr>
      <w:r>
        <w:rPr>
          <w:rFonts w:ascii="Arial" w:hAnsi="Arial" w:cs="Arial"/>
          <w:b/>
          <w:i/>
          <w:noProof/>
          <w:color w:val="auto"/>
          <w:sz w:val="88"/>
          <w:szCs w:val="88"/>
        </w:rPr>
        <w:drawing>
          <wp:anchor distT="0" distB="0" distL="114300" distR="114300" simplePos="0" relativeHeight="251658240" behindDoc="1" locked="0" layoutInCell="1" allowOverlap="1" wp14:anchorId="56ECB5D9" wp14:editId="75C24F9C">
            <wp:simplePos x="0" y="0"/>
            <wp:positionH relativeFrom="column">
              <wp:posOffset>882650</wp:posOffset>
            </wp:positionH>
            <wp:positionV relativeFrom="paragraph">
              <wp:posOffset>0</wp:posOffset>
            </wp:positionV>
            <wp:extent cx="3968750" cy="1595120"/>
            <wp:effectExtent l="0" t="0" r="0" b="5080"/>
            <wp:wrapTight wrapText="bothSides">
              <wp:wrapPolygon edited="0">
                <wp:start x="0" y="0"/>
                <wp:lineTo x="0" y="21411"/>
                <wp:lineTo x="21462" y="21411"/>
                <wp:lineTo x="21462" y="0"/>
                <wp:lineTo x="0" y="0"/>
              </wp:wrapPolygon>
            </wp:wrapTight>
            <wp:docPr id="2014389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89746" name="Picture 2014389746"/>
                    <pic:cNvPicPr/>
                  </pic:nvPicPr>
                  <pic:blipFill>
                    <a:blip r:embed="rId8">
                      <a:extLst>
                        <a:ext uri="{28A0092B-C50C-407E-A947-70E740481C1C}">
                          <a14:useLocalDpi xmlns:a14="http://schemas.microsoft.com/office/drawing/2010/main" val="0"/>
                        </a:ext>
                      </a:extLst>
                    </a:blip>
                    <a:stretch>
                      <a:fillRect/>
                    </a:stretch>
                  </pic:blipFill>
                  <pic:spPr>
                    <a:xfrm>
                      <a:off x="0" y="0"/>
                      <a:ext cx="3968750" cy="1595120"/>
                    </a:xfrm>
                    <a:prstGeom prst="rect">
                      <a:avLst/>
                    </a:prstGeom>
                  </pic:spPr>
                </pic:pic>
              </a:graphicData>
            </a:graphic>
            <wp14:sizeRelH relativeFrom="margin">
              <wp14:pctWidth>0</wp14:pctWidth>
            </wp14:sizeRelH>
          </wp:anchor>
        </w:drawing>
      </w:r>
    </w:p>
    <w:p w14:paraId="0A37501D" w14:textId="77777777" w:rsidR="00B322E0" w:rsidRPr="00344167" w:rsidRDefault="00B322E0">
      <w:pPr>
        <w:jc w:val="center"/>
        <w:rPr>
          <w:rFonts w:ascii="Arial" w:hAnsi="Arial" w:cs="Arial"/>
          <w:b/>
          <w:i/>
          <w:color w:val="auto"/>
          <w:sz w:val="88"/>
          <w:szCs w:val="8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8"/>
        <w:gridCol w:w="7961"/>
      </w:tblGrid>
      <w:tr w:rsidR="006E70CE" w:rsidRPr="00B862A0" w14:paraId="3A81C827" w14:textId="77777777" w:rsidTr="00360365">
        <w:trPr>
          <w:trHeight w:val="409"/>
        </w:trPr>
        <w:tc>
          <w:tcPr>
            <w:tcW w:w="1678" w:type="dxa"/>
          </w:tcPr>
          <w:p w14:paraId="66B7F086" w14:textId="77777777" w:rsidR="006E70CE" w:rsidRPr="00B862A0" w:rsidRDefault="006E70CE" w:rsidP="00B862A0">
            <w:pPr>
              <w:jc w:val="left"/>
              <w:rPr>
                <w:rFonts w:ascii="Arial" w:hAnsi="Arial" w:cs="Arial"/>
                <w:bCs/>
                <w:color w:val="auto"/>
                <w:sz w:val="22"/>
              </w:rPr>
            </w:pPr>
            <w:r w:rsidRPr="00B862A0">
              <w:rPr>
                <w:rFonts w:ascii="Arial" w:hAnsi="Arial" w:cs="Arial"/>
                <w:bCs/>
                <w:color w:val="auto"/>
                <w:sz w:val="22"/>
              </w:rPr>
              <w:t>Course:</w:t>
            </w:r>
          </w:p>
        </w:tc>
        <w:tc>
          <w:tcPr>
            <w:tcW w:w="7961" w:type="dxa"/>
          </w:tcPr>
          <w:p w14:paraId="453F5B1A" w14:textId="77777777" w:rsidR="006E70CE" w:rsidRPr="00B862A0" w:rsidRDefault="006E70CE" w:rsidP="00B862A0">
            <w:pPr>
              <w:jc w:val="left"/>
              <w:rPr>
                <w:rFonts w:ascii="Arial" w:hAnsi="Arial" w:cs="Arial"/>
                <w:bCs/>
                <w:color w:val="auto"/>
                <w:sz w:val="22"/>
              </w:rPr>
            </w:pPr>
            <w:r w:rsidRPr="00B862A0">
              <w:rPr>
                <w:rFonts w:ascii="Arial" w:hAnsi="Arial" w:cs="Arial"/>
                <w:bCs/>
                <w:color w:val="auto"/>
                <w:sz w:val="22"/>
              </w:rPr>
              <w:t>BMHP5023 – Introduction to Physiology</w:t>
            </w:r>
          </w:p>
        </w:tc>
      </w:tr>
      <w:tr w:rsidR="006E70CE" w:rsidRPr="00B862A0" w14:paraId="35304567" w14:textId="77777777" w:rsidTr="00360365">
        <w:trPr>
          <w:trHeight w:val="409"/>
        </w:trPr>
        <w:tc>
          <w:tcPr>
            <w:tcW w:w="1678" w:type="dxa"/>
          </w:tcPr>
          <w:p w14:paraId="31AA45D1" w14:textId="77777777" w:rsidR="006E70CE" w:rsidRPr="00B862A0" w:rsidRDefault="006E70CE" w:rsidP="00B862A0">
            <w:pPr>
              <w:jc w:val="left"/>
              <w:rPr>
                <w:rFonts w:ascii="Arial" w:hAnsi="Arial" w:cs="Arial"/>
                <w:bCs/>
                <w:color w:val="auto"/>
                <w:sz w:val="22"/>
              </w:rPr>
            </w:pPr>
            <w:r w:rsidRPr="00B862A0">
              <w:rPr>
                <w:rFonts w:ascii="Arial" w:hAnsi="Arial" w:cs="Arial"/>
                <w:sz w:val="22"/>
              </w:rPr>
              <w:t>Component 1:</w:t>
            </w:r>
          </w:p>
        </w:tc>
        <w:tc>
          <w:tcPr>
            <w:tcW w:w="7961" w:type="dxa"/>
          </w:tcPr>
          <w:p w14:paraId="3587C1C9" w14:textId="77777777" w:rsidR="006E70CE" w:rsidRPr="00B862A0" w:rsidRDefault="006E70CE" w:rsidP="00B862A0">
            <w:pPr>
              <w:jc w:val="left"/>
              <w:rPr>
                <w:rFonts w:ascii="Arial" w:hAnsi="Arial" w:cs="Arial"/>
                <w:bCs/>
                <w:color w:val="auto"/>
                <w:sz w:val="22"/>
              </w:rPr>
            </w:pPr>
            <w:r w:rsidRPr="00B862A0">
              <w:rPr>
                <w:rFonts w:ascii="Arial" w:hAnsi="Arial" w:cs="Arial"/>
                <w:bCs/>
                <w:color w:val="auto"/>
                <w:sz w:val="22"/>
              </w:rPr>
              <w:t>Case Study Report</w:t>
            </w:r>
          </w:p>
        </w:tc>
      </w:tr>
      <w:tr w:rsidR="006E70CE" w:rsidRPr="00B862A0" w14:paraId="596F4B14" w14:textId="77777777" w:rsidTr="00360365">
        <w:trPr>
          <w:trHeight w:val="1141"/>
        </w:trPr>
        <w:tc>
          <w:tcPr>
            <w:tcW w:w="1678" w:type="dxa"/>
          </w:tcPr>
          <w:p w14:paraId="3728E60B" w14:textId="77777777" w:rsidR="006E70CE" w:rsidRPr="00B862A0" w:rsidRDefault="006E70CE" w:rsidP="00B862A0">
            <w:pPr>
              <w:jc w:val="left"/>
              <w:rPr>
                <w:rFonts w:ascii="Arial" w:hAnsi="Arial" w:cs="Arial"/>
                <w:sz w:val="22"/>
              </w:rPr>
            </w:pPr>
            <w:r w:rsidRPr="00B862A0">
              <w:rPr>
                <w:rFonts w:ascii="Arial" w:hAnsi="Arial" w:cs="Arial"/>
                <w:sz w:val="22"/>
              </w:rPr>
              <w:t>Title:</w:t>
            </w:r>
          </w:p>
        </w:tc>
        <w:tc>
          <w:tcPr>
            <w:tcW w:w="7961" w:type="dxa"/>
          </w:tcPr>
          <w:p w14:paraId="67A3FF11" w14:textId="77777777" w:rsidR="006E70CE" w:rsidRPr="00B862A0" w:rsidRDefault="006E70CE" w:rsidP="00B862A0">
            <w:pPr>
              <w:pStyle w:val="Title"/>
              <w:jc w:val="left"/>
              <w:rPr>
                <w:rFonts w:ascii="Arial" w:hAnsi="Arial" w:cs="Arial"/>
                <w:b w:val="0"/>
                <w:sz w:val="22"/>
                <w:szCs w:val="22"/>
              </w:rPr>
            </w:pPr>
            <w:r w:rsidRPr="00B862A0">
              <w:rPr>
                <w:rFonts w:ascii="Arial" w:hAnsi="Arial" w:cs="Arial"/>
                <w:b w:val="0"/>
                <w:sz w:val="22"/>
                <w:szCs w:val="22"/>
              </w:rPr>
              <w:t>A Critical Evaluation of Respiratory Physiology, Asthma Exacerbations and Evidence-Based Management in Adolescents</w:t>
            </w:r>
          </w:p>
        </w:tc>
      </w:tr>
      <w:tr w:rsidR="006E70CE" w:rsidRPr="00B862A0" w14:paraId="6C8DD3D4" w14:textId="77777777" w:rsidTr="00360365">
        <w:trPr>
          <w:trHeight w:val="629"/>
        </w:trPr>
        <w:tc>
          <w:tcPr>
            <w:tcW w:w="1678" w:type="dxa"/>
          </w:tcPr>
          <w:p w14:paraId="0FE908B0" w14:textId="77777777" w:rsidR="006E70CE" w:rsidRPr="00B862A0" w:rsidRDefault="006E70CE" w:rsidP="00B862A0">
            <w:pPr>
              <w:jc w:val="left"/>
              <w:rPr>
                <w:rFonts w:ascii="Arial" w:hAnsi="Arial" w:cs="Arial"/>
                <w:bCs/>
                <w:i/>
                <w:color w:val="auto"/>
                <w:sz w:val="22"/>
              </w:rPr>
            </w:pPr>
            <w:r w:rsidRPr="00B862A0">
              <w:rPr>
                <w:rFonts w:ascii="Arial" w:hAnsi="Arial" w:cs="Arial"/>
                <w:sz w:val="22"/>
              </w:rPr>
              <w:t>Student name:</w:t>
            </w:r>
          </w:p>
        </w:tc>
        <w:tc>
          <w:tcPr>
            <w:tcW w:w="7961" w:type="dxa"/>
          </w:tcPr>
          <w:p w14:paraId="5DAB6C7B" w14:textId="546C11F4" w:rsidR="006E70CE" w:rsidRPr="00B862A0" w:rsidRDefault="5F30C8E3" w:rsidP="00B862A0">
            <w:pPr>
              <w:jc w:val="left"/>
            </w:pPr>
            <w:r w:rsidRPr="691D32AD">
              <w:rPr>
                <w:rFonts w:ascii="Arial" w:hAnsi="Arial" w:cs="Arial"/>
                <w:color w:val="auto"/>
                <w:sz w:val="22"/>
              </w:rPr>
              <w:t>Salma shahzad</w:t>
            </w:r>
          </w:p>
        </w:tc>
      </w:tr>
      <w:tr w:rsidR="006E70CE" w:rsidRPr="00B862A0" w14:paraId="3B1873F7" w14:textId="77777777" w:rsidTr="00360365">
        <w:trPr>
          <w:trHeight w:val="818"/>
        </w:trPr>
        <w:tc>
          <w:tcPr>
            <w:tcW w:w="1678" w:type="dxa"/>
          </w:tcPr>
          <w:p w14:paraId="49EF89F5" w14:textId="77777777" w:rsidR="006E70CE" w:rsidRPr="00B862A0" w:rsidRDefault="006E70CE" w:rsidP="00B862A0">
            <w:pPr>
              <w:jc w:val="left"/>
              <w:rPr>
                <w:rFonts w:ascii="Arial" w:hAnsi="Arial" w:cs="Arial"/>
                <w:bCs/>
                <w:i/>
                <w:color w:val="auto"/>
                <w:sz w:val="22"/>
              </w:rPr>
            </w:pPr>
            <w:r w:rsidRPr="00B862A0">
              <w:rPr>
                <w:rFonts w:ascii="Arial" w:hAnsi="Arial" w:cs="Arial"/>
                <w:sz w:val="22"/>
              </w:rPr>
              <w:t>Student number:</w:t>
            </w:r>
          </w:p>
        </w:tc>
        <w:tc>
          <w:tcPr>
            <w:tcW w:w="7961" w:type="dxa"/>
          </w:tcPr>
          <w:p w14:paraId="02EB378F" w14:textId="4021A208" w:rsidR="006E70CE" w:rsidRPr="00B862A0" w:rsidRDefault="33EE7181" w:rsidP="691D32AD">
            <w:pPr>
              <w:jc w:val="left"/>
              <w:rPr>
                <w:rFonts w:ascii="Arial" w:hAnsi="Arial" w:cs="Arial"/>
                <w:color w:val="auto"/>
                <w:sz w:val="22"/>
              </w:rPr>
            </w:pPr>
            <w:r w:rsidRPr="691D32AD">
              <w:rPr>
                <w:rFonts w:ascii="Arial" w:hAnsi="Arial" w:cs="Arial"/>
                <w:color w:val="auto"/>
                <w:sz w:val="22"/>
              </w:rPr>
              <w:t>2332701</w:t>
            </w:r>
          </w:p>
        </w:tc>
      </w:tr>
      <w:tr w:rsidR="006E70CE" w:rsidRPr="00B862A0" w14:paraId="3BF8D9D1" w14:textId="77777777" w:rsidTr="00360365">
        <w:trPr>
          <w:trHeight w:val="409"/>
        </w:trPr>
        <w:tc>
          <w:tcPr>
            <w:tcW w:w="1678" w:type="dxa"/>
          </w:tcPr>
          <w:p w14:paraId="006E8AAA" w14:textId="1272DF8B" w:rsidR="006E70CE" w:rsidRPr="00B862A0" w:rsidRDefault="00F16828" w:rsidP="00B862A0">
            <w:pPr>
              <w:jc w:val="left"/>
              <w:rPr>
                <w:rFonts w:ascii="Arial" w:hAnsi="Arial" w:cs="Arial"/>
                <w:bCs/>
                <w:i/>
                <w:color w:val="auto"/>
                <w:sz w:val="22"/>
              </w:rPr>
            </w:pPr>
            <w:r>
              <w:rPr>
                <w:rFonts w:ascii="Arial" w:hAnsi="Arial" w:cs="Arial"/>
                <w:sz w:val="22"/>
              </w:rPr>
              <w:t>lecturer</w:t>
            </w:r>
          </w:p>
        </w:tc>
        <w:tc>
          <w:tcPr>
            <w:tcW w:w="7961" w:type="dxa"/>
          </w:tcPr>
          <w:p w14:paraId="6A05A809" w14:textId="60166FB5" w:rsidR="006E70CE" w:rsidRPr="004C39F1" w:rsidRDefault="00AB5CED" w:rsidP="00B862A0">
            <w:pPr>
              <w:jc w:val="left"/>
              <w:rPr>
                <w:rFonts w:ascii="Arial" w:hAnsi="Arial" w:cs="Arial"/>
                <w:bCs/>
                <w:iCs/>
                <w:color w:val="auto"/>
                <w:sz w:val="22"/>
              </w:rPr>
            </w:pPr>
            <w:r>
              <w:rPr>
                <w:rFonts w:ascii="Arial" w:hAnsi="Arial" w:cs="Arial"/>
                <w:bCs/>
                <w:iCs/>
                <w:color w:val="auto"/>
                <w:sz w:val="22"/>
              </w:rPr>
              <w:t>Robert Nartowski</w:t>
            </w:r>
          </w:p>
        </w:tc>
      </w:tr>
    </w:tbl>
    <w:p w14:paraId="11F99054" w14:textId="77777777" w:rsidR="00793373" w:rsidRPr="00344167" w:rsidRDefault="009C2D59">
      <w:pPr>
        <w:jc w:val="center"/>
        <w:rPr>
          <w:rFonts w:ascii="Arial" w:hAnsi="Arial" w:cs="Arial"/>
          <w:b/>
          <w:i/>
          <w:color w:val="auto"/>
          <w:sz w:val="72"/>
          <w:szCs w:val="72"/>
        </w:rPr>
      </w:pPr>
      <w:r w:rsidRPr="00344167">
        <w:rPr>
          <w:rFonts w:ascii="Arial" w:hAnsi="Arial" w:cs="Arial"/>
          <w:b/>
          <w:bCs/>
          <w:i/>
          <w:color w:val="auto"/>
          <w:sz w:val="72"/>
          <w:szCs w:val="72"/>
        </w:rPr>
        <w:t> </w:t>
      </w:r>
      <w:r w:rsidR="00B57A65" w:rsidRPr="00344167">
        <w:rPr>
          <w:rFonts w:ascii="Arial" w:hAnsi="Arial" w:cs="Arial"/>
          <w:b/>
          <w:i/>
          <w:color w:val="auto"/>
          <w:sz w:val="72"/>
          <w:szCs w:val="72"/>
        </w:rPr>
        <w:t xml:space="preserve"> </w:t>
      </w:r>
    </w:p>
    <w:p w14:paraId="22E0FC93" w14:textId="77777777" w:rsidR="00793373" w:rsidRPr="00CA33C2" w:rsidRDefault="00793373">
      <w:pPr>
        <w:pStyle w:val="ContentsHeading"/>
        <w:pageBreakBefore/>
        <w:rPr>
          <w:rFonts w:ascii="Arial" w:hAnsi="Arial" w:cs="Arial"/>
          <w:color w:val="auto"/>
          <w:sz w:val="22"/>
          <w:szCs w:val="22"/>
        </w:rPr>
      </w:pPr>
      <w:r w:rsidRPr="00CA33C2">
        <w:rPr>
          <w:rFonts w:ascii="Arial" w:hAnsi="Arial" w:cs="Arial"/>
          <w:color w:val="auto"/>
          <w:sz w:val="22"/>
          <w:szCs w:val="22"/>
        </w:rPr>
        <w:lastRenderedPageBreak/>
        <w:t>Table of Contents</w:t>
      </w:r>
    </w:p>
    <w:p w14:paraId="121B684F" w14:textId="77777777" w:rsidR="006E70CE" w:rsidRPr="00B862A0" w:rsidRDefault="00793373">
      <w:pPr>
        <w:pStyle w:val="TOC1"/>
        <w:rPr>
          <w:rFonts w:ascii="Arial" w:eastAsia="Times New Roman" w:hAnsi="Arial" w:cs="Arial"/>
          <w:noProof/>
          <w:color w:val="auto"/>
          <w:sz w:val="22"/>
          <w:lang w:eastAsia="en-GB"/>
        </w:rPr>
      </w:pPr>
      <w:r w:rsidRPr="00CA33C2">
        <w:rPr>
          <w:rFonts w:ascii="Arial" w:hAnsi="Arial" w:cs="Arial"/>
          <w:color w:val="auto"/>
          <w:sz w:val="22"/>
        </w:rPr>
        <w:fldChar w:fldCharType="begin"/>
      </w:r>
      <w:r w:rsidRPr="00CA33C2">
        <w:rPr>
          <w:rFonts w:ascii="Arial" w:hAnsi="Arial" w:cs="Arial"/>
          <w:color w:val="auto"/>
          <w:sz w:val="22"/>
        </w:rPr>
        <w:instrText xml:space="preserve"> TOC \f \o "1-9" \o "1-9" </w:instrText>
      </w:r>
      <w:r w:rsidRPr="00CA33C2">
        <w:rPr>
          <w:rFonts w:ascii="Arial" w:hAnsi="Arial" w:cs="Arial"/>
          <w:color w:val="auto"/>
          <w:sz w:val="22"/>
        </w:rPr>
        <w:fldChar w:fldCharType="separate"/>
      </w:r>
      <w:r w:rsidR="006E70CE" w:rsidRPr="00CA33C2">
        <w:rPr>
          <w:rFonts w:ascii="Arial" w:hAnsi="Arial" w:cs="Arial"/>
          <w:noProof/>
          <w:sz w:val="22"/>
        </w:rPr>
        <w:t>1. Introduction</w:t>
      </w:r>
      <w:r w:rsidR="006E70CE" w:rsidRPr="00CA33C2">
        <w:rPr>
          <w:rFonts w:ascii="Arial" w:hAnsi="Arial" w:cs="Arial"/>
          <w:noProof/>
          <w:sz w:val="22"/>
        </w:rPr>
        <w:tab/>
      </w:r>
      <w:r w:rsidR="006E70CE" w:rsidRPr="00CA33C2">
        <w:rPr>
          <w:rFonts w:ascii="Arial" w:hAnsi="Arial" w:cs="Arial"/>
          <w:noProof/>
          <w:sz w:val="22"/>
        </w:rPr>
        <w:fldChar w:fldCharType="begin"/>
      </w:r>
      <w:r w:rsidR="006E70CE" w:rsidRPr="00CA33C2">
        <w:rPr>
          <w:rFonts w:ascii="Arial" w:hAnsi="Arial" w:cs="Arial"/>
          <w:noProof/>
          <w:sz w:val="22"/>
        </w:rPr>
        <w:instrText xml:space="preserve"> PAGEREF _Toc242803388 \h </w:instrText>
      </w:r>
      <w:r w:rsidR="006E70CE" w:rsidRPr="00CA33C2">
        <w:rPr>
          <w:rFonts w:ascii="Arial" w:hAnsi="Arial" w:cs="Arial"/>
          <w:noProof/>
          <w:sz w:val="22"/>
        </w:rPr>
      </w:r>
      <w:r w:rsidR="006E70CE" w:rsidRPr="00CA33C2">
        <w:rPr>
          <w:rFonts w:ascii="Arial" w:hAnsi="Arial" w:cs="Arial"/>
          <w:noProof/>
          <w:sz w:val="22"/>
        </w:rPr>
        <w:fldChar w:fldCharType="separate"/>
      </w:r>
      <w:r w:rsidR="006E70CE" w:rsidRPr="00CA33C2">
        <w:rPr>
          <w:rFonts w:ascii="Arial" w:hAnsi="Arial" w:cs="Arial"/>
          <w:noProof/>
          <w:sz w:val="22"/>
        </w:rPr>
        <w:t>3</w:t>
      </w:r>
      <w:r w:rsidR="006E70CE" w:rsidRPr="00CA33C2">
        <w:rPr>
          <w:rFonts w:ascii="Arial" w:hAnsi="Arial" w:cs="Arial"/>
          <w:noProof/>
          <w:sz w:val="22"/>
        </w:rPr>
        <w:fldChar w:fldCharType="end"/>
      </w:r>
    </w:p>
    <w:p w14:paraId="165E7145" w14:textId="77777777" w:rsidR="006E70CE" w:rsidRPr="00B862A0" w:rsidRDefault="006E70CE">
      <w:pPr>
        <w:pStyle w:val="TOC1"/>
        <w:rPr>
          <w:rFonts w:ascii="Arial" w:eastAsia="Times New Roman" w:hAnsi="Arial" w:cs="Arial"/>
          <w:noProof/>
          <w:color w:val="auto"/>
          <w:sz w:val="22"/>
          <w:lang w:eastAsia="en-GB"/>
        </w:rPr>
      </w:pPr>
      <w:r w:rsidRPr="00CA33C2">
        <w:rPr>
          <w:rFonts w:ascii="Arial" w:hAnsi="Arial" w:cs="Arial"/>
          <w:noProof/>
          <w:sz w:val="22"/>
        </w:rPr>
        <w:t>2. Anatomy and Physiology of the Respiratory System</w:t>
      </w:r>
      <w:r w:rsidRPr="00CA33C2">
        <w:rPr>
          <w:rFonts w:ascii="Arial" w:hAnsi="Arial" w:cs="Arial"/>
          <w:noProof/>
          <w:sz w:val="22"/>
        </w:rPr>
        <w:tab/>
      </w:r>
      <w:r w:rsidRPr="00CA33C2">
        <w:rPr>
          <w:rFonts w:ascii="Arial" w:hAnsi="Arial" w:cs="Arial"/>
          <w:noProof/>
          <w:sz w:val="22"/>
        </w:rPr>
        <w:fldChar w:fldCharType="begin"/>
      </w:r>
      <w:r w:rsidRPr="00CA33C2">
        <w:rPr>
          <w:rFonts w:ascii="Arial" w:hAnsi="Arial" w:cs="Arial"/>
          <w:noProof/>
          <w:sz w:val="22"/>
        </w:rPr>
        <w:instrText xml:space="preserve"> PAGEREF _Toc242803389 \h </w:instrText>
      </w:r>
      <w:r w:rsidRPr="00CA33C2">
        <w:rPr>
          <w:rFonts w:ascii="Arial" w:hAnsi="Arial" w:cs="Arial"/>
          <w:noProof/>
          <w:sz w:val="22"/>
        </w:rPr>
      </w:r>
      <w:r w:rsidRPr="00CA33C2">
        <w:rPr>
          <w:rFonts w:ascii="Arial" w:hAnsi="Arial" w:cs="Arial"/>
          <w:noProof/>
          <w:sz w:val="22"/>
        </w:rPr>
        <w:fldChar w:fldCharType="separate"/>
      </w:r>
      <w:r w:rsidRPr="00CA33C2">
        <w:rPr>
          <w:rFonts w:ascii="Arial" w:hAnsi="Arial" w:cs="Arial"/>
          <w:noProof/>
          <w:sz w:val="22"/>
        </w:rPr>
        <w:t>3</w:t>
      </w:r>
      <w:r w:rsidRPr="00CA33C2">
        <w:rPr>
          <w:rFonts w:ascii="Arial" w:hAnsi="Arial" w:cs="Arial"/>
          <w:noProof/>
          <w:sz w:val="22"/>
        </w:rPr>
        <w:fldChar w:fldCharType="end"/>
      </w:r>
    </w:p>
    <w:p w14:paraId="7F92C5BA" w14:textId="77777777" w:rsidR="006E70CE" w:rsidRPr="00B862A0" w:rsidRDefault="006E70CE">
      <w:pPr>
        <w:pStyle w:val="TOC1"/>
        <w:rPr>
          <w:rFonts w:ascii="Arial" w:eastAsia="Times New Roman" w:hAnsi="Arial" w:cs="Arial"/>
          <w:noProof/>
          <w:color w:val="auto"/>
          <w:sz w:val="22"/>
          <w:lang w:eastAsia="en-GB"/>
        </w:rPr>
      </w:pPr>
      <w:r w:rsidRPr="00CA33C2">
        <w:rPr>
          <w:rFonts w:ascii="Arial" w:hAnsi="Arial" w:cs="Arial"/>
          <w:noProof/>
          <w:sz w:val="22"/>
        </w:rPr>
        <w:t>3. Asthma Pathophysiology and Respiratory Impact</w:t>
      </w:r>
      <w:r w:rsidRPr="00CA33C2">
        <w:rPr>
          <w:rFonts w:ascii="Arial" w:hAnsi="Arial" w:cs="Arial"/>
          <w:noProof/>
          <w:sz w:val="22"/>
        </w:rPr>
        <w:tab/>
      </w:r>
      <w:r w:rsidRPr="00CA33C2">
        <w:rPr>
          <w:rFonts w:ascii="Arial" w:hAnsi="Arial" w:cs="Arial"/>
          <w:noProof/>
          <w:sz w:val="22"/>
        </w:rPr>
        <w:fldChar w:fldCharType="begin"/>
      </w:r>
      <w:r w:rsidRPr="00CA33C2">
        <w:rPr>
          <w:rFonts w:ascii="Arial" w:hAnsi="Arial" w:cs="Arial"/>
          <w:noProof/>
          <w:sz w:val="22"/>
        </w:rPr>
        <w:instrText xml:space="preserve"> PAGEREF _Toc242803390 \h </w:instrText>
      </w:r>
      <w:r w:rsidRPr="00CA33C2">
        <w:rPr>
          <w:rFonts w:ascii="Arial" w:hAnsi="Arial" w:cs="Arial"/>
          <w:noProof/>
          <w:sz w:val="22"/>
        </w:rPr>
      </w:r>
      <w:r w:rsidRPr="00CA33C2">
        <w:rPr>
          <w:rFonts w:ascii="Arial" w:hAnsi="Arial" w:cs="Arial"/>
          <w:noProof/>
          <w:sz w:val="22"/>
        </w:rPr>
        <w:fldChar w:fldCharType="separate"/>
      </w:r>
      <w:r w:rsidRPr="00CA33C2">
        <w:rPr>
          <w:rFonts w:ascii="Arial" w:hAnsi="Arial" w:cs="Arial"/>
          <w:noProof/>
          <w:sz w:val="22"/>
        </w:rPr>
        <w:t>4</w:t>
      </w:r>
      <w:r w:rsidRPr="00CA33C2">
        <w:rPr>
          <w:rFonts w:ascii="Arial" w:hAnsi="Arial" w:cs="Arial"/>
          <w:noProof/>
          <w:sz w:val="22"/>
        </w:rPr>
        <w:fldChar w:fldCharType="end"/>
      </w:r>
    </w:p>
    <w:p w14:paraId="3AC9ED88" w14:textId="77777777" w:rsidR="006E70CE" w:rsidRPr="00B862A0" w:rsidRDefault="006E70CE">
      <w:pPr>
        <w:pStyle w:val="TOC1"/>
        <w:rPr>
          <w:rFonts w:ascii="Arial" w:eastAsia="Times New Roman" w:hAnsi="Arial" w:cs="Arial"/>
          <w:noProof/>
          <w:color w:val="auto"/>
          <w:sz w:val="22"/>
          <w:lang w:eastAsia="en-GB"/>
        </w:rPr>
      </w:pPr>
      <w:r w:rsidRPr="00CA33C2">
        <w:rPr>
          <w:rFonts w:ascii="Arial" w:hAnsi="Arial" w:cs="Arial"/>
          <w:noProof/>
          <w:sz w:val="22"/>
        </w:rPr>
        <w:t>4. Respiratory Monitoring and Routine Data Use</w:t>
      </w:r>
      <w:r w:rsidRPr="00CA33C2">
        <w:rPr>
          <w:rFonts w:ascii="Arial" w:hAnsi="Arial" w:cs="Arial"/>
          <w:noProof/>
          <w:sz w:val="22"/>
        </w:rPr>
        <w:tab/>
      </w:r>
      <w:r w:rsidRPr="00CA33C2">
        <w:rPr>
          <w:rFonts w:ascii="Arial" w:hAnsi="Arial" w:cs="Arial"/>
          <w:noProof/>
          <w:sz w:val="22"/>
        </w:rPr>
        <w:fldChar w:fldCharType="begin"/>
      </w:r>
      <w:r w:rsidRPr="00CA33C2">
        <w:rPr>
          <w:rFonts w:ascii="Arial" w:hAnsi="Arial" w:cs="Arial"/>
          <w:noProof/>
          <w:sz w:val="22"/>
        </w:rPr>
        <w:instrText xml:space="preserve"> PAGEREF _Toc242803391 \h </w:instrText>
      </w:r>
      <w:r w:rsidRPr="00CA33C2">
        <w:rPr>
          <w:rFonts w:ascii="Arial" w:hAnsi="Arial" w:cs="Arial"/>
          <w:noProof/>
          <w:sz w:val="22"/>
        </w:rPr>
      </w:r>
      <w:r w:rsidRPr="00CA33C2">
        <w:rPr>
          <w:rFonts w:ascii="Arial" w:hAnsi="Arial" w:cs="Arial"/>
          <w:noProof/>
          <w:sz w:val="22"/>
        </w:rPr>
        <w:fldChar w:fldCharType="separate"/>
      </w:r>
      <w:r w:rsidRPr="00CA33C2">
        <w:rPr>
          <w:rFonts w:ascii="Arial" w:hAnsi="Arial" w:cs="Arial"/>
          <w:noProof/>
          <w:sz w:val="22"/>
        </w:rPr>
        <w:t>5</w:t>
      </w:r>
      <w:r w:rsidRPr="00CA33C2">
        <w:rPr>
          <w:rFonts w:ascii="Arial" w:hAnsi="Arial" w:cs="Arial"/>
          <w:noProof/>
          <w:sz w:val="22"/>
        </w:rPr>
        <w:fldChar w:fldCharType="end"/>
      </w:r>
    </w:p>
    <w:p w14:paraId="1D6BE809" w14:textId="77777777" w:rsidR="006E70CE" w:rsidRPr="00B862A0" w:rsidRDefault="006E70CE">
      <w:pPr>
        <w:pStyle w:val="TOC1"/>
        <w:rPr>
          <w:rFonts w:ascii="Arial" w:eastAsia="Times New Roman" w:hAnsi="Arial" w:cs="Arial"/>
          <w:noProof/>
          <w:color w:val="auto"/>
          <w:sz w:val="22"/>
          <w:lang w:eastAsia="en-GB"/>
        </w:rPr>
      </w:pPr>
      <w:r w:rsidRPr="00CA33C2">
        <w:rPr>
          <w:rFonts w:ascii="Arial" w:hAnsi="Arial" w:cs="Arial"/>
          <w:noProof/>
          <w:sz w:val="22"/>
        </w:rPr>
        <w:t>5. Evidence-Based Lifestyle Recommendations</w:t>
      </w:r>
      <w:r w:rsidRPr="00CA33C2">
        <w:rPr>
          <w:rFonts w:ascii="Arial" w:hAnsi="Arial" w:cs="Arial"/>
          <w:noProof/>
          <w:sz w:val="22"/>
        </w:rPr>
        <w:tab/>
      </w:r>
      <w:r w:rsidRPr="00CA33C2">
        <w:rPr>
          <w:rFonts w:ascii="Arial" w:hAnsi="Arial" w:cs="Arial"/>
          <w:noProof/>
          <w:sz w:val="22"/>
        </w:rPr>
        <w:fldChar w:fldCharType="begin"/>
      </w:r>
      <w:r w:rsidRPr="00CA33C2">
        <w:rPr>
          <w:rFonts w:ascii="Arial" w:hAnsi="Arial" w:cs="Arial"/>
          <w:noProof/>
          <w:sz w:val="22"/>
        </w:rPr>
        <w:instrText xml:space="preserve"> PAGEREF _Toc242803392 \h </w:instrText>
      </w:r>
      <w:r w:rsidRPr="00CA33C2">
        <w:rPr>
          <w:rFonts w:ascii="Arial" w:hAnsi="Arial" w:cs="Arial"/>
          <w:noProof/>
          <w:sz w:val="22"/>
        </w:rPr>
      </w:r>
      <w:r w:rsidRPr="00CA33C2">
        <w:rPr>
          <w:rFonts w:ascii="Arial" w:hAnsi="Arial" w:cs="Arial"/>
          <w:noProof/>
          <w:sz w:val="22"/>
        </w:rPr>
        <w:fldChar w:fldCharType="separate"/>
      </w:r>
      <w:r w:rsidRPr="00CA33C2">
        <w:rPr>
          <w:rFonts w:ascii="Arial" w:hAnsi="Arial" w:cs="Arial"/>
          <w:noProof/>
          <w:sz w:val="22"/>
        </w:rPr>
        <w:t>6</w:t>
      </w:r>
      <w:r w:rsidRPr="00CA33C2">
        <w:rPr>
          <w:rFonts w:ascii="Arial" w:hAnsi="Arial" w:cs="Arial"/>
          <w:noProof/>
          <w:sz w:val="22"/>
        </w:rPr>
        <w:fldChar w:fldCharType="end"/>
      </w:r>
    </w:p>
    <w:p w14:paraId="354B3473" w14:textId="77777777" w:rsidR="006E70CE" w:rsidRPr="00B862A0" w:rsidRDefault="006E70CE">
      <w:pPr>
        <w:pStyle w:val="TOC1"/>
        <w:rPr>
          <w:rFonts w:ascii="Arial" w:eastAsia="Times New Roman" w:hAnsi="Arial" w:cs="Arial"/>
          <w:noProof/>
          <w:color w:val="auto"/>
          <w:sz w:val="22"/>
          <w:lang w:eastAsia="en-GB"/>
        </w:rPr>
      </w:pPr>
      <w:r w:rsidRPr="00CA33C2">
        <w:rPr>
          <w:rFonts w:ascii="Arial" w:hAnsi="Arial" w:cs="Arial"/>
          <w:noProof/>
          <w:sz w:val="22"/>
        </w:rPr>
        <w:t>6. Conclusion</w:t>
      </w:r>
      <w:r w:rsidRPr="00CA33C2">
        <w:rPr>
          <w:rFonts w:ascii="Arial" w:hAnsi="Arial" w:cs="Arial"/>
          <w:noProof/>
          <w:sz w:val="22"/>
        </w:rPr>
        <w:tab/>
      </w:r>
      <w:r w:rsidRPr="00CA33C2">
        <w:rPr>
          <w:rFonts w:ascii="Arial" w:hAnsi="Arial" w:cs="Arial"/>
          <w:noProof/>
          <w:sz w:val="22"/>
        </w:rPr>
        <w:fldChar w:fldCharType="begin"/>
      </w:r>
      <w:r w:rsidRPr="00CA33C2">
        <w:rPr>
          <w:rFonts w:ascii="Arial" w:hAnsi="Arial" w:cs="Arial"/>
          <w:noProof/>
          <w:sz w:val="22"/>
        </w:rPr>
        <w:instrText xml:space="preserve"> PAGEREF _Toc242803393 \h </w:instrText>
      </w:r>
      <w:r w:rsidRPr="00CA33C2">
        <w:rPr>
          <w:rFonts w:ascii="Arial" w:hAnsi="Arial" w:cs="Arial"/>
          <w:noProof/>
          <w:sz w:val="22"/>
        </w:rPr>
      </w:r>
      <w:r w:rsidRPr="00CA33C2">
        <w:rPr>
          <w:rFonts w:ascii="Arial" w:hAnsi="Arial" w:cs="Arial"/>
          <w:noProof/>
          <w:sz w:val="22"/>
        </w:rPr>
        <w:fldChar w:fldCharType="separate"/>
      </w:r>
      <w:r w:rsidRPr="00CA33C2">
        <w:rPr>
          <w:rFonts w:ascii="Arial" w:hAnsi="Arial" w:cs="Arial"/>
          <w:noProof/>
          <w:sz w:val="22"/>
        </w:rPr>
        <w:t>8</w:t>
      </w:r>
      <w:r w:rsidRPr="00CA33C2">
        <w:rPr>
          <w:rFonts w:ascii="Arial" w:hAnsi="Arial" w:cs="Arial"/>
          <w:noProof/>
          <w:sz w:val="22"/>
        </w:rPr>
        <w:fldChar w:fldCharType="end"/>
      </w:r>
    </w:p>
    <w:p w14:paraId="19FAE161" w14:textId="77777777" w:rsidR="006E70CE" w:rsidRPr="00B862A0" w:rsidRDefault="006E70CE">
      <w:pPr>
        <w:pStyle w:val="TOC1"/>
        <w:rPr>
          <w:rFonts w:ascii="Arial" w:eastAsia="Times New Roman" w:hAnsi="Arial" w:cs="Arial"/>
          <w:noProof/>
          <w:color w:val="auto"/>
          <w:sz w:val="22"/>
          <w:lang w:eastAsia="en-GB"/>
        </w:rPr>
      </w:pPr>
      <w:r w:rsidRPr="00CA33C2">
        <w:rPr>
          <w:rFonts w:ascii="Arial" w:hAnsi="Arial" w:cs="Arial"/>
          <w:noProof/>
          <w:sz w:val="22"/>
        </w:rPr>
        <w:t>References</w:t>
      </w:r>
      <w:r w:rsidRPr="00CA33C2">
        <w:rPr>
          <w:rFonts w:ascii="Arial" w:hAnsi="Arial" w:cs="Arial"/>
          <w:noProof/>
          <w:sz w:val="22"/>
        </w:rPr>
        <w:tab/>
      </w:r>
      <w:r w:rsidRPr="00CA33C2">
        <w:rPr>
          <w:rFonts w:ascii="Arial" w:hAnsi="Arial" w:cs="Arial"/>
          <w:noProof/>
          <w:sz w:val="22"/>
        </w:rPr>
        <w:fldChar w:fldCharType="begin"/>
      </w:r>
      <w:r w:rsidRPr="00CA33C2">
        <w:rPr>
          <w:rFonts w:ascii="Arial" w:hAnsi="Arial" w:cs="Arial"/>
          <w:noProof/>
          <w:sz w:val="22"/>
        </w:rPr>
        <w:instrText xml:space="preserve"> PAGEREF _Toc242803394 \h </w:instrText>
      </w:r>
      <w:r w:rsidRPr="00CA33C2">
        <w:rPr>
          <w:rFonts w:ascii="Arial" w:hAnsi="Arial" w:cs="Arial"/>
          <w:noProof/>
          <w:sz w:val="22"/>
        </w:rPr>
      </w:r>
      <w:r w:rsidRPr="00CA33C2">
        <w:rPr>
          <w:rFonts w:ascii="Arial" w:hAnsi="Arial" w:cs="Arial"/>
          <w:noProof/>
          <w:sz w:val="22"/>
        </w:rPr>
        <w:fldChar w:fldCharType="separate"/>
      </w:r>
      <w:r w:rsidRPr="00CA33C2">
        <w:rPr>
          <w:rFonts w:ascii="Arial" w:hAnsi="Arial" w:cs="Arial"/>
          <w:noProof/>
          <w:sz w:val="22"/>
        </w:rPr>
        <w:t>9</w:t>
      </w:r>
      <w:r w:rsidRPr="00CA33C2">
        <w:rPr>
          <w:rFonts w:ascii="Arial" w:hAnsi="Arial" w:cs="Arial"/>
          <w:noProof/>
          <w:sz w:val="22"/>
        </w:rPr>
        <w:fldChar w:fldCharType="end"/>
      </w:r>
    </w:p>
    <w:p w14:paraId="5A39BBE3" w14:textId="77777777" w:rsidR="005901D0" w:rsidRPr="00CA33C2" w:rsidRDefault="00793373" w:rsidP="005901D0">
      <w:pPr>
        <w:pStyle w:val="TOC1"/>
        <w:rPr>
          <w:rFonts w:ascii="Arial" w:hAnsi="Arial" w:cs="Arial"/>
          <w:color w:val="auto"/>
          <w:sz w:val="22"/>
        </w:rPr>
      </w:pPr>
      <w:r w:rsidRPr="00CA33C2">
        <w:rPr>
          <w:rFonts w:ascii="Arial" w:hAnsi="Arial" w:cs="Arial"/>
          <w:color w:val="auto"/>
          <w:sz w:val="22"/>
        </w:rPr>
        <w:fldChar w:fldCharType="end"/>
      </w:r>
    </w:p>
    <w:p w14:paraId="41C8F396" w14:textId="77777777" w:rsidR="00793373" w:rsidRPr="00344167" w:rsidRDefault="00793373">
      <w:pPr>
        <w:rPr>
          <w:rFonts w:ascii="Arial" w:hAnsi="Arial" w:cs="Arial"/>
          <w:color w:val="auto"/>
          <w:szCs w:val="24"/>
        </w:rPr>
      </w:pPr>
    </w:p>
    <w:p w14:paraId="72A3D3EC" w14:textId="77777777" w:rsidR="00FA3835" w:rsidRPr="00344167" w:rsidRDefault="00FA3835">
      <w:pPr>
        <w:rPr>
          <w:rFonts w:ascii="Arial" w:hAnsi="Arial" w:cs="Arial"/>
          <w:color w:val="auto"/>
          <w:szCs w:val="24"/>
        </w:rPr>
      </w:pPr>
    </w:p>
    <w:p w14:paraId="0D0B940D" w14:textId="77777777" w:rsidR="00FA3835" w:rsidRPr="00344167" w:rsidRDefault="00FA3835">
      <w:pPr>
        <w:rPr>
          <w:rFonts w:ascii="Arial" w:hAnsi="Arial" w:cs="Arial"/>
          <w:color w:val="auto"/>
          <w:szCs w:val="24"/>
        </w:rPr>
      </w:pPr>
    </w:p>
    <w:p w14:paraId="32A36C38" w14:textId="77777777" w:rsidR="000824D7" w:rsidRPr="00046531" w:rsidRDefault="006407FE" w:rsidP="004A42D9">
      <w:pPr>
        <w:pStyle w:val="Heading1"/>
        <w:rPr>
          <w:rFonts w:ascii="Arial" w:hAnsi="Arial" w:cs="Arial"/>
          <w:sz w:val="22"/>
          <w:szCs w:val="22"/>
        </w:rPr>
      </w:pPr>
      <w:r w:rsidRPr="00344167">
        <w:rPr>
          <w:rFonts w:ascii="Arial" w:hAnsi="Arial" w:cs="Arial"/>
        </w:rPr>
        <w:br w:type="page"/>
      </w:r>
      <w:bookmarkStart w:id="0" w:name="_Toc242803388"/>
      <w:r w:rsidR="006E70CE" w:rsidRPr="00046531">
        <w:rPr>
          <w:rFonts w:ascii="Arial" w:hAnsi="Arial" w:cs="Arial"/>
          <w:sz w:val="22"/>
          <w:szCs w:val="22"/>
        </w:rPr>
        <w:lastRenderedPageBreak/>
        <w:t xml:space="preserve">1. </w:t>
      </w:r>
      <w:r w:rsidR="00607926" w:rsidRPr="00046531">
        <w:rPr>
          <w:rFonts w:ascii="Arial" w:hAnsi="Arial" w:cs="Arial"/>
          <w:sz w:val="22"/>
          <w:szCs w:val="22"/>
        </w:rPr>
        <w:t>Introduction</w:t>
      </w:r>
      <w:bookmarkEnd w:id="0"/>
    </w:p>
    <w:p w14:paraId="6DBFC4D2" w14:textId="77777777" w:rsidR="00871B27" w:rsidRPr="00046531" w:rsidRDefault="00871B27" w:rsidP="00871B27">
      <w:pPr>
        <w:rPr>
          <w:rFonts w:ascii="Arial" w:hAnsi="Arial" w:cs="Arial"/>
          <w:sz w:val="22"/>
        </w:rPr>
      </w:pPr>
      <w:r w:rsidRPr="00046531">
        <w:rPr>
          <w:rFonts w:ascii="Arial" w:hAnsi="Arial" w:cs="Arial"/>
          <w:sz w:val="22"/>
        </w:rPr>
        <w:t>Asthma is a heterogeneous disease of the lungs marked by wheezing, dyspnoea, chest tightness, and coughing, and which can be accompanied by partially reversible expiratory airway obstruction. The importance of asthma to teenagers goes past the symptoms as they may disrupt learning, sleeping, exercising, and socialising. Airway inflammation and hyperresponsiveness of the bronchi are important, but the severity and biological profile vary from person to person. Asthma, therefore, cannot be said to be just narrowed airways.</w:t>
      </w:r>
    </w:p>
    <w:p w14:paraId="5952C7F2" w14:textId="3BEBEF72" w:rsidR="00871B27" w:rsidRPr="00046531" w:rsidRDefault="00871B27" w:rsidP="00871B27">
      <w:pPr>
        <w:rPr>
          <w:rFonts w:ascii="Arial" w:hAnsi="Arial" w:cs="Arial"/>
          <w:sz w:val="22"/>
        </w:rPr>
      </w:pPr>
      <w:r w:rsidRPr="00046531">
        <w:rPr>
          <w:rFonts w:ascii="Arial" w:hAnsi="Arial" w:cs="Arial"/>
          <w:sz w:val="22"/>
        </w:rPr>
        <w:t xml:space="preserve">Predisposing risk factors for developing asthma include atopy, family </w:t>
      </w:r>
      <w:r w:rsidR="00F11F71" w:rsidRPr="00046531">
        <w:rPr>
          <w:rFonts w:ascii="Arial" w:hAnsi="Arial" w:cs="Arial"/>
          <w:sz w:val="22"/>
        </w:rPr>
        <w:t>predisposition,</w:t>
      </w:r>
      <w:r w:rsidRPr="00046531">
        <w:rPr>
          <w:rFonts w:ascii="Arial" w:hAnsi="Arial" w:cs="Arial"/>
          <w:sz w:val="22"/>
        </w:rPr>
        <w:t xml:space="preserve"> and environmental factors, but the factors leading to exacerbation include respiratory infections, smoking, vaping, or polluted air. It is important to note that even though one might experience factors that lead to asthma attacks, it does not mean that the factors have led to the development of the condition. Adolescents will face more challenges because of peer pressure, trying out nicotine, worries about inhaling the medication in schools, and reduced parental supervision. According to a pilot study conducted in UK schools, asthma education increased perception, but did not improve asthma management (Harris et al., 2022).</w:t>
      </w:r>
    </w:p>
    <w:p w14:paraId="74B1859E" w14:textId="77777777" w:rsidR="006E70CE" w:rsidRPr="00046531" w:rsidRDefault="00871B27" w:rsidP="00871B27">
      <w:pPr>
        <w:rPr>
          <w:rFonts w:ascii="Arial" w:hAnsi="Arial" w:cs="Arial"/>
          <w:sz w:val="22"/>
        </w:rPr>
      </w:pPr>
      <w:r w:rsidRPr="00046531">
        <w:rPr>
          <w:rFonts w:ascii="Arial" w:hAnsi="Arial" w:cs="Arial"/>
          <w:sz w:val="22"/>
        </w:rPr>
        <w:t>From the viewpoint of a practice nurse who works in a GP clinic once every two weeks, this report looks at aspects of respiratory structure and function, airway inflammation, interpretation of measurements, and preventive measures in individual patients. The essence of this report is that the management of asthma necessitates the combination of physiological and clinical information.</w:t>
      </w:r>
    </w:p>
    <w:p w14:paraId="0E27B00A" w14:textId="77777777" w:rsidR="00871B27" w:rsidRPr="00046531" w:rsidRDefault="00871B27" w:rsidP="00871B27">
      <w:pPr>
        <w:rPr>
          <w:rFonts w:ascii="Arial" w:hAnsi="Arial" w:cs="Arial"/>
          <w:sz w:val="22"/>
        </w:rPr>
      </w:pPr>
    </w:p>
    <w:p w14:paraId="4F2866A2" w14:textId="77777777" w:rsidR="006E70CE" w:rsidRPr="00046531" w:rsidRDefault="006E70CE" w:rsidP="006E70CE">
      <w:pPr>
        <w:pStyle w:val="Heading1"/>
        <w:rPr>
          <w:rFonts w:ascii="Arial" w:hAnsi="Arial" w:cs="Arial"/>
          <w:sz w:val="22"/>
          <w:szCs w:val="22"/>
        </w:rPr>
      </w:pPr>
      <w:bookmarkStart w:id="1" w:name="_Toc242803389"/>
      <w:r w:rsidRPr="00046531">
        <w:rPr>
          <w:rFonts w:ascii="Arial" w:hAnsi="Arial" w:cs="Arial"/>
          <w:sz w:val="22"/>
          <w:szCs w:val="22"/>
        </w:rPr>
        <w:t>2. Anatomy and Physiology of the Respiratory System</w:t>
      </w:r>
      <w:bookmarkEnd w:id="1"/>
    </w:p>
    <w:p w14:paraId="2701E73C" w14:textId="13D4E2BF" w:rsidR="00871B27" w:rsidRPr="00046531" w:rsidRDefault="00871B27" w:rsidP="00871B27">
      <w:pPr>
        <w:rPr>
          <w:rFonts w:ascii="Arial" w:hAnsi="Arial" w:cs="Arial"/>
          <w:sz w:val="22"/>
        </w:rPr>
      </w:pPr>
      <w:r w:rsidRPr="00046531">
        <w:rPr>
          <w:rFonts w:ascii="Arial" w:hAnsi="Arial" w:cs="Arial"/>
          <w:sz w:val="22"/>
        </w:rPr>
        <w:t xml:space="preserve">The respiratory tree includes the nose, pharynx, larynx, trachea, </w:t>
      </w:r>
      <w:r w:rsidR="00F11F71" w:rsidRPr="00046531">
        <w:rPr>
          <w:rFonts w:ascii="Arial" w:hAnsi="Arial" w:cs="Arial"/>
          <w:sz w:val="22"/>
        </w:rPr>
        <w:t>bronchi,</w:t>
      </w:r>
      <w:r w:rsidRPr="00046531">
        <w:rPr>
          <w:rFonts w:ascii="Arial" w:hAnsi="Arial" w:cs="Arial"/>
          <w:sz w:val="22"/>
        </w:rPr>
        <w:t xml:space="preserve"> and successively more minor bronchioles ending in alveolar structures. The conducting airways transport and condition the air that is breathed in, while the respiratory bronchioles and alveoli provide the site of gas exchange. The airway cilia and mucus prevent particles from passing, while the smooth muscles control the lumen size. For gas exchange in the alveoli, one cell layer thickness between the alveolar-capillary membrane gives a huge surface area for diffusion. This organisation is clinically important as inflammation in the conducting airways can severely restrict breathing even if the alveolar diffusion surface remains healthy</w:t>
      </w:r>
      <w:r w:rsidR="00292C14" w:rsidRPr="00046531">
        <w:rPr>
          <w:sz w:val="22"/>
        </w:rPr>
        <w:t xml:space="preserve"> </w:t>
      </w:r>
      <w:r w:rsidR="00292C14" w:rsidRPr="00046531">
        <w:rPr>
          <w:rFonts w:ascii="Arial" w:hAnsi="Arial" w:cs="Arial"/>
          <w:sz w:val="22"/>
        </w:rPr>
        <w:t>(Toumpanakis and Usmani, 2023)</w:t>
      </w:r>
      <w:r w:rsidRPr="00046531">
        <w:rPr>
          <w:rFonts w:ascii="Arial" w:hAnsi="Arial" w:cs="Arial"/>
          <w:sz w:val="22"/>
        </w:rPr>
        <w:t>.</w:t>
      </w:r>
    </w:p>
    <w:p w14:paraId="5274FF7B" w14:textId="77777777" w:rsidR="00871B27" w:rsidRPr="00046531" w:rsidRDefault="00871B27" w:rsidP="00871B27">
      <w:pPr>
        <w:rPr>
          <w:rFonts w:ascii="Arial" w:hAnsi="Arial" w:cs="Arial"/>
          <w:sz w:val="22"/>
        </w:rPr>
      </w:pPr>
      <w:r w:rsidRPr="00046531">
        <w:rPr>
          <w:rFonts w:ascii="Arial" w:hAnsi="Arial" w:cs="Arial"/>
          <w:sz w:val="22"/>
        </w:rPr>
        <w:t xml:space="preserve">The mechanical act of breathing requires differences in pressures achieved through thoracic motion. In normal quiet inspiration, contraction of the diaphragm and external intercostals leads to enlargement of the thorax, decrease in intrapulmonary pressure and breathing in of air. Quiet expiration in normal conditions is largely passive and is caused by relaxation of the respiratory muscles. In diseases that obstruct, on the other hand, the reduction in the size of the airways </w:t>
      </w:r>
      <w:r w:rsidRPr="00046531">
        <w:rPr>
          <w:rFonts w:ascii="Arial" w:hAnsi="Arial" w:cs="Arial"/>
          <w:sz w:val="22"/>
        </w:rPr>
        <w:lastRenderedPageBreak/>
        <w:t>results in increased resistance, especially during expiration when increased pressure in the thoracic cavity increases constriction of the smaller airways. The airway resistance is inversely proportional to the airway radius, and the relationship is nonlinear.</w:t>
      </w:r>
    </w:p>
    <w:p w14:paraId="7F62548B" w14:textId="67DB0B98" w:rsidR="006E70CE" w:rsidRPr="00046531" w:rsidRDefault="00871B27" w:rsidP="00871B27">
      <w:pPr>
        <w:rPr>
          <w:rFonts w:ascii="Arial" w:hAnsi="Arial" w:cs="Arial"/>
          <w:sz w:val="22"/>
        </w:rPr>
      </w:pPr>
      <w:r w:rsidRPr="00046531">
        <w:rPr>
          <w:rFonts w:ascii="Arial" w:hAnsi="Arial" w:cs="Arial"/>
          <w:sz w:val="22"/>
        </w:rPr>
        <w:t xml:space="preserve">Gases exchange through partial pressure gradients whereby oxygen enters the pulmonary capillary blood from ventilated alveoli to bind to hemoglobin, and carbon dioxide from blood to alveolar air for removal. An effective gas exchange depends on efficient ventilation and perfusion, good membrane properties, and perfect coordination between airflow and blood flow. During an asthma attack, irregular obstruction of bronchioles leads to inadequate ventilation of certain perfused areas, hence a ventilation-perfusion mismatch and hypoxia in severe cases. In the </w:t>
      </w:r>
      <w:r w:rsidR="00F11F71" w:rsidRPr="00046531">
        <w:rPr>
          <w:rFonts w:ascii="Arial" w:hAnsi="Arial" w:cs="Arial"/>
          <w:sz w:val="22"/>
        </w:rPr>
        <w:t>initial stages</w:t>
      </w:r>
      <w:r w:rsidRPr="00046531">
        <w:rPr>
          <w:rFonts w:ascii="Arial" w:hAnsi="Arial" w:cs="Arial"/>
          <w:sz w:val="22"/>
        </w:rPr>
        <w:t xml:space="preserve"> of an attack, hyperventilation causes a reduction in arterial CO2, but an increasing CO2 level in a </w:t>
      </w:r>
      <w:r w:rsidR="00046531" w:rsidRPr="00046531">
        <w:rPr>
          <w:rFonts w:ascii="Arial" w:hAnsi="Arial" w:cs="Arial"/>
          <w:sz w:val="22"/>
        </w:rPr>
        <w:t>deteriorating patient point</w:t>
      </w:r>
      <w:r w:rsidRPr="00046531">
        <w:rPr>
          <w:rFonts w:ascii="Arial" w:hAnsi="Arial" w:cs="Arial"/>
          <w:sz w:val="22"/>
        </w:rPr>
        <w:t xml:space="preserve"> towards fatigue and respiratory failure</w:t>
      </w:r>
      <w:r w:rsidR="00292C14" w:rsidRPr="00046531">
        <w:rPr>
          <w:sz w:val="22"/>
        </w:rPr>
        <w:t xml:space="preserve"> </w:t>
      </w:r>
      <w:r w:rsidR="00292C14" w:rsidRPr="00046531">
        <w:rPr>
          <w:rFonts w:ascii="Arial" w:hAnsi="Arial" w:cs="Arial"/>
          <w:sz w:val="22"/>
        </w:rPr>
        <w:t>(Gayen et al., 2024)</w:t>
      </w:r>
      <w:r w:rsidRPr="00046531">
        <w:rPr>
          <w:rFonts w:ascii="Arial" w:hAnsi="Arial" w:cs="Arial"/>
          <w:sz w:val="22"/>
        </w:rPr>
        <w:t>.</w:t>
      </w:r>
    </w:p>
    <w:p w14:paraId="60061E4C" w14:textId="77777777" w:rsidR="00871B27" w:rsidRPr="00046531" w:rsidRDefault="00871B27" w:rsidP="00871B27">
      <w:pPr>
        <w:rPr>
          <w:rFonts w:ascii="Arial" w:hAnsi="Arial" w:cs="Arial"/>
          <w:sz w:val="22"/>
        </w:rPr>
      </w:pPr>
    </w:p>
    <w:p w14:paraId="2CF839D2" w14:textId="77777777" w:rsidR="006E70CE" w:rsidRPr="00046531" w:rsidRDefault="006E70CE" w:rsidP="006E70CE">
      <w:pPr>
        <w:pStyle w:val="Heading1"/>
        <w:rPr>
          <w:rFonts w:ascii="Arial" w:hAnsi="Arial" w:cs="Arial"/>
          <w:sz w:val="22"/>
          <w:szCs w:val="22"/>
        </w:rPr>
      </w:pPr>
      <w:bookmarkStart w:id="2" w:name="_Toc242803390"/>
      <w:r w:rsidRPr="00046531">
        <w:rPr>
          <w:rFonts w:ascii="Arial" w:hAnsi="Arial" w:cs="Arial"/>
          <w:sz w:val="22"/>
          <w:szCs w:val="22"/>
        </w:rPr>
        <w:t>3. Asthma Pathophysiology and Respiratory Impact</w:t>
      </w:r>
      <w:bookmarkEnd w:id="2"/>
    </w:p>
    <w:p w14:paraId="41643E3E" w14:textId="41ED9801" w:rsidR="00871B27" w:rsidRPr="00046531" w:rsidRDefault="00871B27" w:rsidP="00871B27">
      <w:pPr>
        <w:rPr>
          <w:rFonts w:ascii="Arial" w:hAnsi="Arial" w:cs="Arial"/>
          <w:sz w:val="22"/>
        </w:rPr>
      </w:pPr>
      <w:r w:rsidRPr="00046531">
        <w:rPr>
          <w:rFonts w:ascii="Arial" w:hAnsi="Arial" w:cs="Arial"/>
          <w:sz w:val="22"/>
        </w:rPr>
        <w:t xml:space="preserve">There is airway inflammation that occurs variably, bronchial hyperresponsiveness and smooth muscle contraction. Allergens can induce inflammatory pathways and immune responses, whereas infections and nonallergic irritants can initiate </w:t>
      </w:r>
      <w:r w:rsidR="00F11F71" w:rsidRPr="00046531">
        <w:rPr>
          <w:rFonts w:ascii="Arial" w:hAnsi="Arial" w:cs="Arial"/>
          <w:sz w:val="22"/>
        </w:rPr>
        <w:t>a separate set</w:t>
      </w:r>
      <w:r w:rsidRPr="00046531">
        <w:rPr>
          <w:rFonts w:ascii="Arial" w:hAnsi="Arial" w:cs="Arial"/>
          <w:sz w:val="22"/>
        </w:rPr>
        <w:t xml:space="preserve"> of airway disturbances. Bronchoconstriction, </w:t>
      </w:r>
      <w:proofErr w:type="spellStart"/>
      <w:r w:rsidR="00F11F71">
        <w:rPr>
          <w:rFonts w:ascii="Arial" w:hAnsi="Arial" w:cs="Arial"/>
          <w:sz w:val="22"/>
        </w:rPr>
        <w:t>edema</w:t>
      </w:r>
      <w:proofErr w:type="spellEnd"/>
      <w:r w:rsidRPr="00046531">
        <w:rPr>
          <w:rFonts w:ascii="Arial" w:hAnsi="Arial" w:cs="Arial"/>
          <w:sz w:val="22"/>
        </w:rPr>
        <w:t>, and mucus secretion all lead to a smaller airway lumen. Chronic disease is associated with remodelling which includes smooth muscle change and epithelium damage. However, asthma shows biological heterogeneity, which means that there are not the same eosinophils inflammatory reactions and response to environmental exposure among adolescents.</w:t>
      </w:r>
    </w:p>
    <w:p w14:paraId="66013210" w14:textId="115FF778" w:rsidR="00871B27" w:rsidRPr="00046531" w:rsidRDefault="00871B27" w:rsidP="00871B27">
      <w:pPr>
        <w:rPr>
          <w:rFonts w:ascii="Arial" w:hAnsi="Arial" w:cs="Arial"/>
          <w:sz w:val="22"/>
        </w:rPr>
      </w:pPr>
      <w:r w:rsidRPr="00046531">
        <w:rPr>
          <w:rFonts w:ascii="Arial" w:hAnsi="Arial" w:cs="Arial"/>
          <w:sz w:val="22"/>
        </w:rPr>
        <w:t xml:space="preserve">Increased expiratory resistance results in airflow limitation, unequal </w:t>
      </w:r>
      <w:r w:rsidR="00F11F71" w:rsidRPr="00046531">
        <w:rPr>
          <w:rFonts w:ascii="Arial" w:hAnsi="Arial" w:cs="Arial"/>
          <w:sz w:val="22"/>
        </w:rPr>
        <w:t>ventilation,</w:t>
      </w:r>
      <w:r w:rsidRPr="00046531">
        <w:rPr>
          <w:rFonts w:ascii="Arial" w:hAnsi="Arial" w:cs="Arial"/>
          <w:sz w:val="22"/>
        </w:rPr>
        <w:t xml:space="preserve"> and air trapping at the end of exhalation. Hyperinflation increases work of breathing and leads to chest tightness and dyspnoea. Exacerbations are associated with problems with ventilation-perfusion matching and oxygenation. Prospective </w:t>
      </w:r>
      <w:r w:rsidR="00046531" w:rsidRPr="00046531">
        <w:rPr>
          <w:rFonts w:ascii="Arial" w:hAnsi="Arial" w:cs="Arial"/>
          <w:sz w:val="22"/>
        </w:rPr>
        <w:t>paediatric</w:t>
      </w:r>
      <w:r w:rsidRPr="00046531">
        <w:rPr>
          <w:rFonts w:ascii="Arial" w:hAnsi="Arial" w:cs="Arial"/>
          <w:sz w:val="22"/>
        </w:rPr>
        <w:t xml:space="preserve"> emergency study was conducted to assess the characteristics of viruses with the degree of exacerbation and response to therapy, which is important for distinguishing between infection and the mechanisms of an episode (Navanandan et al., 2025).</w:t>
      </w:r>
    </w:p>
    <w:p w14:paraId="2A38C6D8" w14:textId="4DB4E4D2" w:rsidR="00871B27" w:rsidRPr="00046531" w:rsidRDefault="00871B27" w:rsidP="00871B27">
      <w:pPr>
        <w:rPr>
          <w:rFonts w:ascii="Arial" w:hAnsi="Arial" w:cs="Arial"/>
          <w:sz w:val="22"/>
        </w:rPr>
      </w:pPr>
      <w:r w:rsidRPr="00046531">
        <w:rPr>
          <w:rFonts w:ascii="Arial" w:hAnsi="Arial" w:cs="Arial"/>
          <w:sz w:val="22"/>
        </w:rPr>
        <w:t xml:space="preserve">Environmental factors reveal important but not interchangeable pathways. US cohort data on fine particles and ozone </w:t>
      </w:r>
      <w:r w:rsidR="00F11F71" w:rsidRPr="00046531">
        <w:rPr>
          <w:rFonts w:ascii="Arial" w:hAnsi="Arial" w:cs="Arial"/>
          <w:sz w:val="22"/>
        </w:rPr>
        <w:t>related to</w:t>
      </w:r>
      <w:r w:rsidRPr="00046531">
        <w:rPr>
          <w:rFonts w:ascii="Arial" w:hAnsi="Arial" w:cs="Arial"/>
          <w:sz w:val="22"/>
        </w:rPr>
        <w:t xml:space="preserve"> non-viral exacerbations and altered expression of inflammatory genes; observational design means that residual confounding remains (Altman et al., 2023). Exposure to </w:t>
      </w:r>
      <w:r w:rsidR="00046531" w:rsidRPr="00046531">
        <w:rPr>
          <w:rFonts w:ascii="Arial" w:hAnsi="Arial" w:cs="Arial"/>
          <w:sz w:val="22"/>
        </w:rPr>
        <w:t>second-hand</w:t>
      </w:r>
      <w:r w:rsidRPr="00046531">
        <w:rPr>
          <w:rFonts w:ascii="Arial" w:hAnsi="Arial" w:cs="Arial"/>
          <w:sz w:val="22"/>
        </w:rPr>
        <w:t xml:space="preserve"> vaping aerosols has been shown to correlate with asthma exacerbations in children, yet cross-sectional data cannot determine a temporal association or causation (Costantino et al., 2024). Also, US longitudinal data on adolescent tobacco-product </w:t>
      </w:r>
      <w:r w:rsidRPr="00046531">
        <w:rPr>
          <w:rFonts w:ascii="Arial" w:hAnsi="Arial" w:cs="Arial"/>
          <w:sz w:val="22"/>
        </w:rPr>
        <w:lastRenderedPageBreak/>
        <w:t>exposure raises concern about respiratory problems, yet self-reports of exposure and varying tobacco use limit causal inference (Yao et al., 2024).</w:t>
      </w:r>
    </w:p>
    <w:p w14:paraId="7BD585E9" w14:textId="70AA6B37" w:rsidR="006E70CE" w:rsidRPr="00046531" w:rsidRDefault="00871B27" w:rsidP="00871B27">
      <w:pPr>
        <w:rPr>
          <w:rFonts w:ascii="Arial" w:hAnsi="Arial" w:cs="Arial"/>
          <w:sz w:val="22"/>
        </w:rPr>
      </w:pPr>
      <w:r w:rsidRPr="00046531">
        <w:rPr>
          <w:rFonts w:ascii="Arial" w:hAnsi="Arial" w:cs="Arial"/>
          <w:sz w:val="22"/>
        </w:rPr>
        <w:t xml:space="preserve">The implication is that exposures, which can be avoided, need addressing without assuming that adolescent behaviour is responsible for exacerbations. Factors such as housing, socioeconomics, infection spread, access to treatment and adherence affect risk. An analysis of a prospective cohort showed that improving air quality had effects on the incidence of asthma during lifetime; </w:t>
      </w:r>
      <w:r w:rsidR="00F11F71" w:rsidRPr="00046531">
        <w:rPr>
          <w:rFonts w:ascii="Arial" w:hAnsi="Arial" w:cs="Arial"/>
          <w:sz w:val="22"/>
        </w:rPr>
        <w:t>yet</w:t>
      </w:r>
      <w:r w:rsidRPr="00046531">
        <w:rPr>
          <w:rFonts w:ascii="Arial" w:hAnsi="Arial" w:cs="Arial"/>
          <w:sz w:val="22"/>
        </w:rPr>
        <w:t xml:space="preserve"> association at population level means that pollution avoidance alone prevents individual adolescent attacks (Yu et al., 2024).</w:t>
      </w:r>
    </w:p>
    <w:p w14:paraId="44EAFD9C" w14:textId="77777777" w:rsidR="00871B27" w:rsidRPr="00046531" w:rsidRDefault="00871B27" w:rsidP="00871B27">
      <w:pPr>
        <w:rPr>
          <w:rFonts w:ascii="Arial" w:hAnsi="Arial" w:cs="Arial"/>
          <w:sz w:val="22"/>
        </w:rPr>
      </w:pPr>
    </w:p>
    <w:p w14:paraId="0506E702" w14:textId="77777777" w:rsidR="006E70CE" w:rsidRPr="00046531" w:rsidRDefault="006E70CE" w:rsidP="006E70CE">
      <w:pPr>
        <w:pStyle w:val="Heading1"/>
        <w:rPr>
          <w:rFonts w:ascii="Arial" w:hAnsi="Arial" w:cs="Arial"/>
          <w:sz w:val="22"/>
          <w:szCs w:val="22"/>
        </w:rPr>
      </w:pPr>
      <w:bookmarkStart w:id="3" w:name="_Toc242803391"/>
      <w:r w:rsidRPr="00046531">
        <w:rPr>
          <w:rFonts w:ascii="Arial" w:hAnsi="Arial" w:cs="Arial"/>
          <w:sz w:val="22"/>
          <w:szCs w:val="22"/>
        </w:rPr>
        <w:t>4. Respiratory Monitoring and Routine Data Use</w:t>
      </w:r>
      <w:bookmarkEnd w:id="3"/>
    </w:p>
    <w:p w14:paraId="16D1564A" w14:textId="38EF1A74" w:rsidR="00871B27" w:rsidRPr="00046531" w:rsidRDefault="00871B27" w:rsidP="00871B27">
      <w:pPr>
        <w:rPr>
          <w:rFonts w:ascii="Arial" w:hAnsi="Arial" w:cs="Arial"/>
          <w:sz w:val="22"/>
        </w:rPr>
      </w:pPr>
      <w:r w:rsidRPr="00046531">
        <w:rPr>
          <w:rFonts w:ascii="Arial" w:hAnsi="Arial" w:cs="Arial"/>
          <w:sz w:val="22"/>
        </w:rPr>
        <w:t xml:space="preserve">The peak expiratory flow (PEF) measures the peak value of airflow during a forced expiration and can detect changes in temporal variations if measurements are done using consistent techniques. Symptom diary and personal bests can be used to detect worsening as part of an individualised action plan. Despite that, PEF measurement is effort-dependent, </w:t>
      </w:r>
      <w:r w:rsidR="00F11F71" w:rsidRPr="00046531">
        <w:rPr>
          <w:rFonts w:ascii="Arial" w:hAnsi="Arial" w:cs="Arial"/>
          <w:sz w:val="22"/>
        </w:rPr>
        <w:t>evaluates</w:t>
      </w:r>
      <w:r w:rsidRPr="00046531">
        <w:rPr>
          <w:rFonts w:ascii="Arial" w:hAnsi="Arial" w:cs="Arial"/>
          <w:sz w:val="22"/>
        </w:rPr>
        <w:t xml:space="preserve"> the larger airways, and is not equivalent to FEV1 from spirometry. Spirometry gives a broader assessment of expiratory airflow obstruction, while fractional exhaled nitric oxide (FeNO) can give additional details on airway type-2 inflammation. Objective criteria are also different for children ages 5-16 years and above 16 years old.</w:t>
      </w:r>
    </w:p>
    <w:p w14:paraId="12164B8F" w14:textId="3EA17C1B" w:rsidR="00871B27" w:rsidRPr="00046531" w:rsidRDefault="00871B27" w:rsidP="00871B27">
      <w:pPr>
        <w:rPr>
          <w:rFonts w:ascii="Arial" w:hAnsi="Arial" w:cs="Arial"/>
          <w:sz w:val="22"/>
        </w:rPr>
      </w:pPr>
      <w:r w:rsidRPr="00046531">
        <w:rPr>
          <w:rFonts w:ascii="Arial" w:hAnsi="Arial" w:cs="Arial"/>
          <w:sz w:val="22"/>
        </w:rPr>
        <w:t xml:space="preserve">The other variables of routine clinical information for the practice nurse include waking at night, school absence, activity restriction, reliever inhaler use, oral steroid courses, emergency department visits, and maintenance therapy adherence. Within a cohort study of children followed longitudinally, a positive association between within-subjects' adherence to maintenance therapy and asthma control and quality of life is noted, showing the importance of understanding </w:t>
      </w:r>
      <w:r w:rsidR="00046531" w:rsidRPr="00046531">
        <w:rPr>
          <w:rFonts w:ascii="Arial" w:hAnsi="Arial" w:cs="Arial"/>
          <w:sz w:val="22"/>
        </w:rPr>
        <w:t>behavioural</w:t>
      </w:r>
      <w:r w:rsidRPr="00046531">
        <w:rPr>
          <w:rFonts w:ascii="Arial" w:hAnsi="Arial" w:cs="Arial"/>
          <w:sz w:val="22"/>
        </w:rPr>
        <w:t xml:space="preserve"> information in addition to symptom information without simply using lung function as the sole indicator (Lizano-Barrantes et al., 2024). From research on e-monitoring in adolescents and adults, inhaler use information may be valuable in clinical assessment, but there were no definitive advantages in all endpoints of a 24-week study (Mosnaim et al., 2023).</w:t>
      </w:r>
    </w:p>
    <w:p w14:paraId="4A7E2B61" w14:textId="50461349" w:rsidR="006E70CE" w:rsidRPr="00046531" w:rsidRDefault="00871B27" w:rsidP="00871B27">
      <w:pPr>
        <w:rPr>
          <w:rFonts w:ascii="Arial" w:hAnsi="Arial" w:cs="Arial"/>
          <w:sz w:val="22"/>
        </w:rPr>
      </w:pPr>
      <w:r w:rsidRPr="00046531">
        <w:rPr>
          <w:rFonts w:ascii="Arial" w:hAnsi="Arial" w:cs="Arial"/>
          <w:sz w:val="22"/>
        </w:rPr>
        <w:t xml:space="preserve">A randomised trial associated with the UK involved the use of digital adherence, </w:t>
      </w:r>
      <w:r w:rsidR="00F11F71" w:rsidRPr="00046531">
        <w:rPr>
          <w:rFonts w:ascii="Arial" w:hAnsi="Arial" w:cs="Arial"/>
          <w:sz w:val="22"/>
        </w:rPr>
        <w:t>technique,</w:t>
      </w:r>
      <w:r w:rsidRPr="00046531">
        <w:rPr>
          <w:rFonts w:ascii="Arial" w:hAnsi="Arial" w:cs="Arial"/>
          <w:sz w:val="22"/>
        </w:rPr>
        <w:t xml:space="preserve"> and peak flow information on how to adjust medication in patients with severe asthma. Although objective measurement and randomisation are among the positive aspects of the trial, its narrow inclusion criterion restricts the applicability of the trial directly to our case (Hale et al., 2023). There is no guarantee that monitoring is beneficial just because it is done regularly. It is stated in current UK guidelines that routine regular measurement of the PEF should not be done without any clinical need to do so unless there is such a reason, and most children should have an action plan </w:t>
      </w:r>
      <w:r w:rsidRPr="00046531">
        <w:rPr>
          <w:rFonts w:ascii="Arial" w:hAnsi="Arial" w:cs="Arial"/>
          <w:sz w:val="22"/>
        </w:rPr>
        <w:lastRenderedPageBreak/>
        <w:t xml:space="preserve">focusing on symptoms (NICE, 2024). Good data depend on the technique, timing, </w:t>
      </w:r>
      <w:r w:rsidR="00F11F71" w:rsidRPr="00046531">
        <w:rPr>
          <w:rFonts w:ascii="Arial" w:hAnsi="Arial" w:cs="Arial"/>
          <w:sz w:val="22"/>
        </w:rPr>
        <w:t>recording,</w:t>
      </w:r>
      <w:r w:rsidRPr="00046531">
        <w:rPr>
          <w:rFonts w:ascii="Arial" w:hAnsi="Arial" w:cs="Arial"/>
          <w:sz w:val="22"/>
        </w:rPr>
        <w:t xml:space="preserve"> and comprehension. According to the small study conducted with the involvement of children aged 6-18, electronic adherence and inhalation technique scores were not correlated, which explains the necessity of separate evaluation of both issues by nurses (Sportel et al., 2025).</w:t>
      </w:r>
    </w:p>
    <w:p w14:paraId="4B94D5A5" w14:textId="77777777" w:rsidR="00871B27" w:rsidRPr="00046531" w:rsidRDefault="00871B27" w:rsidP="00871B27">
      <w:pPr>
        <w:rPr>
          <w:rFonts w:ascii="Arial" w:hAnsi="Arial" w:cs="Arial"/>
          <w:sz w:val="22"/>
        </w:rPr>
      </w:pPr>
    </w:p>
    <w:p w14:paraId="23F210F6" w14:textId="77777777" w:rsidR="006E70CE" w:rsidRPr="00046531" w:rsidRDefault="006E70CE" w:rsidP="006E70CE">
      <w:pPr>
        <w:pStyle w:val="Heading1"/>
        <w:rPr>
          <w:rFonts w:ascii="Arial" w:hAnsi="Arial" w:cs="Arial"/>
          <w:sz w:val="22"/>
          <w:szCs w:val="22"/>
        </w:rPr>
      </w:pPr>
      <w:bookmarkStart w:id="4" w:name="_Toc242803392"/>
      <w:r w:rsidRPr="00046531">
        <w:rPr>
          <w:rFonts w:ascii="Arial" w:hAnsi="Arial" w:cs="Arial"/>
          <w:sz w:val="22"/>
          <w:szCs w:val="22"/>
        </w:rPr>
        <w:t>5. Evidence-Based Lifestyle Recommendations</w:t>
      </w:r>
      <w:bookmarkEnd w:id="4"/>
    </w:p>
    <w:p w14:paraId="314EFBE0" w14:textId="1528CCBC" w:rsidR="00871B27" w:rsidRPr="00046531" w:rsidRDefault="00871B27" w:rsidP="00871B27">
      <w:pPr>
        <w:rPr>
          <w:rFonts w:ascii="Arial" w:hAnsi="Arial" w:cs="Arial"/>
          <w:sz w:val="22"/>
        </w:rPr>
      </w:pPr>
      <w:r w:rsidRPr="00046531">
        <w:rPr>
          <w:rFonts w:ascii="Arial" w:hAnsi="Arial" w:cs="Arial"/>
          <w:sz w:val="22"/>
        </w:rPr>
        <w:t xml:space="preserve">Smoke and vape prevention should be focused on confidential and non-judgmental screening at each appropriate follow-up visit. The youth need to be encouraged to stay away from combustible tobacco, vaping </w:t>
      </w:r>
      <w:r w:rsidR="00F11F71" w:rsidRPr="00046531">
        <w:rPr>
          <w:rFonts w:ascii="Arial" w:hAnsi="Arial" w:cs="Arial"/>
          <w:sz w:val="22"/>
        </w:rPr>
        <w:t>liquids,</w:t>
      </w:r>
      <w:r w:rsidRPr="00046531">
        <w:rPr>
          <w:rFonts w:ascii="Arial" w:hAnsi="Arial" w:cs="Arial"/>
          <w:sz w:val="22"/>
        </w:rPr>
        <w:t xml:space="preserve"> and passive exposure to it, as well as being referred for age-appropriate cessation where necessary. An analysis conducted in the United States found an association between the use of e-cigarettes and asthma attacks, though due to the observational nature of the study and different smoking histories of the participants, it is difficult to determine a cause-and-effect relation (Lee and Shin, 2023).</w:t>
      </w:r>
    </w:p>
    <w:p w14:paraId="42598C4D" w14:textId="138C7476" w:rsidR="00871B27" w:rsidRPr="00046531" w:rsidRDefault="00871B27" w:rsidP="00871B27">
      <w:pPr>
        <w:rPr>
          <w:rFonts w:ascii="Arial" w:hAnsi="Arial" w:cs="Arial"/>
          <w:sz w:val="22"/>
        </w:rPr>
      </w:pPr>
      <w:r w:rsidRPr="00046531">
        <w:rPr>
          <w:rFonts w:ascii="Arial" w:hAnsi="Arial" w:cs="Arial"/>
          <w:sz w:val="22"/>
        </w:rPr>
        <w:t xml:space="preserve">Prevention of respiratory infections can be achieved through recommended vaccinations, hand and respiratory hygiene, increased ventilation if possible, and timely identification of deteriorating symptoms. It cannot be helped that there may be exposure to infections especially in schools and congested social situations. Environmental control must hence be selective in targeting those allergens that can be identified and </w:t>
      </w:r>
      <w:r w:rsidR="00F11F71" w:rsidRPr="00046531">
        <w:rPr>
          <w:rFonts w:ascii="Arial" w:hAnsi="Arial" w:cs="Arial"/>
          <w:sz w:val="22"/>
        </w:rPr>
        <w:t>damp</w:t>
      </w:r>
      <w:r w:rsidRPr="00046531">
        <w:rPr>
          <w:rFonts w:ascii="Arial" w:hAnsi="Arial" w:cs="Arial"/>
          <w:sz w:val="22"/>
        </w:rPr>
        <w:t xml:space="preserve"> housing or pollution exposure. A study conducted on over 8,000 paediatric patients found that spikes in pollution were linked with higher exacerbation severity among sensitive patients. However, the retrospective nature of the study limits individual prediction (Kelchtermans, Mentch and Hakonarson, 2023).</w:t>
      </w:r>
    </w:p>
    <w:p w14:paraId="68114AEE" w14:textId="28C1488C" w:rsidR="00871B27" w:rsidRPr="00046531" w:rsidRDefault="00871B27" w:rsidP="00871B27">
      <w:pPr>
        <w:rPr>
          <w:rFonts w:ascii="Arial" w:hAnsi="Arial" w:cs="Arial"/>
          <w:sz w:val="22"/>
        </w:rPr>
      </w:pPr>
      <w:r w:rsidRPr="00046531">
        <w:rPr>
          <w:rFonts w:ascii="Arial" w:hAnsi="Arial" w:cs="Arial"/>
          <w:sz w:val="22"/>
        </w:rPr>
        <w:t xml:space="preserve">Physical exercise is normally something that should be encouraged and not discouraged. An appropriate preventer treatment, a personal action plan and an assessment of symptoms during exercise can ensure that sport is partaken safely and without risking respiratory health. However, one pilot school study involving a small cluster of </w:t>
      </w:r>
      <w:r w:rsidR="00F11F71" w:rsidRPr="00046531">
        <w:rPr>
          <w:rFonts w:ascii="Arial" w:hAnsi="Arial" w:cs="Arial"/>
          <w:sz w:val="22"/>
        </w:rPr>
        <w:t>randomisations</w:t>
      </w:r>
      <w:r w:rsidRPr="00046531">
        <w:rPr>
          <w:rFonts w:ascii="Arial" w:hAnsi="Arial" w:cs="Arial"/>
          <w:sz w:val="22"/>
        </w:rPr>
        <w:t>, which improved activity and symptom-free days amongst children, cannot claim to show similar outcomes for adolescents since their subjects were younger (Reznik et al., 2025). Recommendations on other subjects would include inhaler technique, medication compliance, stigmatisation, and the appropriateness of device usage in school settings. The 2025 mobile-health study on adolescents examined self-efficacy and asthma control (Karataş et al., 2025).</w:t>
      </w:r>
    </w:p>
    <w:p w14:paraId="571E9DEC" w14:textId="2D37716C" w:rsidR="006E70CE" w:rsidRPr="00046531" w:rsidRDefault="00871B27" w:rsidP="00871B27">
      <w:pPr>
        <w:rPr>
          <w:rFonts w:ascii="Arial" w:hAnsi="Arial" w:cs="Arial"/>
          <w:sz w:val="22"/>
        </w:rPr>
      </w:pPr>
      <w:r w:rsidRPr="00046531">
        <w:rPr>
          <w:rFonts w:ascii="Arial" w:hAnsi="Arial" w:cs="Arial"/>
          <w:sz w:val="22"/>
        </w:rPr>
        <w:t xml:space="preserve">Structured inhaler education may be evaluated by performance of technique rather than just reporting of the technique. The validation study on a paediatric questionnaire done in 2023 gave the means for evaluation, however the acceptability of an instrument </w:t>
      </w:r>
      <w:r w:rsidR="00F11F71" w:rsidRPr="00046531">
        <w:rPr>
          <w:rFonts w:ascii="Arial" w:hAnsi="Arial" w:cs="Arial"/>
          <w:sz w:val="22"/>
        </w:rPr>
        <w:t>is</w:t>
      </w:r>
      <w:r w:rsidRPr="00046531">
        <w:rPr>
          <w:rFonts w:ascii="Arial" w:hAnsi="Arial" w:cs="Arial"/>
          <w:sz w:val="22"/>
        </w:rPr>
        <w:t xml:space="preserve"> not enough to show improvement in exacerbations (Lizano-Barrantes et al., 2023). An inpatient randomised trial found </w:t>
      </w:r>
      <w:r w:rsidRPr="00046531">
        <w:rPr>
          <w:rFonts w:ascii="Arial" w:hAnsi="Arial" w:cs="Arial"/>
          <w:sz w:val="22"/>
        </w:rPr>
        <w:lastRenderedPageBreak/>
        <w:t xml:space="preserve">worth in evaluating inhaler education, though in the sample used, participants were </w:t>
      </w:r>
      <w:r w:rsidR="00F11F71" w:rsidRPr="00046531">
        <w:rPr>
          <w:rFonts w:ascii="Arial" w:hAnsi="Arial" w:cs="Arial"/>
          <w:sz w:val="22"/>
        </w:rPr>
        <w:t>young</w:t>
      </w:r>
      <w:r w:rsidRPr="00046531">
        <w:rPr>
          <w:rFonts w:ascii="Arial" w:hAnsi="Arial" w:cs="Arial"/>
          <w:sz w:val="22"/>
        </w:rPr>
        <w:t xml:space="preserve"> children limiting generalisability to adolescents (Volerman et al., 2023). Importantly, education must be shown rather than assumed. Evaluation of technique of the inhaler through teach-back, a written action plan and reassessment following change in medications is how support will be measurable. A recent prospective study showed that there </w:t>
      </w:r>
      <w:r w:rsidR="00F11F71" w:rsidRPr="00046531">
        <w:rPr>
          <w:rFonts w:ascii="Arial" w:hAnsi="Arial" w:cs="Arial"/>
          <w:sz w:val="22"/>
        </w:rPr>
        <w:t>were</w:t>
      </w:r>
      <w:r w:rsidRPr="00046531">
        <w:rPr>
          <w:rFonts w:ascii="Arial" w:hAnsi="Arial" w:cs="Arial"/>
          <w:sz w:val="22"/>
        </w:rPr>
        <w:t xml:space="preserve"> depressive symptoms and suboptimal adherence among adolescents, though the cross-sectional nature of the study does not permit determination of causality (Naveen et al., 2025). Hence, communication from a psychological approach is required. The nurse at every clinic visit should evaluate the course of symptoms, episodes, device </w:t>
      </w:r>
      <w:r w:rsidR="00F11F71" w:rsidRPr="00046531">
        <w:rPr>
          <w:rFonts w:ascii="Arial" w:hAnsi="Arial" w:cs="Arial"/>
          <w:sz w:val="22"/>
        </w:rPr>
        <w:t>technique,</w:t>
      </w:r>
      <w:r w:rsidRPr="00046531">
        <w:rPr>
          <w:rFonts w:ascii="Arial" w:hAnsi="Arial" w:cs="Arial"/>
          <w:sz w:val="22"/>
        </w:rPr>
        <w:t xml:space="preserve"> and realistic behaviour goals, while any sustained loss of control should be escalated to the GP and not just considered low motivation.</w:t>
      </w:r>
    </w:p>
    <w:p w14:paraId="3DEEC669" w14:textId="77777777" w:rsidR="00871B27" w:rsidRPr="00046531" w:rsidRDefault="00871B27" w:rsidP="00871B27">
      <w:pPr>
        <w:rPr>
          <w:rFonts w:ascii="Arial" w:hAnsi="Arial" w:cs="Arial"/>
          <w:sz w:val="22"/>
        </w:rPr>
      </w:pPr>
    </w:p>
    <w:p w14:paraId="3BBFC3B7" w14:textId="77777777" w:rsidR="006E70CE" w:rsidRPr="00046531" w:rsidRDefault="006E70CE" w:rsidP="006E70CE">
      <w:pPr>
        <w:pStyle w:val="Heading1"/>
        <w:rPr>
          <w:rFonts w:ascii="Arial" w:hAnsi="Arial" w:cs="Arial"/>
          <w:sz w:val="22"/>
          <w:szCs w:val="22"/>
        </w:rPr>
      </w:pPr>
      <w:bookmarkStart w:id="5" w:name="_Toc242803393"/>
      <w:r w:rsidRPr="00046531">
        <w:rPr>
          <w:rFonts w:ascii="Arial" w:hAnsi="Arial" w:cs="Arial"/>
          <w:sz w:val="22"/>
          <w:szCs w:val="22"/>
        </w:rPr>
        <w:t>6. Conclusion</w:t>
      </w:r>
      <w:bookmarkEnd w:id="5"/>
    </w:p>
    <w:p w14:paraId="199406EA" w14:textId="71CE51D8" w:rsidR="00871B27" w:rsidRPr="00046531" w:rsidRDefault="00871B27" w:rsidP="00871B27">
      <w:pPr>
        <w:rPr>
          <w:rFonts w:ascii="Arial" w:hAnsi="Arial" w:cs="Arial"/>
          <w:sz w:val="22"/>
        </w:rPr>
      </w:pPr>
      <w:r w:rsidRPr="00046531">
        <w:rPr>
          <w:rFonts w:ascii="Arial" w:hAnsi="Arial" w:cs="Arial"/>
          <w:sz w:val="22"/>
        </w:rPr>
        <w:t xml:space="preserve">Adolescent Asthma is one such example that shows how closely related the physiology of respiration and the anatomical structure of the respiratory tract is. This is because the conducting passages conduct air, thoracic physiology provides ventilation and the gradients between the alveoli and capillaries help in the exchange of gases. However, airway inflammation, bronchospasm, </w:t>
      </w:r>
      <w:proofErr w:type="spellStart"/>
      <w:r w:rsidR="00F11F71">
        <w:rPr>
          <w:rFonts w:ascii="Arial" w:hAnsi="Arial" w:cs="Arial"/>
          <w:sz w:val="22"/>
        </w:rPr>
        <w:t>edema</w:t>
      </w:r>
      <w:proofErr w:type="spellEnd"/>
      <w:r w:rsidRPr="00046531">
        <w:rPr>
          <w:rFonts w:ascii="Arial" w:hAnsi="Arial" w:cs="Arial"/>
          <w:sz w:val="22"/>
        </w:rPr>
        <w:t xml:space="preserve"> of the mucosa, and increased secretion of mucus interfere with this well-coordinated mechanism with more impact on exhalation.</w:t>
      </w:r>
    </w:p>
    <w:p w14:paraId="3DB9831D" w14:textId="03578971" w:rsidR="00871B27" w:rsidRPr="00046531" w:rsidRDefault="00871B27" w:rsidP="00871B27">
      <w:pPr>
        <w:rPr>
          <w:rFonts w:ascii="Arial" w:hAnsi="Arial" w:cs="Arial"/>
          <w:sz w:val="22"/>
        </w:rPr>
      </w:pPr>
      <w:r w:rsidRPr="00046531">
        <w:rPr>
          <w:rFonts w:ascii="Arial" w:hAnsi="Arial" w:cs="Arial"/>
          <w:sz w:val="22"/>
        </w:rPr>
        <w:t xml:space="preserve">Management cannot be boiled down to trigger identification and one peak flow reading. Good surveillance will </w:t>
      </w:r>
      <w:r w:rsidR="00F11F71" w:rsidRPr="00046531">
        <w:rPr>
          <w:rFonts w:ascii="Arial" w:hAnsi="Arial" w:cs="Arial"/>
          <w:sz w:val="22"/>
        </w:rPr>
        <w:t>consider</w:t>
      </w:r>
      <w:r w:rsidRPr="00046531">
        <w:rPr>
          <w:rFonts w:ascii="Arial" w:hAnsi="Arial" w:cs="Arial"/>
          <w:sz w:val="22"/>
        </w:rPr>
        <w:t xml:space="preserve"> the pattern of symptoms, interference at school and in other activities, past exacerbations, lung function tests where necessary, prescribing information, and correct use of inhalers. The case for monitoring becomes much more compelling if numbers </w:t>
      </w:r>
      <w:r w:rsidR="00F11F71" w:rsidRPr="00046531">
        <w:rPr>
          <w:rFonts w:ascii="Arial" w:hAnsi="Arial" w:cs="Arial"/>
          <w:sz w:val="22"/>
        </w:rPr>
        <w:t>result</w:t>
      </w:r>
      <w:r w:rsidRPr="00046531">
        <w:rPr>
          <w:rFonts w:ascii="Arial" w:hAnsi="Arial" w:cs="Arial"/>
          <w:sz w:val="22"/>
        </w:rPr>
        <w:t xml:space="preserve"> in a decision being made together. Avoiding tobacco use and vaping, infection control measures, exercise, and changes in the environment should be stressed on an individual basis based on the risks faced by each child.</w:t>
      </w:r>
    </w:p>
    <w:p w14:paraId="08CE06F8" w14:textId="77777777" w:rsidR="006E70CE" w:rsidRPr="00046531" w:rsidRDefault="00871B27" w:rsidP="00871B27">
      <w:pPr>
        <w:rPr>
          <w:rFonts w:ascii="Arial" w:hAnsi="Arial" w:cs="Arial"/>
          <w:sz w:val="22"/>
        </w:rPr>
      </w:pPr>
      <w:r w:rsidRPr="00046531">
        <w:rPr>
          <w:rFonts w:ascii="Arial" w:hAnsi="Arial" w:cs="Arial"/>
          <w:sz w:val="22"/>
        </w:rPr>
        <w:t>For the GP asthma clinic, the responsibilities of the practice nurse include integrating physical assessment and education aimed at teenagers, in addition to working alongside the GP and other individuals such as the family and school. Having a well-documented and clear understanding action plan, proper inhaler use and regular follow-up create a more justified way forward for asthma management than simply providing information.</w:t>
      </w:r>
    </w:p>
    <w:p w14:paraId="3656B9AB" w14:textId="77777777" w:rsidR="006E70CE" w:rsidRPr="00046531" w:rsidRDefault="006E70CE" w:rsidP="006E70CE">
      <w:pPr>
        <w:rPr>
          <w:rFonts w:ascii="Arial" w:hAnsi="Arial" w:cs="Arial"/>
          <w:sz w:val="22"/>
        </w:rPr>
      </w:pPr>
    </w:p>
    <w:p w14:paraId="071E4E01" w14:textId="77777777" w:rsidR="0074789A" w:rsidRDefault="00E61475" w:rsidP="00073CCE">
      <w:pPr>
        <w:pStyle w:val="Heading1"/>
        <w:ind w:left="0" w:firstLine="0"/>
        <w:rPr>
          <w:rFonts w:ascii="Arial" w:hAnsi="Arial" w:cs="Arial"/>
          <w:sz w:val="22"/>
          <w:szCs w:val="22"/>
        </w:rPr>
      </w:pPr>
      <w:r w:rsidRPr="00046531">
        <w:rPr>
          <w:rFonts w:ascii="Arial" w:hAnsi="Arial" w:cs="Arial"/>
          <w:sz w:val="22"/>
          <w:szCs w:val="22"/>
        </w:rPr>
        <w:br w:type="page"/>
      </w:r>
      <w:bookmarkStart w:id="6" w:name="_Toc242803394"/>
      <w:r w:rsidR="0082293E" w:rsidRPr="00344167">
        <w:rPr>
          <w:rFonts w:ascii="Arial" w:hAnsi="Arial" w:cs="Arial"/>
          <w:sz w:val="22"/>
          <w:szCs w:val="22"/>
        </w:rPr>
        <w:lastRenderedPageBreak/>
        <w:t>R</w:t>
      </w:r>
      <w:r w:rsidR="006E70CE" w:rsidRPr="00344167">
        <w:rPr>
          <w:rFonts w:ascii="Arial" w:hAnsi="Arial" w:cs="Arial"/>
          <w:sz w:val="22"/>
          <w:szCs w:val="22"/>
        </w:rPr>
        <w:t>eferences</w:t>
      </w:r>
      <w:bookmarkEnd w:id="6"/>
    </w:p>
    <w:p w14:paraId="4D54AB13" w14:textId="1FBEA1A4"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Altman, M.C., Kattan, M., O’Connor, G.T., Murphy, R.C., Whalen, E., LeBeau, P., Calatroni, A., Gill, M.A., Gruchalla, R.S., Liu, A.H., Lovinsky-Desir, S., Pongracic, J.A., Kercsmar, C.M., Khurana Hershey, G.K., Zoratti, E.M., Teach, S.J., Bacharier, L.B., Wheatley, L.M., Sigelman, S.M., Gergen, P.J., Togias, A., Busse, W.W., Gern, J.E. and Jackson, D.J. (2023). Associations between outdoor air pollutants and non-viral asthma exacerbations and airway inflammatory responses in children and adolescents living in urban areas in the USA: A retrospective secondary analysis. </w:t>
      </w:r>
      <w:r w:rsidRPr="00CA33C2">
        <w:rPr>
          <w:rFonts w:ascii="Arial" w:hAnsi="Arial" w:cs="Arial"/>
          <w:i/>
          <w:iCs/>
          <w:sz w:val="22"/>
          <w:szCs w:val="22"/>
        </w:rPr>
        <w:t>The Lancet Planetary Health</w:t>
      </w:r>
      <w:r w:rsidRPr="00CA33C2">
        <w:rPr>
          <w:rFonts w:ascii="Arial" w:hAnsi="Arial" w:cs="Arial"/>
          <w:sz w:val="22"/>
          <w:szCs w:val="22"/>
        </w:rPr>
        <w:t xml:space="preserve">, [online] 7(1), </w:t>
      </w:r>
      <w:r w:rsidR="00F11F71" w:rsidRPr="00CA33C2">
        <w:rPr>
          <w:rFonts w:ascii="Arial" w:hAnsi="Arial" w:cs="Arial"/>
          <w:sz w:val="22"/>
          <w:szCs w:val="22"/>
        </w:rPr>
        <w:t>pp. e</w:t>
      </w:r>
      <w:r w:rsidRPr="00CA33C2">
        <w:rPr>
          <w:rFonts w:ascii="Arial" w:hAnsi="Arial" w:cs="Arial"/>
          <w:sz w:val="22"/>
          <w:szCs w:val="22"/>
        </w:rPr>
        <w:t xml:space="preserve">33-e44. </w:t>
      </w:r>
      <w:hyperlink r:id="rId9" w:history="1">
        <w:r w:rsidRPr="0002155F">
          <w:rPr>
            <w:rStyle w:val="Hyperlink"/>
            <w:rFonts w:ascii="Arial" w:hAnsi="Arial" w:cs="Arial"/>
            <w:sz w:val="22"/>
            <w:szCs w:val="22"/>
          </w:rPr>
          <w:t>https://doi.org/10.1016/s2542-5196(22)00302-3</w:t>
        </w:r>
      </w:hyperlink>
      <w:r w:rsidRPr="00CA33C2">
        <w:rPr>
          <w:rFonts w:ascii="Arial" w:hAnsi="Arial" w:cs="Arial"/>
          <w:sz w:val="22"/>
          <w:szCs w:val="22"/>
        </w:rPr>
        <w:t>.</w:t>
      </w:r>
      <w:r>
        <w:rPr>
          <w:rFonts w:ascii="Arial" w:hAnsi="Arial" w:cs="Arial"/>
          <w:sz w:val="22"/>
          <w:szCs w:val="22"/>
        </w:rPr>
        <w:t xml:space="preserve"> </w:t>
      </w:r>
    </w:p>
    <w:p w14:paraId="03C23980" w14:textId="77777777" w:rsid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Costantino, S., Torre, A., Simone Foti Randazzese, Salvatore Antonio Mollica, Motta, F., Domenico Busceti, Ferrante, F., Caminiti, L., Crisafulli, G. and Manti, S. (2024). Association between second-hand exposure to e-cigarettes at home and exacerbations in children with asthma. </w:t>
      </w:r>
      <w:r w:rsidRPr="00CA33C2">
        <w:rPr>
          <w:rFonts w:ascii="Arial" w:hAnsi="Arial" w:cs="Arial"/>
          <w:i/>
          <w:iCs/>
          <w:sz w:val="22"/>
          <w:szCs w:val="22"/>
        </w:rPr>
        <w:t>Children (Basel)</w:t>
      </w:r>
      <w:r w:rsidRPr="00CA33C2">
        <w:rPr>
          <w:rFonts w:ascii="Arial" w:hAnsi="Arial" w:cs="Arial"/>
          <w:sz w:val="22"/>
          <w:szCs w:val="22"/>
        </w:rPr>
        <w:t xml:space="preserve">, 11(3), pp.356–356. </w:t>
      </w:r>
      <w:hyperlink r:id="rId10" w:history="1">
        <w:r w:rsidRPr="0002155F">
          <w:rPr>
            <w:rStyle w:val="Hyperlink"/>
            <w:rFonts w:ascii="Arial" w:hAnsi="Arial" w:cs="Arial"/>
            <w:sz w:val="22"/>
            <w:szCs w:val="22"/>
          </w:rPr>
          <w:t>https://doi.org/10.3390/children11030356</w:t>
        </w:r>
      </w:hyperlink>
      <w:r w:rsidRPr="00CA33C2">
        <w:rPr>
          <w:rFonts w:ascii="Arial" w:hAnsi="Arial" w:cs="Arial"/>
          <w:sz w:val="22"/>
          <w:szCs w:val="22"/>
        </w:rPr>
        <w:t>.</w:t>
      </w:r>
      <w:r>
        <w:rPr>
          <w:rFonts w:ascii="Arial" w:hAnsi="Arial" w:cs="Arial"/>
          <w:sz w:val="22"/>
          <w:szCs w:val="22"/>
        </w:rPr>
        <w:t xml:space="preserve"> </w:t>
      </w:r>
    </w:p>
    <w:p w14:paraId="465E91F1" w14:textId="7B1137EA" w:rsidR="00292C14" w:rsidRPr="00CA33C2" w:rsidRDefault="00292C14" w:rsidP="00CA33C2">
      <w:pPr>
        <w:pStyle w:val="NormalWeb"/>
        <w:spacing w:after="240" w:line="240" w:lineRule="auto"/>
        <w:ind w:left="720" w:hanging="720"/>
        <w:rPr>
          <w:rFonts w:ascii="Arial" w:hAnsi="Arial" w:cs="Arial"/>
          <w:sz w:val="22"/>
          <w:szCs w:val="22"/>
        </w:rPr>
      </w:pPr>
      <w:r w:rsidRPr="00292C14">
        <w:rPr>
          <w:rFonts w:ascii="Arial" w:hAnsi="Arial" w:cs="Arial"/>
          <w:sz w:val="22"/>
          <w:szCs w:val="22"/>
        </w:rPr>
        <w:t xml:space="preserve">Gayen, S., Dachert, S., Lashari, B.H., Gordon, M., Desai, P., Criner, G.J., Cardet, </w:t>
      </w:r>
      <w:r w:rsidR="00F11F71" w:rsidRPr="00292C14">
        <w:rPr>
          <w:rFonts w:ascii="Arial" w:hAnsi="Arial" w:cs="Arial"/>
          <w:sz w:val="22"/>
          <w:szCs w:val="22"/>
        </w:rPr>
        <w:t>J.C.,</w:t>
      </w:r>
      <w:r w:rsidRPr="00292C14">
        <w:rPr>
          <w:rFonts w:ascii="Arial" w:hAnsi="Arial" w:cs="Arial"/>
          <w:sz w:val="22"/>
          <w:szCs w:val="22"/>
        </w:rPr>
        <w:t xml:space="preserve"> and Shenoy, K. (2024). Critical care management of severe asthma exacerbations. Journal of Clinical Medicine, [online] 13(3), pp.859–859. </w:t>
      </w:r>
      <w:hyperlink r:id="rId11" w:history="1">
        <w:r w:rsidRPr="0002155F">
          <w:rPr>
            <w:rStyle w:val="Hyperlink"/>
            <w:rFonts w:ascii="Arial" w:hAnsi="Arial" w:cs="Arial"/>
            <w:sz w:val="22"/>
            <w:szCs w:val="22"/>
          </w:rPr>
          <w:t>https://doi.org/10.3390/jcm13030859</w:t>
        </w:r>
      </w:hyperlink>
      <w:r w:rsidRPr="00292C14">
        <w:rPr>
          <w:rFonts w:ascii="Arial" w:hAnsi="Arial" w:cs="Arial"/>
          <w:sz w:val="22"/>
          <w:szCs w:val="22"/>
        </w:rPr>
        <w:t>.</w:t>
      </w:r>
      <w:r>
        <w:rPr>
          <w:rFonts w:ascii="Arial" w:hAnsi="Arial" w:cs="Arial"/>
          <w:sz w:val="22"/>
          <w:szCs w:val="22"/>
        </w:rPr>
        <w:t xml:space="preserve"> </w:t>
      </w:r>
    </w:p>
    <w:p w14:paraId="3F9779CD"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Hale, E.M., Greene, G., Mulvey, C., Mokoka, M.C., van Boven, J.F.M., Cushen, B., Sulaiman, I., Brennan, V., Lombard, L., Walsh, J., Plunkett, S., McCartan, T.A., Kerr, P.J., Reilly, R.B., Hughes, C., Kent, B. D, Jackson, D.J., Butler, M., Counihan, I., Hayes, J., Faul, J., Kelly, M., Convery, R., Nanzer, A.M., Fitzgerald, J.M., Murphy, D.M., Heaney, L.G., Costello, R.W., Lombard, L., Walsh, J., Plunkett, S. and McCartan, T.A. (2023). Use of digital measurement of medication adherence and lung function to guide the management of uncontrolled asthma (INCA Sun): A multicentre, single-blinded, randomised clinical trial. </w:t>
      </w:r>
      <w:r w:rsidRPr="00CA33C2">
        <w:rPr>
          <w:rFonts w:ascii="Arial" w:hAnsi="Arial" w:cs="Arial"/>
          <w:i/>
          <w:iCs/>
          <w:sz w:val="22"/>
          <w:szCs w:val="22"/>
        </w:rPr>
        <w:t>The Lancet Respiratory Medicine</w:t>
      </w:r>
      <w:r w:rsidRPr="00CA33C2">
        <w:rPr>
          <w:rFonts w:ascii="Arial" w:hAnsi="Arial" w:cs="Arial"/>
          <w:sz w:val="22"/>
          <w:szCs w:val="22"/>
        </w:rPr>
        <w:t xml:space="preserve">, [online] 11(7), pp.591–601. </w:t>
      </w:r>
      <w:hyperlink r:id="rId12" w:history="1">
        <w:r w:rsidRPr="0002155F">
          <w:rPr>
            <w:rStyle w:val="Hyperlink"/>
            <w:rFonts w:ascii="Arial" w:hAnsi="Arial" w:cs="Arial"/>
            <w:sz w:val="22"/>
            <w:szCs w:val="22"/>
          </w:rPr>
          <w:t>https://doi.org/10.1016/s2213-2600(22)00534-3</w:t>
        </w:r>
      </w:hyperlink>
      <w:r w:rsidRPr="00CA33C2">
        <w:rPr>
          <w:rFonts w:ascii="Arial" w:hAnsi="Arial" w:cs="Arial"/>
          <w:sz w:val="22"/>
          <w:szCs w:val="22"/>
        </w:rPr>
        <w:t>.</w:t>
      </w:r>
      <w:r>
        <w:rPr>
          <w:rFonts w:ascii="Arial" w:hAnsi="Arial" w:cs="Arial"/>
          <w:sz w:val="22"/>
          <w:szCs w:val="22"/>
        </w:rPr>
        <w:t xml:space="preserve"> </w:t>
      </w:r>
    </w:p>
    <w:p w14:paraId="07D6ADAB"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Harris, K., Newby, C., Mosler, G., Steed, L., Griffiths, C. and Grigg, J. (2022). School-based self-management intervention using theatre to improve asthma control in adolescents: A pilot cluster-randomised controlled trial. </w:t>
      </w:r>
      <w:r w:rsidRPr="00CA33C2">
        <w:rPr>
          <w:rFonts w:ascii="Arial" w:hAnsi="Arial" w:cs="Arial"/>
          <w:i/>
          <w:iCs/>
          <w:sz w:val="22"/>
          <w:szCs w:val="22"/>
        </w:rPr>
        <w:t>Pilot and Feasibility Studies</w:t>
      </w:r>
      <w:r w:rsidRPr="00CA33C2">
        <w:rPr>
          <w:rFonts w:ascii="Arial" w:hAnsi="Arial" w:cs="Arial"/>
          <w:sz w:val="22"/>
          <w:szCs w:val="22"/>
        </w:rPr>
        <w:t xml:space="preserve">, 8(1). </w:t>
      </w:r>
      <w:hyperlink r:id="rId13" w:history="1">
        <w:r w:rsidRPr="0002155F">
          <w:rPr>
            <w:rStyle w:val="Hyperlink"/>
            <w:rFonts w:ascii="Arial" w:hAnsi="Arial" w:cs="Arial"/>
            <w:sz w:val="22"/>
            <w:szCs w:val="22"/>
          </w:rPr>
          <w:t>https://doi.org/10.1186/s40814-022-01031-1</w:t>
        </w:r>
      </w:hyperlink>
      <w:r w:rsidRPr="00CA33C2">
        <w:rPr>
          <w:rFonts w:ascii="Arial" w:hAnsi="Arial" w:cs="Arial"/>
          <w:sz w:val="22"/>
          <w:szCs w:val="22"/>
        </w:rPr>
        <w:t>.</w:t>
      </w:r>
      <w:r>
        <w:rPr>
          <w:rFonts w:ascii="Arial" w:hAnsi="Arial" w:cs="Arial"/>
          <w:sz w:val="22"/>
          <w:szCs w:val="22"/>
        </w:rPr>
        <w:t xml:space="preserve"> </w:t>
      </w:r>
    </w:p>
    <w:p w14:paraId="33DDD5F7"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Karataş, N., İşler, A. and Bingöl, A. (2025). Enhancing adolescent asthma control and self</w:t>
      </w:r>
      <w:r w:rsidRPr="00CA33C2">
        <w:rPr>
          <w:rFonts w:ascii="Cambria Math" w:hAnsi="Cambria Math" w:cs="Cambria Math"/>
          <w:sz w:val="22"/>
          <w:szCs w:val="22"/>
        </w:rPr>
        <w:t>‐</w:t>
      </w:r>
      <w:r w:rsidRPr="00CA33C2">
        <w:rPr>
          <w:rFonts w:ascii="Arial" w:hAnsi="Arial" w:cs="Arial"/>
          <w:sz w:val="22"/>
          <w:szCs w:val="22"/>
        </w:rPr>
        <w:t xml:space="preserve">efficacy: A decision tree analysis of a mobile health application in a randomized controlled trial. </w:t>
      </w:r>
      <w:r w:rsidRPr="00CA33C2">
        <w:rPr>
          <w:rFonts w:ascii="Arial" w:hAnsi="Arial" w:cs="Arial"/>
          <w:i/>
          <w:iCs/>
          <w:sz w:val="22"/>
          <w:szCs w:val="22"/>
        </w:rPr>
        <w:t>Journal of Evaluation in Clinical Practice</w:t>
      </w:r>
      <w:r w:rsidRPr="00CA33C2">
        <w:rPr>
          <w:rFonts w:ascii="Arial" w:hAnsi="Arial" w:cs="Arial"/>
          <w:sz w:val="22"/>
          <w:szCs w:val="22"/>
        </w:rPr>
        <w:t xml:space="preserve">, 31(6). </w:t>
      </w:r>
      <w:hyperlink r:id="rId14" w:history="1">
        <w:r w:rsidRPr="0002155F">
          <w:rPr>
            <w:rStyle w:val="Hyperlink"/>
            <w:rFonts w:ascii="Arial" w:hAnsi="Arial" w:cs="Arial"/>
            <w:sz w:val="22"/>
            <w:szCs w:val="22"/>
          </w:rPr>
          <w:t>https://doi.org/10.1111/jep.70266</w:t>
        </w:r>
      </w:hyperlink>
      <w:r w:rsidRPr="00CA33C2">
        <w:rPr>
          <w:rFonts w:ascii="Arial" w:hAnsi="Arial" w:cs="Arial"/>
          <w:sz w:val="22"/>
          <w:szCs w:val="22"/>
        </w:rPr>
        <w:t>.</w:t>
      </w:r>
      <w:r>
        <w:rPr>
          <w:rFonts w:ascii="Arial" w:hAnsi="Arial" w:cs="Arial"/>
          <w:sz w:val="22"/>
          <w:szCs w:val="22"/>
        </w:rPr>
        <w:t xml:space="preserve"> </w:t>
      </w:r>
    </w:p>
    <w:p w14:paraId="0CAA79F7"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Kelchtermans, J., Mentch, F. and Hakonarson, H. (2023). Ambient air pollution sensitivity and severity of pediatric asthma. </w:t>
      </w:r>
      <w:r w:rsidRPr="00CA33C2">
        <w:rPr>
          <w:rFonts w:ascii="Arial" w:hAnsi="Arial" w:cs="Arial"/>
          <w:i/>
          <w:iCs/>
          <w:sz w:val="22"/>
          <w:szCs w:val="22"/>
        </w:rPr>
        <w:t>Journal of Exposure Science &amp; Environmental Epidemiology</w:t>
      </w:r>
      <w:r w:rsidRPr="00CA33C2">
        <w:rPr>
          <w:rFonts w:ascii="Arial" w:hAnsi="Arial" w:cs="Arial"/>
          <w:sz w:val="22"/>
          <w:szCs w:val="22"/>
        </w:rPr>
        <w:t xml:space="preserve">. [online] </w:t>
      </w:r>
      <w:hyperlink r:id="rId15" w:history="1">
        <w:r w:rsidRPr="0002155F">
          <w:rPr>
            <w:rStyle w:val="Hyperlink"/>
            <w:rFonts w:ascii="Arial" w:hAnsi="Arial" w:cs="Arial"/>
            <w:sz w:val="22"/>
            <w:szCs w:val="22"/>
          </w:rPr>
          <w:t>https://doi.org/10.1038/s41370-023-00573-7</w:t>
        </w:r>
      </w:hyperlink>
      <w:r w:rsidRPr="00CA33C2">
        <w:rPr>
          <w:rFonts w:ascii="Arial" w:hAnsi="Arial" w:cs="Arial"/>
          <w:sz w:val="22"/>
          <w:szCs w:val="22"/>
        </w:rPr>
        <w:t>.</w:t>
      </w:r>
      <w:r>
        <w:rPr>
          <w:rFonts w:ascii="Arial" w:hAnsi="Arial" w:cs="Arial"/>
          <w:sz w:val="22"/>
          <w:szCs w:val="22"/>
        </w:rPr>
        <w:t xml:space="preserve"> </w:t>
      </w:r>
    </w:p>
    <w:p w14:paraId="5F3FAC55"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Lee, S.Y. and Shin, J. (2023). Association between electronic cigarettes use and asthma in the United States: Data from the National Health interview Survey 2016-2019. </w:t>
      </w:r>
      <w:r w:rsidRPr="00CA33C2">
        <w:rPr>
          <w:rFonts w:ascii="Arial" w:hAnsi="Arial" w:cs="Arial"/>
          <w:i/>
          <w:iCs/>
          <w:sz w:val="22"/>
          <w:szCs w:val="22"/>
        </w:rPr>
        <w:t>Yonsei medical journal</w:t>
      </w:r>
      <w:r w:rsidRPr="00CA33C2">
        <w:rPr>
          <w:rFonts w:ascii="Arial" w:hAnsi="Arial" w:cs="Arial"/>
          <w:sz w:val="22"/>
          <w:szCs w:val="22"/>
        </w:rPr>
        <w:t xml:space="preserve">, [online] 64(1), pp.54–65. </w:t>
      </w:r>
      <w:hyperlink r:id="rId16" w:history="1">
        <w:r w:rsidRPr="0002155F">
          <w:rPr>
            <w:rStyle w:val="Hyperlink"/>
            <w:rFonts w:ascii="Arial" w:hAnsi="Arial" w:cs="Arial"/>
            <w:sz w:val="22"/>
            <w:szCs w:val="22"/>
          </w:rPr>
          <w:t>https://doi.org/10.3349/ymj.2022.0292</w:t>
        </w:r>
      </w:hyperlink>
      <w:r w:rsidRPr="00CA33C2">
        <w:rPr>
          <w:rFonts w:ascii="Arial" w:hAnsi="Arial" w:cs="Arial"/>
          <w:sz w:val="22"/>
          <w:szCs w:val="22"/>
        </w:rPr>
        <w:t>.</w:t>
      </w:r>
      <w:r>
        <w:rPr>
          <w:rFonts w:ascii="Arial" w:hAnsi="Arial" w:cs="Arial"/>
          <w:sz w:val="22"/>
          <w:szCs w:val="22"/>
        </w:rPr>
        <w:t xml:space="preserve"> </w:t>
      </w:r>
    </w:p>
    <w:p w14:paraId="7988471D"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Lizano-Barrantes, C., Garin, O., Dima, A.L., Mayoral, K., Pont, A., Ortiz, E.M., Caballero-Rabasco, M.A., Praena-Crespo, M., Valdesoiro-Navarrete, L., Guerra, M.T., Bercedo-Sanz, A., Hernández, G., Maroni, C., de Mir, I., Carrasco, M.Á., Ortega, M., Servan, A., Castillo, J.A., Tato, E., Ferrer, M., Pardo, Y., Zamora, V., Moneo, I., Cortés, O., van Ganse, </w:t>
      </w:r>
      <w:r w:rsidRPr="00CA33C2">
        <w:rPr>
          <w:rFonts w:ascii="Arial" w:hAnsi="Arial" w:cs="Arial"/>
          <w:sz w:val="22"/>
          <w:szCs w:val="22"/>
        </w:rPr>
        <w:lastRenderedPageBreak/>
        <w:t xml:space="preserve">E. and de Bruin, M. (2023). Inhaler technique questionnaire (InTeQ) in pediatric patients with asthma. </w:t>
      </w:r>
      <w:r w:rsidRPr="00CA33C2">
        <w:rPr>
          <w:rFonts w:ascii="Arial" w:hAnsi="Arial" w:cs="Arial"/>
          <w:i/>
          <w:iCs/>
          <w:sz w:val="22"/>
          <w:szCs w:val="22"/>
        </w:rPr>
        <w:t>World Journal of Pediatrics</w:t>
      </w:r>
      <w:r w:rsidRPr="00CA33C2">
        <w:rPr>
          <w:rFonts w:ascii="Arial" w:hAnsi="Arial" w:cs="Arial"/>
          <w:sz w:val="22"/>
          <w:szCs w:val="22"/>
        </w:rPr>
        <w:t xml:space="preserve">. </w:t>
      </w:r>
      <w:hyperlink r:id="rId17" w:history="1">
        <w:r w:rsidRPr="0002155F">
          <w:rPr>
            <w:rStyle w:val="Hyperlink"/>
            <w:rFonts w:ascii="Arial" w:hAnsi="Arial" w:cs="Arial"/>
            <w:sz w:val="22"/>
            <w:szCs w:val="22"/>
          </w:rPr>
          <w:t>https://doi.org/10.1007/s12519-023-00695-w</w:t>
        </w:r>
      </w:hyperlink>
      <w:r w:rsidRPr="00CA33C2">
        <w:rPr>
          <w:rFonts w:ascii="Arial" w:hAnsi="Arial" w:cs="Arial"/>
          <w:sz w:val="22"/>
          <w:szCs w:val="22"/>
        </w:rPr>
        <w:t>.</w:t>
      </w:r>
      <w:r>
        <w:rPr>
          <w:rFonts w:ascii="Arial" w:hAnsi="Arial" w:cs="Arial"/>
          <w:sz w:val="22"/>
          <w:szCs w:val="22"/>
        </w:rPr>
        <w:t xml:space="preserve"> </w:t>
      </w:r>
    </w:p>
    <w:p w14:paraId="128C7645" w14:textId="39B2C804"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Lizano-Barrantes, C., Garin, O., Mayoral, K., Dima, A.L., Pont, A., Caballero-Rabasco, M.A., Praena-Crespo, M., Valdesoiro-Navarrete, L., Guerra, M.T., Bercedo-Sanz, </w:t>
      </w:r>
      <w:r w:rsidR="00F11F71" w:rsidRPr="00CA33C2">
        <w:rPr>
          <w:rFonts w:ascii="Arial" w:hAnsi="Arial" w:cs="Arial"/>
          <w:sz w:val="22"/>
          <w:szCs w:val="22"/>
        </w:rPr>
        <w:t>A.,</w:t>
      </w:r>
      <w:r w:rsidRPr="00CA33C2">
        <w:rPr>
          <w:rFonts w:ascii="Arial" w:hAnsi="Arial" w:cs="Arial"/>
          <w:sz w:val="22"/>
          <w:szCs w:val="22"/>
        </w:rPr>
        <w:t xml:space="preserve"> and Ferrer, M. (2024). Impact of treatment adherence and inhalation technique on asthma outcomes of pediatric patients: A longitudinal study. </w:t>
      </w:r>
      <w:r w:rsidRPr="00CA33C2">
        <w:rPr>
          <w:rFonts w:ascii="Arial" w:hAnsi="Arial" w:cs="Arial"/>
          <w:i/>
          <w:iCs/>
          <w:sz w:val="22"/>
          <w:szCs w:val="22"/>
        </w:rPr>
        <w:t>Frontiers in Pharmacology</w:t>
      </w:r>
      <w:r w:rsidRPr="00CA33C2">
        <w:rPr>
          <w:rFonts w:ascii="Arial" w:hAnsi="Arial" w:cs="Arial"/>
          <w:sz w:val="22"/>
          <w:szCs w:val="22"/>
        </w:rPr>
        <w:t xml:space="preserve">, [online] 15. </w:t>
      </w:r>
      <w:hyperlink r:id="rId18" w:history="1">
        <w:r w:rsidRPr="0002155F">
          <w:rPr>
            <w:rStyle w:val="Hyperlink"/>
            <w:rFonts w:ascii="Arial" w:hAnsi="Arial" w:cs="Arial"/>
            <w:sz w:val="22"/>
            <w:szCs w:val="22"/>
          </w:rPr>
          <w:t>https://doi.org/10.3389/fphar.2024.1340255</w:t>
        </w:r>
      </w:hyperlink>
      <w:r w:rsidRPr="00CA33C2">
        <w:rPr>
          <w:rFonts w:ascii="Arial" w:hAnsi="Arial" w:cs="Arial"/>
          <w:sz w:val="22"/>
          <w:szCs w:val="22"/>
        </w:rPr>
        <w:t>.</w:t>
      </w:r>
      <w:r>
        <w:rPr>
          <w:rFonts w:ascii="Arial" w:hAnsi="Arial" w:cs="Arial"/>
          <w:sz w:val="22"/>
          <w:szCs w:val="22"/>
        </w:rPr>
        <w:t xml:space="preserve"> </w:t>
      </w:r>
    </w:p>
    <w:p w14:paraId="24836515"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Mosnaim, G.S., Hoyte, F.C.L., Safioti, G., Brown, R., Hill, T., Li, T., Katja Sagalovich, DePietro, M. and Wechsler, M.E. (2023). Effectiveness of a maintenance and reliever digihaler system in asthma: 24-Week randomized study (CONNECT2). </w:t>
      </w:r>
      <w:r w:rsidRPr="00CA33C2">
        <w:rPr>
          <w:rFonts w:ascii="Arial" w:hAnsi="Arial" w:cs="Arial"/>
          <w:i/>
          <w:iCs/>
          <w:sz w:val="22"/>
          <w:szCs w:val="22"/>
        </w:rPr>
        <w:t>Journal of allergy and clinical immunology. In practice/˜The œJournal of allergy and clinical immunology. In practice</w:t>
      </w:r>
      <w:r w:rsidRPr="00CA33C2">
        <w:rPr>
          <w:rFonts w:ascii="Arial" w:hAnsi="Arial" w:cs="Arial"/>
          <w:sz w:val="22"/>
          <w:szCs w:val="22"/>
        </w:rPr>
        <w:t xml:space="preserve">. </w:t>
      </w:r>
      <w:hyperlink r:id="rId19" w:history="1">
        <w:r w:rsidRPr="0002155F">
          <w:rPr>
            <w:rStyle w:val="Hyperlink"/>
            <w:rFonts w:ascii="Arial" w:hAnsi="Arial" w:cs="Arial"/>
            <w:sz w:val="22"/>
            <w:szCs w:val="22"/>
          </w:rPr>
          <w:t>https://doi.org/10.1016/j.jaip.2023.11.037</w:t>
        </w:r>
      </w:hyperlink>
      <w:r w:rsidRPr="00CA33C2">
        <w:rPr>
          <w:rFonts w:ascii="Arial" w:hAnsi="Arial" w:cs="Arial"/>
          <w:sz w:val="22"/>
          <w:szCs w:val="22"/>
        </w:rPr>
        <w:t>.</w:t>
      </w:r>
      <w:r>
        <w:rPr>
          <w:rFonts w:ascii="Arial" w:hAnsi="Arial" w:cs="Arial"/>
          <w:sz w:val="22"/>
          <w:szCs w:val="22"/>
        </w:rPr>
        <w:t xml:space="preserve"> </w:t>
      </w:r>
    </w:p>
    <w:p w14:paraId="6A166D02"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Navanandan, N., Jackson, N. D, Hamlington, K.L., Everman, J.L., Pruesse, E., Secor, E.A., Stewart, Z., Diener, K., Hardee, I., Edid, A., Sulbaran, H., Mistry, R. D, Florin, T.A., Yoder, A.C., Moore, C.M., Szefler, S.J., Liu, A.H. and Seibold, M.A. (2025). Viral determinants of childhood asthma exacerbation severity and treatment response. </w:t>
      </w:r>
      <w:r w:rsidRPr="00CA33C2">
        <w:rPr>
          <w:rFonts w:ascii="Arial" w:hAnsi="Arial" w:cs="Arial"/>
          <w:i/>
          <w:iCs/>
          <w:sz w:val="22"/>
          <w:szCs w:val="22"/>
        </w:rPr>
        <w:t>The journal of allergy and clinical immunology. In practice</w:t>
      </w:r>
      <w:r w:rsidRPr="00CA33C2">
        <w:rPr>
          <w:rFonts w:ascii="Arial" w:hAnsi="Arial" w:cs="Arial"/>
          <w:sz w:val="22"/>
          <w:szCs w:val="22"/>
        </w:rPr>
        <w:t xml:space="preserve">, [online] 13(1), pp.95–104.e5. </w:t>
      </w:r>
      <w:hyperlink r:id="rId20" w:history="1">
        <w:r w:rsidRPr="0002155F">
          <w:rPr>
            <w:rStyle w:val="Hyperlink"/>
            <w:rFonts w:ascii="Arial" w:hAnsi="Arial" w:cs="Arial"/>
            <w:sz w:val="22"/>
            <w:szCs w:val="22"/>
          </w:rPr>
          <w:t>https://doi.org/10.1016/j.jaip.2024.09.020</w:t>
        </w:r>
      </w:hyperlink>
      <w:r w:rsidRPr="00CA33C2">
        <w:rPr>
          <w:rFonts w:ascii="Arial" w:hAnsi="Arial" w:cs="Arial"/>
          <w:sz w:val="22"/>
          <w:szCs w:val="22"/>
        </w:rPr>
        <w:t>.</w:t>
      </w:r>
      <w:r>
        <w:rPr>
          <w:rFonts w:ascii="Arial" w:hAnsi="Arial" w:cs="Arial"/>
          <w:sz w:val="22"/>
          <w:szCs w:val="22"/>
        </w:rPr>
        <w:t xml:space="preserve"> </w:t>
      </w:r>
    </w:p>
    <w:p w14:paraId="0D9ACD6B" w14:textId="22B1CE31"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Naveen, K.H., Kumar, P., Sharma, P.P., Goel, A.D., Aneja, J., Gupta, M.K., Raghav, </w:t>
      </w:r>
      <w:r w:rsidR="00F11F71" w:rsidRPr="00CA33C2">
        <w:rPr>
          <w:rFonts w:ascii="Arial" w:hAnsi="Arial" w:cs="Arial"/>
          <w:sz w:val="22"/>
          <w:szCs w:val="22"/>
        </w:rPr>
        <w:t>P.,</w:t>
      </w:r>
      <w:r w:rsidRPr="00CA33C2">
        <w:rPr>
          <w:rFonts w:ascii="Arial" w:hAnsi="Arial" w:cs="Arial"/>
          <w:sz w:val="22"/>
          <w:szCs w:val="22"/>
        </w:rPr>
        <w:t xml:space="preserve"> and Dutt, N. (2025). Symptoms of depression and inhaler adherence among adolescents with asthma: Is there an association? </w:t>
      </w:r>
      <w:r w:rsidRPr="00CA33C2">
        <w:rPr>
          <w:rFonts w:ascii="Arial" w:hAnsi="Arial" w:cs="Arial"/>
          <w:i/>
          <w:iCs/>
          <w:sz w:val="22"/>
          <w:szCs w:val="22"/>
        </w:rPr>
        <w:t>Pediatric Pulmonology</w:t>
      </w:r>
      <w:r w:rsidRPr="00CA33C2">
        <w:rPr>
          <w:rFonts w:ascii="Arial" w:hAnsi="Arial" w:cs="Arial"/>
          <w:sz w:val="22"/>
          <w:szCs w:val="22"/>
        </w:rPr>
        <w:t xml:space="preserve">, 60(4). </w:t>
      </w:r>
      <w:hyperlink r:id="rId21" w:history="1">
        <w:r w:rsidRPr="0002155F">
          <w:rPr>
            <w:rStyle w:val="Hyperlink"/>
            <w:rFonts w:ascii="Arial" w:hAnsi="Arial" w:cs="Arial"/>
            <w:sz w:val="22"/>
            <w:szCs w:val="22"/>
          </w:rPr>
          <w:t>https://doi.org/10.1002/ppul.71098</w:t>
        </w:r>
      </w:hyperlink>
      <w:r w:rsidRPr="00CA33C2">
        <w:rPr>
          <w:rFonts w:ascii="Arial" w:hAnsi="Arial" w:cs="Arial"/>
          <w:sz w:val="22"/>
          <w:szCs w:val="22"/>
        </w:rPr>
        <w:t>.</w:t>
      </w:r>
      <w:r>
        <w:rPr>
          <w:rFonts w:ascii="Arial" w:hAnsi="Arial" w:cs="Arial"/>
          <w:sz w:val="22"/>
          <w:szCs w:val="22"/>
        </w:rPr>
        <w:t xml:space="preserve"> </w:t>
      </w:r>
    </w:p>
    <w:p w14:paraId="4B27EFA6" w14:textId="64D4C3A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NICE (2024). </w:t>
      </w:r>
      <w:r w:rsidRPr="00CA33C2">
        <w:rPr>
          <w:rFonts w:ascii="Arial" w:hAnsi="Arial" w:cs="Arial"/>
          <w:i/>
          <w:iCs/>
          <w:sz w:val="22"/>
          <w:szCs w:val="22"/>
        </w:rPr>
        <w:t xml:space="preserve">Overview | asthma: Diagnosis, </w:t>
      </w:r>
      <w:r w:rsidR="00F11F71" w:rsidRPr="00CA33C2">
        <w:rPr>
          <w:rFonts w:ascii="Arial" w:hAnsi="Arial" w:cs="Arial"/>
          <w:i/>
          <w:iCs/>
          <w:sz w:val="22"/>
          <w:szCs w:val="22"/>
        </w:rPr>
        <w:t>monitoring,</w:t>
      </w:r>
      <w:r w:rsidRPr="00CA33C2">
        <w:rPr>
          <w:rFonts w:ascii="Arial" w:hAnsi="Arial" w:cs="Arial"/>
          <w:i/>
          <w:iCs/>
          <w:sz w:val="22"/>
          <w:szCs w:val="22"/>
        </w:rPr>
        <w:t xml:space="preserve"> and chronic Asthma Management (BTS, Nice, sign) | guidance | NICE</w:t>
      </w:r>
      <w:r w:rsidRPr="00CA33C2">
        <w:rPr>
          <w:rFonts w:ascii="Arial" w:hAnsi="Arial" w:cs="Arial"/>
          <w:sz w:val="22"/>
          <w:szCs w:val="22"/>
        </w:rPr>
        <w:t xml:space="preserve">. [online] Nice.org.uk. Available at: </w:t>
      </w:r>
      <w:hyperlink r:id="rId22" w:history="1">
        <w:r w:rsidRPr="0002155F">
          <w:rPr>
            <w:rStyle w:val="Hyperlink"/>
            <w:rFonts w:ascii="Arial" w:hAnsi="Arial" w:cs="Arial"/>
            <w:sz w:val="22"/>
            <w:szCs w:val="22"/>
          </w:rPr>
          <w:t>https://www.nice.org.uk/guidance/NG245</w:t>
        </w:r>
      </w:hyperlink>
      <w:r>
        <w:rPr>
          <w:rFonts w:ascii="Arial" w:hAnsi="Arial" w:cs="Arial"/>
          <w:sz w:val="22"/>
          <w:szCs w:val="22"/>
        </w:rPr>
        <w:t xml:space="preserve"> </w:t>
      </w:r>
    </w:p>
    <w:p w14:paraId="5B8F0491"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Reznik, M., Islamovic, F., Halterman, J.S., Leu, C.-S., Zhang, J. and Ozuah, P.O. (2025). Multicomponent intervention for schoolchildren with asthma: A pilot cluster randomized controlled trial. </w:t>
      </w:r>
      <w:r w:rsidRPr="00CA33C2">
        <w:rPr>
          <w:rFonts w:ascii="Arial" w:hAnsi="Arial" w:cs="Arial"/>
          <w:i/>
          <w:iCs/>
          <w:sz w:val="22"/>
          <w:szCs w:val="22"/>
        </w:rPr>
        <w:t>Journal of Allergy and Clinical Immunology Global</w:t>
      </w:r>
      <w:r w:rsidRPr="00CA33C2">
        <w:rPr>
          <w:rFonts w:ascii="Arial" w:hAnsi="Arial" w:cs="Arial"/>
          <w:sz w:val="22"/>
          <w:szCs w:val="22"/>
        </w:rPr>
        <w:t xml:space="preserve">, 4(2), pp.100418–100418. </w:t>
      </w:r>
      <w:hyperlink r:id="rId23" w:history="1">
        <w:r w:rsidRPr="0002155F">
          <w:rPr>
            <w:rStyle w:val="Hyperlink"/>
            <w:rFonts w:ascii="Arial" w:hAnsi="Arial" w:cs="Arial"/>
            <w:sz w:val="22"/>
            <w:szCs w:val="22"/>
          </w:rPr>
          <w:t>https://doi.org/10.1016/j.jacig.2025.100418</w:t>
        </w:r>
      </w:hyperlink>
      <w:r w:rsidRPr="00CA33C2">
        <w:rPr>
          <w:rFonts w:ascii="Arial" w:hAnsi="Arial" w:cs="Arial"/>
          <w:sz w:val="22"/>
          <w:szCs w:val="22"/>
        </w:rPr>
        <w:t>.</w:t>
      </w:r>
      <w:r>
        <w:rPr>
          <w:rFonts w:ascii="Arial" w:hAnsi="Arial" w:cs="Arial"/>
          <w:sz w:val="22"/>
          <w:szCs w:val="22"/>
        </w:rPr>
        <w:t xml:space="preserve"> </w:t>
      </w:r>
    </w:p>
    <w:p w14:paraId="5A385DA2" w14:textId="77777777" w:rsidR="00CA33C2" w:rsidRDefault="00292C14"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Sporte</w:t>
      </w:r>
      <w:r w:rsidR="00CA33C2" w:rsidRPr="00CA33C2">
        <w:rPr>
          <w:rFonts w:ascii="Arial" w:hAnsi="Arial" w:cs="Arial"/>
          <w:sz w:val="22"/>
          <w:szCs w:val="22"/>
        </w:rPr>
        <w:t xml:space="preserve">l, E., Thio, B., Movig, K., van der Palen, J. and Brusse, M. (2025). The correlation between the level of therapy adherence and inhalation technique in children with uncontrolled asthma using a smart inhaler: The IMAGINE study. </w:t>
      </w:r>
      <w:r w:rsidR="00CA33C2" w:rsidRPr="00CA33C2">
        <w:rPr>
          <w:rFonts w:ascii="Arial" w:hAnsi="Arial" w:cs="Arial"/>
          <w:i/>
          <w:iCs/>
          <w:sz w:val="22"/>
          <w:szCs w:val="22"/>
        </w:rPr>
        <w:t>Therapeutic Advances in Respiratory Disease</w:t>
      </w:r>
      <w:r w:rsidR="00CA33C2" w:rsidRPr="00CA33C2">
        <w:rPr>
          <w:rFonts w:ascii="Arial" w:hAnsi="Arial" w:cs="Arial"/>
          <w:sz w:val="22"/>
          <w:szCs w:val="22"/>
        </w:rPr>
        <w:t xml:space="preserve">, [online] 19. </w:t>
      </w:r>
      <w:hyperlink r:id="rId24" w:history="1">
        <w:r w:rsidR="00CA33C2" w:rsidRPr="0002155F">
          <w:rPr>
            <w:rStyle w:val="Hyperlink"/>
            <w:rFonts w:ascii="Arial" w:hAnsi="Arial" w:cs="Arial"/>
            <w:sz w:val="22"/>
            <w:szCs w:val="22"/>
          </w:rPr>
          <w:t>https://doi.org/10.1177/17534666251346363</w:t>
        </w:r>
      </w:hyperlink>
      <w:r w:rsidR="00CA33C2" w:rsidRPr="00CA33C2">
        <w:rPr>
          <w:rFonts w:ascii="Arial" w:hAnsi="Arial" w:cs="Arial"/>
          <w:sz w:val="22"/>
          <w:szCs w:val="22"/>
        </w:rPr>
        <w:t>.</w:t>
      </w:r>
      <w:r w:rsidR="00CA33C2">
        <w:rPr>
          <w:rFonts w:ascii="Arial" w:hAnsi="Arial" w:cs="Arial"/>
          <w:sz w:val="22"/>
          <w:szCs w:val="22"/>
        </w:rPr>
        <w:t xml:space="preserve"> </w:t>
      </w:r>
    </w:p>
    <w:p w14:paraId="785A1578" w14:textId="39DB2FF2" w:rsidR="00292C14" w:rsidRPr="00CA33C2" w:rsidRDefault="00292C14" w:rsidP="00CA33C2">
      <w:pPr>
        <w:pStyle w:val="NormalWeb"/>
        <w:spacing w:after="240" w:line="240" w:lineRule="auto"/>
        <w:ind w:left="720" w:hanging="720"/>
        <w:rPr>
          <w:rFonts w:ascii="Arial" w:hAnsi="Arial" w:cs="Arial"/>
          <w:sz w:val="22"/>
          <w:szCs w:val="22"/>
        </w:rPr>
      </w:pPr>
      <w:r w:rsidRPr="00292C14">
        <w:rPr>
          <w:rFonts w:ascii="Arial" w:hAnsi="Arial" w:cs="Arial"/>
          <w:sz w:val="22"/>
          <w:szCs w:val="22"/>
        </w:rPr>
        <w:t xml:space="preserve">Toumpanakis, D. and Usmani, O.S. (2023). Small airways in asthma: Pathophysiology, </w:t>
      </w:r>
      <w:r w:rsidR="00F11F71" w:rsidRPr="00292C14">
        <w:rPr>
          <w:rFonts w:ascii="Arial" w:hAnsi="Arial" w:cs="Arial"/>
          <w:sz w:val="22"/>
          <w:szCs w:val="22"/>
        </w:rPr>
        <w:t>identification,</w:t>
      </w:r>
      <w:r w:rsidRPr="00292C14">
        <w:rPr>
          <w:rFonts w:ascii="Arial" w:hAnsi="Arial" w:cs="Arial"/>
          <w:sz w:val="22"/>
          <w:szCs w:val="22"/>
        </w:rPr>
        <w:t xml:space="preserve"> and management. Chinese Medical Journal Pulmonary and Critical Care Medicine, [online] 1(3). </w:t>
      </w:r>
      <w:hyperlink r:id="rId25" w:history="1">
        <w:r w:rsidRPr="0002155F">
          <w:rPr>
            <w:rStyle w:val="Hyperlink"/>
            <w:rFonts w:ascii="Arial" w:hAnsi="Arial" w:cs="Arial"/>
            <w:sz w:val="22"/>
            <w:szCs w:val="22"/>
          </w:rPr>
          <w:t>https://doi.org/10.1016/j.pccm.2023.07.002</w:t>
        </w:r>
      </w:hyperlink>
      <w:r w:rsidR="00F11F71" w:rsidRPr="00292C14">
        <w:rPr>
          <w:rFonts w:ascii="Arial" w:hAnsi="Arial" w:cs="Arial"/>
          <w:sz w:val="22"/>
          <w:szCs w:val="22"/>
        </w:rPr>
        <w:t>.</w:t>
      </w:r>
      <w:r w:rsidR="00F11F71">
        <w:rPr>
          <w:rFonts w:ascii="Arial" w:hAnsi="Arial" w:cs="Arial"/>
          <w:sz w:val="22"/>
          <w:szCs w:val="22"/>
        </w:rPr>
        <w:t xml:space="preserve"> </w:t>
      </w:r>
    </w:p>
    <w:p w14:paraId="0D91BBFE" w14:textId="36B0C3A1"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Volerman, A., Balachandran, U., Zhu, M., Akel, M., Hull, A., Siros, M., Luna, V., Xu, </w:t>
      </w:r>
      <w:r w:rsidR="00F11F71" w:rsidRPr="00CA33C2">
        <w:rPr>
          <w:rFonts w:ascii="Arial" w:hAnsi="Arial" w:cs="Arial"/>
          <w:sz w:val="22"/>
          <w:szCs w:val="22"/>
        </w:rPr>
        <w:t>I.,</w:t>
      </w:r>
      <w:r w:rsidRPr="00CA33C2">
        <w:rPr>
          <w:rFonts w:ascii="Arial" w:hAnsi="Arial" w:cs="Arial"/>
          <w:sz w:val="22"/>
          <w:szCs w:val="22"/>
        </w:rPr>
        <w:t xml:space="preserve"> and Press, V.G. (2023). Evaluating inhaler education interventions for hospitalized children with asthma: A randomized controlled trial. </w:t>
      </w:r>
      <w:r w:rsidRPr="00CA33C2">
        <w:rPr>
          <w:rFonts w:ascii="Arial" w:hAnsi="Arial" w:cs="Arial"/>
          <w:i/>
          <w:iCs/>
          <w:sz w:val="22"/>
          <w:szCs w:val="22"/>
        </w:rPr>
        <w:t>Annals of Allergy, Asthma &amp; Immunology</w:t>
      </w:r>
      <w:r w:rsidRPr="00CA33C2">
        <w:rPr>
          <w:rFonts w:ascii="Arial" w:hAnsi="Arial" w:cs="Arial"/>
          <w:sz w:val="22"/>
          <w:szCs w:val="22"/>
        </w:rPr>
        <w:t xml:space="preserve">, [online] 131(2). </w:t>
      </w:r>
      <w:hyperlink r:id="rId26" w:history="1">
        <w:r w:rsidRPr="0002155F">
          <w:rPr>
            <w:rStyle w:val="Hyperlink"/>
            <w:rFonts w:ascii="Arial" w:hAnsi="Arial" w:cs="Arial"/>
            <w:sz w:val="22"/>
            <w:szCs w:val="22"/>
          </w:rPr>
          <w:t>https://doi.org/10.1016/j.anai.2023.02.023</w:t>
        </w:r>
      </w:hyperlink>
      <w:r w:rsidRPr="00CA33C2">
        <w:rPr>
          <w:rFonts w:ascii="Arial" w:hAnsi="Arial" w:cs="Arial"/>
          <w:sz w:val="22"/>
          <w:szCs w:val="22"/>
        </w:rPr>
        <w:t>.</w:t>
      </w:r>
      <w:r>
        <w:rPr>
          <w:rFonts w:ascii="Arial" w:hAnsi="Arial" w:cs="Arial"/>
          <w:sz w:val="22"/>
          <w:szCs w:val="22"/>
        </w:rPr>
        <w:t xml:space="preserve"> </w:t>
      </w:r>
    </w:p>
    <w:p w14:paraId="2779E752" w14:textId="4FFD9F0B"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lastRenderedPageBreak/>
        <w:t xml:space="preserve">Yao, T., Watkins, S.L., Sung, H.-Y., Wang, Y., Gu, D., Joanne Chen Lyu, Lightwood, </w:t>
      </w:r>
      <w:r w:rsidR="00F11F71" w:rsidRPr="00CA33C2">
        <w:rPr>
          <w:rFonts w:ascii="Arial" w:hAnsi="Arial" w:cs="Arial"/>
          <w:sz w:val="22"/>
          <w:szCs w:val="22"/>
        </w:rPr>
        <w:t>J.,</w:t>
      </w:r>
      <w:r w:rsidRPr="00CA33C2">
        <w:rPr>
          <w:rFonts w:ascii="Arial" w:hAnsi="Arial" w:cs="Arial"/>
          <w:sz w:val="22"/>
          <w:szCs w:val="22"/>
        </w:rPr>
        <w:t xml:space="preserve"> and Max, W. (2024). Association between tobacco product use and respiratory health and asthma-related interference with activities among U.S. adolescents. </w:t>
      </w:r>
      <w:r w:rsidRPr="00CA33C2">
        <w:rPr>
          <w:rFonts w:ascii="Arial" w:hAnsi="Arial" w:cs="Arial"/>
          <w:i/>
          <w:iCs/>
          <w:sz w:val="22"/>
          <w:szCs w:val="22"/>
        </w:rPr>
        <w:t>Preventive Medicine Reports</w:t>
      </w:r>
      <w:r w:rsidRPr="00CA33C2">
        <w:rPr>
          <w:rFonts w:ascii="Arial" w:hAnsi="Arial" w:cs="Arial"/>
          <w:sz w:val="22"/>
          <w:szCs w:val="22"/>
        </w:rPr>
        <w:t xml:space="preserve">, [online] 41, pp.102712–102712. </w:t>
      </w:r>
      <w:hyperlink r:id="rId27" w:history="1">
        <w:r w:rsidRPr="0002155F">
          <w:rPr>
            <w:rStyle w:val="Hyperlink"/>
            <w:rFonts w:ascii="Arial" w:hAnsi="Arial" w:cs="Arial"/>
            <w:sz w:val="22"/>
            <w:szCs w:val="22"/>
          </w:rPr>
          <w:t>https://doi.org/10.1016/j.pmedr.2024.102712</w:t>
        </w:r>
      </w:hyperlink>
      <w:r w:rsidRPr="00CA33C2">
        <w:rPr>
          <w:rFonts w:ascii="Arial" w:hAnsi="Arial" w:cs="Arial"/>
          <w:sz w:val="22"/>
          <w:szCs w:val="22"/>
        </w:rPr>
        <w:t>.</w:t>
      </w:r>
      <w:r>
        <w:rPr>
          <w:rFonts w:ascii="Arial" w:hAnsi="Arial" w:cs="Arial"/>
          <w:sz w:val="22"/>
          <w:szCs w:val="22"/>
        </w:rPr>
        <w:t xml:space="preserve"> </w:t>
      </w:r>
    </w:p>
    <w:p w14:paraId="7637EC05" w14:textId="77777777" w:rsidR="00CA33C2" w:rsidRPr="00CA33C2" w:rsidRDefault="00CA33C2" w:rsidP="00CA33C2">
      <w:pPr>
        <w:pStyle w:val="NormalWeb"/>
        <w:spacing w:after="240" w:line="240" w:lineRule="auto"/>
        <w:ind w:left="720" w:hanging="720"/>
        <w:rPr>
          <w:rFonts w:ascii="Arial" w:hAnsi="Arial" w:cs="Arial"/>
          <w:sz w:val="22"/>
          <w:szCs w:val="22"/>
        </w:rPr>
      </w:pPr>
      <w:r w:rsidRPr="00CA33C2">
        <w:rPr>
          <w:rFonts w:ascii="Arial" w:hAnsi="Arial" w:cs="Arial"/>
          <w:sz w:val="22"/>
          <w:szCs w:val="22"/>
        </w:rPr>
        <w:t xml:space="preserve">Yu, Z., Merid, S.K., Bellander, T., Bergström, A., Eneroth, K., Merritt, A.-S., Ödling, M., Kull, I., Petter Ljungman, Klevebro, S., Massimo Stafoggia, Janson, C., Wang, G., Göran Pershagen, Melén, E. and Olena Gruzieva (2024). Improved air quality and asthma incidence from school age to young adulthood: A population-based prospective cohort study. </w:t>
      </w:r>
      <w:r w:rsidRPr="00CA33C2">
        <w:rPr>
          <w:rFonts w:ascii="Arial" w:hAnsi="Arial" w:cs="Arial"/>
          <w:i/>
          <w:iCs/>
          <w:sz w:val="22"/>
          <w:szCs w:val="22"/>
        </w:rPr>
        <w:t>Annals of the American Thoracic Society</w:t>
      </w:r>
      <w:r w:rsidRPr="00CA33C2">
        <w:rPr>
          <w:rFonts w:ascii="Arial" w:hAnsi="Arial" w:cs="Arial"/>
          <w:sz w:val="22"/>
          <w:szCs w:val="22"/>
        </w:rPr>
        <w:t xml:space="preserve">, [online] 21(10), pp.1432–1440. </w:t>
      </w:r>
      <w:hyperlink r:id="rId28" w:history="1">
        <w:r w:rsidRPr="0002155F">
          <w:rPr>
            <w:rStyle w:val="Hyperlink"/>
            <w:rFonts w:ascii="Arial" w:hAnsi="Arial" w:cs="Arial"/>
            <w:sz w:val="22"/>
            <w:szCs w:val="22"/>
          </w:rPr>
          <w:t>https://doi.org/10.1513/annalsats.202402-200oc</w:t>
        </w:r>
      </w:hyperlink>
      <w:r w:rsidRPr="00CA33C2">
        <w:rPr>
          <w:rFonts w:ascii="Arial" w:hAnsi="Arial" w:cs="Arial"/>
          <w:sz w:val="22"/>
          <w:szCs w:val="22"/>
        </w:rPr>
        <w:t>.</w:t>
      </w:r>
      <w:r>
        <w:rPr>
          <w:rFonts w:ascii="Arial" w:hAnsi="Arial" w:cs="Arial"/>
          <w:sz w:val="22"/>
          <w:szCs w:val="22"/>
        </w:rPr>
        <w:t xml:space="preserve"> </w:t>
      </w:r>
    </w:p>
    <w:p w14:paraId="45FB0818" w14:textId="77777777" w:rsidR="00CA33C2" w:rsidRPr="00CA33C2" w:rsidRDefault="00CA33C2" w:rsidP="00CA33C2"/>
    <w:sectPr w:rsidR="00CA33C2" w:rsidRPr="00CA33C2">
      <w:footerReference w:type="default" r:id="rId29"/>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82FC2" w14:textId="77777777" w:rsidR="00D057AF" w:rsidRDefault="00D057AF" w:rsidP="00A87747">
      <w:pPr>
        <w:spacing w:line="240" w:lineRule="auto"/>
      </w:pPr>
      <w:r>
        <w:separator/>
      </w:r>
    </w:p>
  </w:endnote>
  <w:endnote w:type="continuationSeparator" w:id="0">
    <w:p w14:paraId="5118675B" w14:textId="77777777" w:rsidR="00D057AF" w:rsidRDefault="00D057AF"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roid Sans">
    <w:charset w:val="80"/>
    <w:family w:val="auto"/>
    <w:pitch w:val="variable"/>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A87747" w:rsidRDefault="00A87747">
    <w:pPr>
      <w:pStyle w:val="Footer"/>
      <w:jc w:val="center"/>
    </w:pPr>
    <w:r>
      <w:fldChar w:fldCharType="begin"/>
    </w:r>
    <w:r>
      <w:instrText xml:space="preserve"> PAGE   \* MERGEFORMAT </w:instrText>
    </w:r>
    <w:r>
      <w:fldChar w:fldCharType="separate"/>
    </w:r>
    <w:r w:rsidR="00B862A0">
      <w:rPr>
        <w:noProof/>
      </w:rPr>
      <w:t>1</w:t>
    </w:r>
    <w:r>
      <w:rPr>
        <w:noProof/>
      </w:rPr>
      <w:fldChar w:fldCharType="end"/>
    </w:r>
  </w:p>
  <w:p w14:paraId="4B99056E"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69423" w14:textId="77777777" w:rsidR="00D057AF" w:rsidRDefault="00D057AF" w:rsidP="00A87747">
      <w:pPr>
        <w:spacing w:line="240" w:lineRule="auto"/>
      </w:pPr>
      <w:r>
        <w:separator/>
      </w:r>
    </w:p>
  </w:footnote>
  <w:footnote w:type="continuationSeparator" w:id="0">
    <w:p w14:paraId="001134DB" w14:textId="77777777" w:rsidR="00D057AF" w:rsidRDefault="00D057AF"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96609">
    <w:abstractNumId w:val="1"/>
  </w:num>
  <w:num w:numId="2" w16cid:durableId="1510632228">
    <w:abstractNumId w:val="2"/>
  </w:num>
  <w:num w:numId="3" w16cid:durableId="133571248">
    <w:abstractNumId w:val="11"/>
  </w:num>
  <w:num w:numId="4" w16cid:durableId="3823766">
    <w:abstractNumId w:val="25"/>
  </w:num>
  <w:num w:numId="5" w16cid:durableId="796677061">
    <w:abstractNumId w:val="10"/>
  </w:num>
  <w:num w:numId="6" w16cid:durableId="2083524631">
    <w:abstractNumId w:val="24"/>
  </w:num>
  <w:num w:numId="7" w16cid:durableId="89740675">
    <w:abstractNumId w:val="28"/>
  </w:num>
  <w:num w:numId="8" w16cid:durableId="1430395638">
    <w:abstractNumId w:val="20"/>
  </w:num>
  <w:num w:numId="9" w16cid:durableId="275059955">
    <w:abstractNumId w:val="7"/>
  </w:num>
  <w:num w:numId="10" w16cid:durableId="1656297921">
    <w:abstractNumId w:val="17"/>
  </w:num>
  <w:num w:numId="11" w16cid:durableId="607859520">
    <w:abstractNumId w:val="21"/>
  </w:num>
  <w:num w:numId="12" w16cid:durableId="1230648350">
    <w:abstractNumId w:val="12"/>
  </w:num>
  <w:num w:numId="13" w16cid:durableId="735595037">
    <w:abstractNumId w:val="5"/>
  </w:num>
  <w:num w:numId="14" w16cid:durableId="36588735">
    <w:abstractNumId w:val="18"/>
  </w:num>
  <w:num w:numId="15" w16cid:durableId="2123376887">
    <w:abstractNumId w:val="6"/>
  </w:num>
  <w:num w:numId="16" w16cid:durableId="1266614625">
    <w:abstractNumId w:val="23"/>
  </w:num>
  <w:num w:numId="17" w16cid:durableId="233704398">
    <w:abstractNumId w:val="4"/>
  </w:num>
  <w:num w:numId="18" w16cid:durableId="5451056">
    <w:abstractNumId w:val="19"/>
  </w:num>
  <w:num w:numId="19" w16cid:durableId="1498496027">
    <w:abstractNumId w:val="3"/>
  </w:num>
  <w:num w:numId="20" w16cid:durableId="518159263">
    <w:abstractNumId w:val="27"/>
  </w:num>
  <w:num w:numId="21" w16cid:durableId="1137138532">
    <w:abstractNumId w:val="14"/>
  </w:num>
  <w:num w:numId="22" w16cid:durableId="1288970964">
    <w:abstractNumId w:val="13"/>
  </w:num>
  <w:num w:numId="23" w16cid:durableId="1631858928">
    <w:abstractNumId w:val="26"/>
  </w:num>
  <w:num w:numId="24" w16cid:durableId="885025835">
    <w:abstractNumId w:val="29"/>
  </w:num>
  <w:num w:numId="25" w16cid:durableId="115032157">
    <w:abstractNumId w:val="8"/>
  </w:num>
  <w:num w:numId="26" w16cid:durableId="2008286004">
    <w:abstractNumId w:val="16"/>
  </w:num>
  <w:num w:numId="27" w16cid:durableId="352074312">
    <w:abstractNumId w:val="15"/>
  </w:num>
  <w:num w:numId="28" w16cid:durableId="364796726">
    <w:abstractNumId w:val="22"/>
  </w:num>
  <w:num w:numId="29" w16cid:durableId="1691566841">
    <w:abstractNumId w:val="9"/>
  </w:num>
  <w:num w:numId="30" w16cid:durableId="284889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sxqAbKCQ3wsAAAA"/>
  </w:docVars>
  <w:rsids>
    <w:rsidRoot w:val="008D09FF"/>
    <w:rsid w:val="000143B4"/>
    <w:rsid w:val="000157F7"/>
    <w:rsid w:val="000169FC"/>
    <w:rsid w:val="00026F62"/>
    <w:rsid w:val="0003210E"/>
    <w:rsid w:val="00033E1E"/>
    <w:rsid w:val="00043DD1"/>
    <w:rsid w:val="00044E03"/>
    <w:rsid w:val="00046531"/>
    <w:rsid w:val="00051B13"/>
    <w:rsid w:val="0005499F"/>
    <w:rsid w:val="00073CCE"/>
    <w:rsid w:val="00077B6D"/>
    <w:rsid w:val="00080923"/>
    <w:rsid w:val="000824D7"/>
    <w:rsid w:val="00093962"/>
    <w:rsid w:val="00095F44"/>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1C15"/>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46FF"/>
    <w:rsid w:val="001E3D5D"/>
    <w:rsid w:val="001F2F9D"/>
    <w:rsid w:val="002037AB"/>
    <w:rsid w:val="00203ADA"/>
    <w:rsid w:val="00207BF7"/>
    <w:rsid w:val="0021152B"/>
    <w:rsid w:val="00214B85"/>
    <w:rsid w:val="002157B6"/>
    <w:rsid w:val="00245957"/>
    <w:rsid w:val="00245FD9"/>
    <w:rsid w:val="0024714F"/>
    <w:rsid w:val="00251842"/>
    <w:rsid w:val="00255300"/>
    <w:rsid w:val="00267D0D"/>
    <w:rsid w:val="00273F83"/>
    <w:rsid w:val="002923C2"/>
    <w:rsid w:val="00292C14"/>
    <w:rsid w:val="0029461D"/>
    <w:rsid w:val="002A218E"/>
    <w:rsid w:val="002B1C88"/>
    <w:rsid w:val="002B6D16"/>
    <w:rsid w:val="002C58C6"/>
    <w:rsid w:val="002C5976"/>
    <w:rsid w:val="002C5AFE"/>
    <w:rsid w:val="002C5DF6"/>
    <w:rsid w:val="002D5608"/>
    <w:rsid w:val="002E2445"/>
    <w:rsid w:val="002F3715"/>
    <w:rsid w:val="002F4C8F"/>
    <w:rsid w:val="00306373"/>
    <w:rsid w:val="003347F4"/>
    <w:rsid w:val="003407C3"/>
    <w:rsid w:val="00341F1F"/>
    <w:rsid w:val="00344167"/>
    <w:rsid w:val="00352949"/>
    <w:rsid w:val="00354A83"/>
    <w:rsid w:val="003559FD"/>
    <w:rsid w:val="00355AA6"/>
    <w:rsid w:val="0035740A"/>
    <w:rsid w:val="00360365"/>
    <w:rsid w:val="00363625"/>
    <w:rsid w:val="003644F3"/>
    <w:rsid w:val="00371215"/>
    <w:rsid w:val="0037352A"/>
    <w:rsid w:val="00377720"/>
    <w:rsid w:val="00380505"/>
    <w:rsid w:val="00390787"/>
    <w:rsid w:val="003915E6"/>
    <w:rsid w:val="003A21CE"/>
    <w:rsid w:val="003B2223"/>
    <w:rsid w:val="003D2B08"/>
    <w:rsid w:val="003D6472"/>
    <w:rsid w:val="003E3CE3"/>
    <w:rsid w:val="003F321A"/>
    <w:rsid w:val="003F58CF"/>
    <w:rsid w:val="003F6032"/>
    <w:rsid w:val="003F652C"/>
    <w:rsid w:val="003F6A34"/>
    <w:rsid w:val="004001C6"/>
    <w:rsid w:val="0040516B"/>
    <w:rsid w:val="00406F8A"/>
    <w:rsid w:val="004118BC"/>
    <w:rsid w:val="00412D04"/>
    <w:rsid w:val="00426EFB"/>
    <w:rsid w:val="004275E6"/>
    <w:rsid w:val="00430271"/>
    <w:rsid w:val="0043392D"/>
    <w:rsid w:val="00435F23"/>
    <w:rsid w:val="004510CC"/>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C39F1"/>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114A"/>
    <w:rsid w:val="006D6837"/>
    <w:rsid w:val="006D7C5E"/>
    <w:rsid w:val="006E177F"/>
    <w:rsid w:val="006E70CE"/>
    <w:rsid w:val="00705F33"/>
    <w:rsid w:val="007130F3"/>
    <w:rsid w:val="00720A6F"/>
    <w:rsid w:val="0072548E"/>
    <w:rsid w:val="00732B9B"/>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53117"/>
    <w:rsid w:val="00861ECB"/>
    <w:rsid w:val="008645D9"/>
    <w:rsid w:val="00871B27"/>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522A"/>
    <w:rsid w:val="00A06682"/>
    <w:rsid w:val="00A2542B"/>
    <w:rsid w:val="00A31089"/>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5CED"/>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62F2"/>
    <w:rsid w:val="00B465CF"/>
    <w:rsid w:val="00B46E41"/>
    <w:rsid w:val="00B51613"/>
    <w:rsid w:val="00B53310"/>
    <w:rsid w:val="00B56352"/>
    <w:rsid w:val="00B57A65"/>
    <w:rsid w:val="00B61DB0"/>
    <w:rsid w:val="00B61FED"/>
    <w:rsid w:val="00B671A3"/>
    <w:rsid w:val="00B7065F"/>
    <w:rsid w:val="00B71230"/>
    <w:rsid w:val="00B74848"/>
    <w:rsid w:val="00B862A0"/>
    <w:rsid w:val="00B87943"/>
    <w:rsid w:val="00B91486"/>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41329"/>
    <w:rsid w:val="00C4264B"/>
    <w:rsid w:val="00C42A3F"/>
    <w:rsid w:val="00C42CEC"/>
    <w:rsid w:val="00C433FF"/>
    <w:rsid w:val="00C47BCC"/>
    <w:rsid w:val="00C52007"/>
    <w:rsid w:val="00C53CCD"/>
    <w:rsid w:val="00C57D30"/>
    <w:rsid w:val="00C66F95"/>
    <w:rsid w:val="00C73ADD"/>
    <w:rsid w:val="00C74D7D"/>
    <w:rsid w:val="00C8669D"/>
    <w:rsid w:val="00C8743A"/>
    <w:rsid w:val="00C919FB"/>
    <w:rsid w:val="00CA0D43"/>
    <w:rsid w:val="00CA33C2"/>
    <w:rsid w:val="00CA59F2"/>
    <w:rsid w:val="00CC3413"/>
    <w:rsid w:val="00CC671B"/>
    <w:rsid w:val="00CD2539"/>
    <w:rsid w:val="00CE4E4E"/>
    <w:rsid w:val="00CE5BDB"/>
    <w:rsid w:val="00CF15D8"/>
    <w:rsid w:val="00CF5F42"/>
    <w:rsid w:val="00D057AF"/>
    <w:rsid w:val="00D20ECD"/>
    <w:rsid w:val="00D2166C"/>
    <w:rsid w:val="00D23569"/>
    <w:rsid w:val="00D23E76"/>
    <w:rsid w:val="00D30910"/>
    <w:rsid w:val="00D35421"/>
    <w:rsid w:val="00D3553F"/>
    <w:rsid w:val="00D4151E"/>
    <w:rsid w:val="00D444CD"/>
    <w:rsid w:val="00D50037"/>
    <w:rsid w:val="00D73C7F"/>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E76F0"/>
    <w:rsid w:val="00DF037E"/>
    <w:rsid w:val="00DF2060"/>
    <w:rsid w:val="00DF6304"/>
    <w:rsid w:val="00E000B9"/>
    <w:rsid w:val="00E039C5"/>
    <w:rsid w:val="00E03A4B"/>
    <w:rsid w:val="00E27145"/>
    <w:rsid w:val="00E315EE"/>
    <w:rsid w:val="00E37264"/>
    <w:rsid w:val="00E41AB6"/>
    <w:rsid w:val="00E46B33"/>
    <w:rsid w:val="00E5396E"/>
    <w:rsid w:val="00E61475"/>
    <w:rsid w:val="00E62EF6"/>
    <w:rsid w:val="00E71C95"/>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1F71"/>
    <w:rsid w:val="00F16569"/>
    <w:rsid w:val="00F16828"/>
    <w:rsid w:val="00F17CBC"/>
    <w:rsid w:val="00F31132"/>
    <w:rsid w:val="00F31831"/>
    <w:rsid w:val="00F320B3"/>
    <w:rsid w:val="00F35020"/>
    <w:rsid w:val="00F42555"/>
    <w:rsid w:val="00F52B0E"/>
    <w:rsid w:val="00F71CCB"/>
    <w:rsid w:val="00FA1905"/>
    <w:rsid w:val="00FA3835"/>
    <w:rsid w:val="00FB012C"/>
    <w:rsid w:val="00FB0CC3"/>
    <w:rsid w:val="00FB44DD"/>
    <w:rsid w:val="00FB5913"/>
    <w:rsid w:val="00FB636C"/>
    <w:rsid w:val="00FD08F7"/>
    <w:rsid w:val="00FE007F"/>
    <w:rsid w:val="00FE1106"/>
    <w:rsid w:val="00FE22D5"/>
    <w:rsid w:val="00FE2AD0"/>
    <w:rsid w:val="00FE3A7A"/>
    <w:rsid w:val="00FE5D8F"/>
    <w:rsid w:val="00FF574F"/>
    <w:rsid w:val="00FF5CDD"/>
    <w:rsid w:val="33EE7181"/>
    <w:rsid w:val="5F30C8E3"/>
    <w:rsid w:val="691D32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5D5F217"/>
  <w15:chartTrackingRefBased/>
  <w15:docId w15:val="{0C47D4B6-3461-4307-B631-119E3D33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DefaultParagraphFont0">
    <w:name w:val="Default Paragraph Font0"/>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uiPriority w:val="10"/>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uiPriority w:val="10"/>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paragraph" w:styleId="ListBullet">
    <w:name w:val="List Bullet"/>
    <w:basedOn w:val="Normal"/>
    <w:uiPriority w:val="99"/>
    <w:unhideWhenUsed/>
    <w:rsid w:val="006E70CE"/>
    <w:pPr>
      <w:numPr>
        <w:numId w:val="30"/>
      </w:numPr>
      <w:tabs>
        <w:tab w:val="clear" w:pos="360"/>
        <w:tab w:val="num" w:pos="0"/>
      </w:tabs>
      <w:suppressAutoHyphens w:val="0"/>
      <w:spacing w:after="140"/>
      <w:ind w:left="432" w:hanging="432"/>
      <w:contextualSpacing/>
      <w:jc w:val="left"/>
    </w:pPr>
    <w:rPr>
      <w:rFonts w:ascii="Arial" w:eastAsia="MS Mincho" w:hAnsi="Arial"/>
      <w:color w:val="auto"/>
      <w:sz w:val="22"/>
      <w:lang w:val="en-US" w:eastAsia="en-US"/>
    </w:rPr>
  </w:style>
  <w:style w:type="paragraph" w:styleId="Revision">
    <w:name w:val="Revision"/>
    <w:hidden/>
    <w:uiPriority w:val="99"/>
    <w:semiHidden/>
    <w:rsid w:val="00F16828"/>
    <w:rPr>
      <w:rFonts w:eastAsia="Calibri"/>
      <w:color w:val="000000"/>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098478758">
      <w:bodyDiv w:val="1"/>
      <w:marLeft w:val="0"/>
      <w:marRight w:val="0"/>
      <w:marTop w:val="0"/>
      <w:marBottom w:val="0"/>
      <w:divBdr>
        <w:top w:val="none" w:sz="0" w:space="0" w:color="auto"/>
        <w:left w:val="none" w:sz="0" w:space="0" w:color="auto"/>
        <w:bottom w:val="none" w:sz="0" w:space="0" w:color="auto"/>
        <w:right w:val="none" w:sz="0" w:space="0" w:color="auto"/>
      </w:divBdr>
      <w:divsChild>
        <w:div w:id="1128862296">
          <w:marLeft w:val="0"/>
          <w:marRight w:val="0"/>
          <w:marTop w:val="0"/>
          <w:marBottom w:val="0"/>
          <w:divBdr>
            <w:top w:val="none" w:sz="0" w:space="0" w:color="auto"/>
            <w:left w:val="none" w:sz="0" w:space="0" w:color="auto"/>
            <w:bottom w:val="none" w:sz="0" w:space="0" w:color="auto"/>
            <w:right w:val="none" w:sz="0" w:space="0" w:color="auto"/>
          </w:divBdr>
        </w:div>
      </w:divsChild>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186/s40814-022-01031-1" TargetMode="External"/><Relationship Id="rId18" Type="http://schemas.openxmlformats.org/officeDocument/2006/relationships/hyperlink" Target="https://doi.org/10.3389/fphar.2024.1340255" TargetMode="External"/><Relationship Id="rId26" Type="http://schemas.openxmlformats.org/officeDocument/2006/relationships/hyperlink" Target="https://doi.org/10.1016/j.anai.2023.02.023" TargetMode="External"/><Relationship Id="rId3" Type="http://schemas.openxmlformats.org/officeDocument/2006/relationships/styles" Target="styles.xml"/><Relationship Id="rId21" Type="http://schemas.openxmlformats.org/officeDocument/2006/relationships/hyperlink" Target="https://doi.org/10.1002/ppul.71098" TargetMode="External"/><Relationship Id="rId7" Type="http://schemas.openxmlformats.org/officeDocument/2006/relationships/endnotes" Target="endnotes.xml"/><Relationship Id="rId12" Type="http://schemas.openxmlformats.org/officeDocument/2006/relationships/hyperlink" Target="https://doi.org/10.1016/s2213-2600(22)00534-3" TargetMode="External"/><Relationship Id="rId17" Type="http://schemas.openxmlformats.org/officeDocument/2006/relationships/hyperlink" Target="https://doi.org/10.1007/s12519-023-00695-w" TargetMode="External"/><Relationship Id="rId25" Type="http://schemas.openxmlformats.org/officeDocument/2006/relationships/hyperlink" Target="https://doi.org/10.1016/j.pccm.2023.07.002" TargetMode="External"/><Relationship Id="rId2" Type="http://schemas.openxmlformats.org/officeDocument/2006/relationships/numbering" Target="numbering.xml"/><Relationship Id="rId16" Type="http://schemas.openxmlformats.org/officeDocument/2006/relationships/hyperlink" Target="https://doi.org/10.3349/ymj.2022.0292" TargetMode="External"/><Relationship Id="rId20" Type="http://schemas.openxmlformats.org/officeDocument/2006/relationships/hyperlink" Target="https://doi.org/10.1016/j.jaip.2024.09.02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jcm13030859" TargetMode="External"/><Relationship Id="rId24" Type="http://schemas.openxmlformats.org/officeDocument/2006/relationships/hyperlink" Target="https://doi.org/10.1177/17534666251346363" TargetMode="External"/><Relationship Id="rId5" Type="http://schemas.openxmlformats.org/officeDocument/2006/relationships/webSettings" Target="webSettings.xml"/><Relationship Id="rId15" Type="http://schemas.openxmlformats.org/officeDocument/2006/relationships/hyperlink" Target="https://doi.org/10.1038/s41370-023-00573-7" TargetMode="External"/><Relationship Id="rId23" Type="http://schemas.openxmlformats.org/officeDocument/2006/relationships/hyperlink" Target="https://doi.org/10.1016/j.jacig.2025.100418" TargetMode="External"/><Relationship Id="rId28" Type="http://schemas.openxmlformats.org/officeDocument/2006/relationships/hyperlink" Target="https://doi.org/10.1513/annalsats.202402-200oc" TargetMode="External"/><Relationship Id="rId10" Type="http://schemas.openxmlformats.org/officeDocument/2006/relationships/hyperlink" Target="https://doi.org/10.3390/children11030356" TargetMode="External"/><Relationship Id="rId19" Type="http://schemas.openxmlformats.org/officeDocument/2006/relationships/hyperlink" Target="https://doi.org/10.1016/j.jaip.2023.11.03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s2542-5196(22)00302-3" TargetMode="External"/><Relationship Id="rId14" Type="http://schemas.openxmlformats.org/officeDocument/2006/relationships/hyperlink" Target="https://doi.org/10.1111/jep.70266" TargetMode="External"/><Relationship Id="rId22" Type="http://schemas.openxmlformats.org/officeDocument/2006/relationships/hyperlink" Target="https://www.nice.org.uk/guidance/NG245" TargetMode="External"/><Relationship Id="rId27" Type="http://schemas.openxmlformats.org/officeDocument/2006/relationships/hyperlink" Target="https://doi.org/10.1016/j.pmedr.2024.10271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160A5-2BC1-46D1-8BCD-A809441A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3509</Words>
  <Characters>20004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Salma Shahzad (2332701)</cp:lastModifiedBy>
  <cp:revision>3</cp:revision>
  <cp:lastPrinted>1900-01-01T00:00:00Z</cp:lastPrinted>
  <dcterms:created xsi:type="dcterms:W3CDTF">2026-10-25T23:12:00Z</dcterms:created>
  <dcterms:modified xsi:type="dcterms:W3CDTF">2026-10-25T23:13:00Z</dcterms:modified>
</cp:coreProperties>
</file>