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BA28C" w14:textId="4374129E" w:rsidR="003C5D8E" w:rsidRDefault="003C5D8E">
      <w:pPr>
        <w:rPr>
          <w:sz w:val="36"/>
          <w:szCs w:val="32"/>
        </w:rPr>
      </w:pPr>
      <w:r w:rsidRPr="00C2098E">
        <w:rPr>
          <w:rFonts w:cs="Times New Roman"/>
          <w:noProof/>
        </w:rPr>
        <w:drawing>
          <wp:anchor distT="0" distB="0" distL="114300" distR="114300" simplePos="0" relativeHeight="251660288" behindDoc="0" locked="0" layoutInCell="1" allowOverlap="1" wp14:anchorId="56FB088B" wp14:editId="06EB3D4B">
            <wp:simplePos x="0" y="0"/>
            <wp:positionH relativeFrom="column">
              <wp:posOffset>1809750</wp:posOffset>
            </wp:positionH>
            <wp:positionV relativeFrom="paragraph">
              <wp:posOffset>371475</wp:posOffset>
            </wp:positionV>
            <wp:extent cx="2025754" cy="838243"/>
            <wp:effectExtent l="0" t="0" r="0" b="0"/>
            <wp:wrapNone/>
            <wp:docPr id="1809957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57361" name=""/>
                    <pic:cNvPicPr/>
                  </pic:nvPicPr>
                  <pic:blipFill>
                    <a:blip r:embed="rId8">
                      <a:extLst>
                        <a:ext uri="{28A0092B-C50C-407E-A947-70E740481C1C}">
                          <a14:useLocalDpi xmlns:a14="http://schemas.microsoft.com/office/drawing/2010/main" val="0"/>
                        </a:ext>
                      </a:extLst>
                    </a:blip>
                    <a:stretch>
                      <a:fillRect/>
                    </a:stretch>
                  </pic:blipFill>
                  <pic:spPr>
                    <a:xfrm>
                      <a:off x="0" y="0"/>
                      <a:ext cx="2025754" cy="838243"/>
                    </a:xfrm>
                    <a:prstGeom prst="rect">
                      <a:avLst/>
                    </a:prstGeom>
                  </pic:spPr>
                </pic:pic>
              </a:graphicData>
            </a:graphic>
          </wp:anchor>
        </w:drawing>
      </w:r>
    </w:p>
    <w:p w14:paraId="5C37ED52" w14:textId="77777777" w:rsidR="003C5D8E" w:rsidRDefault="003C5D8E">
      <w:pPr>
        <w:rPr>
          <w:sz w:val="36"/>
          <w:szCs w:val="32"/>
        </w:rPr>
      </w:pPr>
    </w:p>
    <w:p w14:paraId="35FB5FE6" w14:textId="77777777" w:rsidR="003C5D8E" w:rsidRDefault="003C5D8E">
      <w:pPr>
        <w:rPr>
          <w:sz w:val="36"/>
          <w:szCs w:val="32"/>
        </w:rPr>
      </w:pPr>
    </w:p>
    <w:p w14:paraId="057D7E97" w14:textId="68984E29" w:rsidR="003C5D8E" w:rsidRPr="003C5D8E" w:rsidRDefault="003C5D8E">
      <w:pPr>
        <w:rPr>
          <w:sz w:val="36"/>
          <w:szCs w:val="32"/>
        </w:rPr>
      </w:pPr>
      <w:r w:rsidRPr="003C5D8E">
        <w:rPr>
          <w:sz w:val="36"/>
          <w:szCs w:val="32"/>
        </w:rPr>
        <w:t xml:space="preserve">Programme Name: Master of Business Administration </w:t>
      </w:r>
    </w:p>
    <w:p w14:paraId="2B0976AB" w14:textId="77777777" w:rsidR="003C5D8E" w:rsidRPr="003C5D8E" w:rsidRDefault="003C5D8E">
      <w:pPr>
        <w:rPr>
          <w:sz w:val="36"/>
          <w:szCs w:val="32"/>
        </w:rPr>
      </w:pPr>
      <w:r w:rsidRPr="003C5D8E">
        <w:rPr>
          <w:sz w:val="36"/>
          <w:szCs w:val="32"/>
        </w:rPr>
        <w:t xml:space="preserve">Program manager: Vasilios Tavlaridis </w:t>
      </w:r>
    </w:p>
    <w:p w14:paraId="7AFB9495" w14:textId="6D783607" w:rsidR="003C5D8E" w:rsidRPr="003C5D8E" w:rsidRDefault="003C5D8E">
      <w:pPr>
        <w:rPr>
          <w:sz w:val="36"/>
          <w:szCs w:val="32"/>
        </w:rPr>
      </w:pPr>
      <w:r w:rsidRPr="003C5D8E">
        <w:rPr>
          <w:sz w:val="36"/>
          <w:szCs w:val="32"/>
        </w:rPr>
        <w:t xml:space="preserve">Module Code: LCMB7037 </w:t>
      </w:r>
    </w:p>
    <w:p w14:paraId="6F1810B1" w14:textId="1B75B2DB" w:rsidR="003C5D8E" w:rsidRPr="003C5D8E" w:rsidRDefault="003C5D8E">
      <w:pPr>
        <w:rPr>
          <w:sz w:val="36"/>
          <w:szCs w:val="32"/>
        </w:rPr>
      </w:pPr>
      <w:r w:rsidRPr="003C5D8E">
        <w:rPr>
          <w:sz w:val="36"/>
          <w:szCs w:val="32"/>
        </w:rPr>
        <w:t>Module Title: Business Development Proposal</w:t>
      </w:r>
    </w:p>
    <w:p w14:paraId="0C3F47E0" w14:textId="4F889364" w:rsidR="003C5D8E" w:rsidRPr="003C5D8E" w:rsidRDefault="003C5D8E">
      <w:pPr>
        <w:rPr>
          <w:sz w:val="36"/>
          <w:szCs w:val="32"/>
        </w:rPr>
      </w:pPr>
      <w:r w:rsidRPr="003C5D8E">
        <w:rPr>
          <w:sz w:val="36"/>
          <w:szCs w:val="32"/>
        </w:rPr>
        <w:t xml:space="preserve">Expanding Morrisons’ “The Best” into the GCC: A Capital‑Light Premium Market Development Strategy for UAE and Saudi </w:t>
      </w:r>
    </w:p>
    <w:p w14:paraId="4CA5E6AA" w14:textId="255014EB" w:rsidR="003C5D8E" w:rsidRPr="003C5D8E" w:rsidRDefault="003C5D8E">
      <w:pPr>
        <w:rPr>
          <w:sz w:val="36"/>
          <w:szCs w:val="32"/>
        </w:rPr>
      </w:pPr>
      <w:r w:rsidRPr="003C5D8E">
        <w:rPr>
          <w:sz w:val="36"/>
          <w:szCs w:val="32"/>
        </w:rPr>
        <w:t>Supervisor: Ejike Udeogu</w:t>
      </w:r>
    </w:p>
    <w:p w14:paraId="6E0F3E1E" w14:textId="59C8E6F8" w:rsidR="003C5D8E" w:rsidRPr="003C5D8E" w:rsidRDefault="003C5D8E">
      <w:pPr>
        <w:rPr>
          <w:sz w:val="36"/>
          <w:szCs w:val="32"/>
        </w:rPr>
      </w:pPr>
      <w:r w:rsidRPr="003C5D8E">
        <w:rPr>
          <w:sz w:val="36"/>
          <w:szCs w:val="32"/>
        </w:rPr>
        <w:t xml:space="preserve">Student Name: </w:t>
      </w:r>
      <w:r w:rsidR="00252C04">
        <w:rPr>
          <w:sz w:val="36"/>
          <w:szCs w:val="32"/>
        </w:rPr>
        <w:t>Kharul Alam Riad</w:t>
      </w:r>
    </w:p>
    <w:p w14:paraId="75C72AFB" w14:textId="59B8ADC0" w:rsidR="003C5D8E" w:rsidRPr="003C5D8E" w:rsidRDefault="003C5D8E">
      <w:pPr>
        <w:rPr>
          <w:sz w:val="36"/>
          <w:szCs w:val="32"/>
        </w:rPr>
      </w:pPr>
      <w:r w:rsidRPr="003C5D8E">
        <w:rPr>
          <w:sz w:val="36"/>
          <w:szCs w:val="32"/>
        </w:rPr>
        <w:t xml:space="preserve">Student ID: </w:t>
      </w:r>
      <w:r w:rsidR="00252C04">
        <w:rPr>
          <w:sz w:val="36"/>
          <w:szCs w:val="32"/>
        </w:rPr>
        <w:t>2438577</w:t>
      </w:r>
    </w:p>
    <w:p w14:paraId="1FF59442" w14:textId="050E169B" w:rsidR="003C5D8E" w:rsidRPr="003C5D8E" w:rsidRDefault="003C5D8E" w:rsidP="003C5D8E">
      <w:pPr>
        <w:rPr>
          <w:sz w:val="36"/>
          <w:szCs w:val="32"/>
        </w:rPr>
      </w:pPr>
      <w:r w:rsidRPr="003C5D8E">
        <w:rPr>
          <w:sz w:val="36"/>
          <w:szCs w:val="32"/>
        </w:rPr>
        <w:t xml:space="preserve">Pathway: Path </w:t>
      </w:r>
      <w:r w:rsidR="00AB044E">
        <w:rPr>
          <w:sz w:val="36"/>
          <w:szCs w:val="32"/>
        </w:rPr>
        <w:t>B</w:t>
      </w:r>
      <w:r w:rsidRPr="003C5D8E">
        <w:rPr>
          <w:sz w:val="36"/>
          <w:szCs w:val="32"/>
        </w:rPr>
        <w:t xml:space="preserve"> - </w:t>
      </w:r>
      <w:r w:rsidR="00AB044E" w:rsidRPr="00AB044E">
        <w:rPr>
          <w:sz w:val="36"/>
          <w:szCs w:val="32"/>
        </w:rPr>
        <w:t xml:space="preserve">Business Plan for an Existing Company </w:t>
      </w:r>
    </w:p>
    <w:p w14:paraId="6F9D7FF4" w14:textId="539DEFF5" w:rsidR="003C5D8E" w:rsidRPr="003C5D8E" w:rsidRDefault="003C5D8E">
      <w:pPr>
        <w:rPr>
          <w:sz w:val="36"/>
          <w:szCs w:val="32"/>
        </w:rPr>
      </w:pPr>
      <w:r w:rsidRPr="003C5D8E">
        <w:rPr>
          <w:sz w:val="36"/>
          <w:szCs w:val="32"/>
        </w:rPr>
        <w:t xml:space="preserve">Word Count: </w:t>
      </w:r>
      <w:r w:rsidR="00163915">
        <w:rPr>
          <w:sz w:val="36"/>
          <w:szCs w:val="32"/>
        </w:rPr>
        <w:t>15,6</w:t>
      </w:r>
      <w:r w:rsidR="003E42B2">
        <w:rPr>
          <w:sz w:val="36"/>
          <w:szCs w:val="32"/>
        </w:rPr>
        <w:t>74</w:t>
      </w:r>
    </w:p>
    <w:p w14:paraId="4AF0AF0C" w14:textId="79132C61" w:rsidR="003C5D8E" w:rsidRPr="003C5D8E" w:rsidRDefault="003C5D8E">
      <w:pPr>
        <w:rPr>
          <w:sz w:val="36"/>
          <w:szCs w:val="32"/>
        </w:rPr>
      </w:pPr>
      <w:r w:rsidRPr="003C5D8E">
        <w:rPr>
          <w:sz w:val="36"/>
          <w:szCs w:val="32"/>
        </w:rPr>
        <w:t xml:space="preserve">Submission Date: August 2026 </w:t>
      </w:r>
      <w:r w:rsidRPr="003C5D8E">
        <w:rPr>
          <w:b/>
          <w:bCs/>
          <w:sz w:val="44"/>
          <w:szCs w:val="40"/>
        </w:rPr>
        <w:br w:type="page"/>
      </w:r>
    </w:p>
    <w:p w14:paraId="49B73327" w14:textId="7EA2E9CF" w:rsidR="00637CCE" w:rsidRPr="00637CCE" w:rsidRDefault="00637CCE">
      <w:pPr>
        <w:rPr>
          <w:b/>
          <w:bCs/>
          <w:sz w:val="32"/>
          <w:szCs w:val="28"/>
        </w:rPr>
      </w:pPr>
      <w:r w:rsidRPr="00637CCE">
        <w:rPr>
          <w:b/>
          <w:bCs/>
          <w:sz w:val="32"/>
          <w:szCs w:val="28"/>
        </w:rPr>
        <w:lastRenderedPageBreak/>
        <w:t xml:space="preserve">Acknowledgements </w:t>
      </w:r>
    </w:p>
    <w:p w14:paraId="7C9A7BF1" w14:textId="77777777" w:rsidR="00436DF1" w:rsidRDefault="00CE29FC" w:rsidP="00436DF1">
      <w:pPr>
        <w:ind w:firstLine="720"/>
      </w:pPr>
      <w:r>
        <w:t xml:space="preserve">I wish to express my sincere appreciation to my supervisor, Dr. Ejike Udeogu, for the constructive academic guidance provided during the development of this Business Development Proposal. His guidance on structure, methodology, theory application, operational risk and financial realism helped me develop the proposal into a coherent secondary-data feasibility study. </w:t>
      </w:r>
    </w:p>
    <w:p w14:paraId="78C0BF58" w14:textId="77777777" w:rsidR="00436DF1" w:rsidRDefault="00CE29FC" w:rsidP="00436DF1">
      <w:pPr>
        <w:ind w:firstLine="720"/>
      </w:pPr>
      <w:r>
        <w:t xml:space="preserve">I am also grateful to Vasilios Tavlaridis, the Programme Manager for the Master of Business Administration, and to the wider academic and administrative team at the University of Wales Trinity Saint David. The LCMB7037 module framework, learning resources and library access provided the foundation for evaluating the proposal through published market evidence, academic literature, competitor information, regulatory guidance and financial modelling. </w:t>
      </w:r>
    </w:p>
    <w:p w14:paraId="3BC4BB4B" w14:textId="751D1BCF" w:rsidR="00637CCE" w:rsidRDefault="00CE29FC" w:rsidP="00436DF1">
      <w:pPr>
        <w:ind w:firstLine="720"/>
      </w:pPr>
      <w:r>
        <w:t xml:space="preserve">Finally, I would like to thank my family and peers for their encouragement during the preparation of this postgraduate project. Their support helped me stay focused while developing the proposal into a responsible, evidence-led business plan based on published data, academic literature, competitor evidence, regulatory guidance, and financial modelling. </w:t>
      </w:r>
      <w:r w:rsidR="00637CCE">
        <w:br w:type="page"/>
      </w:r>
    </w:p>
    <w:p w14:paraId="09CD70D5" w14:textId="77777777" w:rsidR="003B75AD" w:rsidRPr="003B75AD" w:rsidRDefault="003B75AD">
      <w:pPr>
        <w:rPr>
          <w:b/>
          <w:bCs/>
          <w:sz w:val="32"/>
          <w:szCs w:val="28"/>
        </w:rPr>
      </w:pPr>
      <w:r w:rsidRPr="003B75AD">
        <w:rPr>
          <w:b/>
          <w:bCs/>
          <w:sz w:val="32"/>
          <w:szCs w:val="28"/>
        </w:rPr>
        <w:lastRenderedPageBreak/>
        <w:t xml:space="preserve">Declaration </w:t>
      </w:r>
    </w:p>
    <w:p w14:paraId="07C879C0" w14:textId="77777777" w:rsidR="003B75AD" w:rsidRDefault="003B75AD" w:rsidP="00436DF1">
      <w:pPr>
        <w:ind w:firstLine="720"/>
      </w:pPr>
      <w:r>
        <w:t xml:space="preserve">I declare that this Business Development Proposal is my own work and has been prepared for the LCMB7037 Business Development Proposal module. Sources used in the proposal have been acknowledged through Harvard-style in-text citations and a reference list. The proposal is based on secondary data, published evidence and financial modelling. No direct human respondent data has been collected for the academic submission. </w:t>
      </w:r>
    </w:p>
    <w:p w14:paraId="64A9043A" w14:textId="296E4E8E" w:rsidR="00C4553F" w:rsidRPr="00C2098E" w:rsidRDefault="003B75AD" w:rsidP="00436DF1">
      <w:pPr>
        <w:ind w:firstLine="720"/>
        <w:rPr>
          <w:rFonts w:eastAsiaTheme="majorEastAsia" w:cstheme="majorBidi"/>
          <w:b/>
          <w:color w:val="000000" w:themeColor="text1"/>
          <w:sz w:val="32"/>
          <w:szCs w:val="32"/>
        </w:rPr>
      </w:pPr>
      <w:r>
        <w:t xml:space="preserve">I understand the university's requirements regarding academic integrity and the permitted use of digital tools. Any proofreading, formatting or research-support assistance must not replace the student’s own responsibility for the final argument, judgement and submission. </w:t>
      </w:r>
      <w:r w:rsidR="00433719" w:rsidRPr="00C2098E">
        <w:br w:type="page"/>
      </w:r>
    </w:p>
    <w:sdt>
      <w:sdtPr>
        <w:rPr>
          <w:rFonts w:ascii="Times New Roman" w:eastAsiaTheme="minorHAnsi" w:hAnsi="Times New Roman" w:cs="Times New Roman"/>
          <w:b/>
          <w:bCs/>
          <w:color w:val="auto"/>
          <w:sz w:val="24"/>
          <w:szCs w:val="22"/>
          <w:lang w:val="en-GB"/>
        </w:rPr>
        <w:id w:val="1963843379"/>
        <w:docPartObj>
          <w:docPartGallery w:val="Table of Contents"/>
          <w:docPartUnique/>
        </w:docPartObj>
      </w:sdtPr>
      <w:sdtEndPr>
        <w:rPr>
          <w:rFonts w:cstheme="minorBidi"/>
          <w:noProof/>
        </w:rPr>
      </w:sdtEndPr>
      <w:sdtContent>
        <w:p w14:paraId="6DCF451D" w14:textId="01ABB920" w:rsidR="00CF02AE" w:rsidRPr="00C2098E" w:rsidRDefault="00CF02AE">
          <w:pPr>
            <w:pStyle w:val="TOCHeading"/>
            <w:rPr>
              <w:rFonts w:ascii="Times New Roman" w:hAnsi="Times New Roman" w:cs="Times New Roman"/>
              <w:b/>
              <w:bCs/>
              <w:color w:val="auto"/>
              <w:lang w:val="en-GB"/>
            </w:rPr>
          </w:pPr>
          <w:r w:rsidRPr="00C2098E">
            <w:rPr>
              <w:rFonts w:ascii="Times New Roman" w:hAnsi="Times New Roman" w:cs="Times New Roman"/>
              <w:b/>
              <w:bCs/>
              <w:color w:val="auto"/>
              <w:lang w:val="en-GB"/>
            </w:rPr>
            <w:t>Table of Contents</w:t>
          </w:r>
        </w:p>
        <w:p w14:paraId="1CFF2C98" w14:textId="4C215465" w:rsidR="00100AC3" w:rsidRDefault="00CF02AE">
          <w:pPr>
            <w:pStyle w:val="TOC1"/>
            <w:tabs>
              <w:tab w:val="right" w:leader="dot" w:pos="9016"/>
            </w:tabs>
            <w:rPr>
              <w:rFonts w:asciiTheme="minorHAnsi" w:eastAsiaTheme="minorEastAsia" w:hAnsiTheme="minorHAnsi"/>
              <w:noProof/>
              <w:sz w:val="22"/>
              <w:lang w:val="en-US"/>
            </w:rPr>
          </w:pPr>
          <w:r w:rsidRPr="00C2098E">
            <w:fldChar w:fldCharType="begin"/>
          </w:r>
          <w:r w:rsidRPr="00C2098E">
            <w:instrText xml:space="preserve"> TOC \o "1-3" \h \z \u </w:instrText>
          </w:r>
          <w:r w:rsidRPr="00C2098E">
            <w:fldChar w:fldCharType="separate"/>
          </w:r>
          <w:hyperlink w:anchor="_Toc238675463" w:history="1">
            <w:r w:rsidR="00100AC3" w:rsidRPr="002768B5">
              <w:rPr>
                <w:rStyle w:val="Hyperlink"/>
                <w:noProof/>
              </w:rPr>
              <w:t>Executive Summary</w:t>
            </w:r>
            <w:r w:rsidR="00100AC3">
              <w:rPr>
                <w:noProof/>
                <w:webHidden/>
              </w:rPr>
              <w:tab/>
            </w:r>
            <w:r w:rsidR="00100AC3">
              <w:rPr>
                <w:noProof/>
                <w:webHidden/>
              </w:rPr>
              <w:fldChar w:fldCharType="begin"/>
            </w:r>
            <w:r w:rsidR="00100AC3">
              <w:rPr>
                <w:noProof/>
                <w:webHidden/>
              </w:rPr>
              <w:instrText xml:space="preserve"> PAGEREF _Toc238675463 \h </w:instrText>
            </w:r>
            <w:r w:rsidR="00100AC3">
              <w:rPr>
                <w:noProof/>
                <w:webHidden/>
              </w:rPr>
            </w:r>
            <w:r w:rsidR="00100AC3">
              <w:rPr>
                <w:noProof/>
                <w:webHidden/>
              </w:rPr>
              <w:fldChar w:fldCharType="separate"/>
            </w:r>
            <w:r w:rsidR="00100AC3">
              <w:rPr>
                <w:noProof/>
                <w:webHidden/>
              </w:rPr>
              <w:t>2</w:t>
            </w:r>
            <w:r w:rsidR="00100AC3">
              <w:rPr>
                <w:noProof/>
                <w:webHidden/>
              </w:rPr>
              <w:fldChar w:fldCharType="end"/>
            </w:r>
          </w:hyperlink>
        </w:p>
        <w:p w14:paraId="045E7F77" w14:textId="3F83F100" w:rsidR="00100AC3" w:rsidRDefault="00100AC3">
          <w:pPr>
            <w:pStyle w:val="TOC1"/>
            <w:tabs>
              <w:tab w:val="right" w:leader="dot" w:pos="9016"/>
            </w:tabs>
            <w:rPr>
              <w:rFonts w:asciiTheme="minorHAnsi" w:eastAsiaTheme="minorEastAsia" w:hAnsiTheme="minorHAnsi"/>
              <w:noProof/>
              <w:sz w:val="22"/>
              <w:lang w:val="en-US"/>
            </w:rPr>
          </w:pPr>
          <w:hyperlink w:anchor="_Toc238675464" w:history="1">
            <w:r w:rsidRPr="002768B5">
              <w:rPr>
                <w:rStyle w:val="Hyperlink"/>
                <w:noProof/>
              </w:rPr>
              <w:t>1. Introduction and Business Context</w:t>
            </w:r>
            <w:r>
              <w:rPr>
                <w:noProof/>
                <w:webHidden/>
              </w:rPr>
              <w:tab/>
            </w:r>
            <w:r>
              <w:rPr>
                <w:noProof/>
                <w:webHidden/>
              </w:rPr>
              <w:fldChar w:fldCharType="begin"/>
            </w:r>
            <w:r>
              <w:rPr>
                <w:noProof/>
                <w:webHidden/>
              </w:rPr>
              <w:instrText xml:space="preserve"> PAGEREF _Toc238675464 \h </w:instrText>
            </w:r>
            <w:r>
              <w:rPr>
                <w:noProof/>
                <w:webHidden/>
              </w:rPr>
            </w:r>
            <w:r>
              <w:rPr>
                <w:noProof/>
                <w:webHidden/>
              </w:rPr>
              <w:fldChar w:fldCharType="separate"/>
            </w:r>
            <w:r>
              <w:rPr>
                <w:noProof/>
                <w:webHidden/>
              </w:rPr>
              <w:t>3</w:t>
            </w:r>
            <w:r>
              <w:rPr>
                <w:noProof/>
                <w:webHidden/>
              </w:rPr>
              <w:fldChar w:fldCharType="end"/>
            </w:r>
          </w:hyperlink>
        </w:p>
        <w:p w14:paraId="384CAD35" w14:textId="7D08CE00" w:rsidR="00100AC3" w:rsidRDefault="00100AC3">
          <w:pPr>
            <w:pStyle w:val="TOC2"/>
            <w:tabs>
              <w:tab w:val="right" w:leader="dot" w:pos="9016"/>
            </w:tabs>
            <w:rPr>
              <w:rFonts w:asciiTheme="minorHAnsi" w:eastAsiaTheme="minorEastAsia" w:hAnsiTheme="minorHAnsi"/>
              <w:noProof/>
              <w:sz w:val="22"/>
              <w:lang w:val="en-US"/>
            </w:rPr>
          </w:pPr>
          <w:hyperlink w:anchor="_Toc238675465" w:history="1">
            <w:r w:rsidRPr="002768B5">
              <w:rPr>
                <w:rStyle w:val="Hyperlink"/>
                <w:noProof/>
              </w:rPr>
              <w:t>1.1 History, Ownership and Strategic Context</w:t>
            </w:r>
            <w:r>
              <w:rPr>
                <w:noProof/>
                <w:webHidden/>
              </w:rPr>
              <w:tab/>
            </w:r>
            <w:r>
              <w:rPr>
                <w:noProof/>
                <w:webHidden/>
              </w:rPr>
              <w:fldChar w:fldCharType="begin"/>
            </w:r>
            <w:r>
              <w:rPr>
                <w:noProof/>
                <w:webHidden/>
              </w:rPr>
              <w:instrText xml:space="preserve"> PAGEREF _Toc238675465 \h </w:instrText>
            </w:r>
            <w:r>
              <w:rPr>
                <w:noProof/>
                <w:webHidden/>
              </w:rPr>
            </w:r>
            <w:r>
              <w:rPr>
                <w:noProof/>
                <w:webHidden/>
              </w:rPr>
              <w:fldChar w:fldCharType="separate"/>
            </w:r>
            <w:r>
              <w:rPr>
                <w:noProof/>
                <w:webHidden/>
              </w:rPr>
              <w:t>3</w:t>
            </w:r>
            <w:r>
              <w:rPr>
                <w:noProof/>
                <w:webHidden/>
              </w:rPr>
              <w:fldChar w:fldCharType="end"/>
            </w:r>
          </w:hyperlink>
        </w:p>
        <w:p w14:paraId="709D8DD6" w14:textId="35617355" w:rsidR="00100AC3" w:rsidRDefault="00100AC3">
          <w:pPr>
            <w:pStyle w:val="TOC2"/>
            <w:tabs>
              <w:tab w:val="right" w:leader="dot" w:pos="9016"/>
            </w:tabs>
            <w:rPr>
              <w:rFonts w:asciiTheme="minorHAnsi" w:eastAsiaTheme="minorEastAsia" w:hAnsiTheme="minorHAnsi"/>
              <w:noProof/>
              <w:sz w:val="22"/>
              <w:lang w:val="en-US"/>
            </w:rPr>
          </w:pPr>
          <w:hyperlink w:anchor="_Toc238675466" w:history="1">
            <w:r w:rsidRPr="002768B5">
              <w:rPr>
                <w:rStyle w:val="Hyperlink"/>
                <w:noProof/>
              </w:rPr>
              <w:t>1.2 Product Portfolio and “The Best” Premium Tier</w:t>
            </w:r>
            <w:r>
              <w:rPr>
                <w:noProof/>
                <w:webHidden/>
              </w:rPr>
              <w:tab/>
            </w:r>
            <w:r>
              <w:rPr>
                <w:noProof/>
                <w:webHidden/>
              </w:rPr>
              <w:fldChar w:fldCharType="begin"/>
            </w:r>
            <w:r>
              <w:rPr>
                <w:noProof/>
                <w:webHidden/>
              </w:rPr>
              <w:instrText xml:space="preserve"> PAGEREF _Toc238675466 \h </w:instrText>
            </w:r>
            <w:r>
              <w:rPr>
                <w:noProof/>
                <w:webHidden/>
              </w:rPr>
            </w:r>
            <w:r>
              <w:rPr>
                <w:noProof/>
                <w:webHidden/>
              </w:rPr>
              <w:fldChar w:fldCharType="separate"/>
            </w:r>
            <w:r>
              <w:rPr>
                <w:noProof/>
                <w:webHidden/>
              </w:rPr>
              <w:t>4</w:t>
            </w:r>
            <w:r>
              <w:rPr>
                <w:noProof/>
                <w:webHidden/>
              </w:rPr>
              <w:fldChar w:fldCharType="end"/>
            </w:r>
          </w:hyperlink>
        </w:p>
        <w:p w14:paraId="675744CC" w14:textId="7C83DA51" w:rsidR="00100AC3" w:rsidRDefault="00100AC3">
          <w:pPr>
            <w:pStyle w:val="TOC2"/>
            <w:tabs>
              <w:tab w:val="right" w:leader="dot" w:pos="9016"/>
            </w:tabs>
            <w:rPr>
              <w:rFonts w:asciiTheme="minorHAnsi" w:eastAsiaTheme="minorEastAsia" w:hAnsiTheme="minorHAnsi"/>
              <w:noProof/>
              <w:sz w:val="22"/>
              <w:lang w:val="en-US"/>
            </w:rPr>
          </w:pPr>
          <w:hyperlink w:anchor="_Toc238675467" w:history="1">
            <w:r w:rsidRPr="002768B5">
              <w:rPr>
                <w:rStyle w:val="Hyperlink"/>
                <w:noProof/>
              </w:rPr>
              <w:t>1.3 Internationalisation and GCC Presence</w:t>
            </w:r>
            <w:r>
              <w:rPr>
                <w:noProof/>
                <w:webHidden/>
              </w:rPr>
              <w:tab/>
            </w:r>
            <w:r>
              <w:rPr>
                <w:noProof/>
                <w:webHidden/>
              </w:rPr>
              <w:fldChar w:fldCharType="begin"/>
            </w:r>
            <w:r>
              <w:rPr>
                <w:noProof/>
                <w:webHidden/>
              </w:rPr>
              <w:instrText xml:space="preserve"> PAGEREF _Toc238675467 \h </w:instrText>
            </w:r>
            <w:r>
              <w:rPr>
                <w:noProof/>
                <w:webHidden/>
              </w:rPr>
            </w:r>
            <w:r>
              <w:rPr>
                <w:noProof/>
                <w:webHidden/>
              </w:rPr>
              <w:fldChar w:fldCharType="separate"/>
            </w:r>
            <w:r>
              <w:rPr>
                <w:noProof/>
                <w:webHidden/>
              </w:rPr>
              <w:t>5</w:t>
            </w:r>
            <w:r>
              <w:rPr>
                <w:noProof/>
                <w:webHidden/>
              </w:rPr>
              <w:fldChar w:fldCharType="end"/>
            </w:r>
          </w:hyperlink>
        </w:p>
        <w:p w14:paraId="19F74245" w14:textId="0D1C779A" w:rsidR="00100AC3" w:rsidRDefault="00100AC3">
          <w:pPr>
            <w:pStyle w:val="TOC2"/>
            <w:tabs>
              <w:tab w:val="right" w:leader="dot" w:pos="9016"/>
            </w:tabs>
            <w:rPr>
              <w:rFonts w:asciiTheme="minorHAnsi" w:eastAsiaTheme="minorEastAsia" w:hAnsiTheme="minorHAnsi"/>
              <w:noProof/>
              <w:sz w:val="22"/>
              <w:lang w:val="en-US"/>
            </w:rPr>
          </w:pPr>
          <w:hyperlink w:anchor="_Toc238675468" w:history="1">
            <w:r w:rsidRPr="002768B5">
              <w:rPr>
                <w:rStyle w:val="Hyperlink"/>
                <w:noProof/>
              </w:rPr>
              <w:t>1.4 Customer Problem and Market Gap: GCC Premium Segment</w:t>
            </w:r>
            <w:r>
              <w:rPr>
                <w:noProof/>
                <w:webHidden/>
              </w:rPr>
              <w:tab/>
            </w:r>
            <w:r>
              <w:rPr>
                <w:noProof/>
                <w:webHidden/>
              </w:rPr>
              <w:fldChar w:fldCharType="begin"/>
            </w:r>
            <w:r>
              <w:rPr>
                <w:noProof/>
                <w:webHidden/>
              </w:rPr>
              <w:instrText xml:space="preserve"> PAGEREF _Toc238675468 \h </w:instrText>
            </w:r>
            <w:r>
              <w:rPr>
                <w:noProof/>
                <w:webHidden/>
              </w:rPr>
            </w:r>
            <w:r>
              <w:rPr>
                <w:noProof/>
                <w:webHidden/>
              </w:rPr>
              <w:fldChar w:fldCharType="separate"/>
            </w:r>
            <w:r>
              <w:rPr>
                <w:noProof/>
                <w:webHidden/>
              </w:rPr>
              <w:t>6</w:t>
            </w:r>
            <w:r>
              <w:rPr>
                <w:noProof/>
                <w:webHidden/>
              </w:rPr>
              <w:fldChar w:fldCharType="end"/>
            </w:r>
          </w:hyperlink>
        </w:p>
        <w:p w14:paraId="3DB603B8" w14:textId="1D0EB563" w:rsidR="00100AC3" w:rsidRDefault="00100AC3">
          <w:pPr>
            <w:pStyle w:val="TOC2"/>
            <w:tabs>
              <w:tab w:val="right" w:leader="dot" w:pos="9016"/>
            </w:tabs>
            <w:rPr>
              <w:rFonts w:asciiTheme="minorHAnsi" w:eastAsiaTheme="minorEastAsia" w:hAnsiTheme="minorHAnsi"/>
              <w:noProof/>
              <w:sz w:val="22"/>
              <w:lang w:val="en-US"/>
            </w:rPr>
          </w:pPr>
          <w:hyperlink w:anchor="_Toc238675469" w:history="1">
            <w:r w:rsidRPr="002768B5">
              <w:rPr>
                <w:rStyle w:val="Hyperlink"/>
                <w:noProof/>
              </w:rPr>
              <w:t>1.5 Mission, Vision, Legal Structure and Specific Objectives For GCC</w:t>
            </w:r>
            <w:r>
              <w:rPr>
                <w:noProof/>
                <w:webHidden/>
              </w:rPr>
              <w:tab/>
            </w:r>
            <w:r>
              <w:rPr>
                <w:noProof/>
                <w:webHidden/>
              </w:rPr>
              <w:fldChar w:fldCharType="begin"/>
            </w:r>
            <w:r>
              <w:rPr>
                <w:noProof/>
                <w:webHidden/>
              </w:rPr>
              <w:instrText xml:space="preserve"> PAGEREF _Toc238675469 \h </w:instrText>
            </w:r>
            <w:r>
              <w:rPr>
                <w:noProof/>
                <w:webHidden/>
              </w:rPr>
            </w:r>
            <w:r>
              <w:rPr>
                <w:noProof/>
                <w:webHidden/>
              </w:rPr>
              <w:fldChar w:fldCharType="separate"/>
            </w:r>
            <w:r>
              <w:rPr>
                <w:noProof/>
                <w:webHidden/>
              </w:rPr>
              <w:t>7</w:t>
            </w:r>
            <w:r>
              <w:rPr>
                <w:noProof/>
                <w:webHidden/>
              </w:rPr>
              <w:fldChar w:fldCharType="end"/>
            </w:r>
          </w:hyperlink>
        </w:p>
        <w:p w14:paraId="0AB97B98" w14:textId="6213A160" w:rsidR="00100AC3" w:rsidRDefault="00100AC3">
          <w:pPr>
            <w:pStyle w:val="TOC1"/>
            <w:tabs>
              <w:tab w:val="right" w:leader="dot" w:pos="9016"/>
            </w:tabs>
            <w:rPr>
              <w:rFonts w:asciiTheme="minorHAnsi" w:eastAsiaTheme="minorEastAsia" w:hAnsiTheme="minorHAnsi"/>
              <w:noProof/>
              <w:sz w:val="22"/>
              <w:lang w:val="en-US"/>
            </w:rPr>
          </w:pPr>
          <w:hyperlink w:anchor="_Toc238675470" w:history="1">
            <w:r w:rsidRPr="002768B5">
              <w:rPr>
                <w:rStyle w:val="Hyperlink"/>
                <w:noProof/>
              </w:rPr>
              <w:t>2. Literature Review and Strategic Framework</w:t>
            </w:r>
            <w:r>
              <w:rPr>
                <w:noProof/>
                <w:webHidden/>
              </w:rPr>
              <w:tab/>
            </w:r>
            <w:r>
              <w:rPr>
                <w:noProof/>
                <w:webHidden/>
              </w:rPr>
              <w:fldChar w:fldCharType="begin"/>
            </w:r>
            <w:r>
              <w:rPr>
                <w:noProof/>
                <w:webHidden/>
              </w:rPr>
              <w:instrText xml:space="preserve"> PAGEREF _Toc238675470 \h </w:instrText>
            </w:r>
            <w:r>
              <w:rPr>
                <w:noProof/>
                <w:webHidden/>
              </w:rPr>
            </w:r>
            <w:r>
              <w:rPr>
                <w:noProof/>
                <w:webHidden/>
              </w:rPr>
              <w:fldChar w:fldCharType="separate"/>
            </w:r>
            <w:r>
              <w:rPr>
                <w:noProof/>
                <w:webHidden/>
              </w:rPr>
              <w:t>8</w:t>
            </w:r>
            <w:r>
              <w:rPr>
                <w:noProof/>
                <w:webHidden/>
              </w:rPr>
              <w:fldChar w:fldCharType="end"/>
            </w:r>
          </w:hyperlink>
        </w:p>
        <w:p w14:paraId="08C73038" w14:textId="6698D08A" w:rsidR="00100AC3" w:rsidRDefault="00100AC3">
          <w:pPr>
            <w:pStyle w:val="TOC2"/>
            <w:tabs>
              <w:tab w:val="right" w:leader="dot" w:pos="9016"/>
            </w:tabs>
            <w:rPr>
              <w:rFonts w:asciiTheme="minorHAnsi" w:eastAsiaTheme="minorEastAsia" w:hAnsiTheme="minorHAnsi"/>
              <w:noProof/>
              <w:sz w:val="22"/>
              <w:lang w:val="en-US"/>
            </w:rPr>
          </w:pPr>
          <w:hyperlink w:anchor="_Toc238675471" w:history="1">
            <w:r w:rsidRPr="002768B5">
              <w:rPr>
                <w:rStyle w:val="Hyperlink"/>
                <w:noProof/>
              </w:rPr>
              <w:t>2.1 Macro Environment: GCC Food Market and Snacks Segment</w:t>
            </w:r>
            <w:r>
              <w:rPr>
                <w:noProof/>
                <w:webHidden/>
              </w:rPr>
              <w:tab/>
            </w:r>
            <w:r>
              <w:rPr>
                <w:noProof/>
                <w:webHidden/>
              </w:rPr>
              <w:fldChar w:fldCharType="begin"/>
            </w:r>
            <w:r>
              <w:rPr>
                <w:noProof/>
                <w:webHidden/>
              </w:rPr>
              <w:instrText xml:space="preserve"> PAGEREF _Toc238675471 \h </w:instrText>
            </w:r>
            <w:r>
              <w:rPr>
                <w:noProof/>
                <w:webHidden/>
              </w:rPr>
            </w:r>
            <w:r>
              <w:rPr>
                <w:noProof/>
                <w:webHidden/>
              </w:rPr>
              <w:fldChar w:fldCharType="separate"/>
            </w:r>
            <w:r>
              <w:rPr>
                <w:noProof/>
                <w:webHidden/>
              </w:rPr>
              <w:t>8</w:t>
            </w:r>
            <w:r>
              <w:rPr>
                <w:noProof/>
                <w:webHidden/>
              </w:rPr>
              <w:fldChar w:fldCharType="end"/>
            </w:r>
          </w:hyperlink>
        </w:p>
        <w:p w14:paraId="5C917815" w14:textId="292793E8" w:rsidR="00100AC3" w:rsidRDefault="00100AC3">
          <w:pPr>
            <w:pStyle w:val="TOC2"/>
            <w:tabs>
              <w:tab w:val="right" w:leader="dot" w:pos="9016"/>
            </w:tabs>
            <w:rPr>
              <w:rFonts w:asciiTheme="minorHAnsi" w:eastAsiaTheme="minorEastAsia" w:hAnsiTheme="minorHAnsi"/>
              <w:noProof/>
              <w:sz w:val="22"/>
              <w:lang w:val="en-US"/>
            </w:rPr>
          </w:pPr>
          <w:hyperlink w:anchor="_Toc238675472" w:history="1">
            <w:r w:rsidRPr="002768B5">
              <w:rPr>
                <w:rStyle w:val="Hyperlink"/>
                <w:noProof/>
              </w:rPr>
              <w:t>2.2 Consumer Behaviour: Premiumisation, Origin and Trust</w:t>
            </w:r>
            <w:r>
              <w:rPr>
                <w:noProof/>
                <w:webHidden/>
              </w:rPr>
              <w:tab/>
            </w:r>
            <w:r>
              <w:rPr>
                <w:noProof/>
                <w:webHidden/>
              </w:rPr>
              <w:fldChar w:fldCharType="begin"/>
            </w:r>
            <w:r>
              <w:rPr>
                <w:noProof/>
                <w:webHidden/>
              </w:rPr>
              <w:instrText xml:space="preserve"> PAGEREF _Toc238675472 \h </w:instrText>
            </w:r>
            <w:r>
              <w:rPr>
                <w:noProof/>
                <w:webHidden/>
              </w:rPr>
            </w:r>
            <w:r>
              <w:rPr>
                <w:noProof/>
                <w:webHidden/>
              </w:rPr>
              <w:fldChar w:fldCharType="separate"/>
            </w:r>
            <w:r>
              <w:rPr>
                <w:noProof/>
                <w:webHidden/>
              </w:rPr>
              <w:t>8</w:t>
            </w:r>
            <w:r>
              <w:rPr>
                <w:noProof/>
                <w:webHidden/>
              </w:rPr>
              <w:fldChar w:fldCharType="end"/>
            </w:r>
          </w:hyperlink>
        </w:p>
        <w:p w14:paraId="53B8B01E" w14:textId="4CFD5E2B" w:rsidR="00100AC3" w:rsidRDefault="00100AC3">
          <w:pPr>
            <w:pStyle w:val="TOC2"/>
            <w:tabs>
              <w:tab w:val="right" w:leader="dot" w:pos="9016"/>
            </w:tabs>
            <w:rPr>
              <w:rFonts w:asciiTheme="minorHAnsi" w:eastAsiaTheme="minorEastAsia" w:hAnsiTheme="minorHAnsi"/>
              <w:noProof/>
              <w:sz w:val="22"/>
              <w:lang w:val="en-US"/>
            </w:rPr>
          </w:pPr>
          <w:hyperlink w:anchor="_Toc238675473" w:history="1">
            <w:r w:rsidRPr="002768B5">
              <w:rPr>
                <w:rStyle w:val="Hyperlink"/>
                <w:noProof/>
              </w:rPr>
              <w:t>2.3 Competitive Dynamics and Morrisons’ Potential Position</w:t>
            </w:r>
            <w:r>
              <w:rPr>
                <w:noProof/>
                <w:webHidden/>
              </w:rPr>
              <w:tab/>
            </w:r>
            <w:r>
              <w:rPr>
                <w:noProof/>
                <w:webHidden/>
              </w:rPr>
              <w:fldChar w:fldCharType="begin"/>
            </w:r>
            <w:r>
              <w:rPr>
                <w:noProof/>
                <w:webHidden/>
              </w:rPr>
              <w:instrText xml:space="preserve"> PAGEREF _Toc238675473 \h </w:instrText>
            </w:r>
            <w:r>
              <w:rPr>
                <w:noProof/>
                <w:webHidden/>
              </w:rPr>
            </w:r>
            <w:r>
              <w:rPr>
                <w:noProof/>
                <w:webHidden/>
              </w:rPr>
              <w:fldChar w:fldCharType="separate"/>
            </w:r>
            <w:r>
              <w:rPr>
                <w:noProof/>
                <w:webHidden/>
              </w:rPr>
              <w:t>9</w:t>
            </w:r>
            <w:r>
              <w:rPr>
                <w:noProof/>
                <w:webHidden/>
              </w:rPr>
              <w:fldChar w:fldCharType="end"/>
            </w:r>
          </w:hyperlink>
        </w:p>
        <w:p w14:paraId="6F495DB7" w14:textId="4306AC14" w:rsidR="00100AC3" w:rsidRDefault="00100AC3">
          <w:pPr>
            <w:pStyle w:val="TOC2"/>
            <w:tabs>
              <w:tab w:val="right" w:leader="dot" w:pos="9016"/>
            </w:tabs>
            <w:rPr>
              <w:rFonts w:asciiTheme="minorHAnsi" w:eastAsiaTheme="minorEastAsia" w:hAnsiTheme="minorHAnsi"/>
              <w:noProof/>
              <w:sz w:val="22"/>
              <w:lang w:val="en-US"/>
            </w:rPr>
          </w:pPr>
          <w:hyperlink w:anchor="_Toc238675474" w:history="1">
            <w:r w:rsidRPr="002768B5">
              <w:rPr>
                <w:rStyle w:val="Hyperlink"/>
                <w:noProof/>
              </w:rPr>
              <w:t>2.4 Regulatory, Logistical and Macro</w:t>
            </w:r>
            <w:r w:rsidRPr="002768B5">
              <w:rPr>
                <w:rStyle w:val="Hyperlink"/>
                <w:noProof/>
              </w:rPr>
              <w:noBreakHyphen/>
              <w:t>Risk Factors</w:t>
            </w:r>
            <w:r>
              <w:rPr>
                <w:noProof/>
                <w:webHidden/>
              </w:rPr>
              <w:tab/>
            </w:r>
            <w:r>
              <w:rPr>
                <w:noProof/>
                <w:webHidden/>
              </w:rPr>
              <w:fldChar w:fldCharType="begin"/>
            </w:r>
            <w:r>
              <w:rPr>
                <w:noProof/>
                <w:webHidden/>
              </w:rPr>
              <w:instrText xml:space="preserve"> PAGEREF _Toc238675474 \h </w:instrText>
            </w:r>
            <w:r>
              <w:rPr>
                <w:noProof/>
                <w:webHidden/>
              </w:rPr>
            </w:r>
            <w:r>
              <w:rPr>
                <w:noProof/>
                <w:webHidden/>
              </w:rPr>
              <w:fldChar w:fldCharType="separate"/>
            </w:r>
            <w:r>
              <w:rPr>
                <w:noProof/>
                <w:webHidden/>
              </w:rPr>
              <w:t>10</w:t>
            </w:r>
            <w:r>
              <w:rPr>
                <w:noProof/>
                <w:webHidden/>
              </w:rPr>
              <w:fldChar w:fldCharType="end"/>
            </w:r>
          </w:hyperlink>
        </w:p>
        <w:p w14:paraId="6C9D281E" w14:textId="32DEDC54" w:rsidR="00100AC3" w:rsidRDefault="00100AC3">
          <w:pPr>
            <w:pStyle w:val="TOC1"/>
            <w:tabs>
              <w:tab w:val="right" w:leader="dot" w:pos="9016"/>
            </w:tabs>
            <w:rPr>
              <w:rFonts w:asciiTheme="minorHAnsi" w:eastAsiaTheme="minorEastAsia" w:hAnsiTheme="minorHAnsi"/>
              <w:noProof/>
              <w:sz w:val="22"/>
              <w:lang w:val="en-US"/>
            </w:rPr>
          </w:pPr>
          <w:hyperlink w:anchor="_Toc238675475" w:history="1">
            <w:r w:rsidRPr="002768B5">
              <w:rPr>
                <w:rStyle w:val="Hyperlink"/>
                <w:noProof/>
              </w:rPr>
              <w:t>3. Methodology</w:t>
            </w:r>
            <w:r>
              <w:rPr>
                <w:noProof/>
                <w:webHidden/>
              </w:rPr>
              <w:tab/>
            </w:r>
            <w:r>
              <w:rPr>
                <w:noProof/>
                <w:webHidden/>
              </w:rPr>
              <w:fldChar w:fldCharType="begin"/>
            </w:r>
            <w:r>
              <w:rPr>
                <w:noProof/>
                <w:webHidden/>
              </w:rPr>
              <w:instrText xml:space="preserve"> PAGEREF _Toc238675475 \h </w:instrText>
            </w:r>
            <w:r>
              <w:rPr>
                <w:noProof/>
                <w:webHidden/>
              </w:rPr>
            </w:r>
            <w:r>
              <w:rPr>
                <w:noProof/>
                <w:webHidden/>
              </w:rPr>
              <w:fldChar w:fldCharType="separate"/>
            </w:r>
            <w:r>
              <w:rPr>
                <w:noProof/>
                <w:webHidden/>
              </w:rPr>
              <w:t>12</w:t>
            </w:r>
            <w:r>
              <w:rPr>
                <w:noProof/>
                <w:webHidden/>
              </w:rPr>
              <w:fldChar w:fldCharType="end"/>
            </w:r>
          </w:hyperlink>
        </w:p>
        <w:p w14:paraId="641903CD" w14:textId="18BDDF17" w:rsidR="00100AC3" w:rsidRDefault="00100AC3">
          <w:pPr>
            <w:pStyle w:val="TOC2"/>
            <w:tabs>
              <w:tab w:val="right" w:leader="dot" w:pos="9016"/>
            </w:tabs>
            <w:rPr>
              <w:rFonts w:asciiTheme="minorHAnsi" w:eastAsiaTheme="minorEastAsia" w:hAnsiTheme="minorHAnsi"/>
              <w:noProof/>
              <w:sz w:val="22"/>
              <w:lang w:val="en-US"/>
            </w:rPr>
          </w:pPr>
          <w:hyperlink w:anchor="_Toc238675476" w:history="1">
            <w:r w:rsidRPr="002768B5">
              <w:rPr>
                <w:rStyle w:val="Hyperlink"/>
                <w:noProof/>
              </w:rPr>
              <w:t>3.1 Research Design and Justification</w:t>
            </w:r>
            <w:r>
              <w:rPr>
                <w:noProof/>
                <w:webHidden/>
              </w:rPr>
              <w:tab/>
            </w:r>
            <w:r>
              <w:rPr>
                <w:noProof/>
                <w:webHidden/>
              </w:rPr>
              <w:fldChar w:fldCharType="begin"/>
            </w:r>
            <w:r>
              <w:rPr>
                <w:noProof/>
                <w:webHidden/>
              </w:rPr>
              <w:instrText xml:space="preserve"> PAGEREF _Toc238675476 \h </w:instrText>
            </w:r>
            <w:r>
              <w:rPr>
                <w:noProof/>
                <w:webHidden/>
              </w:rPr>
            </w:r>
            <w:r>
              <w:rPr>
                <w:noProof/>
                <w:webHidden/>
              </w:rPr>
              <w:fldChar w:fldCharType="separate"/>
            </w:r>
            <w:r>
              <w:rPr>
                <w:noProof/>
                <w:webHidden/>
              </w:rPr>
              <w:t>12</w:t>
            </w:r>
            <w:r>
              <w:rPr>
                <w:noProof/>
                <w:webHidden/>
              </w:rPr>
              <w:fldChar w:fldCharType="end"/>
            </w:r>
          </w:hyperlink>
        </w:p>
        <w:p w14:paraId="2EB3C7E2" w14:textId="343B38AB" w:rsidR="00100AC3" w:rsidRDefault="00100AC3">
          <w:pPr>
            <w:pStyle w:val="TOC2"/>
            <w:tabs>
              <w:tab w:val="right" w:leader="dot" w:pos="9016"/>
            </w:tabs>
            <w:rPr>
              <w:rFonts w:asciiTheme="minorHAnsi" w:eastAsiaTheme="minorEastAsia" w:hAnsiTheme="minorHAnsi"/>
              <w:noProof/>
              <w:sz w:val="22"/>
              <w:lang w:val="en-US"/>
            </w:rPr>
          </w:pPr>
          <w:hyperlink w:anchor="_Toc238675477" w:history="1">
            <w:r w:rsidRPr="002768B5">
              <w:rPr>
                <w:rStyle w:val="Hyperlink"/>
                <w:noProof/>
              </w:rPr>
              <w:t>3.2 Source Selection and Reliability</w:t>
            </w:r>
            <w:r>
              <w:rPr>
                <w:noProof/>
                <w:webHidden/>
              </w:rPr>
              <w:tab/>
            </w:r>
            <w:r>
              <w:rPr>
                <w:noProof/>
                <w:webHidden/>
              </w:rPr>
              <w:fldChar w:fldCharType="begin"/>
            </w:r>
            <w:r>
              <w:rPr>
                <w:noProof/>
                <w:webHidden/>
              </w:rPr>
              <w:instrText xml:space="preserve"> PAGEREF _Toc238675477 \h </w:instrText>
            </w:r>
            <w:r>
              <w:rPr>
                <w:noProof/>
                <w:webHidden/>
              </w:rPr>
            </w:r>
            <w:r>
              <w:rPr>
                <w:noProof/>
                <w:webHidden/>
              </w:rPr>
              <w:fldChar w:fldCharType="separate"/>
            </w:r>
            <w:r>
              <w:rPr>
                <w:noProof/>
                <w:webHidden/>
              </w:rPr>
              <w:t>13</w:t>
            </w:r>
            <w:r>
              <w:rPr>
                <w:noProof/>
                <w:webHidden/>
              </w:rPr>
              <w:fldChar w:fldCharType="end"/>
            </w:r>
          </w:hyperlink>
        </w:p>
        <w:p w14:paraId="4207FEF8" w14:textId="47CA6CBF" w:rsidR="00100AC3" w:rsidRDefault="00100AC3">
          <w:pPr>
            <w:pStyle w:val="TOC2"/>
            <w:tabs>
              <w:tab w:val="right" w:leader="dot" w:pos="9016"/>
            </w:tabs>
            <w:rPr>
              <w:rFonts w:asciiTheme="minorHAnsi" w:eastAsiaTheme="minorEastAsia" w:hAnsiTheme="minorHAnsi"/>
              <w:noProof/>
              <w:sz w:val="22"/>
              <w:lang w:val="en-US"/>
            </w:rPr>
          </w:pPr>
          <w:hyperlink w:anchor="_Toc238675478" w:history="1">
            <w:r w:rsidRPr="002768B5">
              <w:rPr>
                <w:rStyle w:val="Hyperlink"/>
                <w:noProof/>
              </w:rPr>
              <w:t>3.3 Ethics, Limitations and Data Interpretation</w:t>
            </w:r>
            <w:r>
              <w:rPr>
                <w:noProof/>
                <w:webHidden/>
              </w:rPr>
              <w:tab/>
            </w:r>
            <w:r>
              <w:rPr>
                <w:noProof/>
                <w:webHidden/>
              </w:rPr>
              <w:fldChar w:fldCharType="begin"/>
            </w:r>
            <w:r>
              <w:rPr>
                <w:noProof/>
                <w:webHidden/>
              </w:rPr>
              <w:instrText xml:space="preserve"> PAGEREF _Toc238675478 \h </w:instrText>
            </w:r>
            <w:r>
              <w:rPr>
                <w:noProof/>
                <w:webHidden/>
              </w:rPr>
            </w:r>
            <w:r>
              <w:rPr>
                <w:noProof/>
                <w:webHidden/>
              </w:rPr>
              <w:fldChar w:fldCharType="separate"/>
            </w:r>
            <w:r>
              <w:rPr>
                <w:noProof/>
                <w:webHidden/>
              </w:rPr>
              <w:t>14</w:t>
            </w:r>
            <w:r>
              <w:rPr>
                <w:noProof/>
                <w:webHidden/>
              </w:rPr>
              <w:fldChar w:fldCharType="end"/>
            </w:r>
          </w:hyperlink>
        </w:p>
        <w:p w14:paraId="47CD5014" w14:textId="4C6E57BE" w:rsidR="00100AC3" w:rsidRDefault="00100AC3">
          <w:pPr>
            <w:pStyle w:val="TOC2"/>
            <w:tabs>
              <w:tab w:val="right" w:leader="dot" w:pos="9016"/>
            </w:tabs>
            <w:rPr>
              <w:rFonts w:asciiTheme="minorHAnsi" w:eastAsiaTheme="minorEastAsia" w:hAnsiTheme="minorHAnsi"/>
              <w:noProof/>
              <w:sz w:val="22"/>
              <w:lang w:val="en-US"/>
            </w:rPr>
          </w:pPr>
          <w:hyperlink w:anchor="_Toc238675479" w:history="1">
            <w:r w:rsidRPr="002768B5">
              <w:rPr>
                <w:rStyle w:val="Hyperlink"/>
                <w:noProof/>
              </w:rPr>
              <w:t>3.4 Analysis Procedure and Handling of Contradictions</w:t>
            </w:r>
            <w:r>
              <w:rPr>
                <w:noProof/>
                <w:webHidden/>
              </w:rPr>
              <w:tab/>
            </w:r>
            <w:r>
              <w:rPr>
                <w:noProof/>
                <w:webHidden/>
              </w:rPr>
              <w:fldChar w:fldCharType="begin"/>
            </w:r>
            <w:r>
              <w:rPr>
                <w:noProof/>
                <w:webHidden/>
              </w:rPr>
              <w:instrText xml:space="preserve"> PAGEREF _Toc238675479 \h </w:instrText>
            </w:r>
            <w:r>
              <w:rPr>
                <w:noProof/>
                <w:webHidden/>
              </w:rPr>
            </w:r>
            <w:r>
              <w:rPr>
                <w:noProof/>
                <w:webHidden/>
              </w:rPr>
              <w:fldChar w:fldCharType="separate"/>
            </w:r>
            <w:r>
              <w:rPr>
                <w:noProof/>
                <w:webHidden/>
              </w:rPr>
              <w:t>15</w:t>
            </w:r>
            <w:r>
              <w:rPr>
                <w:noProof/>
                <w:webHidden/>
              </w:rPr>
              <w:fldChar w:fldCharType="end"/>
            </w:r>
          </w:hyperlink>
        </w:p>
        <w:p w14:paraId="2A85DCE5" w14:textId="6DF6F5B5" w:rsidR="00100AC3" w:rsidRDefault="00100AC3">
          <w:pPr>
            <w:pStyle w:val="TOC1"/>
            <w:tabs>
              <w:tab w:val="right" w:leader="dot" w:pos="9016"/>
            </w:tabs>
            <w:rPr>
              <w:rFonts w:asciiTheme="minorHAnsi" w:eastAsiaTheme="minorEastAsia" w:hAnsiTheme="minorHAnsi"/>
              <w:noProof/>
              <w:sz w:val="22"/>
              <w:lang w:val="en-US"/>
            </w:rPr>
          </w:pPr>
          <w:hyperlink w:anchor="_Toc238675480" w:history="1">
            <w:r w:rsidRPr="002768B5">
              <w:rPr>
                <w:rStyle w:val="Hyperlink"/>
                <w:noProof/>
              </w:rPr>
              <w:t>4. Findings and Analysis</w:t>
            </w:r>
            <w:r>
              <w:rPr>
                <w:noProof/>
                <w:webHidden/>
              </w:rPr>
              <w:tab/>
            </w:r>
            <w:r>
              <w:rPr>
                <w:noProof/>
                <w:webHidden/>
              </w:rPr>
              <w:fldChar w:fldCharType="begin"/>
            </w:r>
            <w:r>
              <w:rPr>
                <w:noProof/>
                <w:webHidden/>
              </w:rPr>
              <w:instrText xml:space="preserve"> PAGEREF _Toc238675480 \h </w:instrText>
            </w:r>
            <w:r>
              <w:rPr>
                <w:noProof/>
                <w:webHidden/>
              </w:rPr>
            </w:r>
            <w:r>
              <w:rPr>
                <w:noProof/>
                <w:webHidden/>
              </w:rPr>
              <w:fldChar w:fldCharType="separate"/>
            </w:r>
            <w:r>
              <w:rPr>
                <w:noProof/>
                <w:webHidden/>
              </w:rPr>
              <w:t>16</w:t>
            </w:r>
            <w:r>
              <w:rPr>
                <w:noProof/>
                <w:webHidden/>
              </w:rPr>
              <w:fldChar w:fldCharType="end"/>
            </w:r>
          </w:hyperlink>
        </w:p>
        <w:p w14:paraId="6C77F78F" w14:textId="55E12167" w:rsidR="00100AC3" w:rsidRDefault="00100AC3">
          <w:pPr>
            <w:pStyle w:val="TOC2"/>
            <w:tabs>
              <w:tab w:val="right" w:leader="dot" w:pos="9016"/>
            </w:tabs>
            <w:rPr>
              <w:rFonts w:asciiTheme="minorHAnsi" w:eastAsiaTheme="minorEastAsia" w:hAnsiTheme="minorHAnsi"/>
              <w:noProof/>
              <w:sz w:val="22"/>
              <w:lang w:val="en-US"/>
            </w:rPr>
          </w:pPr>
          <w:hyperlink w:anchor="_Toc238675481" w:history="1">
            <w:r w:rsidRPr="002768B5">
              <w:rPr>
                <w:rStyle w:val="Hyperlink"/>
                <w:noProof/>
              </w:rPr>
              <w:t>4.1 Marketing and Sales Strategy</w:t>
            </w:r>
            <w:r>
              <w:rPr>
                <w:noProof/>
                <w:webHidden/>
              </w:rPr>
              <w:tab/>
            </w:r>
            <w:r>
              <w:rPr>
                <w:noProof/>
                <w:webHidden/>
              </w:rPr>
              <w:fldChar w:fldCharType="begin"/>
            </w:r>
            <w:r>
              <w:rPr>
                <w:noProof/>
                <w:webHidden/>
              </w:rPr>
              <w:instrText xml:space="preserve"> PAGEREF _Toc238675481 \h </w:instrText>
            </w:r>
            <w:r>
              <w:rPr>
                <w:noProof/>
                <w:webHidden/>
              </w:rPr>
            </w:r>
            <w:r>
              <w:rPr>
                <w:noProof/>
                <w:webHidden/>
              </w:rPr>
              <w:fldChar w:fldCharType="separate"/>
            </w:r>
            <w:r>
              <w:rPr>
                <w:noProof/>
                <w:webHidden/>
              </w:rPr>
              <w:t>16</w:t>
            </w:r>
            <w:r>
              <w:rPr>
                <w:noProof/>
                <w:webHidden/>
              </w:rPr>
              <w:fldChar w:fldCharType="end"/>
            </w:r>
          </w:hyperlink>
        </w:p>
        <w:p w14:paraId="516115E5" w14:textId="4460AC02" w:rsidR="00100AC3" w:rsidRDefault="00100AC3">
          <w:pPr>
            <w:pStyle w:val="TOC3"/>
            <w:tabs>
              <w:tab w:val="right" w:leader="dot" w:pos="9016"/>
            </w:tabs>
            <w:rPr>
              <w:rFonts w:asciiTheme="minorHAnsi" w:eastAsiaTheme="minorEastAsia" w:hAnsiTheme="minorHAnsi"/>
              <w:noProof/>
              <w:sz w:val="22"/>
              <w:lang w:val="en-US"/>
            </w:rPr>
          </w:pPr>
          <w:hyperlink w:anchor="_Toc238675482" w:history="1">
            <w:r w:rsidRPr="002768B5">
              <w:rPr>
                <w:rStyle w:val="Hyperlink"/>
                <w:noProof/>
              </w:rPr>
              <w:t>4.1.1 Theoretical Grounding: Brand Positioning, Private Labels and COO</w:t>
            </w:r>
            <w:r>
              <w:rPr>
                <w:noProof/>
                <w:webHidden/>
              </w:rPr>
              <w:tab/>
            </w:r>
            <w:r>
              <w:rPr>
                <w:noProof/>
                <w:webHidden/>
              </w:rPr>
              <w:fldChar w:fldCharType="begin"/>
            </w:r>
            <w:r>
              <w:rPr>
                <w:noProof/>
                <w:webHidden/>
              </w:rPr>
              <w:instrText xml:space="preserve"> PAGEREF _Toc238675482 \h </w:instrText>
            </w:r>
            <w:r>
              <w:rPr>
                <w:noProof/>
                <w:webHidden/>
              </w:rPr>
            </w:r>
            <w:r>
              <w:rPr>
                <w:noProof/>
                <w:webHidden/>
              </w:rPr>
              <w:fldChar w:fldCharType="separate"/>
            </w:r>
            <w:r>
              <w:rPr>
                <w:noProof/>
                <w:webHidden/>
              </w:rPr>
              <w:t>16</w:t>
            </w:r>
            <w:r>
              <w:rPr>
                <w:noProof/>
                <w:webHidden/>
              </w:rPr>
              <w:fldChar w:fldCharType="end"/>
            </w:r>
          </w:hyperlink>
        </w:p>
        <w:p w14:paraId="1491D03B" w14:textId="60B05D17" w:rsidR="00100AC3" w:rsidRDefault="00100AC3">
          <w:pPr>
            <w:pStyle w:val="TOC3"/>
            <w:tabs>
              <w:tab w:val="right" w:leader="dot" w:pos="9016"/>
            </w:tabs>
            <w:rPr>
              <w:rFonts w:asciiTheme="minorHAnsi" w:eastAsiaTheme="minorEastAsia" w:hAnsiTheme="minorHAnsi"/>
              <w:noProof/>
              <w:sz w:val="22"/>
              <w:lang w:val="en-US"/>
            </w:rPr>
          </w:pPr>
          <w:hyperlink w:anchor="_Toc238675483" w:history="1">
            <w:r w:rsidRPr="002768B5">
              <w:rPr>
                <w:rStyle w:val="Hyperlink"/>
                <w:noProof/>
              </w:rPr>
              <w:t>4.1.2 Positioning: “Premium British Supermarket Quality at Accessible Prices”</w:t>
            </w:r>
            <w:r>
              <w:rPr>
                <w:noProof/>
                <w:webHidden/>
              </w:rPr>
              <w:tab/>
            </w:r>
            <w:r>
              <w:rPr>
                <w:noProof/>
                <w:webHidden/>
              </w:rPr>
              <w:fldChar w:fldCharType="begin"/>
            </w:r>
            <w:r>
              <w:rPr>
                <w:noProof/>
                <w:webHidden/>
              </w:rPr>
              <w:instrText xml:space="preserve"> PAGEREF _Toc238675483 \h </w:instrText>
            </w:r>
            <w:r>
              <w:rPr>
                <w:noProof/>
                <w:webHidden/>
              </w:rPr>
            </w:r>
            <w:r>
              <w:rPr>
                <w:noProof/>
                <w:webHidden/>
              </w:rPr>
              <w:fldChar w:fldCharType="separate"/>
            </w:r>
            <w:r>
              <w:rPr>
                <w:noProof/>
                <w:webHidden/>
              </w:rPr>
              <w:t>17</w:t>
            </w:r>
            <w:r>
              <w:rPr>
                <w:noProof/>
                <w:webHidden/>
              </w:rPr>
              <w:fldChar w:fldCharType="end"/>
            </w:r>
          </w:hyperlink>
        </w:p>
        <w:p w14:paraId="38EE1956" w14:textId="32F885AD" w:rsidR="00100AC3" w:rsidRDefault="00100AC3">
          <w:pPr>
            <w:pStyle w:val="TOC3"/>
            <w:tabs>
              <w:tab w:val="right" w:leader="dot" w:pos="9016"/>
            </w:tabs>
            <w:rPr>
              <w:rFonts w:asciiTheme="minorHAnsi" w:eastAsiaTheme="minorEastAsia" w:hAnsiTheme="minorHAnsi"/>
              <w:noProof/>
              <w:sz w:val="22"/>
              <w:lang w:val="en-US"/>
            </w:rPr>
          </w:pPr>
          <w:hyperlink w:anchor="_Toc238675484" w:history="1">
            <w:r w:rsidRPr="002768B5">
              <w:rPr>
                <w:rStyle w:val="Hyperlink"/>
                <w:noProof/>
              </w:rPr>
              <w:t>4.1.3 Target market and customer profile</w:t>
            </w:r>
            <w:r>
              <w:rPr>
                <w:noProof/>
                <w:webHidden/>
              </w:rPr>
              <w:tab/>
            </w:r>
            <w:r>
              <w:rPr>
                <w:noProof/>
                <w:webHidden/>
              </w:rPr>
              <w:fldChar w:fldCharType="begin"/>
            </w:r>
            <w:r>
              <w:rPr>
                <w:noProof/>
                <w:webHidden/>
              </w:rPr>
              <w:instrText xml:space="preserve"> PAGEREF _Toc238675484 \h </w:instrText>
            </w:r>
            <w:r>
              <w:rPr>
                <w:noProof/>
                <w:webHidden/>
              </w:rPr>
            </w:r>
            <w:r>
              <w:rPr>
                <w:noProof/>
                <w:webHidden/>
              </w:rPr>
              <w:fldChar w:fldCharType="separate"/>
            </w:r>
            <w:r>
              <w:rPr>
                <w:noProof/>
                <w:webHidden/>
              </w:rPr>
              <w:t>17</w:t>
            </w:r>
            <w:r>
              <w:rPr>
                <w:noProof/>
                <w:webHidden/>
              </w:rPr>
              <w:fldChar w:fldCharType="end"/>
            </w:r>
          </w:hyperlink>
        </w:p>
        <w:p w14:paraId="214ED109" w14:textId="38BBD803" w:rsidR="00100AC3" w:rsidRDefault="00100AC3">
          <w:pPr>
            <w:pStyle w:val="TOC3"/>
            <w:tabs>
              <w:tab w:val="right" w:leader="dot" w:pos="9016"/>
            </w:tabs>
            <w:rPr>
              <w:rFonts w:asciiTheme="minorHAnsi" w:eastAsiaTheme="minorEastAsia" w:hAnsiTheme="minorHAnsi"/>
              <w:noProof/>
              <w:sz w:val="22"/>
              <w:lang w:val="en-US"/>
            </w:rPr>
          </w:pPr>
          <w:hyperlink w:anchor="_Toc238675485" w:history="1">
            <w:r w:rsidRPr="002768B5">
              <w:rPr>
                <w:rStyle w:val="Hyperlink"/>
                <w:noProof/>
              </w:rPr>
              <w:t>4.1.4 Pricing and Portfolio Strategy</w:t>
            </w:r>
            <w:r>
              <w:rPr>
                <w:noProof/>
                <w:webHidden/>
              </w:rPr>
              <w:tab/>
            </w:r>
            <w:r>
              <w:rPr>
                <w:noProof/>
                <w:webHidden/>
              </w:rPr>
              <w:fldChar w:fldCharType="begin"/>
            </w:r>
            <w:r>
              <w:rPr>
                <w:noProof/>
                <w:webHidden/>
              </w:rPr>
              <w:instrText xml:space="preserve"> PAGEREF _Toc238675485 \h </w:instrText>
            </w:r>
            <w:r>
              <w:rPr>
                <w:noProof/>
                <w:webHidden/>
              </w:rPr>
            </w:r>
            <w:r>
              <w:rPr>
                <w:noProof/>
                <w:webHidden/>
              </w:rPr>
              <w:fldChar w:fldCharType="separate"/>
            </w:r>
            <w:r>
              <w:rPr>
                <w:noProof/>
                <w:webHidden/>
              </w:rPr>
              <w:t>17</w:t>
            </w:r>
            <w:r>
              <w:rPr>
                <w:noProof/>
                <w:webHidden/>
              </w:rPr>
              <w:fldChar w:fldCharType="end"/>
            </w:r>
          </w:hyperlink>
        </w:p>
        <w:p w14:paraId="67B6031C" w14:textId="1C93788B" w:rsidR="00100AC3" w:rsidRDefault="00100AC3">
          <w:pPr>
            <w:pStyle w:val="TOC3"/>
            <w:tabs>
              <w:tab w:val="right" w:leader="dot" w:pos="9016"/>
            </w:tabs>
            <w:rPr>
              <w:rFonts w:asciiTheme="minorHAnsi" w:eastAsiaTheme="minorEastAsia" w:hAnsiTheme="minorHAnsi"/>
              <w:noProof/>
              <w:sz w:val="22"/>
              <w:lang w:val="en-US"/>
            </w:rPr>
          </w:pPr>
          <w:hyperlink w:anchor="_Toc238675486" w:history="1">
            <w:r w:rsidRPr="002768B5">
              <w:rPr>
                <w:rStyle w:val="Hyperlink"/>
                <w:noProof/>
              </w:rPr>
              <w:t>4.1.5 Branding and Promotion</w:t>
            </w:r>
            <w:r>
              <w:rPr>
                <w:noProof/>
                <w:webHidden/>
              </w:rPr>
              <w:tab/>
            </w:r>
            <w:r>
              <w:rPr>
                <w:noProof/>
                <w:webHidden/>
              </w:rPr>
              <w:fldChar w:fldCharType="begin"/>
            </w:r>
            <w:r>
              <w:rPr>
                <w:noProof/>
                <w:webHidden/>
              </w:rPr>
              <w:instrText xml:space="preserve"> PAGEREF _Toc238675486 \h </w:instrText>
            </w:r>
            <w:r>
              <w:rPr>
                <w:noProof/>
                <w:webHidden/>
              </w:rPr>
            </w:r>
            <w:r>
              <w:rPr>
                <w:noProof/>
                <w:webHidden/>
              </w:rPr>
              <w:fldChar w:fldCharType="separate"/>
            </w:r>
            <w:r>
              <w:rPr>
                <w:noProof/>
                <w:webHidden/>
              </w:rPr>
              <w:t>18</w:t>
            </w:r>
            <w:r>
              <w:rPr>
                <w:noProof/>
                <w:webHidden/>
              </w:rPr>
              <w:fldChar w:fldCharType="end"/>
            </w:r>
          </w:hyperlink>
        </w:p>
        <w:p w14:paraId="4CA235E4" w14:textId="3F4B5342" w:rsidR="00100AC3" w:rsidRDefault="00100AC3">
          <w:pPr>
            <w:pStyle w:val="TOC3"/>
            <w:tabs>
              <w:tab w:val="right" w:leader="dot" w:pos="9016"/>
            </w:tabs>
            <w:rPr>
              <w:rFonts w:asciiTheme="minorHAnsi" w:eastAsiaTheme="minorEastAsia" w:hAnsiTheme="minorHAnsi"/>
              <w:noProof/>
              <w:sz w:val="22"/>
              <w:lang w:val="en-US"/>
            </w:rPr>
          </w:pPr>
          <w:hyperlink w:anchor="_Toc238675487" w:history="1">
            <w:r w:rsidRPr="002768B5">
              <w:rPr>
                <w:rStyle w:val="Hyperlink"/>
                <w:noProof/>
              </w:rPr>
              <w:t>4.1.6 Distribution, Advertising and Sales Execution</w:t>
            </w:r>
            <w:r>
              <w:rPr>
                <w:noProof/>
                <w:webHidden/>
              </w:rPr>
              <w:tab/>
            </w:r>
            <w:r>
              <w:rPr>
                <w:noProof/>
                <w:webHidden/>
              </w:rPr>
              <w:fldChar w:fldCharType="begin"/>
            </w:r>
            <w:r>
              <w:rPr>
                <w:noProof/>
                <w:webHidden/>
              </w:rPr>
              <w:instrText xml:space="preserve"> PAGEREF _Toc238675487 \h </w:instrText>
            </w:r>
            <w:r>
              <w:rPr>
                <w:noProof/>
                <w:webHidden/>
              </w:rPr>
            </w:r>
            <w:r>
              <w:rPr>
                <w:noProof/>
                <w:webHidden/>
              </w:rPr>
              <w:fldChar w:fldCharType="separate"/>
            </w:r>
            <w:r>
              <w:rPr>
                <w:noProof/>
                <w:webHidden/>
              </w:rPr>
              <w:t>18</w:t>
            </w:r>
            <w:r>
              <w:rPr>
                <w:noProof/>
                <w:webHidden/>
              </w:rPr>
              <w:fldChar w:fldCharType="end"/>
            </w:r>
          </w:hyperlink>
        </w:p>
        <w:p w14:paraId="05FA5B2D" w14:textId="476CC1EB" w:rsidR="00100AC3" w:rsidRDefault="00100AC3">
          <w:pPr>
            <w:pStyle w:val="TOC3"/>
            <w:tabs>
              <w:tab w:val="right" w:leader="dot" w:pos="9016"/>
            </w:tabs>
            <w:rPr>
              <w:rFonts w:asciiTheme="minorHAnsi" w:eastAsiaTheme="minorEastAsia" w:hAnsiTheme="minorHAnsi"/>
              <w:noProof/>
              <w:sz w:val="22"/>
              <w:lang w:val="en-US"/>
            </w:rPr>
          </w:pPr>
          <w:hyperlink w:anchor="_Toc238675488" w:history="1">
            <w:r w:rsidRPr="002768B5">
              <w:rPr>
                <w:rStyle w:val="Hyperlink"/>
                <w:noProof/>
              </w:rPr>
              <w:t>4.1.7 Customer Retention and Performance Measurement</w:t>
            </w:r>
            <w:r>
              <w:rPr>
                <w:noProof/>
                <w:webHidden/>
              </w:rPr>
              <w:tab/>
            </w:r>
            <w:r>
              <w:rPr>
                <w:noProof/>
                <w:webHidden/>
              </w:rPr>
              <w:fldChar w:fldCharType="begin"/>
            </w:r>
            <w:r>
              <w:rPr>
                <w:noProof/>
                <w:webHidden/>
              </w:rPr>
              <w:instrText xml:space="preserve"> PAGEREF _Toc238675488 \h </w:instrText>
            </w:r>
            <w:r>
              <w:rPr>
                <w:noProof/>
                <w:webHidden/>
              </w:rPr>
            </w:r>
            <w:r>
              <w:rPr>
                <w:noProof/>
                <w:webHidden/>
              </w:rPr>
              <w:fldChar w:fldCharType="separate"/>
            </w:r>
            <w:r>
              <w:rPr>
                <w:noProof/>
                <w:webHidden/>
              </w:rPr>
              <w:t>19</w:t>
            </w:r>
            <w:r>
              <w:rPr>
                <w:noProof/>
                <w:webHidden/>
              </w:rPr>
              <w:fldChar w:fldCharType="end"/>
            </w:r>
          </w:hyperlink>
        </w:p>
        <w:p w14:paraId="70887DAC" w14:textId="271D6E22" w:rsidR="00100AC3" w:rsidRDefault="00100AC3">
          <w:pPr>
            <w:pStyle w:val="TOC2"/>
            <w:tabs>
              <w:tab w:val="right" w:leader="dot" w:pos="9016"/>
            </w:tabs>
            <w:rPr>
              <w:rFonts w:asciiTheme="minorHAnsi" w:eastAsiaTheme="minorEastAsia" w:hAnsiTheme="minorHAnsi"/>
              <w:noProof/>
              <w:sz w:val="22"/>
              <w:lang w:val="en-US"/>
            </w:rPr>
          </w:pPr>
          <w:hyperlink w:anchor="_Toc238675489" w:history="1">
            <w:r w:rsidRPr="002768B5">
              <w:rPr>
                <w:rStyle w:val="Hyperlink"/>
                <w:noProof/>
              </w:rPr>
              <w:t>4.2 Operation Plan</w:t>
            </w:r>
            <w:r>
              <w:rPr>
                <w:noProof/>
                <w:webHidden/>
              </w:rPr>
              <w:tab/>
            </w:r>
            <w:r>
              <w:rPr>
                <w:noProof/>
                <w:webHidden/>
              </w:rPr>
              <w:fldChar w:fldCharType="begin"/>
            </w:r>
            <w:r>
              <w:rPr>
                <w:noProof/>
                <w:webHidden/>
              </w:rPr>
              <w:instrText xml:space="preserve"> PAGEREF _Toc238675489 \h </w:instrText>
            </w:r>
            <w:r>
              <w:rPr>
                <w:noProof/>
                <w:webHidden/>
              </w:rPr>
            </w:r>
            <w:r>
              <w:rPr>
                <w:noProof/>
                <w:webHidden/>
              </w:rPr>
              <w:fldChar w:fldCharType="separate"/>
            </w:r>
            <w:r>
              <w:rPr>
                <w:noProof/>
                <w:webHidden/>
              </w:rPr>
              <w:t>19</w:t>
            </w:r>
            <w:r>
              <w:rPr>
                <w:noProof/>
                <w:webHidden/>
              </w:rPr>
              <w:fldChar w:fldCharType="end"/>
            </w:r>
          </w:hyperlink>
        </w:p>
        <w:p w14:paraId="3F4A35C2" w14:textId="2CB64BC1" w:rsidR="00100AC3" w:rsidRDefault="00100AC3">
          <w:pPr>
            <w:pStyle w:val="TOC3"/>
            <w:tabs>
              <w:tab w:val="right" w:leader="dot" w:pos="9016"/>
            </w:tabs>
            <w:rPr>
              <w:rFonts w:asciiTheme="minorHAnsi" w:eastAsiaTheme="minorEastAsia" w:hAnsiTheme="minorHAnsi"/>
              <w:noProof/>
              <w:sz w:val="22"/>
              <w:lang w:val="en-US"/>
            </w:rPr>
          </w:pPr>
          <w:hyperlink w:anchor="_Toc238675490" w:history="1">
            <w:r w:rsidRPr="002768B5">
              <w:rPr>
                <w:rStyle w:val="Hyperlink"/>
                <w:noProof/>
              </w:rPr>
              <w:t>4.2.1 Current Operations: Vertically Integrated UK Supply and Partner</w:t>
            </w:r>
            <w:r w:rsidRPr="002768B5">
              <w:rPr>
                <w:rStyle w:val="Hyperlink"/>
                <w:noProof/>
              </w:rPr>
              <w:noBreakHyphen/>
              <w:t>Based Export</w:t>
            </w:r>
            <w:r>
              <w:rPr>
                <w:noProof/>
                <w:webHidden/>
              </w:rPr>
              <w:tab/>
            </w:r>
            <w:r>
              <w:rPr>
                <w:noProof/>
                <w:webHidden/>
              </w:rPr>
              <w:fldChar w:fldCharType="begin"/>
            </w:r>
            <w:r>
              <w:rPr>
                <w:noProof/>
                <w:webHidden/>
              </w:rPr>
              <w:instrText xml:space="preserve"> PAGEREF _Toc238675490 \h </w:instrText>
            </w:r>
            <w:r>
              <w:rPr>
                <w:noProof/>
                <w:webHidden/>
              </w:rPr>
            </w:r>
            <w:r>
              <w:rPr>
                <w:noProof/>
                <w:webHidden/>
              </w:rPr>
              <w:fldChar w:fldCharType="separate"/>
            </w:r>
            <w:r>
              <w:rPr>
                <w:noProof/>
                <w:webHidden/>
              </w:rPr>
              <w:t>19</w:t>
            </w:r>
            <w:r>
              <w:rPr>
                <w:noProof/>
                <w:webHidden/>
              </w:rPr>
              <w:fldChar w:fldCharType="end"/>
            </w:r>
          </w:hyperlink>
        </w:p>
        <w:p w14:paraId="1CFD1A23" w14:textId="18DE2FEA" w:rsidR="00100AC3" w:rsidRDefault="00100AC3">
          <w:pPr>
            <w:pStyle w:val="TOC3"/>
            <w:tabs>
              <w:tab w:val="right" w:leader="dot" w:pos="9016"/>
            </w:tabs>
            <w:rPr>
              <w:rFonts w:asciiTheme="minorHAnsi" w:eastAsiaTheme="minorEastAsia" w:hAnsiTheme="minorHAnsi"/>
              <w:noProof/>
              <w:sz w:val="22"/>
              <w:lang w:val="en-US"/>
            </w:rPr>
          </w:pPr>
          <w:hyperlink w:anchor="_Toc238675491" w:history="1">
            <w:r w:rsidRPr="002768B5">
              <w:rPr>
                <w:rStyle w:val="Hyperlink"/>
                <w:noProof/>
              </w:rPr>
              <w:t>4.2.2 Operational Strengths</w:t>
            </w:r>
            <w:r>
              <w:rPr>
                <w:noProof/>
                <w:webHidden/>
              </w:rPr>
              <w:tab/>
            </w:r>
            <w:r>
              <w:rPr>
                <w:noProof/>
                <w:webHidden/>
              </w:rPr>
              <w:fldChar w:fldCharType="begin"/>
            </w:r>
            <w:r>
              <w:rPr>
                <w:noProof/>
                <w:webHidden/>
              </w:rPr>
              <w:instrText xml:space="preserve"> PAGEREF _Toc238675491 \h </w:instrText>
            </w:r>
            <w:r>
              <w:rPr>
                <w:noProof/>
                <w:webHidden/>
              </w:rPr>
            </w:r>
            <w:r>
              <w:rPr>
                <w:noProof/>
                <w:webHidden/>
              </w:rPr>
              <w:fldChar w:fldCharType="separate"/>
            </w:r>
            <w:r>
              <w:rPr>
                <w:noProof/>
                <w:webHidden/>
              </w:rPr>
              <w:t>20</w:t>
            </w:r>
            <w:r>
              <w:rPr>
                <w:noProof/>
                <w:webHidden/>
              </w:rPr>
              <w:fldChar w:fldCharType="end"/>
            </w:r>
          </w:hyperlink>
        </w:p>
        <w:p w14:paraId="34E06F35" w14:textId="6B406FF2" w:rsidR="00100AC3" w:rsidRDefault="00100AC3">
          <w:pPr>
            <w:pStyle w:val="TOC3"/>
            <w:tabs>
              <w:tab w:val="right" w:leader="dot" w:pos="9016"/>
            </w:tabs>
            <w:rPr>
              <w:rFonts w:asciiTheme="minorHAnsi" w:eastAsiaTheme="minorEastAsia" w:hAnsiTheme="minorHAnsi"/>
              <w:noProof/>
              <w:sz w:val="22"/>
              <w:lang w:val="en-US"/>
            </w:rPr>
          </w:pPr>
          <w:hyperlink w:anchor="_Toc238675492" w:history="1">
            <w:r w:rsidRPr="002768B5">
              <w:rPr>
                <w:rStyle w:val="Hyperlink"/>
                <w:noProof/>
              </w:rPr>
              <w:t>4.2.3 Operational weaknesses</w:t>
            </w:r>
            <w:r>
              <w:rPr>
                <w:noProof/>
                <w:webHidden/>
              </w:rPr>
              <w:tab/>
            </w:r>
            <w:r>
              <w:rPr>
                <w:noProof/>
                <w:webHidden/>
              </w:rPr>
              <w:fldChar w:fldCharType="begin"/>
            </w:r>
            <w:r>
              <w:rPr>
                <w:noProof/>
                <w:webHidden/>
              </w:rPr>
              <w:instrText xml:space="preserve"> PAGEREF _Toc238675492 \h </w:instrText>
            </w:r>
            <w:r>
              <w:rPr>
                <w:noProof/>
                <w:webHidden/>
              </w:rPr>
            </w:r>
            <w:r>
              <w:rPr>
                <w:noProof/>
                <w:webHidden/>
              </w:rPr>
              <w:fldChar w:fldCharType="separate"/>
            </w:r>
            <w:r>
              <w:rPr>
                <w:noProof/>
                <w:webHidden/>
              </w:rPr>
              <w:t>21</w:t>
            </w:r>
            <w:r>
              <w:rPr>
                <w:noProof/>
                <w:webHidden/>
              </w:rPr>
              <w:fldChar w:fldCharType="end"/>
            </w:r>
          </w:hyperlink>
        </w:p>
        <w:p w14:paraId="21170A77" w14:textId="25AA9187" w:rsidR="00100AC3" w:rsidRDefault="00100AC3">
          <w:pPr>
            <w:pStyle w:val="TOC2"/>
            <w:tabs>
              <w:tab w:val="right" w:leader="dot" w:pos="9016"/>
            </w:tabs>
            <w:rPr>
              <w:rFonts w:asciiTheme="minorHAnsi" w:eastAsiaTheme="minorEastAsia" w:hAnsiTheme="minorHAnsi"/>
              <w:noProof/>
              <w:sz w:val="22"/>
              <w:lang w:val="en-US"/>
            </w:rPr>
          </w:pPr>
          <w:hyperlink w:anchor="_Toc238675493" w:history="1">
            <w:r w:rsidRPr="002768B5">
              <w:rPr>
                <w:rStyle w:val="Hyperlink"/>
                <w:noProof/>
              </w:rPr>
              <w:t>4.3 Human Resource Capital Allocation</w:t>
            </w:r>
            <w:r>
              <w:rPr>
                <w:noProof/>
                <w:webHidden/>
              </w:rPr>
              <w:tab/>
            </w:r>
            <w:r>
              <w:rPr>
                <w:noProof/>
                <w:webHidden/>
              </w:rPr>
              <w:fldChar w:fldCharType="begin"/>
            </w:r>
            <w:r>
              <w:rPr>
                <w:noProof/>
                <w:webHidden/>
              </w:rPr>
              <w:instrText xml:space="preserve"> PAGEREF _Toc238675493 \h </w:instrText>
            </w:r>
            <w:r>
              <w:rPr>
                <w:noProof/>
                <w:webHidden/>
              </w:rPr>
            </w:r>
            <w:r>
              <w:rPr>
                <w:noProof/>
                <w:webHidden/>
              </w:rPr>
              <w:fldChar w:fldCharType="separate"/>
            </w:r>
            <w:r>
              <w:rPr>
                <w:noProof/>
                <w:webHidden/>
              </w:rPr>
              <w:t>22</w:t>
            </w:r>
            <w:r>
              <w:rPr>
                <w:noProof/>
                <w:webHidden/>
              </w:rPr>
              <w:fldChar w:fldCharType="end"/>
            </w:r>
          </w:hyperlink>
        </w:p>
        <w:p w14:paraId="0BF93247" w14:textId="57161EC7" w:rsidR="00100AC3" w:rsidRDefault="00100AC3">
          <w:pPr>
            <w:pStyle w:val="TOC3"/>
            <w:tabs>
              <w:tab w:val="right" w:leader="dot" w:pos="9016"/>
            </w:tabs>
            <w:rPr>
              <w:rFonts w:asciiTheme="minorHAnsi" w:eastAsiaTheme="minorEastAsia" w:hAnsiTheme="minorHAnsi"/>
              <w:noProof/>
              <w:sz w:val="22"/>
              <w:lang w:val="en-US"/>
            </w:rPr>
          </w:pPr>
          <w:hyperlink w:anchor="_Toc238675494" w:history="1">
            <w:r w:rsidRPr="002768B5">
              <w:rPr>
                <w:rStyle w:val="Hyperlink"/>
                <w:noProof/>
              </w:rPr>
              <w:t>4.3.1 Current Staffing and Management of International Wholesale/Export</w:t>
            </w:r>
            <w:r>
              <w:rPr>
                <w:noProof/>
                <w:webHidden/>
              </w:rPr>
              <w:tab/>
            </w:r>
            <w:r>
              <w:rPr>
                <w:noProof/>
                <w:webHidden/>
              </w:rPr>
              <w:fldChar w:fldCharType="begin"/>
            </w:r>
            <w:r>
              <w:rPr>
                <w:noProof/>
                <w:webHidden/>
              </w:rPr>
              <w:instrText xml:space="preserve"> PAGEREF _Toc238675494 \h </w:instrText>
            </w:r>
            <w:r>
              <w:rPr>
                <w:noProof/>
                <w:webHidden/>
              </w:rPr>
            </w:r>
            <w:r>
              <w:rPr>
                <w:noProof/>
                <w:webHidden/>
              </w:rPr>
              <w:fldChar w:fldCharType="separate"/>
            </w:r>
            <w:r>
              <w:rPr>
                <w:noProof/>
                <w:webHidden/>
              </w:rPr>
              <w:t>22</w:t>
            </w:r>
            <w:r>
              <w:rPr>
                <w:noProof/>
                <w:webHidden/>
              </w:rPr>
              <w:fldChar w:fldCharType="end"/>
            </w:r>
          </w:hyperlink>
        </w:p>
        <w:p w14:paraId="720A865C" w14:textId="16919FF5" w:rsidR="00100AC3" w:rsidRDefault="00100AC3">
          <w:pPr>
            <w:pStyle w:val="TOC3"/>
            <w:tabs>
              <w:tab w:val="right" w:leader="dot" w:pos="9016"/>
            </w:tabs>
            <w:rPr>
              <w:rFonts w:asciiTheme="minorHAnsi" w:eastAsiaTheme="minorEastAsia" w:hAnsiTheme="minorHAnsi"/>
              <w:noProof/>
              <w:sz w:val="22"/>
              <w:lang w:val="en-US"/>
            </w:rPr>
          </w:pPr>
          <w:hyperlink w:anchor="_Toc238675495" w:history="1">
            <w:r w:rsidRPr="002768B5">
              <w:rPr>
                <w:rStyle w:val="Hyperlink"/>
                <w:noProof/>
              </w:rPr>
              <w:t>4.3.2 Skills and Capability Gaps Related to GCC Expansion</w:t>
            </w:r>
            <w:r>
              <w:rPr>
                <w:noProof/>
                <w:webHidden/>
              </w:rPr>
              <w:tab/>
            </w:r>
            <w:r>
              <w:rPr>
                <w:noProof/>
                <w:webHidden/>
              </w:rPr>
              <w:fldChar w:fldCharType="begin"/>
            </w:r>
            <w:r>
              <w:rPr>
                <w:noProof/>
                <w:webHidden/>
              </w:rPr>
              <w:instrText xml:space="preserve"> PAGEREF _Toc238675495 \h </w:instrText>
            </w:r>
            <w:r>
              <w:rPr>
                <w:noProof/>
                <w:webHidden/>
              </w:rPr>
            </w:r>
            <w:r>
              <w:rPr>
                <w:noProof/>
                <w:webHidden/>
              </w:rPr>
              <w:fldChar w:fldCharType="separate"/>
            </w:r>
            <w:r>
              <w:rPr>
                <w:noProof/>
                <w:webHidden/>
              </w:rPr>
              <w:t>22</w:t>
            </w:r>
            <w:r>
              <w:rPr>
                <w:noProof/>
                <w:webHidden/>
              </w:rPr>
              <w:fldChar w:fldCharType="end"/>
            </w:r>
          </w:hyperlink>
        </w:p>
        <w:p w14:paraId="18D17CF2" w14:textId="485B429D" w:rsidR="00100AC3" w:rsidRDefault="00100AC3">
          <w:pPr>
            <w:pStyle w:val="TOC2"/>
            <w:tabs>
              <w:tab w:val="right" w:leader="dot" w:pos="9016"/>
            </w:tabs>
            <w:rPr>
              <w:rFonts w:asciiTheme="minorHAnsi" w:eastAsiaTheme="minorEastAsia" w:hAnsiTheme="minorHAnsi"/>
              <w:noProof/>
              <w:sz w:val="22"/>
              <w:lang w:val="en-US"/>
            </w:rPr>
          </w:pPr>
          <w:hyperlink w:anchor="_Toc238675496" w:history="1">
            <w:r w:rsidRPr="002768B5">
              <w:rPr>
                <w:rStyle w:val="Hyperlink"/>
                <w:noProof/>
              </w:rPr>
              <w:t>4.4 Business Analysis Models</w:t>
            </w:r>
            <w:r>
              <w:rPr>
                <w:noProof/>
                <w:webHidden/>
              </w:rPr>
              <w:tab/>
            </w:r>
            <w:r>
              <w:rPr>
                <w:noProof/>
                <w:webHidden/>
              </w:rPr>
              <w:fldChar w:fldCharType="begin"/>
            </w:r>
            <w:r>
              <w:rPr>
                <w:noProof/>
                <w:webHidden/>
              </w:rPr>
              <w:instrText xml:space="preserve"> PAGEREF _Toc238675496 \h </w:instrText>
            </w:r>
            <w:r>
              <w:rPr>
                <w:noProof/>
                <w:webHidden/>
              </w:rPr>
            </w:r>
            <w:r>
              <w:rPr>
                <w:noProof/>
                <w:webHidden/>
              </w:rPr>
              <w:fldChar w:fldCharType="separate"/>
            </w:r>
            <w:r>
              <w:rPr>
                <w:noProof/>
                <w:webHidden/>
              </w:rPr>
              <w:t>24</w:t>
            </w:r>
            <w:r>
              <w:rPr>
                <w:noProof/>
                <w:webHidden/>
              </w:rPr>
              <w:fldChar w:fldCharType="end"/>
            </w:r>
          </w:hyperlink>
        </w:p>
        <w:p w14:paraId="37B31DC4" w14:textId="6B58F511" w:rsidR="00100AC3" w:rsidRDefault="00100AC3">
          <w:pPr>
            <w:pStyle w:val="TOC3"/>
            <w:tabs>
              <w:tab w:val="right" w:leader="dot" w:pos="9016"/>
            </w:tabs>
            <w:rPr>
              <w:rFonts w:asciiTheme="minorHAnsi" w:eastAsiaTheme="minorEastAsia" w:hAnsiTheme="minorHAnsi"/>
              <w:noProof/>
              <w:sz w:val="22"/>
              <w:lang w:val="en-US"/>
            </w:rPr>
          </w:pPr>
          <w:hyperlink w:anchor="_Toc238675497" w:history="1">
            <w:r w:rsidRPr="002768B5">
              <w:rPr>
                <w:rStyle w:val="Hyperlink"/>
                <w:noProof/>
              </w:rPr>
              <w:t>4.4.1 PESTEL Analysis</w:t>
            </w:r>
            <w:r>
              <w:rPr>
                <w:noProof/>
                <w:webHidden/>
              </w:rPr>
              <w:tab/>
            </w:r>
            <w:r>
              <w:rPr>
                <w:noProof/>
                <w:webHidden/>
              </w:rPr>
              <w:fldChar w:fldCharType="begin"/>
            </w:r>
            <w:r>
              <w:rPr>
                <w:noProof/>
                <w:webHidden/>
              </w:rPr>
              <w:instrText xml:space="preserve"> PAGEREF _Toc238675497 \h </w:instrText>
            </w:r>
            <w:r>
              <w:rPr>
                <w:noProof/>
                <w:webHidden/>
              </w:rPr>
            </w:r>
            <w:r>
              <w:rPr>
                <w:noProof/>
                <w:webHidden/>
              </w:rPr>
              <w:fldChar w:fldCharType="separate"/>
            </w:r>
            <w:r>
              <w:rPr>
                <w:noProof/>
                <w:webHidden/>
              </w:rPr>
              <w:t>24</w:t>
            </w:r>
            <w:r>
              <w:rPr>
                <w:noProof/>
                <w:webHidden/>
              </w:rPr>
              <w:fldChar w:fldCharType="end"/>
            </w:r>
          </w:hyperlink>
        </w:p>
        <w:p w14:paraId="6D89B77A" w14:textId="192FFFC3" w:rsidR="00100AC3" w:rsidRDefault="00100AC3">
          <w:pPr>
            <w:pStyle w:val="TOC2"/>
            <w:tabs>
              <w:tab w:val="right" w:leader="dot" w:pos="9016"/>
            </w:tabs>
            <w:rPr>
              <w:rFonts w:asciiTheme="minorHAnsi" w:eastAsiaTheme="minorEastAsia" w:hAnsiTheme="minorHAnsi"/>
              <w:noProof/>
              <w:sz w:val="22"/>
              <w:lang w:val="en-US"/>
            </w:rPr>
          </w:pPr>
          <w:hyperlink w:anchor="_Toc238675498" w:history="1">
            <w:r w:rsidRPr="002768B5">
              <w:rPr>
                <w:rStyle w:val="Hyperlink"/>
                <w:noProof/>
              </w:rPr>
              <w:t>4.5 SWOT Analysis of Morrisons for “The Best” in GCC</w:t>
            </w:r>
            <w:r>
              <w:rPr>
                <w:noProof/>
                <w:webHidden/>
              </w:rPr>
              <w:tab/>
            </w:r>
            <w:r>
              <w:rPr>
                <w:noProof/>
                <w:webHidden/>
              </w:rPr>
              <w:fldChar w:fldCharType="begin"/>
            </w:r>
            <w:r>
              <w:rPr>
                <w:noProof/>
                <w:webHidden/>
              </w:rPr>
              <w:instrText xml:space="preserve"> PAGEREF _Toc238675498 \h </w:instrText>
            </w:r>
            <w:r>
              <w:rPr>
                <w:noProof/>
                <w:webHidden/>
              </w:rPr>
            </w:r>
            <w:r>
              <w:rPr>
                <w:noProof/>
                <w:webHidden/>
              </w:rPr>
              <w:fldChar w:fldCharType="separate"/>
            </w:r>
            <w:r>
              <w:rPr>
                <w:noProof/>
                <w:webHidden/>
              </w:rPr>
              <w:t>27</w:t>
            </w:r>
            <w:r>
              <w:rPr>
                <w:noProof/>
                <w:webHidden/>
              </w:rPr>
              <w:fldChar w:fldCharType="end"/>
            </w:r>
          </w:hyperlink>
        </w:p>
        <w:p w14:paraId="5750A3E7" w14:textId="2E6334D7" w:rsidR="00100AC3" w:rsidRDefault="00100AC3">
          <w:pPr>
            <w:pStyle w:val="TOC2"/>
            <w:tabs>
              <w:tab w:val="right" w:leader="dot" w:pos="9016"/>
            </w:tabs>
            <w:rPr>
              <w:rFonts w:asciiTheme="minorHAnsi" w:eastAsiaTheme="minorEastAsia" w:hAnsiTheme="minorHAnsi"/>
              <w:noProof/>
              <w:sz w:val="22"/>
              <w:lang w:val="en-US"/>
            </w:rPr>
          </w:pPr>
          <w:hyperlink w:anchor="_Toc238675499" w:history="1">
            <w:r w:rsidRPr="002768B5">
              <w:rPr>
                <w:rStyle w:val="Hyperlink"/>
                <w:noProof/>
              </w:rPr>
              <w:t>4.6 Competitive Landscape for "The Best" in GCC</w:t>
            </w:r>
            <w:r>
              <w:rPr>
                <w:noProof/>
                <w:webHidden/>
              </w:rPr>
              <w:tab/>
            </w:r>
            <w:r>
              <w:rPr>
                <w:noProof/>
                <w:webHidden/>
              </w:rPr>
              <w:fldChar w:fldCharType="begin"/>
            </w:r>
            <w:r>
              <w:rPr>
                <w:noProof/>
                <w:webHidden/>
              </w:rPr>
              <w:instrText xml:space="preserve"> PAGEREF _Toc238675499 \h </w:instrText>
            </w:r>
            <w:r>
              <w:rPr>
                <w:noProof/>
                <w:webHidden/>
              </w:rPr>
            </w:r>
            <w:r>
              <w:rPr>
                <w:noProof/>
                <w:webHidden/>
              </w:rPr>
              <w:fldChar w:fldCharType="separate"/>
            </w:r>
            <w:r>
              <w:rPr>
                <w:noProof/>
                <w:webHidden/>
              </w:rPr>
              <w:t>31</w:t>
            </w:r>
            <w:r>
              <w:rPr>
                <w:noProof/>
                <w:webHidden/>
              </w:rPr>
              <w:fldChar w:fldCharType="end"/>
            </w:r>
          </w:hyperlink>
        </w:p>
        <w:p w14:paraId="4BACB400" w14:textId="69BCF129" w:rsidR="00100AC3" w:rsidRDefault="00100AC3">
          <w:pPr>
            <w:pStyle w:val="TOC3"/>
            <w:tabs>
              <w:tab w:val="right" w:leader="dot" w:pos="9016"/>
            </w:tabs>
            <w:rPr>
              <w:rFonts w:asciiTheme="minorHAnsi" w:eastAsiaTheme="minorEastAsia" w:hAnsiTheme="minorHAnsi"/>
              <w:noProof/>
              <w:sz w:val="22"/>
              <w:lang w:val="en-US"/>
            </w:rPr>
          </w:pPr>
          <w:hyperlink w:anchor="_Toc238675500" w:history="1">
            <w:r w:rsidRPr="002768B5">
              <w:rPr>
                <w:rStyle w:val="Hyperlink"/>
                <w:noProof/>
              </w:rPr>
              <w:t>4.6.1 Global manufacturer brands</w:t>
            </w:r>
            <w:r>
              <w:rPr>
                <w:noProof/>
                <w:webHidden/>
              </w:rPr>
              <w:tab/>
            </w:r>
            <w:r>
              <w:rPr>
                <w:noProof/>
                <w:webHidden/>
              </w:rPr>
              <w:fldChar w:fldCharType="begin"/>
            </w:r>
            <w:r>
              <w:rPr>
                <w:noProof/>
                <w:webHidden/>
              </w:rPr>
              <w:instrText xml:space="preserve"> PAGEREF _Toc238675500 \h </w:instrText>
            </w:r>
            <w:r>
              <w:rPr>
                <w:noProof/>
                <w:webHidden/>
              </w:rPr>
            </w:r>
            <w:r>
              <w:rPr>
                <w:noProof/>
                <w:webHidden/>
              </w:rPr>
              <w:fldChar w:fldCharType="separate"/>
            </w:r>
            <w:r>
              <w:rPr>
                <w:noProof/>
                <w:webHidden/>
              </w:rPr>
              <w:t>31</w:t>
            </w:r>
            <w:r>
              <w:rPr>
                <w:noProof/>
                <w:webHidden/>
              </w:rPr>
              <w:fldChar w:fldCharType="end"/>
            </w:r>
          </w:hyperlink>
        </w:p>
        <w:p w14:paraId="3B825119" w14:textId="7826B669" w:rsidR="00100AC3" w:rsidRDefault="00100AC3">
          <w:pPr>
            <w:pStyle w:val="TOC3"/>
            <w:tabs>
              <w:tab w:val="right" w:leader="dot" w:pos="9016"/>
            </w:tabs>
            <w:rPr>
              <w:rFonts w:asciiTheme="minorHAnsi" w:eastAsiaTheme="minorEastAsia" w:hAnsiTheme="minorHAnsi"/>
              <w:noProof/>
              <w:sz w:val="22"/>
              <w:lang w:val="en-US"/>
            </w:rPr>
          </w:pPr>
          <w:hyperlink w:anchor="_Toc238675501" w:history="1">
            <w:r w:rsidRPr="002768B5">
              <w:rPr>
                <w:rStyle w:val="Hyperlink"/>
                <w:noProof/>
              </w:rPr>
              <w:t>4.6.2 Regional and local brands</w:t>
            </w:r>
            <w:r>
              <w:rPr>
                <w:noProof/>
                <w:webHidden/>
              </w:rPr>
              <w:tab/>
            </w:r>
            <w:r>
              <w:rPr>
                <w:noProof/>
                <w:webHidden/>
              </w:rPr>
              <w:fldChar w:fldCharType="begin"/>
            </w:r>
            <w:r>
              <w:rPr>
                <w:noProof/>
                <w:webHidden/>
              </w:rPr>
              <w:instrText xml:space="preserve"> PAGEREF _Toc238675501 \h </w:instrText>
            </w:r>
            <w:r>
              <w:rPr>
                <w:noProof/>
                <w:webHidden/>
              </w:rPr>
            </w:r>
            <w:r>
              <w:rPr>
                <w:noProof/>
                <w:webHidden/>
              </w:rPr>
              <w:fldChar w:fldCharType="separate"/>
            </w:r>
            <w:r>
              <w:rPr>
                <w:noProof/>
                <w:webHidden/>
              </w:rPr>
              <w:t>32</w:t>
            </w:r>
            <w:r>
              <w:rPr>
                <w:noProof/>
                <w:webHidden/>
              </w:rPr>
              <w:fldChar w:fldCharType="end"/>
            </w:r>
          </w:hyperlink>
        </w:p>
        <w:p w14:paraId="116DF18B" w14:textId="4EA0F3E6" w:rsidR="00100AC3" w:rsidRDefault="00100AC3">
          <w:pPr>
            <w:pStyle w:val="TOC3"/>
            <w:tabs>
              <w:tab w:val="right" w:leader="dot" w:pos="9016"/>
            </w:tabs>
            <w:rPr>
              <w:rFonts w:asciiTheme="minorHAnsi" w:eastAsiaTheme="minorEastAsia" w:hAnsiTheme="minorHAnsi"/>
              <w:noProof/>
              <w:sz w:val="22"/>
              <w:lang w:val="en-US"/>
            </w:rPr>
          </w:pPr>
          <w:hyperlink w:anchor="_Toc238675502" w:history="1">
            <w:r w:rsidRPr="002768B5">
              <w:rPr>
                <w:rStyle w:val="Hyperlink"/>
                <w:noProof/>
              </w:rPr>
              <w:t>4.6.3 GCC retailers' private labels</w:t>
            </w:r>
            <w:r>
              <w:rPr>
                <w:noProof/>
                <w:webHidden/>
              </w:rPr>
              <w:tab/>
            </w:r>
            <w:r>
              <w:rPr>
                <w:noProof/>
                <w:webHidden/>
              </w:rPr>
              <w:fldChar w:fldCharType="begin"/>
            </w:r>
            <w:r>
              <w:rPr>
                <w:noProof/>
                <w:webHidden/>
              </w:rPr>
              <w:instrText xml:space="preserve"> PAGEREF _Toc238675502 \h </w:instrText>
            </w:r>
            <w:r>
              <w:rPr>
                <w:noProof/>
                <w:webHidden/>
              </w:rPr>
            </w:r>
            <w:r>
              <w:rPr>
                <w:noProof/>
                <w:webHidden/>
              </w:rPr>
              <w:fldChar w:fldCharType="separate"/>
            </w:r>
            <w:r>
              <w:rPr>
                <w:noProof/>
                <w:webHidden/>
              </w:rPr>
              <w:t>32</w:t>
            </w:r>
            <w:r>
              <w:rPr>
                <w:noProof/>
                <w:webHidden/>
              </w:rPr>
              <w:fldChar w:fldCharType="end"/>
            </w:r>
          </w:hyperlink>
        </w:p>
        <w:p w14:paraId="41D82395" w14:textId="418A2C49" w:rsidR="00100AC3" w:rsidRDefault="00100AC3">
          <w:pPr>
            <w:pStyle w:val="TOC3"/>
            <w:tabs>
              <w:tab w:val="right" w:leader="dot" w:pos="9016"/>
            </w:tabs>
            <w:rPr>
              <w:rFonts w:asciiTheme="minorHAnsi" w:eastAsiaTheme="minorEastAsia" w:hAnsiTheme="minorHAnsi"/>
              <w:noProof/>
              <w:sz w:val="22"/>
              <w:lang w:val="en-US"/>
            </w:rPr>
          </w:pPr>
          <w:hyperlink w:anchor="_Toc238675503" w:history="1">
            <w:r w:rsidRPr="002768B5">
              <w:rPr>
                <w:rStyle w:val="Hyperlink"/>
                <w:noProof/>
              </w:rPr>
              <w:t>4.6.4 Morrisons' competitive position</w:t>
            </w:r>
            <w:r>
              <w:rPr>
                <w:noProof/>
                <w:webHidden/>
              </w:rPr>
              <w:tab/>
            </w:r>
            <w:r>
              <w:rPr>
                <w:noProof/>
                <w:webHidden/>
              </w:rPr>
              <w:fldChar w:fldCharType="begin"/>
            </w:r>
            <w:r>
              <w:rPr>
                <w:noProof/>
                <w:webHidden/>
              </w:rPr>
              <w:instrText xml:space="preserve"> PAGEREF _Toc238675503 \h </w:instrText>
            </w:r>
            <w:r>
              <w:rPr>
                <w:noProof/>
                <w:webHidden/>
              </w:rPr>
            </w:r>
            <w:r>
              <w:rPr>
                <w:noProof/>
                <w:webHidden/>
              </w:rPr>
              <w:fldChar w:fldCharType="separate"/>
            </w:r>
            <w:r>
              <w:rPr>
                <w:noProof/>
                <w:webHidden/>
              </w:rPr>
              <w:t>32</w:t>
            </w:r>
            <w:r>
              <w:rPr>
                <w:noProof/>
                <w:webHidden/>
              </w:rPr>
              <w:fldChar w:fldCharType="end"/>
            </w:r>
          </w:hyperlink>
        </w:p>
        <w:p w14:paraId="1BD9ECEA" w14:textId="36407D89" w:rsidR="00100AC3" w:rsidRDefault="00100AC3">
          <w:pPr>
            <w:pStyle w:val="TOC2"/>
            <w:tabs>
              <w:tab w:val="right" w:leader="dot" w:pos="9016"/>
            </w:tabs>
            <w:rPr>
              <w:rFonts w:asciiTheme="minorHAnsi" w:eastAsiaTheme="minorEastAsia" w:hAnsiTheme="minorHAnsi"/>
              <w:noProof/>
              <w:sz w:val="22"/>
              <w:lang w:val="en-US"/>
            </w:rPr>
          </w:pPr>
          <w:hyperlink w:anchor="_Toc238675504" w:history="1">
            <w:r w:rsidRPr="002768B5">
              <w:rPr>
                <w:rStyle w:val="Hyperlink"/>
                <w:rFonts w:eastAsia="Times New Roman"/>
                <w:noProof/>
              </w:rPr>
              <w:t>4.7 Porter's Five Forces for "The Best" in GCC</w:t>
            </w:r>
            <w:r>
              <w:rPr>
                <w:noProof/>
                <w:webHidden/>
              </w:rPr>
              <w:tab/>
            </w:r>
            <w:r>
              <w:rPr>
                <w:noProof/>
                <w:webHidden/>
              </w:rPr>
              <w:fldChar w:fldCharType="begin"/>
            </w:r>
            <w:r>
              <w:rPr>
                <w:noProof/>
                <w:webHidden/>
              </w:rPr>
              <w:instrText xml:space="preserve"> PAGEREF _Toc238675504 \h </w:instrText>
            </w:r>
            <w:r>
              <w:rPr>
                <w:noProof/>
                <w:webHidden/>
              </w:rPr>
            </w:r>
            <w:r>
              <w:rPr>
                <w:noProof/>
                <w:webHidden/>
              </w:rPr>
              <w:fldChar w:fldCharType="separate"/>
            </w:r>
            <w:r>
              <w:rPr>
                <w:noProof/>
                <w:webHidden/>
              </w:rPr>
              <w:t>34</w:t>
            </w:r>
            <w:r>
              <w:rPr>
                <w:noProof/>
                <w:webHidden/>
              </w:rPr>
              <w:fldChar w:fldCharType="end"/>
            </w:r>
          </w:hyperlink>
        </w:p>
        <w:p w14:paraId="1262820F" w14:textId="1E63A542" w:rsidR="00100AC3" w:rsidRDefault="00100AC3">
          <w:pPr>
            <w:pStyle w:val="TOC3"/>
            <w:tabs>
              <w:tab w:val="right" w:leader="dot" w:pos="9016"/>
            </w:tabs>
            <w:rPr>
              <w:rFonts w:asciiTheme="minorHAnsi" w:eastAsiaTheme="minorEastAsia" w:hAnsiTheme="minorHAnsi"/>
              <w:noProof/>
              <w:sz w:val="22"/>
              <w:lang w:val="en-US"/>
            </w:rPr>
          </w:pPr>
          <w:hyperlink w:anchor="_Toc238675505" w:history="1">
            <w:r w:rsidRPr="002768B5">
              <w:rPr>
                <w:rStyle w:val="Hyperlink"/>
                <w:noProof/>
              </w:rPr>
              <w:t>Industry rivalry - High</w:t>
            </w:r>
            <w:r>
              <w:rPr>
                <w:noProof/>
                <w:webHidden/>
              </w:rPr>
              <w:tab/>
            </w:r>
            <w:r>
              <w:rPr>
                <w:noProof/>
                <w:webHidden/>
              </w:rPr>
              <w:fldChar w:fldCharType="begin"/>
            </w:r>
            <w:r>
              <w:rPr>
                <w:noProof/>
                <w:webHidden/>
              </w:rPr>
              <w:instrText xml:space="preserve"> PAGEREF _Toc238675505 \h </w:instrText>
            </w:r>
            <w:r>
              <w:rPr>
                <w:noProof/>
                <w:webHidden/>
              </w:rPr>
            </w:r>
            <w:r>
              <w:rPr>
                <w:noProof/>
                <w:webHidden/>
              </w:rPr>
              <w:fldChar w:fldCharType="separate"/>
            </w:r>
            <w:r>
              <w:rPr>
                <w:noProof/>
                <w:webHidden/>
              </w:rPr>
              <w:t>34</w:t>
            </w:r>
            <w:r>
              <w:rPr>
                <w:noProof/>
                <w:webHidden/>
              </w:rPr>
              <w:fldChar w:fldCharType="end"/>
            </w:r>
          </w:hyperlink>
        </w:p>
        <w:p w14:paraId="68244400" w14:textId="4A2D6712" w:rsidR="00100AC3" w:rsidRDefault="00100AC3">
          <w:pPr>
            <w:pStyle w:val="TOC3"/>
            <w:tabs>
              <w:tab w:val="right" w:leader="dot" w:pos="9016"/>
            </w:tabs>
            <w:rPr>
              <w:rFonts w:asciiTheme="minorHAnsi" w:eastAsiaTheme="minorEastAsia" w:hAnsiTheme="minorHAnsi"/>
              <w:noProof/>
              <w:sz w:val="22"/>
              <w:lang w:val="en-US"/>
            </w:rPr>
          </w:pPr>
          <w:hyperlink w:anchor="_Toc238675506" w:history="1">
            <w:r w:rsidRPr="002768B5">
              <w:rPr>
                <w:rStyle w:val="Hyperlink"/>
                <w:noProof/>
              </w:rPr>
              <w:t>Power of buyers - High</w:t>
            </w:r>
            <w:r>
              <w:rPr>
                <w:noProof/>
                <w:webHidden/>
              </w:rPr>
              <w:tab/>
            </w:r>
            <w:r>
              <w:rPr>
                <w:noProof/>
                <w:webHidden/>
              </w:rPr>
              <w:fldChar w:fldCharType="begin"/>
            </w:r>
            <w:r>
              <w:rPr>
                <w:noProof/>
                <w:webHidden/>
              </w:rPr>
              <w:instrText xml:space="preserve"> PAGEREF _Toc238675506 \h </w:instrText>
            </w:r>
            <w:r>
              <w:rPr>
                <w:noProof/>
                <w:webHidden/>
              </w:rPr>
            </w:r>
            <w:r>
              <w:rPr>
                <w:noProof/>
                <w:webHidden/>
              </w:rPr>
              <w:fldChar w:fldCharType="separate"/>
            </w:r>
            <w:r>
              <w:rPr>
                <w:noProof/>
                <w:webHidden/>
              </w:rPr>
              <w:t>34</w:t>
            </w:r>
            <w:r>
              <w:rPr>
                <w:noProof/>
                <w:webHidden/>
              </w:rPr>
              <w:fldChar w:fldCharType="end"/>
            </w:r>
          </w:hyperlink>
        </w:p>
        <w:p w14:paraId="5251A9F0" w14:textId="71424428" w:rsidR="00100AC3" w:rsidRDefault="00100AC3">
          <w:pPr>
            <w:pStyle w:val="TOC3"/>
            <w:tabs>
              <w:tab w:val="right" w:leader="dot" w:pos="9016"/>
            </w:tabs>
            <w:rPr>
              <w:rFonts w:asciiTheme="minorHAnsi" w:eastAsiaTheme="minorEastAsia" w:hAnsiTheme="minorHAnsi"/>
              <w:noProof/>
              <w:sz w:val="22"/>
              <w:lang w:val="en-US"/>
            </w:rPr>
          </w:pPr>
          <w:hyperlink w:anchor="_Toc238675507" w:history="1">
            <w:r w:rsidRPr="002768B5">
              <w:rPr>
                <w:rStyle w:val="Hyperlink"/>
                <w:noProof/>
              </w:rPr>
              <w:t>Bargaining power of suppliers - Moderate to Low</w:t>
            </w:r>
            <w:r>
              <w:rPr>
                <w:noProof/>
                <w:webHidden/>
              </w:rPr>
              <w:tab/>
            </w:r>
            <w:r>
              <w:rPr>
                <w:noProof/>
                <w:webHidden/>
              </w:rPr>
              <w:fldChar w:fldCharType="begin"/>
            </w:r>
            <w:r>
              <w:rPr>
                <w:noProof/>
                <w:webHidden/>
              </w:rPr>
              <w:instrText xml:space="preserve"> PAGEREF _Toc238675507 \h </w:instrText>
            </w:r>
            <w:r>
              <w:rPr>
                <w:noProof/>
                <w:webHidden/>
              </w:rPr>
            </w:r>
            <w:r>
              <w:rPr>
                <w:noProof/>
                <w:webHidden/>
              </w:rPr>
              <w:fldChar w:fldCharType="separate"/>
            </w:r>
            <w:r>
              <w:rPr>
                <w:noProof/>
                <w:webHidden/>
              </w:rPr>
              <w:t>35</w:t>
            </w:r>
            <w:r>
              <w:rPr>
                <w:noProof/>
                <w:webHidden/>
              </w:rPr>
              <w:fldChar w:fldCharType="end"/>
            </w:r>
          </w:hyperlink>
        </w:p>
        <w:p w14:paraId="21F13248" w14:textId="569149BE" w:rsidR="00100AC3" w:rsidRDefault="00100AC3">
          <w:pPr>
            <w:pStyle w:val="TOC3"/>
            <w:tabs>
              <w:tab w:val="right" w:leader="dot" w:pos="9016"/>
            </w:tabs>
            <w:rPr>
              <w:rFonts w:asciiTheme="minorHAnsi" w:eastAsiaTheme="minorEastAsia" w:hAnsiTheme="minorHAnsi"/>
              <w:noProof/>
              <w:sz w:val="22"/>
              <w:lang w:val="en-US"/>
            </w:rPr>
          </w:pPr>
          <w:hyperlink w:anchor="_Toc238675508" w:history="1">
            <w:r w:rsidRPr="002768B5">
              <w:rPr>
                <w:rStyle w:val="Hyperlink"/>
                <w:noProof/>
              </w:rPr>
              <w:t>Threat of substitutes - High</w:t>
            </w:r>
            <w:r>
              <w:rPr>
                <w:noProof/>
                <w:webHidden/>
              </w:rPr>
              <w:tab/>
            </w:r>
            <w:r>
              <w:rPr>
                <w:noProof/>
                <w:webHidden/>
              </w:rPr>
              <w:fldChar w:fldCharType="begin"/>
            </w:r>
            <w:r>
              <w:rPr>
                <w:noProof/>
                <w:webHidden/>
              </w:rPr>
              <w:instrText xml:space="preserve"> PAGEREF _Toc238675508 \h </w:instrText>
            </w:r>
            <w:r>
              <w:rPr>
                <w:noProof/>
                <w:webHidden/>
              </w:rPr>
            </w:r>
            <w:r>
              <w:rPr>
                <w:noProof/>
                <w:webHidden/>
              </w:rPr>
              <w:fldChar w:fldCharType="separate"/>
            </w:r>
            <w:r>
              <w:rPr>
                <w:noProof/>
                <w:webHidden/>
              </w:rPr>
              <w:t>35</w:t>
            </w:r>
            <w:r>
              <w:rPr>
                <w:noProof/>
                <w:webHidden/>
              </w:rPr>
              <w:fldChar w:fldCharType="end"/>
            </w:r>
          </w:hyperlink>
        </w:p>
        <w:p w14:paraId="3D22C2AE" w14:textId="40E107B1" w:rsidR="00100AC3" w:rsidRDefault="00100AC3">
          <w:pPr>
            <w:pStyle w:val="TOC3"/>
            <w:tabs>
              <w:tab w:val="right" w:leader="dot" w:pos="9016"/>
            </w:tabs>
            <w:rPr>
              <w:rFonts w:asciiTheme="minorHAnsi" w:eastAsiaTheme="minorEastAsia" w:hAnsiTheme="minorHAnsi"/>
              <w:noProof/>
              <w:sz w:val="22"/>
              <w:lang w:val="en-US"/>
            </w:rPr>
          </w:pPr>
          <w:hyperlink w:anchor="_Toc238675509" w:history="1">
            <w:r w:rsidRPr="002768B5">
              <w:rPr>
                <w:rStyle w:val="Hyperlink"/>
                <w:noProof/>
              </w:rPr>
              <w:t>Bargaining power of buyers - Low to Moderate</w:t>
            </w:r>
            <w:r>
              <w:rPr>
                <w:noProof/>
                <w:webHidden/>
              </w:rPr>
              <w:tab/>
            </w:r>
            <w:r>
              <w:rPr>
                <w:noProof/>
                <w:webHidden/>
              </w:rPr>
              <w:fldChar w:fldCharType="begin"/>
            </w:r>
            <w:r>
              <w:rPr>
                <w:noProof/>
                <w:webHidden/>
              </w:rPr>
              <w:instrText xml:space="preserve"> PAGEREF _Toc238675509 \h </w:instrText>
            </w:r>
            <w:r>
              <w:rPr>
                <w:noProof/>
                <w:webHidden/>
              </w:rPr>
            </w:r>
            <w:r>
              <w:rPr>
                <w:noProof/>
                <w:webHidden/>
              </w:rPr>
              <w:fldChar w:fldCharType="separate"/>
            </w:r>
            <w:r>
              <w:rPr>
                <w:noProof/>
                <w:webHidden/>
              </w:rPr>
              <w:t>35</w:t>
            </w:r>
            <w:r>
              <w:rPr>
                <w:noProof/>
                <w:webHidden/>
              </w:rPr>
              <w:fldChar w:fldCharType="end"/>
            </w:r>
          </w:hyperlink>
        </w:p>
        <w:p w14:paraId="799374D5" w14:textId="43124D2F" w:rsidR="00100AC3" w:rsidRDefault="00100AC3">
          <w:pPr>
            <w:pStyle w:val="TOC3"/>
            <w:tabs>
              <w:tab w:val="right" w:leader="dot" w:pos="9016"/>
            </w:tabs>
            <w:rPr>
              <w:rFonts w:asciiTheme="minorHAnsi" w:eastAsiaTheme="minorEastAsia" w:hAnsiTheme="minorHAnsi"/>
              <w:noProof/>
              <w:sz w:val="22"/>
              <w:lang w:val="en-US"/>
            </w:rPr>
          </w:pPr>
          <w:hyperlink w:anchor="_Toc238675510" w:history="1">
            <w:r w:rsidRPr="002768B5">
              <w:rPr>
                <w:rStyle w:val="Hyperlink"/>
                <w:noProof/>
              </w:rPr>
              <w:t>Strategic implications and overall attractiveness.</w:t>
            </w:r>
            <w:r>
              <w:rPr>
                <w:noProof/>
                <w:webHidden/>
              </w:rPr>
              <w:tab/>
            </w:r>
            <w:r>
              <w:rPr>
                <w:noProof/>
                <w:webHidden/>
              </w:rPr>
              <w:fldChar w:fldCharType="begin"/>
            </w:r>
            <w:r>
              <w:rPr>
                <w:noProof/>
                <w:webHidden/>
              </w:rPr>
              <w:instrText xml:space="preserve"> PAGEREF _Toc238675510 \h </w:instrText>
            </w:r>
            <w:r>
              <w:rPr>
                <w:noProof/>
                <w:webHidden/>
              </w:rPr>
            </w:r>
            <w:r>
              <w:rPr>
                <w:noProof/>
                <w:webHidden/>
              </w:rPr>
              <w:fldChar w:fldCharType="separate"/>
            </w:r>
            <w:r>
              <w:rPr>
                <w:noProof/>
                <w:webHidden/>
              </w:rPr>
              <w:t>36</w:t>
            </w:r>
            <w:r>
              <w:rPr>
                <w:noProof/>
                <w:webHidden/>
              </w:rPr>
              <w:fldChar w:fldCharType="end"/>
            </w:r>
          </w:hyperlink>
        </w:p>
        <w:p w14:paraId="28F6179A" w14:textId="322DBDB9" w:rsidR="00100AC3" w:rsidRDefault="00100AC3">
          <w:pPr>
            <w:pStyle w:val="TOC2"/>
            <w:tabs>
              <w:tab w:val="right" w:leader="dot" w:pos="9016"/>
            </w:tabs>
            <w:rPr>
              <w:rFonts w:asciiTheme="minorHAnsi" w:eastAsiaTheme="minorEastAsia" w:hAnsiTheme="minorHAnsi"/>
              <w:noProof/>
              <w:sz w:val="22"/>
              <w:lang w:val="en-US"/>
            </w:rPr>
          </w:pPr>
          <w:hyperlink w:anchor="_Toc238675511" w:history="1">
            <w:r w:rsidRPr="002768B5">
              <w:rPr>
                <w:rStyle w:val="Hyperlink"/>
                <w:noProof/>
              </w:rPr>
              <w:t>4.8 Ansoff Matrix of Morrisons’ GCC “The Best” Strategy</w:t>
            </w:r>
            <w:r>
              <w:rPr>
                <w:noProof/>
                <w:webHidden/>
              </w:rPr>
              <w:tab/>
            </w:r>
            <w:r>
              <w:rPr>
                <w:noProof/>
                <w:webHidden/>
              </w:rPr>
              <w:fldChar w:fldCharType="begin"/>
            </w:r>
            <w:r>
              <w:rPr>
                <w:noProof/>
                <w:webHidden/>
              </w:rPr>
              <w:instrText xml:space="preserve"> PAGEREF _Toc238675511 \h </w:instrText>
            </w:r>
            <w:r>
              <w:rPr>
                <w:noProof/>
                <w:webHidden/>
              </w:rPr>
            </w:r>
            <w:r>
              <w:rPr>
                <w:noProof/>
                <w:webHidden/>
              </w:rPr>
              <w:fldChar w:fldCharType="separate"/>
            </w:r>
            <w:r>
              <w:rPr>
                <w:noProof/>
                <w:webHidden/>
              </w:rPr>
              <w:t>36</w:t>
            </w:r>
            <w:r>
              <w:rPr>
                <w:noProof/>
                <w:webHidden/>
              </w:rPr>
              <w:fldChar w:fldCharType="end"/>
            </w:r>
          </w:hyperlink>
        </w:p>
        <w:p w14:paraId="03F42B1E" w14:textId="6378EF7D" w:rsidR="00100AC3" w:rsidRDefault="00100AC3">
          <w:pPr>
            <w:pStyle w:val="TOC3"/>
            <w:tabs>
              <w:tab w:val="right" w:leader="dot" w:pos="9016"/>
            </w:tabs>
            <w:rPr>
              <w:rFonts w:asciiTheme="minorHAnsi" w:eastAsiaTheme="minorEastAsia" w:hAnsiTheme="minorHAnsi"/>
              <w:noProof/>
              <w:sz w:val="22"/>
              <w:lang w:val="en-US"/>
            </w:rPr>
          </w:pPr>
          <w:hyperlink w:anchor="_Toc238675512" w:history="1">
            <w:r w:rsidRPr="002768B5">
              <w:rPr>
                <w:rStyle w:val="Hyperlink"/>
                <w:noProof/>
              </w:rPr>
              <w:t>4.8.1 Market penetration (existing product, existing markets)</w:t>
            </w:r>
            <w:r>
              <w:rPr>
                <w:noProof/>
                <w:webHidden/>
              </w:rPr>
              <w:tab/>
            </w:r>
            <w:r>
              <w:rPr>
                <w:noProof/>
                <w:webHidden/>
              </w:rPr>
              <w:fldChar w:fldCharType="begin"/>
            </w:r>
            <w:r>
              <w:rPr>
                <w:noProof/>
                <w:webHidden/>
              </w:rPr>
              <w:instrText xml:space="preserve"> PAGEREF _Toc238675512 \h </w:instrText>
            </w:r>
            <w:r>
              <w:rPr>
                <w:noProof/>
                <w:webHidden/>
              </w:rPr>
            </w:r>
            <w:r>
              <w:rPr>
                <w:noProof/>
                <w:webHidden/>
              </w:rPr>
              <w:fldChar w:fldCharType="separate"/>
            </w:r>
            <w:r>
              <w:rPr>
                <w:noProof/>
                <w:webHidden/>
              </w:rPr>
              <w:t>36</w:t>
            </w:r>
            <w:r>
              <w:rPr>
                <w:noProof/>
                <w:webHidden/>
              </w:rPr>
              <w:fldChar w:fldCharType="end"/>
            </w:r>
          </w:hyperlink>
        </w:p>
        <w:p w14:paraId="4926CBE7" w14:textId="713EE625" w:rsidR="00100AC3" w:rsidRDefault="00100AC3">
          <w:pPr>
            <w:pStyle w:val="TOC3"/>
            <w:tabs>
              <w:tab w:val="right" w:leader="dot" w:pos="9016"/>
            </w:tabs>
            <w:rPr>
              <w:rFonts w:asciiTheme="minorHAnsi" w:eastAsiaTheme="minorEastAsia" w:hAnsiTheme="minorHAnsi"/>
              <w:noProof/>
              <w:sz w:val="22"/>
              <w:lang w:val="en-US"/>
            </w:rPr>
          </w:pPr>
          <w:hyperlink w:anchor="_Toc238675513" w:history="1">
            <w:r w:rsidRPr="002768B5">
              <w:rPr>
                <w:rStyle w:val="Hyperlink"/>
                <w:noProof/>
              </w:rPr>
              <w:t>4.8.2 Market development (existing products, new markets)</w:t>
            </w:r>
            <w:r>
              <w:rPr>
                <w:noProof/>
                <w:webHidden/>
              </w:rPr>
              <w:tab/>
            </w:r>
            <w:r>
              <w:rPr>
                <w:noProof/>
                <w:webHidden/>
              </w:rPr>
              <w:fldChar w:fldCharType="begin"/>
            </w:r>
            <w:r>
              <w:rPr>
                <w:noProof/>
                <w:webHidden/>
              </w:rPr>
              <w:instrText xml:space="preserve"> PAGEREF _Toc238675513 \h </w:instrText>
            </w:r>
            <w:r>
              <w:rPr>
                <w:noProof/>
                <w:webHidden/>
              </w:rPr>
            </w:r>
            <w:r>
              <w:rPr>
                <w:noProof/>
                <w:webHidden/>
              </w:rPr>
              <w:fldChar w:fldCharType="separate"/>
            </w:r>
            <w:r>
              <w:rPr>
                <w:noProof/>
                <w:webHidden/>
              </w:rPr>
              <w:t>37</w:t>
            </w:r>
            <w:r>
              <w:rPr>
                <w:noProof/>
                <w:webHidden/>
              </w:rPr>
              <w:fldChar w:fldCharType="end"/>
            </w:r>
          </w:hyperlink>
        </w:p>
        <w:p w14:paraId="70694AFC" w14:textId="3BA141E2" w:rsidR="00100AC3" w:rsidRDefault="00100AC3">
          <w:pPr>
            <w:pStyle w:val="TOC3"/>
            <w:tabs>
              <w:tab w:val="right" w:leader="dot" w:pos="9016"/>
            </w:tabs>
            <w:rPr>
              <w:rFonts w:asciiTheme="minorHAnsi" w:eastAsiaTheme="minorEastAsia" w:hAnsiTheme="minorHAnsi"/>
              <w:noProof/>
              <w:sz w:val="22"/>
              <w:lang w:val="en-US"/>
            </w:rPr>
          </w:pPr>
          <w:hyperlink w:anchor="_Toc238675514" w:history="1">
            <w:r w:rsidRPr="002768B5">
              <w:rPr>
                <w:rStyle w:val="Hyperlink"/>
                <w:noProof/>
              </w:rPr>
              <w:t>4.8.3 Product development (new products, existing markets)</w:t>
            </w:r>
            <w:r>
              <w:rPr>
                <w:noProof/>
                <w:webHidden/>
              </w:rPr>
              <w:tab/>
            </w:r>
            <w:r>
              <w:rPr>
                <w:noProof/>
                <w:webHidden/>
              </w:rPr>
              <w:fldChar w:fldCharType="begin"/>
            </w:r>
            <w:r>
              <w:rPr>
                <w:noProof/>
                <w:webHidden/>
              </w:rPr>
              <w:instrText xml:space="preserve"> PAGEREF _Toc238675514 \h </w:instrText>
            </w:r>
            <w:r>
              <w:rPr>
                <w:noProof/>
                <w:webHidden/>
              </w:rPr>
            </w:r>
            <w:r>
              <w:rPr>
                <w:noProof/>
                <w:webHidden/>
              </w:rPr>
              <w:fldChar w:fldCharType="separate"/>
            </w:r>
            <w:r>
              <w:rPr>
                <w:noProof/>
                <w:webHidden/>
              </w:rPr>
              <w:t>37</w:t>
            </w:r>
            <w:r>
              <w:rPr>
                <w:noProof/>
                <w:webHidden/>
              </w:rPr>
              <w:fldChar w:fldCharType="end"/>
            </w:r>
          </w:hyperlink>
        </w:p>
        <w:p w14:paraId="126E9F3C" w14:textId="1D53D74A" w:rsidR="00100AC3" w:rsidRDefault="00100AC3">
          <w:pPr>
            <w:pStyle w:val="TOC3"/>
            <w:tabs>
              <w:tab w:val="right" w:leader="dot" w:pos="9016"/>
            </w:tabs>
            <w:rPr>
              <w:rFonts w:asciiTheme="minorHAnsi" w:eastAsiaTheme="minorEastAsia" w:hAnsiTheme="minorHAnsi"/>
              <w:noProof/>
              <w:sz w:val="22"/>
              <w:lang w:val="en-US"/>
            </w:rPr>
          </w:pPr>
          <w:hyperlink w:anchor="_Toc238675515" w:history="1">
            <w:r w:rsidRPr="002768B5">
              <w:rPr>
                <w:rStyle w:val="Hyperlink"/>
                <w:noProof/>
              </w:rPr>
              <w:t>4.8.4 Diversification (new products, new markets):</w:t>
            </w:r>
            <w:r>
              <w:rPr>
                <w:noProof/>
                <w:webHidden/>
              </w:rPr>
              <w:tab/>
            </w:r>
            <w:r>
              <w:rPr>
                <w:noProof/>
                <w:webHidden/>
              </w:rPr>
              <w:fldChar w:fldCharType="begin"/>
            </w:r>
            <w:r>
              <w:rPr>
                <w:noProof/>
                <w:webHidden/>
              </w:rPr>
              <w:instrText xml:space="preserve"> PAGEREF _Toc238675515 \h </w:instrText>
            </w:r>
            <w:r>
              <w:rPr>
                <w:noProof/>
                <w:webHidden/>
              </w:rPr>
            </w:r>
            <w:r>
              <w:rPr>
                <w:noProof/>
                <w:webHidden/>
              </w:rPr>
              <w:fldChar w:fldCharType="separate"/>
            </w:r>
            <w:r>
              <w:rPr>
                <w:noProof/>
                <w:webHidden/>
              </w:rPr>
              <w:t>37</w:t>
            </w:r>
            <w:r>
              <w:rPr>
                <w:noProof/>
                <w:webHidden/>
              </w:rPr>
              <w:fldChar w:fldCharType="end"/>
            </w:r>
          </w:hyperlink>
        </w:p>
        <w:p w14:paraId="38DF73AD" w14:textId="5E11B7B2" w:rsidR="00100AC3" w:rsidRDefault="00100AC3">
          <w:pPr>
            <w:pStyle w:val="TOC2"/>
            <w:tabs>
              <w:tab w:val="right" w:leader="dot" w:pos="9016"/>
            </w:tabs>
            <w:rPr>
              <w:rFonts w:asciiTheme="minorHAnsi" w:eastAsiaTheme="minorEastAsia" w:hAnsiTheme="minorHAnsi"/>
              <w:noProof/>
              <w:sz w:val="22"/>
              <w:lang w:val="en-US"/>
            </w:rPr>
          </w:pPr>
          <w:hyperlink w:anchor="_Toc238675516" w:history="1">
            <w:r w:rsidRPr="002768B5">
              <w:rPr>
                <w:rStyle w:val="Hyperlink"/>
                <w:rFonts w:eastAsia="Times New Roman"/>
                <w:noProof/>
              </w:rPr>
              <w:t>4.9 Overall Strategic Analysis: How the Models Look for Morrisons' GCC Expansion</w:t>
            </w:r>
            <w:r>
              <w:rPr>
                <w:noProof/>
                <w:webHidden/>
              </w:rPr>
              <w:tab/>
            </w:r>
            <w:r>
              <w:rPr>
                <w:noProof/>
                <w:webHidden/>
              </w:rPr>
              <w:fldChar w:fldCharType="begin"/>
            </w:r>
            <w:r>
              <w:rPr>
                <w:noProof/>
                <w:webHidden/>
              </w:rPr>
              <w:instrText xml:space="preserve"> PAGEREF _Toc238675516 \h </w:instrText>
            </w:r>
            <w:r>
              <w:rPr>
                <w:noProof/>
                <w:webHidden/>
              </w:rPr>
            </w:r>
            <w:r>
              <w:rPr>
                <w:noProof/>
                <w:webHidden/>
              </w:rPr>
              <w:fldChar w:fldCharType="separate"/>
            </w:r>
            <w:r>
              <w:rPr>
                <w:noProof/>
                <w:webHidden/>
              </w:rPr>
              <w:t>38</w:t>
            </w:r>
            <w:r>
              <w:rPr>
                <w:noProof/>
                <w:webHidden/>
              </w:rPr>
              <w:fldChar w:fldCharType="end"/>
            </w:r>
          </w:hyperlink>
        </w:p>
        <w:p w14:paraId="6F657422" w14:textId="18DAA51C" w:rsidR="00100AC3" w:rsidRDefault="00100AC3">
          <w:pPr>
            <w:pStyle w:val="TOC1"/>
            <w:tabs>
              <w:tab w:val="left" w:pos="480"/>
              <w:tab w:val="right" w:leader="dot" w:pos="9016"/>
            </w:tabs>
            <w:rPr>
              <w:rFonts w:asciiTheme="minorHAnsi" w:eastAsiaTheme="minorEastAsia" w:hAnsiTheme="minorHAnsi"/>
              <w:noProof/>
              <w:sz w:val="22"/>
              <w:lang w:val="en-US"/>
            </w:rPr>
          </w:pPr>
          <w:hyperlink w:anchor="_Toc238675517" w:history="1">
            <w:r w:rsidRPr="002768B5">
              <w:rPr>
                <w:rStyle w:val="Hyperlink"/>
                <w:noProof/>
              </w:rPr>
              <w:t>5.</w:t>
            </w:r>
            <w:r>
              <w:rPr>
                <w:rFonts w:asciiTheme="minorHAnsi" w:eastAsiaTheme="minorEastAsia" w:hAnsiTheme="minorHAnsi"/>
                <w:noProof/>
                <w:sz w:val="22"/>
                <w:lang w:val="en-US"/>
              </w:rPr>
              <w:tab/>
            </w:r>
            <w:r w:rsidRPr="002768B5">
              <w:rPr>
                <w:rStyle w:val="Hyperlink"/>
                <w:noProof/>
              </w:rPr>
              <w:t>Implementation Plan</w:t>
            </w:r>
            <w:r>
              <w:rPr>
                <w:noProof/>
                <w:webHidden/>
              </w:rPr>
              <w:tab/>
            </w:r>
            <w:r>
              <w:rPr>
                <w:noProof/>
                <w:webHidden/>
              </w:rPr>
              <w:fldChar w:fldCharType="begin"/>
            </w:r>
            <w:r>
              <w:rPr>
                <w:noProof/>
                <w:webHidden/>
              </w:rPr>
              <w:instrText xml:space="preserve"> PAGEREF _Toc238675517 \h </w:instrText>
            </w:r>
            <w:r>
              <w:rPr>
                <w:noProof/>
                <w:webHidden/>
              </w:rPr>
            </w:r>
            <w:r>
              <w:rPr>
                <w:noProof/>
                <w:webHidden/>
              </w:rPr>
              <w:fldChar w:fldCharType="separate"/>
            </w:r>
            <w:r>
              <w:rPr>
                <w:noProof/>
                <w:webHidden/>
              </w:rPr>
              <w:t>39</w:t>
            </w:r>
            <w:r>
              <w:rPr>
                <w:noProof/>
                <w:webHidden/>
              </w:rPr>
              <w:fldChar w:fldCharType="end"/>
            </w:r>
          </w:hyperlink>
        </w:p>
        <w:p w14:paraId="222536B6" w14:textId="50D04AC6" w:rsidR="00100AC3" w:rsidRDefault="00100AC3">
          <w:pPr>
            <w:pStyle w:val="TOC2"/>
            <w:tabs>
              <w:tab w:val="right" w:leader="dot" w:pos="9016"/>
            </w:tabs>
            <w:rPr>
              <w:rFonts w:asciiTheme="minorHAnsi" w:eastAsiaTheme="minorEastAsia" w:hAnsiTheme="minorHAnsi"/>
              <w:noProof/>
              <w:sz w:val="22"/>
              <w:lang w:val="en-US"/>
            </w:rPr>
          </w:pPr>
          <w:hyperlink w:anchor="_Toc238675518" w:history="1">
            <w:r w:rsidRPr="002768B5">
              <w:rPr>
                <w:rStyle w:val="Hyperlink"/>
                <w:noProof/>
              </w:rPr>
              <w:t>5.1 Business Model Canvas</w:t>
            </w:r>
            <w:r>
              <w:rPr>
                <w:noProof/>
                <w:webHidden/>
              </w:rPr>
              <w:tab/>
            </w:r>
            <w:r>
              <w:rPr>
                <w:noProof/>
                <w:webHidden/>
              </w:rPr>
              <w:fldChar w:fldCharType="begin"/>
            </w:r>
            <w:r>
              <w:rPr>
                <w:noProof/>
                <w:webHidden/>
              </w:rPr>
              <w:instrText xml:space="preserve"> PAGEREF _Toc238675518 \h </w:instrText>
            </w:r>
            <w:r>
              <w:rPr>
                <w:noProof/>
                <w:webHidden/>
              </w:rPr>
            </w:r>
            <w:r>
              <w:rPr>
                <w:noProof/>
                <w:webHidden/>
              </w:rPr>
              <w:fldChar w:fldCharType="separate"/>
            </w:r>
            <w:r>
              <w:rPr>
                <w:noProof/>
                <w:webHidden/>
              </w:rPr>
              <w:t>39</w:t>
            </w:r>
            <w:r>
              <w:rPr>
                <w:noProof/>
                <w:webHidden/>
              </w:rPr>
              <w:fldChar w:fldCharType="end"/>
            </w:r>
          </w:hyperlink>
        </w:p>
        <w:p w14:paraId="08B0AF6C" w14:textId="638793A1" w:rsidR="00100AC3" w:rsidRDefault="00100AC3">
          <w:pPr>
            <w:pStyle w:val="TOC3"/>
            <w:tabs>
              <w:tab w:val="right" w:leader="dot" w:pos="9016"/>
            </w:tabs>
            <w:rPr>
              <w:rFonts w:asciiTheme="minorHAnsi" w:eastAsiaTheme="minorEastAsia" w:hAnsiTheme="minorHAnsi"/>
              <w:noProof/>
              <w:sz w:val="22"/>
              <w:lang w:val="en-US"/>
            </w:rPr>
          </w:pPr>
          <w:hyperlink w:anchor="_Toc238675519" w:history="1">
            <w:r w:rsidRPr="002768B5">
              <w:rPr>
                <w:rStyle w:val="Hyperlink"/>
                <w:noProof/>
              </w:rPr>
              <w:t>5.1.1 Key Partners</w:t>
            </w:r>
            <w:r>
              <w:rPr>
                <w:noProof/>
                <w:webHidden/>
              </w:rPr>
              <w:tab/>
            </w:r>
            <w:r>
              <w:rPr>
                <w:noProof/>
                <w:webHidden/>
              </w:rPr>
              <w:fldChar w:fldCharType="begin"/>
            </w:r>
            <w:r>
              <w:rPr>
                <w:noProof/>
                <w:webHidden/>
              </w:rPr>
              <w:instrText xml:space="preserve"> PAGEREF _Toc238675519 \h </w:instrText>
            </w:r>
            <w:r>
              <w:rPr>
                <w:noProof/>
                <w:webHidden/>
              </w:rPr>
            </w:r>
            <w:r>
              <w:rPr>
                <w:noProof/>
                <w:webHidden/>
              </w:rPr>
              <w:fldChar w:fldCharType="separate"/>
            </w:r>
            <w:r>
              <w:rPr>
                <w:noProof/>
                <w:webHidden/>
              </w:rPr>
              <w:t>39</w:t>
            </w:r>
            <w:r>
              <w:rPr>
                <w:noProof/>
                <w:webHidden/>
              </w:rPr>
              <w:fldChar w:fldCharType="end"/>
            </w:r>
          </w:hyperlink>
        </w:p>
        <w:p w14:paraId="7D468AC3" w14:textId="2E4B1FFE" w:rsidR="00100AC3" w:rsidRDefault="00100AC3">
          <w:pPr>
            <w:pStyle w:val="TOC3"/>
            <w:tabs>
              <w:tab w:val="right" w:leader="dot" w:pos="9016"/>
            </w:tabs>
            <w:rPr>
              <w:rFonts w:asciiTheme="minorHAnsi" w:eastAsiaTheme="minorEastAsia" w:hAnsiTheme="minorHAnsi"/>
              <w:noProof/>
              <w:sz w:val="22"/>
              <w:lang w:val="en-US"/>
            </w:rPr>
          </w:pPr>
          <w:hyperlink w:anchor="_Toc238675520" w:history="1">
            <w:r w:rsidRPr="002768B5">
              <w:rPr>
                <w:rStyle w:val="Hyperlink"/>
                <w:noProof/>
              </w:rPr>
              <w:t>5.1.2 Key Activities</w:t>
            </w:r>
            <w:r>
              <w:rPr>
                <w:noProof/>
                <w:webHidden/>
              </w:rPr>
              <w:tab/>
            </w:r>
            <w:r>
              <w:rPr>
                <w:noProof/>
                <w:webHidden/>
              </w:rPr>
              <w:fldChar w:fldCharType="begin"/>
            </w:r>
            <w:r>
              <w:rPr>
                <w:noProof/>
                <w:webHidden/>
              </w:rPr>
              <w:instrText xml:space="preserve"> PAGEREF _Toc238675520 \h </w:instrText>
            </w:r>
            <w:r>
              <w:rPr>
                <w:noProof/>
                <w:webHidden/>
              </w:rPr>
            </w:r>
            <w:r>
              <w:rPr>
                <w:noProof/>
                <w:webHidden/>
              </w:rPr>
              <w:fldChar w:fldCharType="separate"/>
            </w:r>
            <w:r>
              <w:rPr>
                <w:noProof/>
                <w:webHidden/>
              </w:rPr>
              <w:t>40</w:t>
            </w:r>
            <w:r>
              <w:rPr>
                <w:noProof/>
                <w:webHidden/>
              </w:rPr>
              <w:fldChar w:fldCharType="end"/>
            </w:r>
          </w:hyperlink>
        </w:p>
        <w:p w14:paraId="16465474" w14:textId="0115537F" w:rsidR="00100AC3" w:rsidRDefault="00100AC3">
          <w:pPr>
            <w:pStyle w:val="TOC3"/>
            <w:tabs>
              <w:tab w:val="right" w:leader="dot" w:pos="9016"/>
            </w:tabs>
            <w:rPr>
              <w:rFonts w:asciiTheme="minorHAnsi" w:eastAsiaTheme="minorEastAsia" w:hAnsiTheme="minorHAnsi"/>
              <w:noProof/>
              <w:sz w:val="22"/>
              <w:lang w:val="en-US"/>
            </w:rPr>
          </w:pPr>
          <w:hyperlink w:anchor="_Toc238675521" w:history="1">
            <w:r w:rsidRPr="002768B5">
              <w:rPr>
                <w:rStyle w:val="Hyperlink"/>
                <w:noProof/>
              </w:rPr>
              <w:t>5.1.3 Key Resources</w:t>
            </w:r>
            <w:r>
              <w:rPr>
                <w:noProof/>
                <w:webHidden/>
              </w:rPr>
              <w:tab/>
            </w:r>
            <w:r>
              <w:rPr>
                <w:noProof/>
                <w:webHidden/>
              </w:rPr>
              <w:fldChar w:fldCharType="begin"/>
            </w:r>
            <w:r>
              <w:rPr>
                <w:noProof/>
                <w:webHidden/>
              </w:rPr>
              <w:instrText xml:space="preserve"> PAGEREF _Toc238675521 \h </w:instrText>
            </w:r>
            <w:r>
              <w:rPr>
                <w:noProof/>
                <w:webHidden/>
              </w:rPr>
            </w:r>
            <w:r>
              <w:rPr>
                <w:noProof/>
                <w:webHidden/>
              </w:rPr>
              <w:fldChar w:fldCharType="separate"/>
            </w:r>
            <w:r>
              <w:rPr>
                <w:noProof/>
                <w:webHidden/>
              </w:rPr>
              <w:t>40</w:t>
            </w:r>
            <w:r>
              <w:rPr>
                <w:noProof/>
                <w:webHidden/>
              </w:rPr>
              <w:fldChar w:fldCharType="end"/>
            </w:r>
          </w:hyperlink>
        </w:p>
        <w:p w14:paraId="23229220" w14:textId="3CA62FA3" w:rsidR="00100AC3" w:rsidRDefault="00100AC3">
          <w:pPr>
            <w:pStyle w:val="TOC3"/>
            <w:tabs>
              <w:tab w:val="right" w:leader="dot" w:pos="9016"/>
            </w:tabs>
            <w:rPr>
              <w:rFonts w:asciiTheme="minorHAnsi" w:eastAsiaTheme="minorEastAsia" w:hAnsiTheme="minorHAnsi"/>
              <w:noProof/>
              <w:sz w:val="22"/>
              <w:lang w:val="en-US"/>
            </w:rPr>
          </w:pPr>
          <w:hyperlink w:anchor="_Toc238675522" w:history="1">
            <w:r w:rsidRPr="002768B5">
              <w:rPr>
                <w:rStyle w:val="Hyperlink"/>
                <w:noProof/>
              </w:rPr>
              <w:t>5.1.4 Value Proposition</w:t>
            </w:r>
            <w:r>
              <w:rPr>
                <w:noProof/>
                <w:webHidden/>
              </w:rPr>
              <w:tab/>
            </w:r>
            <w:r>
              <w:rPr>
                <w:noProof/>
                <w:webHidden/>
              </w:rPr>
              <w:fldChar w:fldCharType="begin"/>
            </w:r>
            <w:r>
              <w:rPr>
                <w:noProof/>
                <w:webHidden/>
              </w:rPr>
              <w:instrText xml:space="preserve"> PAGEREF _Toc238675522 \h </w:instrText>
            </w:r>
            <w:r>
              <w:rPr>
                <w:noProof/>
                <w:webHidden/>
              </w:rPr>
            </w:r>
            <w:r>
              <w:rPr>
                <w:noProof/>
                <w:webHidden/>
              </w:rPr>
              <w:fldChar w:fldCharType="separate"/>
            </w:r>
            <w:r>
              <w:rPr>
                <w:noProof/>
                <w:webHidden/>
              </w:rPr>
              <w:t>40</w:t>
            </w:r>
            <w:r>
              <w:rPr>
                <w:noProof/>
                <w:webHidden/>
              </w:rPr>
              <w:fldChar w:fldCharType="end"/>
            </w:r>
          </w:hyperlink>
        </w:p>
        <w:p w14:paraId="004CA102" w14:textId="4D8EE48C" w:rsidR="00100AC3" w:rsidRDefault="00100AC3">
          <w:pPr>
            <w:pStyle w:val="TOC3"/>
            <w:tabs>
              <w:tab w:val="right" w:leader="dot" w:pos="9016"/>
            </w:tabs>
            <w:rPr>
              <w:rFonts w:asciiTheme="minorHAnsi" w:eastAsiaTheme="minorEastAsia" w:hAnsiTheme="minorHAnsi"/>
              <w:noProof/>
              <w:sz w:val="22"/>
              <w:lang w:val="en-US"/>
            </w:rPr>
          </w:pPr>
          <w:hyperlink w:anchor="_Toc238675523" w:history="1">
            <w:r w:rsidRPr="002768B5">
              <w:rPr>
                <w:rStyle w:val="Hyperlink"/>
                <w:noProof/>
              </w:rPr>
              <w:t>5.1.5 Customer Relationships</w:t>
            </w:r>
            <w:r>
              <w:rPr>
                <w:noProof/>
                <w:webHidden/>
              </w:rPr>
              <w:tab/>
            </w:r>
            <w:r>
              <w:rPr>
                <w:noProof/>
                <w:webHidden/>
              </w:rPr>
              <w:fldChar w:fldCharType="begin"/>
            </w:r>
            <w:r>
              <w:rPr>
                <w:noProof/>
                <w:webHidden/>
              </w:rPr>
              <w:instrText xml:space="preserve"> PAGEREF _Toc238675523 \h </w:instrText>
            </w:r>
            <w:r>
              <w:rPr>
                <w:noProof/>
                <w:webHidden/>
              </w:rPr>
            </w:r>
            <w:r>
              <w:rPr>
                <w:noProof/>
                <w:webHidden/>
              </w:rPr>
              <w:fldChar w:fldCharType="separate"/>
            </w:r>
            <w:r>
              <w:rPr>
                <w:noProof/>
                <w:webHidden/>
              </w:rPr>
              <w:t>41</w:t>
            </w:r>
            <w:r>
              <w:rPr>
                <w:noProof/>
                <w:webHidden/>
              </w:rPr>
              <w:fldChar w:fldCharType="end"/>
            </w:r>
          </w:hyperlink>
        </w:p>
        <w:p w14:paraId="16C972DD" w14:textId="3337ACD9" w:rsidR="00100AC3" w:rsidRDefault="00100AC3">
          <w:pPr>
            <w:pStyle w:val="TOC3"/>
            <w:tabs>
              <w:tab w:val="right" w:leader="dot" w:pos="9016"/>
            </w:tabs>
            <w:rPr>
              <w:rFonts w:asciiTheme="minorHAnsi" w:eastAsiaTheme="minorEastAsia" w:hAnsiTheme="minorHAnsi"/>
              <w:noProof/>
              <w:sz w:val="22"/>
              <w:lang w:val="en-US"/>
            </w:rPr>
          </w:pPr>
          <w:hyperlink w:anchor="_Toc238675524" w:history="1">
            <w:r w:rsidRPr="002768B5">
              <w:rPr>
                <w:rStyle w:val="Hyperlink"/>
                <w:noProof/>
              </w:rPr>
              <w:t>5.1.6 Channels</w:t>
            </w:r>
            <w:r>
              <w:rPr>
                <w:noProof/>
                <w:webHidden/>
              </w:rPr>
              <w:tab/>
            </w:r>
            <w:r>
              <w:rPr>
                <w:noProof/>
                <w:webHidden/>
              </w:rPr>
              <w:fldChar w:fldCharType="begin"/>
            </w:r>
            <w:r>
              <w:rPr>
                <w:noProof/>
                <w:webHidden/>
              </w:rPr>
              <w:instrText xml:space="preserve"> PAGEREF _Toc238675524 \h </w:instrText>
            </w:r>
            <w:r>
              <w:rPr>
                <w:noProof/>
                <w:webHidden/>
              </w:rPr>
            </w:r>
            <w:r>
              <w:rPr>
                <w:noProof/>
                <w:webHidden/>
              </w:rPr>
              <w:fldChar w:fldCharType="separate"/>
            </w:r>
            <w:r>
              <w:rPr>
                <w:noProof/>
                <w:webHidden/>
              </w:rPr>
              <w:t>41</w:t>
            </w:r>
            <w:r>
              <w:rPr>
                <w:noProof/>
                <w:webHidden/>
              </w:rPr>
              <w:fldChar w:fldCharType="end"/>
            </w:r>
          </w:hyperlink>
        </w:p>
        <w:p w14:paraId="49485769" w14:textId="0C8F76F5" w:rsidR="00100AC3" w:rsidRDefault="00100AC3">
          <w:pPr>
            <w:pStyle w:val="TOC3"/>
            <w:tabs>
              <w:tab w:val="right" w:leader="dot" w:pos="9016"/>
            </w:tabs>
            <w:rPr>
              <w:rFonts w:asciiTheme="minorHAnsi" w:eastAsiaTheme="minorEastAsia" w:hAnsiTheme="minorHAnsi"/>
              <w:noProof/>
              <w:sz w:val="22"/>
              <w:lang w:val="en-US"/>
            </w:rPr>
          </w:pPr>
          <w:hyperlink w:anchor="_Toc238675525" w:history="1">
            <w:r w:rsidRPr="002768B5">
              <w:rPr>
                <w:rStyle w:val="Hyperlink"/>
                <w:noProof/>
              </w:rPr>
              <w:t>5.1.7 Customer Segments</w:t>
            </w:r>
            <w:r>
              <w:rPr>
                <w:noProof/>
                <w:webHidden/>
              </w:rPr>
              <w:tab/>
            </w:r>
            <w:r>
              <w:rPr>
                <w:noProof/>
                <w:webHidden/>
              </w:rPr>
              <w:fldChar w:fldCharType="begin"/>
            </w:r>
            <w:r>
              <w:rPr>
                <w:noProof/>
                <w:webHidden/>
              </w:rPr>
              <w:instrText xml:space="preserve"> PAGEREF _Toc238675525 \h </w:instrText>
            </w:r>
            <w:r>
              <w:rPr>
                <w:noProof/>
                <w:webHidden/>
              </w:rPr>
            </w:r>
            <w:r>
              <w:rPr>
                <w:noProof/>
                <w:webHidden/>
              </w:rPr>
              <w:fldChar w:fldCharType="separate"/>
            </w:r>
            <w:r>
              <w:rPr>
                <w:noProof/>
                <w:webHidden/>
              </w:rPr>
              <w:t>41</w:t>
            </w:r>
            <w:r>
              <w:rPr>
                <w:noProof/>
                <w:webHidden/>
              </w:rPr>
              <w:fldChar w:fldCharType="end"/>
            </w:r>
          </w:hyperlink>
        </w:p>
        <w:p w14:paraId="774E3828" w14:textId="75BBF049" w:rsidR="00100AC3" w:rsidRDefault="00100AC3">
          <w:pPr>
            <w:pStyle w:val="TOC3"/>
            <w:tabs>
              <w:tab w:val="right" w:leader="dot" w:pos="9016"/>
            </w:tabs>
            <w:rPr>
              <w:rFonts w:asciiTheme="minorHAnsi" w:eastAsiaTheme="minorEastAsia" w:hAnsiTheme="minorHAnsi"/>
              <w:noProof/>
              <w:sz w:val="22"/>
              <w:lang w:val="en-US"/>
            </w:rPr>
          </w:pPr>
          <w:hyperlink w:anchor="_Toc238675526" w:history="1">
            <w:r w:rsidRPr="002768B5">
              <w:rPr>
                <w:rStyle w:val="Hyperlink"/>
                <w:noProof/>
              </w:rPr>
              <w:t>5.1.8 Cost Structure</w:t>
            </w:r>
            <w:r>
              <w:rPr>
                <w:noProof/>
                <w:webHidden/>
              </w:rPr>
              <w:tab/>
            </w:r>
            <w:r>
              <w:rPr>
                <w:noProof/>
                <w:webHidden/>
              </w:rPr>
              <w:fldChar w:fldCharType="begin"/>
            </w:r>
            <w:r>
              <w:rPr>
                <w:noProof/>
                <w:webHidden/>
              </w:rPr>
              <w:instrText xml:space="preserve"> PAGEREF _Toc238675526 \h </w:instrText>
            </w:r>
            <w:r>
              <w:rPr>
                <w:noProof/>
                <w:webHidden/>
              </w:rPr>
            </w:r>
            <w:r>
              <w:rPr>
                <w:noProof/>
                <w:webHidden/>
              </w:rPr>
              <w:fldChar w:fldCharType="separate"/>
            </w:r>
            <w:r>
              <w:rPr>
                <w:noProof/>
                <w:webHidden/>
              </w:rPr>
              <w:t>41</w:t>
            </w:r>
            <w:r>
              <w:rPr>
                <w:noProof/>
                <w:webHidden/>
              </w:rPr>
              <w:fldChar w:fldCharType="end"/>
            </w:r>
          </w:hyperlink>
        </w:p>
        <w:p w14:paraId="0ECD40DC" w14:textId="6CE04104" w:rsidR="00100AC3" w:rsidRDefault="00100AC3">
          <w:pPr>
            <w:pStyle w:val="TOC3"/>
            <w:tabs>
              <w:tab w:val="right" w:leader="dot" w:pos="9016"/>
            </w:tabs>
            <w:rPr>
              <w:rFonts w:asciiTheme="minorHAnsi" w:eastAsiaTheme="minorEastAsia" w:hAnsiTheme="minorHAnsi"/>
              <w:noProof/>
              <w:sz w:val="22"/>
              <w:lang w:val="en-US"/>
            </w:rPr>
          </w:pPr>
          <w:hyperlink w:anchor="_Toc238675527" w:history="1">
            <w:r w:rsidRPr="002768B5">
              <w:rPr>
                <w:rStyle w:val="Hyperlink"/>
                <w:noProof/>
              </w:rPr>
              <w:t>5.1.9 Revenue Streams</w:t>
            </w:r>
            <w:r>
              <w:rPr>
                <w:noProof/>
                <w:webHidden/>
              </w:rPr>
              <w:tab/>
            </w:r>
            <w:r>
              <w:rPr>
                <w:noProof/>
                <w:webHidden/>
              </w:rPr>
              <w:fldChar w:fldCharType="begin"/>
            </w:r>
            <w:r>
              <w:rPr>
                <w:noProof/>
                <w:webHidden/>
              </w:rPr>
              <w:instrText xml:space="preserve"> PAGEREF _Toc238675527 \h </w:instrText>
            </w:r>
            <w:r>
              <w:rPr>
                <w:noProof/>
                <w:webHidden/>
              </w:rPr>
            </w:r>
            <w:r>
              <w:rPr>
                <w:noProof/>
                <w:webHidden/>
              </w:rPr>
              <w:fldChar w:fldCharType="separate"/>
            </w:r>
            <w:r>
              <w:rPr>
                <w:noProof/>
                <w:webHidden/>
              </w:rPr>
              <w:t>42</w:t>
            </w:r>
            <w:r>
              <w:rPr>
                <w:noProof/>
                <w:webHidden/>
              </w:rPr>
              <w:fldChar w:fldCharType="end"/>
            </w:r>
          </w:hyperlink>
        </w:p>
        <w:p w14:paraId="733DE1CE" w14:textId="3E329D35" w:rsidR="00100AC3" w:rsidRDefault="00100AC3">
          <w:pPr>
            <w:pStyle w:val="TOC3"/>
            <w:tabs>
              <w:tab w:val="right" w:leader="dot" w:pos="9016"/>
            </w:tabs>
            <w:rPr>
              <w:rFonts w:asciiTheme="minorHAnsi" w:eastAsiaTheme="minorEastAsia" w:hAnsiTheme="minorHAnsi"/>
              <w:noProof/>
              <w:sz w:val="22"/>
              <w:lang w:val="en-US"/>
            </w:rPr>
          </w:pPr>
          <w:hyperlink w:anchor="_Toc238675528" w:history="1">
            <w:r w:rsidRPr="002768B5">
              <w:rPr>
                <w:rStyle w:val="Hyperlink"/>
                <w:noProof/>
              </w:rPr>
              <w:t>5.1.10 Interpretation and Improvement Areas</w:t>
            </w:r>
            <w:r>
              <w:rPr>
                <w:noProof/>
                <w:webHidden/>
              </w:rPr>
              <w:tab/>
            </w:r>
            <w:r>
              <w:rPr>
                <w:noProof/>
                <w:webHidden/>
              </w:rPr>
              <w:fldChar w:fldCharType="begin"/>
            </w:r>
            <w:r>
              <w:rPr>
                <w:noProof/>
                <w:webHidden/>
              </w:rPr>
              <w:instrText xml:space="preserve"> PAGEREF _Toc238675528 \h </w:instrText>
            </w:r>
            <w:r>
              <w:rPr>
                <w:noProof/>
                <w:webHidden/>
              </w:rPr>
            </w:r>
            <w:r>
              <w:rPr>
                <w:noProof/>
                <w:webHidden/>
              </w:rPr>
              <w:fldChar w:fldCharType="separate"/>
            </w:r>
            <w:r>
              <w:rPr>
                <w:noProof/>
                <w:webHidden/>
              </w:rPr>
              <w:t>42</w:t>
            </w:r>
            <w:r>
              <w:rPr>
                <w:noProof/>
                <w:webHidden/>
              </w:rPr>
              <w:fldChar w:fldCharType="end"/>
            </w:r>
          </w:hyperlink>
        </w:p>
        <w:p w14:paraId="280C8A48" w14:textId="7852E138" w:rsidR="00100AC3" w:rsidRDefault="00100AC3">
          <w:pPr>
            <w:pStyle w:val="TOC2"/>
            <w:tabs>
              <w:tab w:val="right" w:leader="dot" w:pos="9016"/>
            </w:tabs>
            <w:rPr>
              <w:rFonts w:asciiTheme="minorHAnsi" w:eastAsiaTheme="minorEastAsia" w:hAnsiTheme="minorHAnsi"/>
              <w:noProof/>
              <w:sz w:val="22"/>
              <w:lang w:val="en-US"/>
            </w:rPr>
          </w:pPr>
          <w:hyperlink w:anchor="_Toc238675529" w:history="1">
            <w:r w:rsidRPr="002768B5">
              <w:rPr>
                <w:rStyle w:val="Hyperlink"/>
                <w:noProof/>
              </w:rPr>
              <w:t>5.2 HR Allocation and Role Design</w:t>
            </w:r>
            <w:r>
              <w:rPr>
                <w:noProof/>
                <w:webHidden/>
              </w:rPr>
              <w:tab/>
            </w:r>
            <w:r>
              <w:rPr>
                <w:noProof/>
                <w:webHidden/>
              </w:rPr>
              <w:fldChar w:fldCharType="begin"/>
            </w:r>
            <w:r>
              <w:rPr>
                <w:noProof/>
                <w:webHidden/>
              </w:rPr>
              <w:instrText xml:space="preserve"> PAGEREF _Toc238675529 \h </w:instrText>
            </w:r>
            <w:r>
              <w:rPr>
                <w:noProof/>
                <w:webHidden/>
              </w:rPr>
            </w:r>
            <w:r>
              <w:rPr>
                <w:noProof/>
                <w:webHidden/>
              </w:rPr>
              <w:fldChar w:fldCharType="separate"/>
            </w:r>
            <w:r>
              <w:rPr>
                <w:noProof/>
                <w:webHidden/>
              </w:rPr>
              <w:t>42</w:t>
            </w:r>
            <w:r>
              <w:rPr>
                <w:noProof/>
                <w:webHidden/>
              </w:rPr>
              <w:fldChar w:fldCharType="end"/>
            </w:r>
          </w:hyperlink>
        </w:p>
        <w:p w14:paraId="0421BC1C" w14:textId="2DBBAC96" w:rsidR="00100AC3" w:rsidRDefault="00100AC3">
          <w:pPr>
            <w:pStyle w:val="TOC3"/>
            <w:tabs>
              <w:tab w:val="right" w:leader="dot" w:pos="9016"/>
            </w:tabs>
            <w:rPr>
              <w:rFonts w:asciiTheme="minorHAnsi" w:eastAsiaTheme="minorEastAsia" w:hAnsiTheme="minorHAnsi"/>
              <w:noProof/>
              <w:sz w:val="22"/>
              <w:lang w:val="en-US"/>
            </w:rPr>
          </w:pPr>
          <w:hyperlink w:anchor="_Toc238675530" w:history="1">
            <w:r w:rsidRPr="002768B5">
              <w:rPr>
                <w:rStyle w:val="Hyperlink"/>
                <w:noProof/>
              </w:rPr>
              <w:t>5.2.1 Designate a GCC Category Manager for “The Best”</w:t>
            </w:r>
            <w:r>
              <w:rPr>
                <w:noProof/>
                <w:webHidden/>
              </w:rPr>
              <w:tab/>
            </w:r>
            <w:r>
              <w:rPr>
                <w:noProof/>
                <w:webHidden/>
              </w:rPr>
              <w:fldChar w:fldCharType="begin"/>
            </w:r>
            <w:r>
              <w:rPr>
                <w:noProof/>
                <w:webHidden/>
              </w:rPr>
              <w:instrText xml:space="preserve"> PAGEREF _Toc238675530 \h </w:instrText>
            </w:r>
            <w:r>
              <w:rPr>
                <w:noProof/>
                <w:webHidden/>
              </w:rPr>
            </w:r>
            <w:r>
              <w:rPr>
                <w:noProof/>
                <w:webHidden/>
              </w:rPr>
              <w:fldChar w:fldCharType="separate"/>
            </w:r>
            <w:r>
              <w:rPr>
                <w:noProof/>
                <w:webHidden/>
              </w:rPr>
              <w:t>42</w:t>
            </w:r>
            <w:r>
              <w:rPr>
                <w:noProof/>
                <w:webHidden/>
              </w:rPr>
              <w:fldChar w:fldCharType="end"/>
            </w:r>
          </w:hyperlink>
        </w:p>
        <w:p w14:paraId="1D3A2A62" w14:textId="1E37461C" w:rsidR="00100AC3" w:rsidRDefault="00100AC3">
          <w:pPr>
            <w:pStyle w:val="TOC3"/>
            <w:tabs>
              <w:tab w:val="right" w:leader="dot" w:pos="9016"/>
            </w:tabs>
            <w:rPr>
              <w:rFonts w:asciiTheme="minorHAnsi" w:eastAsiaTheme="minorEastAsia" w:hAnsiTheme="minorHAnsi"/>
              <w:noProof/>
              <w:sz w:val="22"/>
              <w:lang w:val="en-US"/>
            </w:rPr>
          </w:pPr>
          <w:hyperlink w:anchor="_Toc238675531" w:history="1">
            <w:r w:rsidRPr="002768B5">
              <w:rPr>
                <w:rStyle w:val="Hyperlink"/>
                <w:noProof/>
              </w:rPr>
              <w:t>5.2.2 Enhance local market insight via regional marketing specialists</w:t>
            </w:r>
            <w:r>
              <w:rPr>
                <w:noProof/>
                <w:webHidden/>
              </w:rPr>
              <w:tab/>
            </w:r>
            <w:r>
              <w:rPr>
                <w:noProof/>
                <w:webHidden/>
              </w:rPr>
              <w:fldChar w:fldCharType="begin"/>
            </w:r>
            <w:r>
              <w:rPr>
                <w:noProof/>
                <w:webHidden/>
              </w:rPr>
              <w:instrText xml:space="preserve"> PAGEREF _Toc238675531 \h </w:instrText>
            </w:r>
            <w:r>
              <w:rPr>
                <w:noProof/>
                <w:webHidden/>
              </w:rPr>
            </w:r>
            <w:r>
              <w:rPr>
                <w:noProof/>
                <w:webHidden/>
              </w:rPr>
              <w:fldChar w:fldCharType="separate"/>
            </w:r>
            <w:r>
              <w:rPr>
                <w:noProof/>
                <w:webHidden/>
              </w:rPr>
              <w:t>43</w:t>
            </w:r>
            <w:r>
              <w:rPr>
                <w:noProof/>
                <w:webHidden/>
              </w:rPr>
              <w:fldChar w:fldCharType="end"/>
            </w:r>
          </w:hyperlink>
        </w:p>
        <w:p w14:paraId="5B78AB85" w14:textId="598F1AEC" w:rsidR="00100AC3" w:rsidRDefault="00100AC3">
          <w:pPr>
            <w:pStyle w:val="TOC3"/>
            <w:tabs>
              <w:tab w:val="right" w:leader="dot" w:pos="9016"/>
            </w:tabs>
            <w:rPr>
              <w:rFonts w:asciiTheme="minorHAnsi" w:eastAsiaTheme="minorEastAsia" w:hAnsiTheme="minorHAnsi"/>
              <w:noProof/>
              <w:sz w:val="22"/>
              <w:lang w:val="en-US"/>
            </w:rPr>
          </w:pPr>
          <w:hyperlink w:anchor="_Toc238675532" w:history="1">
            <w:r w:rsidRPr="002768B5">
              <w:rPr>
                <w:rStyle w:val="Hyperlink"/>
                <w:noProof/>
              </w:rPr>
              <w:t>5.2.3 Develop data analytics capability for GCC retail data</w:t>
            </w:r>
            <w:r>
              <w:rPr>
                <w:noProof/>
                <w:webHidden/>
              </w:rPr>
              <w:tab/>
            </w:r>
            <w:r>
              <w:rPr>
                <w:noProof/>
                <w:webHidden/>
              </w:rPr>
              <w:fldChar w:fldCharType="begin"/>
            </w:r>
            <w:r>
              <w:rPr>
                <w:noProof/>
                <w:webHidden/>
              </w:rPr>
              <w:instrText xml:space="preserve"> PAGEREF _Toc238675532 \h </w:instrText>
            </w:r>
            <w:r>
              <w:rPr>
                <w:noProof/>
                <w:webHidden/>
              </w:rPr>
            </w:r>
            <w:r>
              <w:rPr>
                <w:noProof/>
                <w:webHidden/>
              </w:rPr>
              <w:fldChar w:fldCharType="separate"/>
            </w:r>
            <w:r>
              <w:rPr>
                <w:noProof/>
                <w:webHidden/>
              </w:rPr>
              <w:t>43</w:t>
            </w:r>
            <w:r>
              <w:rPr>
                <w:noProof/>
                <w:webHidden/>
              </w:rPr>
              <w:fldChar w:fldCharType="end"/>
            </w:r>
          </w:hyperlink>
        </w:p>
        <w:p w14:paraId="3F58F6D1" w14:textId="2BED436C" w:rsidR="00100AC3" w:rsidRDefault="00100AC3">
          <w:pPr>
            <w:pStyle w:val="TOC2"/>
            <w:tabs>
              <w:tab w:val="right" w:leader="dot" w:pos="9016"/>
            </w:tabs>
            <w:rPr>
              <w:rFonts w:asciiTheme="minorHAnsi" w:eastAsiaTheme="minorEastAsia" w:hAnsiTheme="minorHAnsi"/>
              <w:noProof/>
              <w:sz w:val="22"/>
              <w:lang w:val="en-US"/>
            </w:rPr>
          </w:pPr>
          <w:hyperlink w:anchor="_Toc238675533" w:history="1">
            <w:r w:rsidRPr="002768B5">
              <w:rPr>
                <w:rStyle w:val="Hyperlink"/>
                <w:noProof/>
              </w:rPr>
              <w:t>5.3 Operational Improvements</w:t>
            </w:r>
            <w:r>
              <w:rPr>
                <w:noProof/>
                <w:webHidden/>
              </w:rPr>
              <w:tab/>
            </w:r>
            <w:r>
              <w:rPr>
                <w:noProof/>
                <w:webHidden/>
              </w:rPr>
              <w:fldChar w:fldCharType="begin"/>
            </w:r>
            <w:r>
              <w:rPr>
                <w:noProof/>
                <w:webHidden/>
              </w:rPr>
              <w:instrText xml:space="preserve"> PAGEREF _Toc238675533 \h </w:instrText>
            </w:r>
            <w:r>
              <w:rPr>
                <w:noProof/>
                <w:webHidden/>
              </w:rPr>
            </w:r>
            <w:r>
              <w:rPr>
                <w:noProof/>
                <w:webHidden/>
              </w:rPr>
              <w:fldChar w:fldCharType="separate"/>
            </w:r>
            <w:r>
              <w:rPr>
                <w:noProof/>
                <w:webHidden/>
              </w:rPr>
              <w:t>44</w:t>
            </w:r>
            <w:r>
              <w:rPr>
                <w:noProof/>
                <w:webHidden/>
              </w:rPr>
              <w:fldChar w:fldCharType="end"/>
            </w:r>
          </w:hyperlink>
        </w:p>
        <w:p w14:paraId="5301802C" w14:textId="089DEC92" w:rsidR="00100AC3" w:rsidRDefault="00100AC3">
          <w:pPr>
            <w:pStyle w:val="TOC3"/>
            <w:tabs>
              <w:tab w:val="right" w:leader="dot" w:pos="9016"/>
            </w:tabs>
            <w:rPr>
              <w:rFonts w:asciiTheme="minorHAnsi" w:eastAsiaTheme="minorEastAsia" w:hAnsiTheme="minorHAnsi"/>
              <w:noProof/>
              <w:sz w:val="22"/>
              <w:lang w:val="en-US"/>
            </w:rPr>
          </w:pPr>
          <w:hyperlink w:anchor="_Toc238675534" w:history="1">
            <w:r w:rsidRPr="002768B5">
              <w:rPr>
                <w:rStyle w:val="Hyperlink"/>
                <w:noProof/>
              </w:rPr>
              <w:t>5.3.1 Supply and assortment planning</w:t>
            </w:r>
            <w:r>
              <w:rPr>
                <w:noProof/>
                <w:webHidden/>
              </w:rPr>
              <w:tab/>
            </w:r>
            <w:r>
              <w:rPr>
                <w:noProof/>
                <w:webHidden/>
              </w:rPr>
              <w:fldChar w:fldCharType="begin"/>
            </w:r>
            <w:r>
              <w:rPr>
                <w:noProof/>
                <w:webHidden/>
              </w:rPr>
              <w:instrText xml:space="preserve"> PAGEREF _Toc238675534 \h </w:instrText>
            </w:r>
            <w:r>
              <w:rPr>
                <w:noProof/>
                <w:webHidden/>
              </w:rPr>
            </w:r>
            <w:r>
              <w:rPr>
                <w:noProof/>
                <w:webHidden/>
              </w:rPr>
              <w:fldChar w:fldCharType="separate"/>
            </w:r>
            <w:r>
              <w:rPr>
                <w:noProof/>
                <w:webHidden/>
              </w:rPr>
              <w:t>44</w:t>
            </w:r>
            <w:r>
              <w:rPr>
                <w:noProof/>
                <w:webHidden/>
              </w:rPr>
              <w:fldChar w:fldCharType="end"/>
            </w:r>
          </w:hyperlink>
        </w:p>
        <w:p w14:paraId="7B9F066D" w14:textId="6EE8773B" w:rsidR="00100AC3" w:rsidRDefault="00100AC3">
          <w:pPr>
            <w:pStyle w:val="TOC3"/>
            <w:tabs>
              <w:tab w:val="right" w:leader="dot" w:pos="9016"/>
            </w:tabs>
            <w:rPr>
              <w:rFonts w:asciiTheme="minorHAnsi" w:eastAsiaTheme="minorEastAsia" w:hAnsiTheme="minorHAnsi"/>
              <w:noProof/>
              <w:sz w:val="22"/>
              <w:lang w:val="en-US"/>
            </w:rPr>
          </w:pPr>
          <w:hyperlink w:anchor="_Toc238675535" w:history="1">
            <w:r w:rsidRPr="002768B5">
              <w:rPr>
                <w:rStyle w:val="Hyperlink"/>
                <w:noProof/>
              </w:rPr>
              <w:t>5.3.2 Regulatory compliance and packaging</w:t>
            </w:r>
            <w:r>
              <w:rPr>
                <w:noProof/>
                <w:webHidden/>
              </w:rPr>
              <w:tab/>
            </w:r>
            <w:r>
              <w:rPr>
                <w:noProof/>
                <w:webHidden/>
              </w:rPr>
              <w:fldChar w:fldCharType="begin"/>
            </w:r>
            <w:r>
              <w:rPr>
                <w:noProof/>
                <w:webHidden/>
              </w:rPr>
              <w:instrText xml:space="preserve"> PAGEREF _Toc238675535 \h </w:instrText>
            </w:r>
            <w:r>
              <w:rPr>
                <w:noProof/>
                <w:webHidden/>
              </w:rPr>
            </w:r>
            <w:r>
              <w:rPr>
                <w:noProof/>
                <w:webHidden/>
              </w:rPr>
              <w:fldChar w:fldCharType="separate"/>
            </w:r>
            <w:r>
              <w:rPr>
                <w:noProof/>
                <w:webHidden/>
              </w:rPr>
              <w:t>44</w:t>
            </w:r>
            <w:r>
              <w:rPr>
                <w:noProof/>
                <w:webHidden/>
              </w:rPr>
              <w:fldChar w:fldCharType="end"/>
            </w:r>
          </w:hyperlink>
        </w:p>
        <w:p w14:paraId="1EC679C3" w14:textId="475768AF" w:rsidR="00100AC3" w:rsidRDefault="00100AC3">
          <w:pPr>
            <w:pStyle w:val="TOC3"/>
            <w:tabs>
              <w:tab w:val="right" w:leader="dot" w:pos="9016"/>
            </w:tabs>
            <w:rPr>
              <w:rFonts w:asciiTheme="minorHAnsi" w:eastAsiaTheme="minorEastAsia" w:hAnsiTheme="minorHAnsi"/>
              <w:noProof/>
              <w:sz w:val="22"/>
              <w:lang w:val="en-US"/>
            </w:rPr>
          </w:pPr>
          <w:hyperlink w:anchor="_Toc238675536" w:history="1">
            <w:r w:rsidRPr="002768B5">
              <w:rPr>
                <w:rStyle w:val="Hyperlink"/>
                <w:noProof/>
              </w:rPr>
              <w:t>5.3.3 Logistics optimisation and forecasting</w:t>
            </w:r>
            <w:r>
              <w:rPr>
                <w:noProof/>
                <w:webHidden/>
              </w:rPr>
              <w:tab/>
            </w:r>
            <w:r>
              <w:rPr>
                <w:noProof/>
                <w:webHidden/>
              </w:rPr>
              <w:fldChar w:fldCharType="begin"/>
            </w:r>
            <w:r>
              <w:rPr>
                <w:noProof/>
                <w:webHidden/>
              </w:rPr>
              <w:instrText xml:space="preserve"> PAGEREF _Toc238675536 \h </w:instrText>
            </w:r>
            <w:r>
              <w:rPr>
                <w:noProof/>
                <w:webHidden/>
              </w:rPr>
            </w:r>
            <w:r>
              <w:rPr>
                <w:noProof/>
                <w:webHidden/>
              </w:rPr>
              <w:fldChar w:fldCharType="separate"/>
            </w:r>
            <w:r>
              <w:rPr>
                <w:noProof/>
                <w:webHidden/>
              </w:rPr>
              <w:t>44</w:t>
            </w:r>
            <w:r>
              <w:rPr>
                <w:noProof/>
                <w:webHidden/>
              </w:rPr>
              <w:fldChar w:fldCharType="end"/>
            </w:r>
          </w:hyperlink>
        </w:p>
        <w:p w14:paraId="3F39F28D" w14:textId="2CE9D4D7" w:rsidR="00100AC3" w:rsidRDefault="00100AC3">
          <w:pPr>
            <w:pStyle w:val="TOC3"/>
            <w:tabs>
              <w:tab w:val="right" w:leader="dot" w:pos="9016"/>
            </w:tabs>
            <w:rPr>
              <w:rFonts w:asciiTheme="minorHAnsi" w:eastAsiaTheme="minorEastAsia" w:hAnsiTheme="minorHAnsi"/>
              <w:noProof/>
              <w:sz w:val="22"/>
              <w:lang w:val="en-US"/>
            </w:rPr>
          </w:pPr>
          <w:hyperlink w:anchor="_Toc238675537" w:history="1">
            <w:r w:rsidRPr="002768B5">
              <w:rPr>
                <w:rStyle w:val="Hyperlink"/>
                <w:noProof/>
              </w:rPr>
              <w:t>5.3.4 Quality control and customer service</w:t>
            </w:r>
            <w:r>
              <w:rPr>
                <w:noProof/>
                <w:webHidden/>
              </w:rPr>
              <w:tab/>
            </w:r>
            <w:r>
              <w:rPr>
                <w:noProof/>
                <w:webHidden/>
              </w:rPr>
              <w:fldChar w:fldCharType="begin"/>
            </w:r>
            <w:r>
              <w:rPr>
                <w:noProof/>
                <w:webHidden/>
              </w:rPr>
              <w:instrText xml:space="preserve"> PAGEREF _Toc238675537 \h </w:instrText>
            </w:r>
            <w:r>
              <w:rPr>
                <w:noProof/>
                <w:webHidden/>
              </w:rPr>
            </w:r>
            <w:r>
              <w:rPr>
                <w:noProof/>
                <w:webHidden/>
              </w:rPr>
              <w:fldChar w:fldCharType="separate"/>
            </w:r>
            <w:r>
              <w:rPr>
                <w:noProof/>
                <w:webHidden/>
              </w:rPr>
              <w:t>45</w:t>
            </w:r>
            <w:r>
              <w:rPr>
                <w:noProof/>
                <w:webHidden/>
              </w:rPr>
              <w:fldChar w:fldCharType="end"/>
            </w:r>
          </w:hyperlink>
        </w:p>
        <w:p w14:paraId="2D1AD45B" w14:textId="6935E00E" w:rsidR="00100AC3" w:rsidRDefault="00100AC3">
          <w:pPr>
            <w:pStyle w:val="TOC2"/>
            <w:tabs>
              <w:tab w:val="right" w:leader="dot" w:pos="9016"/>
            </w:tabs>
            <w:rPr>
              <w:rFonts w:asciiTheme="minorHAnsi" w:eastAsiaTheme="minorEastAsia" w:hAnsiTheme="minorHAnsi"/>
              <w:noProof/>
              <w:sz w:val="22"/>
              <w:lang w:val="en-US"/>
            </w:rPr>
          </w:pPr>
          <w:hyperlink w:anchor="_Toc238675538" w:history="1">
            <w:r w:rsidRPr="002768B5">
              <w:rPr>
                <w:rStyle w:val="Hyperlink"/>
                <w:rFonts w:eastAsia="Times New Roman"/>
                <w:noProof/>
              </w:rPr>
              <w:t>5.4 Financial Plan</w:t>
            </w:r>
            <w:r>
              <w:rPr>
                <w:noProof/>
                <w:webHidden/>
              </w:rPr>
              <w:tab/>
            </w:r>
            <w:r>
              <w:rPr>
                <w:noProof/>
                <w:webHidden/>
              </w:rPr>
              <w:fldChar w:fldCharType="begin"/>
            </w:r>
            <w:r>
              <w:rPr>
                <w:noProof/>
                <w:webHidden/>
              </w:rPr>
              <w:instrText xml:space="preserve"> PAGEREF _Toc238675538 \h </w:instrText>
            </w:r>
            <w:r>
              <w:rPr>
                <w:noProof/>
                <w:webHidden/>
              </w:rPr>
            </w:r>
            <w:r>
              <w:rPr>
                <w:noProof/>
                <w:webHidden/>
              </w:rPr>
              <w:fldChar w:fldCharType="separate"/>
            </w:r>
            <w:r>
              <w:rPr>
                <w:noProof/>
                <w:webHidden/>
              </w:rPr>
              <w:t>45</w:t>
            </w:r>
            <w:r>
              <w:rPr>
                <w:noProof/>
                <w:webHidden/>
              </w:rPr>
              <w:fldChar w:fldCharType="end"/>
            </w:r>
          </w:hyperlink>
        </w:p>
        <w:p w14:paraId="79516552" w14:textId="778BD90D" w:rsidR="00100AC3" w:rsidRDefault="00100AC3">
          <w:pPr>
            <w:pStyle w:val="TOC3"/>
            <w:tabs>
              <w:tab w:val="right" w:leader="dot" w:pos="9016"/>
            </w:tabs>
            <w:rPr>
              <w:rFonts w:asciiTheme="minorHAnsi" w:eastAsiaTheme="minorEastAsia" w:hAnsiTheme="minorHAnsi"/>
              <w:noProof/>
              <w:sz w:val="22"/>
              <w:lang w:val="en-US"/>
            </w:rPr>
          </w:pPr>
          <w:hyperlink w:anchor="_Toc238675539" w:history="1">
            <w:r w:rsidRPr="002768B5">
              <w:rPr>
                <w:rStyle w:val="Hyperlink"/>
                <w:noProof/>
              </w:rPr>
              <w:t>5.4.1 Purpose of the financial plan</w:t>
            </w:r>
            <w:r>
              <w:rPr>
                <w:noProof/>
                <w:webHidden/>
              </w:rPr>
              <w:tab/>
            </w:r>
            <w:r>
              <w:rPr>
                <w:noProof/>
                <w:webHidden/>
              </w:rPr>
              <w:fldChar w:fldCharType="begin"/>
            </w:r>
            <w:r>
              <w:rPr>
                <w:noProof/>
                <w:webHidden/>
              </w:rPr>
              <w:instrText xml:space="preserve"> PAGEREF _Toc238675539 \h </w:instrText>
            </w:r>
            <w:r>
              <w:rPr>
                <w:noProof/>
                <w:webHidden/>
              </w:rPr>
            </w:r>
            <w:r>
              <w:rPr>
                <w:noProof/>
                <w:webHidden/>
              </w:rPr>
              <w:fldChar w:fldCharType="separate"/>
            </w:r>
            <w:r>
              <w:rPr>
                <w:noProof/>
                <w:webHidden/>
              </w:rPr>
              <w:t>45</w:t>
            </w:r>
            <w:r>
              <w:rPr>
                <w:noProof/>
                <w:webHidden/>
              </w:rPr>
              <w:fldChar w:fldCharType="end"/>
            </w:r>
          </w:hyperlink>
        </w:p>
        <w:p w14:paraId="42A8F8D2" w14:textId="26C304C9" w:rsidR="00100AC3" w:rsidRDefault="00100AC3">
          <w:pPr>
            <w:pStyle w:val="TOC3"/>
            <w:tabs>
              <w:tab w:val="right" w:leader="dot" w:pos="9016"/>
            </w:tabs>
            <w:rPr>
              <w:rFonts w:asciiTheme="minorHAnsi" w:eastAsiaTheme="minorEastAsia" w:hAnsiTheme="minorHAnsi"/>
              <w:noProof/>
              <w:sz w:val="22"/>
              <w:lang w:val="en-US"/>
            </w:rPr>
          </w:pPr>
          <w:hyperlink w:anchor="_Toc238675540" w:history="1">
            <w:r w:rsidRPr="002768B5">
              <w:rPr>
                <w:rStyle w:val="Hyperlink"/>
                <w:noProof/>
              </w:rPr>
              <w:t>5.4.2 Sector Level Financial Performance: GCC Snacks, Biscuits and Confectionery</w:t>
            </w:r>
            <w:r>
              <w:rPr>
                <w:noProof/>
                <w:webHidden/>
              </w:rPr>
              <w:tab/>
            </w:r>
            <w:r>
              <w:rPr>
                <w:noProof/>
                <w:webHidden/>
              </w:rPr>
              <w:fldChar w:fldCharType="begin"/>
            </w:r>
            <w:r>
              <w:rPr>
                <w:noProof/>
                <w:webHidden/>
              </w:rPr>
              <w:instrText xml:space="preserve"> PAGEREF _Toc238675540 \h </w:instrText>
            </w:r>
            <w:r>
              <w:rPr>
                <w:noProof/>
                <w:webHidden/>
              </w:rPr>
            </w:r>
            <w:r>
              <w:rPr>
                <w:noProof/>
                <w:webHidden/>
              </w:rPr>
              <w:fldChar w:fldCharType="separate"/>
            </w:r>
            <w:r>
              <w:rPr>
                <w:noProof/>
                <w:webHidden/>
              </w:rPr>
              <w:t>46</w:t>
            </w:r>
            <w:r>
              <w:rPr>
                <w:noProof/>
                <w:webHidden/>
              </w:rPr>
              <w:fldChar w:fldCharType="end"/>
            </w:r>
          </w:hyperlink>
        </w:p>
        <w:p w14:paraId="675E57D8" w14:textId="5CBAC9BF" w:rsidR="00100AC3" w:rsidRDefault="00100AC3">
          <w:pPr>
            <w:pStyle w:val="TOC3"/>
            <w:tabs>
              <w:tab w:val="right" w:leader="dot" w:pos="9016"/>
            </w:tabs>
            <w:rPr>
              <w:rFonts w:asciiTheme="minorHAnsi" w:eastAsiaTheme="minorEastAsia" w:hAnsiTheme="minorHAnsi"/>
              <w:noProof/>
              <w:sz w:val="22"/>
              <w:lang w:val="en-US"/>
            </w:rPr>
          </w:pPr>
          <w:hyperlink w:anchor="_Toc238675541" w:history="1">
            <w:r w:rsidRPr="002768B5">
              <w:rPr>
                <w:rStyle w:val="Hyperlink"/>
                <w:noProof/>
              </w:rPr>
              <w:t>5.4.3 Morrisons' Cash Flow Position and Funding Capacity</w:t>
            </w:r>
            <w:r>
              <w:rPr>
                <w:noProof/>
                <w:webHidden/>
              </w:rPr>
              <w:tab/>
            </w:r>
            <w:r>
              <w:rPr>
                <w:noProof/>
                <w:webHidden/>
              </w:rPr>
              <w:fldChar w:fldCharType="begin"/>
            </w:r>
            <w:r>
              <w:rPr>
                <w:noProof/>
                <w:webHidden/>
              </w:rPr>
              <w:instrText xml:space="preserve"> PAGEREF _Toc238675541 \h </w:instrText>
            </w:r>
            <w:r>
              <w:rPr>
                <w:noProof/>
                <w:webHidden/>
              </w:rPr>
            </w:r>
            <w:r>
              <w:rPr>
                <w:noProof/>
                <w:webHidden/>
              </w:rPr>
              <w:fldChar w:fldCharType="separate"/>
            </w:r>
            <w:r>
              <w:rPr>
                <w:noProof/>
                <w:webHidden/>
              </w:rPr>
              <w:t>47</w:t>
            </w:r>
            <w:r>
              <w:rPr>
                <w:noProof/>
                <w:webHidden/>
              </w:rPr>
              <w:fldChar w:fldCharType="end"/>
            </w:r>
          </w:hyperlink>
        </w:p>
        <w:p w14:paraId="295CE538" w14:textId="0D096A14" w:rsidR="00100AC3" w:rsidRDefault="00100AC3">
          <w:pPr>
            <w:pStyle w:val="TOC2"/>
            <w:tabs>
              <w:tab w:val="right" w:leader="dot" w:pos="9016"/>
            </w:tabs>
            <w:rPr>
              <w:rFonts w:asciiTheme="minorHAnsi" w:eastAsiaTheme="minorEastAsia" w:hAnsiTheme="minorHAnsi"/>
              <w:noProof/>
              <w:sz w:val="22"/>
              <w:lang w:val="en-US"/>
            </w:rPr>
          </w:pPr>
          <w:hyperlink w:anchor="_Toc238675542" w:history="1">
            <w:r w:rsidRPr="002768B5">
              <w:rPr>
                <w:rStyle w:val="Hyperlink"/>
                <w:rFonts w:eastAsia="Times New Roman"/>
                <w:noProof/>
              </w:rPr>
              <w:t>5.5 The Best’s Five-Year Projection</w:t>
            </w:r>
            <w:r>
              <w:rPr>
                <w:noProof/>
                <w:webHidden/>
              </w:rPr>
              <w:tab/>
            </w:r>
            <w:r>
              <w:rPr>
                <w:noProof/>
                <w:webHidden/>
              </w:rPr>
              <w:fldChar w:fldCharType="begin"/>
            </w:r>
            <w:r>
              <w:rPr>
                <w:noProof/>
                <w:webHidden/>
              </w:rPr>
              <w:instrText xml:space="preserve"> PAGEREF _Toc238675542 \h </w:instrText>
            </w:r>
            <w:r>
              <w:rPr>
                <w:noProof/>
                <w:webHidden/>
              </w:rPr>
            </w:r>
            <w:r>
              <w:rPr>
                <w:noProof/>
                <w:webHidden/>
              </w:rPr>
              <w:fldChar w:fldCharType="separate"/>
            </w:r>
            <w:r>
              <w:rPr>
                <w:noProof/>
                <w:webHidden/>
              </w:rPr>
              <w:t>48</w:t>
            </w:r>
            <w:r>
              <w:rPr>
                <w:noProof/>
                <w:webHidden/>
              </w:rPr>
              <w:fldChar w:fldCharType="end"/>
            </w:r>
          </w:hyperlink>
        </w:p>
        <w:p w14:paraId="6BD25076" w14:textId="2D5159EA" w:rsidR="00100AC3" w:rsidRDefault="00100AC3">
          <w:pPr>
            <w:pStyle w:val="TOC3"/>
            <w:tabs>
              <w:tab w:val="right" w:leader="dot" w:pos="9016"/>
            </w:tabs>
            <w:rPr>
              <w:rFonts w:asciiTheme="minorHAnsi" w:eastAsiaTheme="minorEastAsia" w:hAnsiTheme="minorHAnsi"/>
              <w:noProof/>
              <w:sz w:val="22"/>
              <w:lang w:val="en-US"/>
            </w:rPr>
          </w:pPr>
          <w:hyperlink w:anchor="_Toc238675543" w:history="1">
            <w:r w:rsidRPr="002768B5">
              <w:rPr>
                <w:rStyle w:val="Hyperlink"/>
                <w:bCs/>
                <w:noProof/>
              </w:rPr>
              <w:t>5.5</w:t>
            </w:r>
            <w:r w:rsidRPr="002768B5">
              <w:rPr>
                <w:rStyle w:val="Hyperlink"/>
                <w:noProof/>
              </w:rPr>
              <w:t>.1 Core assumptions</w:t>
            </w:r>
            <w:r>
              <w:rPr>
                <w:noProof/>
                <w:webHidden/>
              </w:rPr>
              <w:tab/>
            </w:r>
            <w:r>
              <w:rPr>
                <w:noProof/>
                <w:webHidden/>
              </w:rPr>
              <w:fldChar w:fldCharType="begin"/>
            </w:r>
            <w:r>
              <w:rPr>
                <w:noProof/>
                <w:webHidden/>
              </w:rPr>
              <w:instrText xml:space="preserve"> PAGEREF _Toc238675543 \h </w:instrText>
            </w:r>
            <w:r>
              <w:rPr>
                <w:noProof/>
                <w:webHidden/>
              </w:rPr>
            </w:r>
            <w:r>
              <w:rPr>
                <w:noProof/>
                <w:webHidden/>
              </w:rPr>
              <w:fldChar w:fldCharType="separate"/>
            </w:r>
            <w:r>
              <w:rPr>
                <w:noProof/>
                <w:webHidden/>
              </w:rPr>
              <w:t>48</w:t>
            </w:r>
            <w:r>
              <w:rPr>
                <w:noProof/>
                <w:webHidden/>
              </w:rPr>
              <w:fldChar w:fldCharType="end"/>
            </w:r>
          </w:hyperlink>
        </w:p>
        <w:p w14:paraId="7E65A4C4" w14:textId="3C511DD8" w:rsidR="00100AC3" w:rsidRDefault="00100AC3">
          <w:pPr>
            <w:pStyle w:val="TOC3"/>
            <w:tabs>
              <w:tab w:val="right" w:leader="dot" w:pos="9016"/>
            </w:tabs>
            <w:rPr>
              <w:rFonts w:asciiTheme="minorHAnsi" w:eastAsiaTheme="minorEastAsia" w:hAnsiTheme="minorHAnsi"/>
              <w:noProof/>
              <w:sz w:val="22"/>
              <w:lang w:val="en-US"/>
            </w:rPr>
          </w:pPr>
          <w:hyperlink w:anchor="_Toc238675544" w:history="1">
            <w:r w:rsidRPr="002768B5">
              <w:rPr>
                <w:rStyle w:val="Hyperlink"/>
                <w:noProof/>
              </w:rPr>
              <w:t>5.5.2 Initial investment requirement</w:t>
            </w:r>
            <w:r>
              <w:rPr>
                <w:noProof/>
                <w:webHidden/>
              </w:rPr>
              <w:tab/>
            </w:r>
            <w:r>
              <w:rPr>
                <w:noProof/>
                <w:webHidden/>
              </w:rPr>
              <w:fldChar w:fldCharType="begin"/>
            </w:r>
            <w:r>
              <w:rPr>
                <w:noProof/>
                <w:webHidden/>
              </w:rPr>
              <w:instrText xml:space="preserve"> PAGEREF _Toc238675544 \h </w:instrText>
            </w:r>
            <w:r>
              <w:rPr>
                <w:noProof/>
                <w:webHidden/>
              </w:rPr>
            </w:r>
            <w:r>
              <w:rPr>
                <w:noProof/>
                <w:webHidden/>
              </w:rPr>
              <w:fldChar w:fldCharType="separate"/>
            </w:r>
            <w:r>
              <w:rPr>
                <w:noProof/>
                <w:webHidden/>
              </w:rPr>
              <w:t>49</w:t>
            </w:r>
            <w:r>
              <w:rPr>
                <w:noProof/>
                <w:webHidden/>
              </w:rPr>
              <w:fldChar w:fldCharType="end"/>
            </w:r>
          </w:hyperlink>
        </w:p>
        <w:p w14:paraId="1C6EF49B" w14:textId="0C7372CD" w:rsidR="00100AC3" w:rsidRDefault="00100AC3">
          <w:pPr>
            <w:pStyle w:val="TOC3"/>
            <w:tabs>
              <w:tab w:val="right" w:leader="dot" w:pos="9016"/>
            </w:tabs>
            <w:rPr>
              <w:rFonts w:asciiTheme="minorHAnsi" w:eastAsiaTheme="minorEastAsia" w:hAnsiTheme="minorHAnsi"/>
              <w:noProof/>
              <w:sz w:val="22"/>
              <w:lang w:val="en-US"/>
            </w:rPr>
          </w:pPr>
          <w:hyperlink w:anchor="_Toc238675545" w:history="1">
            <w:r w:rsidRPr="002768B5">
              <w:rPr>
                <w:rStyle w:val="Hyperlink"/>
                <w:noProof/>
              </w:rPr>
              <w:t>5.5.3 Five-year revenue forecast</w:t>
            </w:r>
            <w:r>
              <w:rPr>
                <w:noProof/>
                <w:webHidden/>
              </w:rPr>
              <w:tab/>
            </w:r>
            <w:r>
              <w:rPr>
                <w:noProof/>
                <w:webHidden/>
              </w:rPr>
              <w:fldChar w:fldCharType="begin"/>
            </w:r>
            <w:r>
              <w:rPr>
                <w:noProof/>
                <w:webHidden/>
              </w:rPr>
              <w:instrText xml:space="preserve"> PAGEREF _Toc238675545 \h </w:instrText>
            </w:r>
            <w:r>
              <w:rPr>
                <w:noProof/>
                <w:webHidden/>
              </w:rPr>
            </w:r>
            <w:r>
              <w:rPr>
                <w:noProof/>
                <w:webHidden/>
              </w:rPr>
              <w:fldChar w:fldCharType="separate"/>
            </w:r>
            <w:r>
              <w:rPr>
                <w:noProof/>
                <w:webHidden/>
              </w:rPr>
              <w:t>49</w:t>
            </w:r>
            <w:r>
              <w:rPr>
                <w:noProof/>
                <w:webHidden/>
              </w:rPr>
              <w:fldChar w:fldCharType="end"/>
            </w:r>
          </w:hyperlink>
        </w:p>
        <w:p w14:paraId="67AAAC75" w14:textId="20CAEBFC" w:rsidR="00100AC3" w:rsidRDefault="00100AC3">
          <w:pPr>
            <w:pStyle w:val="TOC3"/>
            <w:tabs>
              <w:tab w:val="right" w:leader="dot" w:pos="9016"/>
            </w:tabs>
            <w:rPr>
              <w:rFonts w:asciiTheme="minorHAnsi" w:eastAsiaTheme="minorEastAsia" w:hAnsiTheme="minorHAnsi"/>
              <w:noProof/>
              <w:sz w:val="22"/>
              <w:lang w:val="en-US"/>
            </w:rPr>
          </w:pPr>
          <w:hyperlink w:anchor="_Toc238675546" w:history="1">
            <w:r w:rsidRPr="002768B5">
              <w:rPr>
                <w:rStyle w:val="Hyperlink"/>
                <w:noProof/>
              </w:rPr>
              <w:t>5.5</w:t>
            </w:r>
            <w:r w:rsidRPr="002768B5">
              <w:rPr>
                <w:rStyle w:val="Hyperlink"/>
                <w:rFonts w:eastAsia="Times New Roman"/>
                <w:noProof/>
              </w:rPr>
              <w:t>.4 Five-year profit and cash-flow model</w:t>
            </w:r>
            <w:r>
              <w:rPr>
                <w:noProof/>
                <w:webHidden/>
              </w:rPr>
              <w:tab/>
            </w:r>
            <w:r>
              <w:rPr>
                <w:noProof/>
                <w:webHidden/>
              </w:rPr>
              <w:fldChar w:fldCharType="begin"/>
            </w:r>
            <w:r>
              <w:rPr>
                <w:noProof/>
                <w:webHidden/>
              </w:rPr>
              <w:instrText xml:space="preserve"> PAGEREF _Toc238675546 \h </w:instrText>
            </w:r>
            <w:r>
              <w:rPr>
                <w:noProof/>
                <w:webHidden/>
              </w:rPr>
            </w:r>
            <w:r>
              <w:rPr>
                <w:noProof/>
                <w:webHidden/>
              </w:rPr>
              <w:fldChar w:fldCharType="separate"/>
            </w:r>
            <w:r>
              <w:rPr>
                <w:noProof/>
                <w:webHidden/>
              </w:rPr>
              <w:t>50</w:t>
            </w:r>
            <w:r>
              <w:rPr>
                <w:noProof/>
                <w:webHidden/>
              </w:rPr>
              <w:fldChar w:fldCharType="end"/>
            </w:r>
          </w:hyperlink>
        </w:p>
        <w:p w14:paraId="19A6EFA7" w14:textId="6682C55A" w:rsidR="00100AC3" w:rsidRDefault="00100AC3">
          <w:pPr>
            <w:pStyle w:val="TOC3"/>
            <w:tabs>
              <w:tab w:val="right" w:leader="dot" w:pos="9016"/>
            </w:tabs>
            <w:rPr>
              <w:rFonts w:asciiTheme="minorHAnsi" w:eastAsiaTheme="minorEastAsia" w:hAnsiTheme="minorHAnsi"/>
              <w:noProof/>
              <w:sz w:val="22"/>
              <w:lang w:val="en-US"/>
            </w:rPr>
          </w:pPr>
          <w:hyperlink w:anchor="_Toc238675547" w:history="1">
            <w:r w:rsidRPr="002768B5">
              <w:rPr>
                <w:rStyle w:val="Hyperlink"/>
                <w:noProof/>
              </w:rPr>
              <w:t>5.5.5 Break-even analysis</w:t>
            </w:r>
            <w:r>
              <w:rPr>
                <w:noProof/>
                <w:webHidden/>
              </w:rPr>
              <w:tab/>
            </w:r>
            <w:r>
              <w:rPr>
                <w:noProof/>
                <w:webHidden/>
              </w:rPr>
              <w:fldChar w:fldCharType="begin"/>
            </w:r>
            <w:r>
              <w:rPr>
                <w:noProof/>
                <w:webHidden/>
              </w:rPr>
              <w:instrText xml:space="preserve"> PAGEREF _Toc238675547 \h </w:instrText>
            </w:r>
            <w:r>
              <w:rPr>
                <w:noProof/>
                <w:webHidden/>
              </w:rPr>
            </w:r>
            <w:r>
              <w:rPr>
                <w:noProof/>
                <w:webHidden/>
              </w:rPr>
              <w:fldChar w:fldCharType="separate"/>
            </w:r>
            <w:r>
              <w:rPr>
                <w:noProof/>
                <w:webHidden/>
              </w:rPr>
              <w:t>50</w:t>
            </w:r>
            <w:r>
              <w:rPr>
                <w:noProof/>
                <w:webHidden/>
              </w:rPr>
              <w:fldChar w:fldCharType="end"/>
            </w:r>
          </w:hyperlink>
        </w:p>
        <w:p w14:paraId="3444A9C4" w14:textId="1AF2708F" w:rsidR="00100AC3" w:rsidRDefault="00100AC3">
          <w:pPr>
            <w:pStyle w:val="TOC3"/>
            <w:tabs>
              <w:tab w:val="right" w:leader="dot" w:pos="9016"/>
            </w:tabs>
            <w:rPr>
              <w:rFonts w:asciiTheme="minorHAnsi" w:eastAsiaTheme="minorEastAsia" w:hAnsiTheme="minorHAnsi"/>
              <w:noProof/>
              <w:sz w:val="22"/>
              <w:lang w:val="en-US"/>
            </w:rPr>
          </w:pPr>
          <w:hyperlink w:anchor="_Toc238675548" w:history="1">
            <w:r w:rsidRPr="002768B5">
              <w:rPr>
                <w:rStyle w:val="Hyperlink"/>
                <w:noProof/>
              </w:rPr>
              <w:t>5.5</w:t>
            </w:r>
            <w:r w:rsidRPr="002768B5">
              <w:rPr>
                <w:rStyle w:val="Hyperlink"/>
                <w:rFonts w:eastAsia="Times New Roman"/>
                <w:noProof/>
              </w:rPr>
              <w:t>.6 Sensitivity analysis</w:t>
            </w:r>
            <w:r>
              <w:rPr>
                <w:noProof/>
                <w:webHidden/>
              </w:rPr>
              <w:tab/>
            </w:r>
            <w:r>
              <w:rPr>
                <w:noProof/>
                <w:webHidden/>
              </w:rPr>
              <w:fldChar w:fldCharType="begin"/>
            </w:r>
            <w:r>
              <w:rPr>
                <w:noProof/>
                <w:webHidden/>
              </w:rPr>
              <w:instrText xml:space="preserve"> PAGEREF _Toc238675548 \h </w:instrText>
            </w:r>
            <w:r>
              <w:rPr>
                <w:noProof/>
                <w:webHidden/>
              </w:rPr>
            </w:r>
            <w:r>
              <w:rPr>
                <w:noProof/>
                <w:webHidden/>
              </w:rPr>
              <w:fldChar w:fldCharType="separate"/>
            </w:r>
            <w:r>
              <w:rPr>
                <w:noProof/>
                <w:webHidden/>
              </w:rPr>
              <w:t>51</w:t>
            </w:r>
            <w:r>
              <w:rPr>
                <w:noProof/>
                <w:webHidden/>
              </w:rPr>
              <w:fldChar w:fldCharType="end"/>
            </w:r>
          </w:hyperlink>
        </w:p>
        <w:p w14:paraId="4931A4B6" w14:textId="7AF0E79A" w:rsidR="00100AC3" w:rsidRDefault="00100AC3">
          <w:pPr>
            <w:pStyle w:val="TOC3"/>
            <w:tabs>
              <w:tab w:val="right" w:leader="dot" w:pos="9016"/>
            </w:tabs>
            <w:rPr>
              <w:rFonts w:asciiTheme="minorHAnsi" w:eastAsiaTheme="minorEastAsia" w:hAnsiTheme="minorHAnsi"/>
              <w:noProof/>
              <w:sz w:val="22"/>
              <w:lang w:val="en-US"/>
            </w:rPr>
          </w:pPr>
          <w:hyperlink w:anchor="_Toc238675549" w:history="1">
            <w:r w:rsidRPr="002768B5">
              <w:rPr>
                <w:rStyle w:val="Hyperlink"/>
                <w:noProof/>
              </w:rPr>
              <w:t>5.5</w:t>
            </w:r>
            <w:r w:rsidRPr="002768B5">
              <w:rPr>
                <w:rStyle w:val="Hyperlink"/>
                <w:rFonts w:eastAsia="Times New Roman"/>
                <w:noProof/>
              </w:rPr>
              <w:t>.7 Affordability and funding recommendation</w:t>
            </w:r>
            <w:r>
              <w:rPr>
                <w:noProof/>
                <w:webHidden/>
              </w:rPr>
              <w:tab/>
            </w:r>
            <w:r>
              <w:rPr>
                <w:noProof/>
                <w:webHidden/>
              </w:rPr>
              <w:fldChar w:fldCharType="begin"/>
            </w:r>
            <w:r>
              <w:rPr>
                <w:noProof/>
                <w:webHidden/>
              </w:rPr>
              <w:instrText xml:space="preserve"> PAGEREF _Toc238675549 \h </w:instrText>
            </w:r>
            <w:r>
              <w:rPr>
                <w:noProof/>
                <w:webHidden/>
              </w:rPr>
            </w:r>
            <w:r>
              <w:rPr>
                <w:noProof/>
                <w:webHidden/>
              </w:rPr>
              <w:fldChar w:fldCharType="separate"/>
            </w:r>
            <w:r>
              <w:rPr>
                <w:noProof/>
                <w:webHidden/>
              </w:rPr>
              <w:t>52</w:t>
            </w:r>
            <w:r>
              <w:rPr>
                <w:noProof/>
                <w:webHidden/>
              </w:rPr>
              <w:fldChar w:fldCharType="end"/>
            </w:r>
          </w:hyperlink>
        </w:p>
        <w:p w14:paraId="1088B229" w14:textId="3E6BA071" w:rsidR="00100AC3" w:rsidRDefault="00100AC3">
          <w:pPr>
            <w:pStyle w:val="TOC3"/>
            <w:tabs>
              <w:tab w:val="right" w:leader="dot" w:pos="9016"/>
            </w:tabs>
            <w:rPr>
              <w:rFonts w:asciiTheme="minorHAnsi" w:eastAsiaTheme="minorEastAsia" w:hAnsiTheme="minorHAnsi"/>
              <w:noProof/>
              <w:sz w:val="22"/>
              <w:lang w:val="en-US"/>
            </w:rPr>
          </w:pPr>
          <w:hyperlink w:anchor="_Toc238675550" w:history="1">
            <w:r w:rsidRPr="002768B5">
              <w:rPr>
                <w:rStyle w:val="Hyperlink"/>
                <w:noProof/>
              </w:rPr>
              <w:t>5.5.8 Financial recommendation</w:t>
            </w:r>
            <w:r>
              <w:rPr>
                <w:noProof/>
                <w:webHidden/>
              </w:rPr>
              <w:tab/>
            </w:r>
            <w:r>
              <w:rPr>
                <w:noProof/>
                <w:webHidden/>
              </w:rPr>
              <w:fldChar w:fldCharType="begin"/>
            </w:r>
            <w:r>
              <w:rPr>
                <w:noProof/>
                <w:webHidden/>
              </w:rPr>
              <w:instrText xml:space="preserve"> PAGEREF _Toc238675550 \h </w:instrText>
            </w:r>
            <w:r>
              <w:rPr>
                <w:noProof/>
                <w:webHidden/>
              </w:rPr>
            </w:r>
            <w:r>
              <w:rPr>
                <w:noProof/>
                <w:webHidden/>
              </w:rPr>
              <w:fldChar w:fldCharType="separate"/>
            </w:r>
            <w:r>
              <w:rPr>
                <w:noProof/>
                <w:webHidden/>
              </w:rPr>
              <w:t>52</w:t>
            </w:r>
            <w:r>
              <w:rPr>
                <w:noProof/>
                <w:webHidden/>
              </w:rPr>
              <w:fldChar w:fldCharType="end"/>
            </w:r>
          </w:hyperlink>
        </w:p>
        <w:p w14:paraId="672792C7" w14:textId="0A524448" w:rsidR="00100AC3" w:rsidRDefault="00100AC3">
          <w:pPr>
            <w:pStyle w:val="TOC3"/>
            <w:tabs>
              <w:tab w:val="right" w:leader="dot" w:pos="9016"/>
            </w:tabs>
            <w:rPr>
              <w:rFonts w:asciiTheme="minorHAnsi" w:eastAsiaTheme="minorEastAsia" w:hAnsiTheme="minorHAnsi"/>
              <w:noProof/>
              <w:sz w:val="22"/>
              <w:lang w:val="en-US"/>
            </w:rPr>
          </w:pPr>
          <w:hyperlink w:anchor="_Toc238675551" w:history="1">
            <w:r w:rsidRPr="002768B5">
              <w:rPr>
                <w:rStyle w:val="Hyperlink"/>
                <w:noProof/>
              </w:rPr>
              <w:t>5.5.9 Overall Financial Realism of Morrisons' GCC Expansion</w:t>
            </w:r>
            <w:r>
              <w:rPr>
                <w:noProof/>
                <w:webHidden/>
              </w:rPr>
              <w:tab/>
            </w:r>
            <w:r>
              <w:rPr>
                <w:noProof/>
                <w:webHidden/>
              </w:rPr>
              <w:fldChar w:fldCharType="begin"/>
            </w:r>
            <w:r>
              <w:rPr>
                <w:noProof/>
                <w:webHidden/>
              </w:rPr>
              <w:instrText xml:space="preserve"> PAGEREF _Toc238675551 \h </w:instrText>
            </w:r>
            <w:r>
              <w:rPr>
                <w:noProof/>
                <w:webHidden/>
              </w:rPr>
            </w:r>
            <w:r>
              <w:rPr>
                <w:noProof/>
                <w:webHidden/>
              </w:rPr>
              <w:fldChar w:fldCharType="separate"/>
            </w:r>
            <w:r>
              <w:rPr>
                <w:noProof/>
                <w:webHidden/>
              </w:rPr>
              <w:t>53</w:t>
            </w:r>
            <w:r>
              <w:rPr>
                <w:noProof/>
                <w:webHidden/>
              </w:rPr>
              <w:fldChar w:fldCharType="end"/>
            </w:r>
          </w:hyperlink>
        </w:p>
        <w:p w14:paraId="7436CBDC" w14:textId="50B1B9E8" w:rsidR="00100AC3" w:rsidRDefault="00100AC3">
          <w:pPr>
            <w:pStyle w:val="TOC1"/>
            <w:tabs>
              <w:tab w:val="right" w:leader="dot" w:pos="9016"/>
            </w:tabs>
            <w:rPr>
              <w:rFonts w:asciiTheme="minorHAnsi" w:eastAsiaTheme="minorEastAsia" w:hAnsiTheme="minorHAnsi"/>
              <w:noProof/>
              <w:sz w:val="22"/>
              <w:lang w:val="en-US"/>
            </w:rPr>
          </w:pPr>
          <w:hyperlink w:anchor="_Toc238675552" w:history="1">
            <w:r w:rsidRPr="002768B5">
              <w:rPr>
                <w:rStyle w:val="Hyperlink"/>
                <w:noProof/>
              </w:rPr>
              <w:t>6. Conclusion and Recommendations</w:t>
            </w:r>
            <w:r>
              <w:rPr>
                <w:noProof/>
                <w:webHidden/>
              </w:rPr>
              <w:tab/>
            </w:r>
            <w:r>
              <w:rPr>
                <w:noProof/>
                <w:webHidden/>
              </w:rPr>
              <w:fldChar w:fldCharType="begin"/>
            </w:r>
            <w:r>
              <w:rPr>
                <w:noProof/>
                <w:webHidden/>
              </w:rPr>
              <w:instrText xml:space="preserve"> PAGEREF _Toc238675552 \h </w:instrText>
            </w:r>
            <w:r>
              <w:rPr>
                <w:noProof/>
                <w:webHidden/>
              </w:rPr>
            </w:r>
            <w:r>
              <w:rPr>
                <w:noProof/>
                <w:webHidden/>
              </w:rPr>
              <w:fldChar w:fldCharType="separate"/>
            </w:r>
            <w:r>
              <w:rPr>
                <w:noProof/>
                <w:webHidden/>
              </w:rPr>
              <w:t>54</w:t>
            </w:r>
            <w:r>
              <w:rPr>
                <w:noProof/>
                <w:webHidden/>
              </w:rPr>
              <w:fldChar w:fldCharType="end"/>
            </w:r>
          </w:hyperlink>
        </w:p>
        <w:p w14:paraId="7537A284" w14:textId="60BC4827" w:rsidR="00100AC3" w:rsidRDefault="00100AC3">
          <w:pPr>
            <w:pStyle w:val="TOC2"/>
            <w:tabs>
              <w:tab w:val="right" w:leader="dot" w:pos="9016"/>
            </w:tabs>
            <w:rPr>
              <w:rFonts w:asciiTheme="minorHAnsi" w:eastAsiaTheme="minorEastAsia" w:hAnsiTheme="minorHAnsi"/>
              <w:noProof/>
              <w:sz w:val="22"/>
              <w:lang w:val="en-US"/>
            </w:rPr>
          </w:pPr>
          <w:hyperlink w:anchor="_Toc238675553" w:history="1">
            <w:r w:rsidRPr="002768B5">
              <w:rPr>
                <w:rStyle w:val="Hyperlink"/>
                <w:noProof/>
              </w:rPr>
              <w:t>6.1 Conclusion</w:t>
            </w:r>
            <w:r>
              <w:rPr>
                <w:noProof/>
                <w:webHidden/>
              </w:rPr>
              <w:tab/>
            </w:r>
            <w:r>
              <w:rPr>
                <w:noProof/>
                <w:webHidden/>
              </w:rPr>
              <w:fldChar w:fldCharType="begin"/>
            </w:r>
            <w:r>
              <w:rPr>
                <w:noProof/>
                <w:webHidden/>
              </w:rPr>
              <w:instrText xml:space="preserve"> PAGEREF _Toc238675553 \h </w:instrText>
            </w:r>
            <w:r>
              <w:rPr>
                <w:noProof/>
                <w:webHidden/>
              </w:rPr>
            </w:r>
            <w:r>
              <w:rPr>
                <w:noProof/>
                <w:webHidden/>
              </w:rPr>
              <w:fldChar w:fldCharType="separate"/>
            </w:r>
            <w:r>
              <w:rPr>
                <w:noProof/>
                <w:webHidden/>
              </w:rPr>
              <w:t>54</w:t>
            </w:r>
            <w:r>
              <w:rPr>
                <w:noProof/>
                <w:webHidden/>
              </w:rPr>
              <w:fldChar w:fldCharType="end"/>
            </w:r>
          </w:hyperlink>
        </w:p>
        <w:p w14:paraId="72629BDC" w14:textId="0D3C66D7" w:rsidR="00100AC3" w:rsidRDefault="00100AC3">
          <w:pPr>
            <w:pStyle w:val="TOC2"/>
            <w:tabs>
              <w:tab w:val="right" w:leader="dot" w:pos="9016"/>
            </w:tabs>
            <w:rPr>
              <w:rFonts w:asciiTheme="minorHAnsi" w:eastAsiaTheme="minorEastAsia" w:hAnsiTheme="minorHAnsi"/>
              <w:noProof/>
              <w:sz w:val="22"/>
              <w:lang w:val="en-US"/>
            </w:rPr>
          </w:pPr>
          <w:hyperlink w:anchor="_Toc238675554" w:history="1">
            <w:r w:rsidRPr="002768B5">
              <w:rPr>
                <w:rStyle w:val="Hyperlink"/>
                <w:noProof/>
              </w:rPr>
              <w:t>6.2 Recommendations</w:t>
            </w:r>
            <w:r>
              <w:rPr>
                <w:noProof/>
                <w:webHidden/>
              </w:rPr>
              <w:tab/>
            </w:r>
            <w:r>
              <w:rPr>
                <w:noProof/>
                <w:webHidden/>
              </w:rPr>
              <w:fldChar w:fldCharType="begin"/>
            </w:r>
            <w:r>
              <w:rPr>
                <w:noProof/>
                <w:webHidden/>
              </w:rPr>
              <w:instrText xml:space="preserve"> PAGEREF _Toc238675554 \h </w:instrText>
            </w:r>
            <w:r>
              <w:rPr>
                <w:noProof/>
                <w:webHidden/>
              </w:rPr>
            </w:r>
            <w:r>
              <w:rPr>
                <w:noProof/>
                <w:webHidden/>
              </w:rPr>
              <w:fldChar w:fldCharType="separate"/>
            </w:r>
            <w:r>
              <w:rPr>
                <w:noProof/>
                <w:webHidden/>
              </w:rPr>
              <w:t>54</w:t>
            </w:r>
            <w:r>
              <w:rPr>
                <w:noProof/>
                <w:webHidden/>
              </w:rPr>
              <w:fldChar w:fldCharType="end"/>
            </w:r>
          </w:hyperlink>
        </w:p>
        <w:p w14:paraId="4C023524" w14:textId="4025257D" w:rsidR="00100AC3" w:rsidRDefault="00100AC3">
          <w:pPr>
            <w:pStyle w:val="TOC1"/>
            <w:tabs>
              <w:tab w:val="right" w:leader="dot" w:pos="9016"/>
            </w:tabs>
            <w:rPr>
              <w:rFonts w:asciiTheme="minorHAnsi" w:eastAsiaTheme="minorEastAsia" w:hAnsiTheme="minorHAnsi"/>
              <w:noProof/>
              <w:sz w:val="22"/>
              <w:lang w:val="en-US"/>
            </w:rPr>
          </w:pPr>
          <w:hyperlink w:anchor="_Toc238675555" w:history="1">
            <w:r w:rsidRPr="002768B5">
              <w:rPr>
                <w:rStyle w:val="Hyperlink"/>
                <w:noProof/>
              </w:rPr>
              <w:t>7. References</w:t>
            </w:r>
            <w:r>
              <w:rPr>
                <w:noProof/>
                <w:webHidden/>
              </w:rPr>
              <w:tab/>
            </w:r>
            <w:r>
              <w:rPr>
                <w:noProof/>
                <w:webHidden/>
              </w:rPr>
              <w:fldChar w:fldCharType="begin"/>
            </w:r>
            <w:r>
              <w:rPr>
                <w:noProof/>
                <w:webHidden/>
              </w:rPr>
              <w:instrText xml:space="preserve"> PAGEREF _Toc238675555 \h </w:instrText>
            </w:r>
            <w:r>
              <w:rPr>
                <w:noProof/>
                <w:webHidden/>
              </w:rPr>
            </w:r>
            <w:r>
              <w:rPr>
                <w:noProof/>
                <w:webHidden/>
              </w:rPr>
              <w:fldChar w:fldCharType="separate"/>
            </w:r>
            <w:r>
              <w:rPr>
                <w:noProof/>
                <w:webHidden/>
              </w:rPr>
              <w:t>56</w:t>
            </w:r>
            <w:r>
              <w:rPr>
                <w:noProof/>
                <w:webHidden/>
              </w:rPr>
              <w:fldChar w:fldCharType="end"/>
            </w:r>
          </w:hyperlink>
        </w:p>
        <w:p w14:paraId="062809FF" w14:textId="0BBD876A" w:rsidR="00351735" w:rsidRPr="00C2098E" w:rsidRDefault="00CF02AE">
          <w:pPr>
            <w:sectPr w:rsidR="00351735" w:rsidRPr="00C2098E">
              <w:footerReference w:type="default" r:id="rId9"/>
              <w:pgSz w:w="11906" w:h="16838"/>
              <w:pgMar w:top="1440" w:right="1440" w:bottom="1440" w:left="1440" w:header="720" w:footer="720" w:gutter="0"/>
              <w:cols w:space="720"/>
              <w:docGrid w:linePitch="360"/>
            </w:sectPr>
          </w:pPr>
          <w:r w:rsidRPr="00C2098E">
            <w:rPr>
              <w:b/>
              <w:bCs/>
              <w:noProof/>
            </w:rPr>
            <w:fldChar w:fldCharType="end"/>
          </w:r>
        </w:p>
      </w:sdtContent>
    </w:sdt>
    <w:p w14:paraId="6253B47E" w14:textId="7E111E03" w:rsidR="0019625E" w:rsidRPr="0019625E" w:rsidRDefault="0019625E">
      <w:pPr>
        <w:pStyle w:val="TableofFigures"/>
        <w:tabs>
          <w:tab w:val="right" w:leader="dot" w:pos="9016"/>
        </w:tabs>
        <w:rPr>
          <w:b/>
          <w:bCs/>
        </w:rPr>
      </w:pPr>
      <w:r w:rsidRPr="0019625E">
        <w:rPr>
          <w:b/>
          <w:bCs/>
        </w:rPr>
        <w:lastRenderedPageBreak/>
        <w:t>List of Tables and Figures</w:t>
      </w:r>
    </w:p>
    <w:p w14:paraId="0A8AD7A9" w14:textId="127E0546" w:rsidR="00850575" w:rsidRPr="00850575" w:rsidRDefault="00DE5C01">
      <w:pPr>
        <w:pStyle w:val="TableofFigures"/>
        <w:tabs>
          <w:tab w:val="right" w:leader="dot" w:pos="9016"/>
        </w:tabs>
        <w:rPr>
          <w:rFonts w:asciiTheme="minorHAnsi" w:eastAsiaTheme="minorEastAsia" w:hAnsiTheme="minorHAnsi"/>
          <w:noProof/>
          <w:sz w:val="22"/>
          <w:lang w:val="en-US"/>
        </w:rPr>
      </w:pPr>
      <w:r w:rsidRPr="00850575">
        <w:fldChar w:fldCharType="begin"/>
      </w:r>
      <w:r w:rsidRPr="00850575">
        <w:instrText xml:space="preserve"> TOC \h \z \c "Figure" </w:instrText>
      </w:r>
      <w:r w:rsidRPr="00850575">
        <w:fldChar w:fldCharType="separate"/>
      </w:r>
      <w:hyperlink w:anchor="_Toc238674426" w:history="1">
        <w:r w:rsidR="00850575" w:rsidRPr="00850575">
          <w:rPr>
            <w:rStyle w:val="Hyperlink"/>
            <w:noProof/>
          </w:rPr>
          <w:t>Figure 1 Competitors in snacks and biscuits for Morrisons</w:t>
        </w:r>
        <w:r w:rsidR="00850575" w:rsidRPr="00850575">
          <w:rPr>
            <w:noProof/>
            <w:webHidden/>
          </w:rPr>
          <w:tab/>
        </w:r>
        <w:r w:rsidR="00850575" w:rsidRPr="00850575">
          <w:rPr>
            <w:noProof/>
            <w:webHidden/>
          </w:rPr>
          <w:fldChar w:fldCharType="begin"/>
        </w:r>
        <w:r w:rsidR="00850575" w:rsidRPr="00850575">
          <w:rPr>
            <w:noProof/>
            <w:webHidden/>
          </w:rPr>
          <w:instrText xml:space="preserve"> PAGEREF _Toc238674426 \h </w:instrText>
        </w:r>
        <w:r w:rsidR="00850575" w:rsidRPr="00850575">
          <w:rPr>
            <w:noProof/>
            <w:webHidden/>
          </w:rPr>
        </w:r>
        <w:r w:rsidR="00850575" w:rsidRPr="00850575">
          <w:rPr>
            <w:noProof/>
            <w:webHidden/>
          </w:rPr>
          <w:fldChar w:fldCharType="separate"/>
        </w:r>
        <w:r w:rsidR="00850575" w:rsidRPr="00850575">
          <w:rPr>
            <w:noProof/>
            <w:webHidden/>
          </w:rPr>
          <w:t>31</w:t>
        </w:r>
        <w:r w:rsidR="00850575" w:rsidRPr="00850575">
          <w:rPr>
            <w:noProof/>
            <w:webHidden/>
          </w:rPr>
          <w:fldChar w:fldCharType="end"/>
        </w:r>
      </w:hyperlink>
    </w:p>
    <w:p w14:paraId="0B801D27" w14:textId="3432C46D"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27" w:history="1">
        <w:r w:rsidRPr="00850575">
          <w:rPr>
            <w:rStyle w:val="Hyperlink"/>
            <w:noProof/>
          </w:rPr>
          <w:t>Figure 2 Porter's Five Forces Analysis</w:t>
        </w:r>
        <w:r w:rsidRPr="00850575">
          <w:rPr>
            <w:noProof/>
            <w:webHidden/>
          </w:rPr>
          <w:tab/>
        </w:r>
        <w:r w:rsidRPr="00850575">
          <w:rPr>
            <w:noProof/>
            <w:webHidden/>
          </w:rPr>
          <w:fldChar w:fldCharType="begin"/>
        </w:r>
        <w:r w:rsidRPr="00850575">
          <w:rPr>
            <w:noProof/>
            <w:webHidden/>
          </w:rPr>
          <w:instrText xml:space="preserve"> PAGEREF _Toc238674427 \h </w:instrText>
        </w:r>
        <w:r w:rsidRPr="00850575">
          <w:rPr>
            <w:noProof/>
            <w:webHidden/>
          </w:rPr>
        </w:r>
        <w:r w:rsidRPr="00850575">
          <w:rPr>
            <w:noProof/>
            <w:webHidden/>
          </w:rPr>
          <w:fldChar w:fldCharType="separate"/>
        </w:r>
        <w:r w:rsidRPr="00850575">
          <w:rPr>
            <w:noProof/>
            <w:webHidden/>
          </w:rPr>
          <w:t>34</w:t>
        </w:r>
        <w:r w:rsidRPr="00850575">
          <w:rPr>
            <w:noProof/>
            <w:webHidden/>
          </w:rPr>
          <w:fldChar w:fldCharType="end"/>
        </w:r>
      </w:hyperlink>
    </w:p>
    <w:p w14:paraId="4CEB21D5" w14:textId="0249A813"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28" w:history="1">
        <w:r w:rsidRPr="00850575">
          <w:rPr>
            <w:rStyle w:val="Hyperlink"/>
            <w:noProof/>
          </w:rPr>
          <w:t>Figure 3 Ansoff Matrix Quadrant</w:t>
        </w:r>
        <w:r w:rsidRPr="00850575">
          <w:rPr>
            <w:noProof/>
            <w:webHidden/>
          </w:rPr>
          <w:tab/>
        </w:r>
        <w:r w:rsidRPr="00850575">
          <w:rPr>
            <w:noProof/>
            <w:webHidden/>
          </w:rPr>
          <w:fldChar w:fldCharType="begin"/>
        </w:r>
        <w:r w:rsidRPr="00850575">
          <w:rPr>
            <w:noProof/>
            <w:webHidden/>
          </w:rPr>
          <w:instrText xml:space="preserve"> PAGEREF _Toc238674428 \h </w:instrText>
        </w:r>
        <w:r w:rsidRPr="00850575">
          <w:rPr>
            <w:noProof/>
            <w:webHidden/>
          </w:rPr>
        </w:r>
        <w:r w:rsidRPr="00850575">
          <w:rPr>
            <w:noProof/>
            <w:webHidden/>
          </w:rPr>
          <w:fldChar w:fldCharType="separate"/>
        </w:r>
        <w:r w:rsidRPr="00850575">
          <w:rPr>
            <w:noProof/>
            <w:webHidden/>
          </w:rPr>
          <w:t>36</w:t>
        </w:r>
        <w:r w:rsidRPr="00850575">
          <w:rPr>
            <w:noProof/>
            <w:webHidden/>
          </w:rPr>
          <w:fldChar w:fldCharType="end"/>
        </w:r>
      </w:hyperlink>
    </w:p>
    <w:p w14:paraId="737DB8D9" w14:textId="1719DBC4"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29" w:history="1">
        <w:r w:rsidRPr="00850575">
          <w:rPr>
            <w:rStyle w:val="Hyperlink"/>
            <w:noProof/>
          </w:rPr>
          <w:t>Figure 4 Strategic partners for Morrison’s "The Best"</w:t>
        </w:r>
        <w:r w:rsidRPr="00850575">
          <w:rPr>
            <w:noProof/>
            <w:webHidden/>
          </w:rPr>
          <w:tab/>
        </w:r>
        <w:r w:rsidRPr="00850575">
          <w:rPr>
            <w:noProof/>
            <w:webHidden/>
          </w:rPr>
          <w:fldChar w:fldCharType="begin"/>
        </w:r>
        <w:r w:rsidRPr="00850575">
          <w:rPr>
            <w:noProof/>
            <w:webHidden/>
          </w:rPr>
          <w:instrText xml:space="preserve"> PAGEREF _Toc238674429 \h </w:instrText>
        </w:r>
        <w:r w:rsidRPr="00850575">
          <w:rPr>
            <w:noProof/>
            <w:webHidden/>
          </w:rPr>
        </w:r>
        <w:r w:rsidRPr="00850575">
          <w:rPr>
            <w:noProof/>
            <w:webHidden/>
          </w:rPr>
          <w:fldChar w:fldCharType="separate"/>
        </w:r>
        <w:r w:rsidRPr="00850575">
          <w:rPr>
            <w:noProof/>
            <w:webHidden/>
          </w:rPr>
          <w:t>39</w:t>
        </w:r>
        <w:r w:rsidRPr="00850575">
          <w:rPr>
            <w:noProof/>
            <w:webHidden/>
          </w:rPr>
          <w:fldChar w:fldCharType="end"/>
        </w:r>
      </w:hyperlink>
    </w:p>
    <w:p w14:paraId="3929602F" w14:textId="31A0DF13"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30" w:history="1">
        <w:r w:rsidRPr="00850575">
          <w:rPr>
            <w:rStyle w:val="Hyperlink"/>
            <w:noProof/>
          </w:rPr>
          <w:t>Figure 5 GCC Snack Market Future Growth</w:t>
        </w:r>
        <w:r w:rsidRPr="00850575">
          <w:rPr>
            <w:noProof/>
            <w:webHidden/>
          </w:rPr>
          <w:tab/>
        </w:r>
        <w:r w:rsidRPr="00850575">
          <w:rPr>
            <w:noProof/>
            <w:webHidden/>
          </w:rPr>
          <w:fldChar w:fldCharType="begin"/>
        </w:r>
        <w:r w:rsidRPr="00850575">
          <w:rPr>
            <w:noProof/>
            <w:webHidden/>
          </w:rPr>
          <w:instrText xml:space="preserve"> PAGEREF _Toc238674430 \h </w:instrText>
        </w:r>
        <w:r w:rsidRPr="00850575">
          <w:rPr>
            <w:noProof/>
            <w:webHidden/>
          </w:rPr>
        </w:r>
        <w:r w:rsidRPr="00850575">
          <w:rPr>
            <w:noProof/>
            <w:webHidden/>
          </w:rPr>
          <w:fldChar w:fldCharType="separate"/>
        </w:r>
        <w:r w:rsidRPr="00850575">
          <w:rPr>
            <w:noProof/>
            <w:webHidden/>
          </w:rPr>
          <w:t>46</w:t>
        </w:r>
        <w:r w:rsidRPr="00850575">
          <w:rPr>
            <w:noProof/>
            <w:webHidden/>
          </w:rPr>
          <w:fldChar w:fldCharType="end"/>
        </w:r>
      </w:hyperlink>
    </w:p>
    <w:p w14:paraId="035BAE97" w14:textId="3F9E3BC1"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31" w:history="1">
        <w:r w:rsidRPr="00850575">
          <w:rPr>
            <w:rStyle w:val="Hyperlink"/>
            <w:noProof/>
          </w:rPr>
          <w:t>Figure 6 Morrisons Cash Flow Statement FY 2024</w:t>
        </w:r>
        <w:r w:rsidRPr="00850575">
          <w:rPr>
            <w:noProof/>
            <w:webHidden/>
          </w:rPr>
          <w:tab/>
        </w:r>
        <w:r w:rsidRPr="00850575">
          <w:rPr>
            <w:noProof/>
            <w:webHidden/>
          </w:rPr>
          <w:fldChar w:fldCharType="begin"/>
        </w:r>
        <w:r w:rsidRPr="00850575">
          <w:rPr>
            <w:noProof/>
            <w:webHidden/>
          </w:rPr>
          <w:instrText xml:space="preserve"> PAGEREF _Toc238674431 \h </w:instrText>
        </w:r>
        <w:r w:rsidRPr="00850575">
          <w:rPr>
            <w:noProof/>
            <w:webHidden/>
          </w:rPr>
        </w:r>
        <w:r w:rsidRPr="00850575">
          <w:rPr>
            <w:noProof/>
            <w:webHidden/>
          </w:rPr>
          <w:fldChar w:fldCharType="separate"/>
        </w:r>
        <w:r w:rsidRPr="00850575">
          <w:rPr>
            <w:noProof/>
            <w:webHidden/>
          </w:rPr>
          <w:t>47</w:t>
        </w:r>
        <w:r w:rsidRPr="00850575">
          <w:rPr>
            <w:noProof/>
            <w:webHidden/>
          </w:rPr>
          <w:fldChar w:fldCharType="end"/>
        </w:r>
      </w:hyperlink>
    </w:p>
    <w:p w14:paraId="31AB1D6A" w14:textId="77777777" w:rsidR="00850575" w:rsidRPr="00850575" w:rsidRDefault="00DE5C01">
      <w:pPr>
        <w:rPr>
          <w:noProof/>
        </w:rPr>
      </w:pPr>
      <w:r w:rsidRPr="00850575">
        <w:fldChar w:fldCharType="end"/>
      </w:r>
      <w:r w:rsidRPr="00850575">
        <w:fldChar w:fldCharType="begin"/>
      </w:r>
      <w:r w:rsidRPr="00850575">
        <w:instrText xml:space="preserve"> TOC \h \z \c "Table" </w:instrText>
      </w:r>
      <w:r w:rsidRPr="00850575">
        <w:fldChar w:fldCharType="separate"/>
      </w:r>
    </w:p>
    <w:p w14:paraId="0C943850" w14:textId="041104C1"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32" w:history="1">
        <w:r w:rsidRPr="00850575">
          <w:rPr>
            <w:rStyle w:val="Hyperlink"/>
            <w:noProof/>
          </w:rPr>
          <w:t>Table 1 Source Selection and Reliability Pyramid</w:t>
        </w:r>
        <w:r w:rsidRPr="00850575">
          <w:rPr>
            <w:noProof/>
            <w:webHidden/>
          </w:rPr>
          <w:tab/>
        </w:r>
        <w:r w:rsidRPr="00850575">
          <w:rPr>
            <w:noProof/>
            <w:webHidden/>
          </w:rPr>
          <w:fldChar w:fldCharType="begin"/>
        </w:r>
        <w:r w:rsidRPr="00850575">
          <w:rPr>
            <w:noProof/>
            <w:webHidden/>
          </w:rPr>
          <w:instrText xml:space="preserve"> PAGEREF _Toc238674432 \h </w:instrText>
        </w:r>
        <w:r w:rsidRPr="00850575">
          <w:rPr>
            <w:noProof/>
            <w:webHidden/>
          </w:rPr>
        </w:r>
        <w:r w:rsidRPr="00850575">
          <w:rPr>
            <w:noProof/>
            <w:webHidden/>
          </w:rPr>
          <w:fldChar w:fldCharType="separate"/>
        </w:r>
        <w:r w:rsidRPr="00850575">
          <w:rPr>
            <w:noProof/>
            <w:webHidden/>
          </w:rPr>
          <w:t>13</w:t>
        </w:r>
        <w:r w:rsidRPr="00850575">
          <w:rPr>
            <w:noProof/>
            <w:webHidden/>
          </w:rPr>
          <w:fldChar w:fldCharType="end"/>
        </w:r>
      </w:hyperlink>
    </w:p>
    <w:p w14:paraId="2D410F82" w14:textId="5732B8A0"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33" w:history="1">
        <w:r w:rsidRPr="00850575">
          <w:rPr>
            <w:rStyle w:val="Hyperlink"/>
            <w:noProof/>
          </w:rPr>
          <w:t>Table 2 Morrisons' Marketing Strategy</w:t>
        </w:r>
        <w:r w:rsidRPr="00850575">
          <w:rPr>
            <w:noProof/>
            <w:webHidden/>
          </w:rPr>
          <w:tab/>
        </w:r>
        <w:r w:rsidRPr="00850575">
          <w:rPr>
            <w:noProof/>
            <w:webHidden/>
          </w:rPr>
          <w:fldChar w:fldCharType="begin"/>
        </w:r>
        <w:r w:rsidRPr="00850575">
          <w:rPr>
            <w:noProof/>
            <w:webHidden/>
          </w:rPr>
          <w:instrText xml:space="preserve"> PAGEREF _Toc238674433 \h </w:instrText>
        </w:r>
        <w:r w:rsidRPr="00850575">
          <w:rPr>
            <w:noProof/>
            <w:webHidden/>
          </w:rPr>
        </w:r>
        <w:r w:rsidRPr="00850575">
          <w:rPr>
            <w:noProof/>
            <w:webHidden/>
          </w:rPr>
          <w:fldChar w:fldCharType="separate"/>
        </w:r>
        <w:r w:rsidRPr="00850575">
          <w:rPr>
            <w:noProof/>
            <w:webHidden/>
          </w:rPr>
          <w:t>16</w:t>
        </w:r>
        <w:r w:rsidRPr="00850575">
          <w:rPr>
            <w:noProof/>
            <w:webHidden/>
          </w:rPr>
          <w:fldChar w:fldCharType="end"/>
        </w:r>
      </w:hyperlink>
    </w:p>
    <w:p w14:paraId="33FCBBC7" w14:textId="34738754"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34" w:history="1">
        <w:r w:rsidRPr="00850575">
          <w:rPr>
            <w:rStyle w:val="Hyperlink"/>
            <w:noProof/>
          </w:rPr>
          <w:t>Table 3 Morrisons’ PESTEL Overview</w:t>
        </w:r>
        <w:r w:rsidRPr="00850575">
          <w:rPr>
            <w:noProof/>
            <w:webHidden/>
          </w:rPr>
          <w:tab/>
        </w:r>
        <w:r w:rsidRPr="00850575">
          <w:rPr>
            <w:noProof/>
            <w:webHidden/>
          </w:rPr>
          <w:fldChar w:fldCharType="begin"/>
        </w:r>
        <w:r w:rsidRPr="00850575">
          <w:rPr>
            <w:noProof/>
            <w:webHidden/>
          </w:rPr>
          <w:instrText xml:space="preserve"> PAGEREF _Toc238674434 \h </w:instrText>
        </w:r>
        <w:r w:rsidRPr="00850575">
          <w:rPr>
            <w:noProof/>
            <w:webHidden/>
          </w:rPr>
        </w:r>
        <w:r w:rsidRPr="00850575">
          <w:rPr>
            <w:noProof/>
            <w:webHidden/>
          </w:rPr>
          <w:fldChar w:fldCharType="separate"/>
        </w:r>
        <w:r w:rsidRPr="00850575">
          <w:rPr>
            <w:noProof/>
            <w:webHidden/>
          </w:rPr>
          <w:t>24</w:t>
        </w:r>
        <w:r w:rsidRPr="00850575">
          <w:rPr>
            <w:noProof/>
            <w:webHidden/>
          </w:rPr>
          <w:fldChar w:fldCharType="end"/>
        </w:r>
      </w:hyperlink>
    </w:p>
    <w:p w14:paraId="01BC9B10" w14:textId="051773A2" w:rsidR="00850575" w:rsidRPr="00850575" w:rsidRDefault="00850575">
      <w:pPr>
        <w:pStyle w:val="TableofFigures"/>
        <w:tabs>
          <w:tab w:val="right" w:leader="dot" w:pos="9016"/>
        </w:tabs>
        <w:rPr>
          <w:rFonts w:asciiTheme="minorHAnsi" w:eastAsiaTheme="minorEastAsia" w:hAnsiTheme="minorHAnsi"/>
          <w:noProof/>
          <w:sz w:val="22"/>
          <w:lang w:val="en-US"/>
        </w:rPr>
      </w:pPr>
      <w:hyperlink w:anchor="_Toc238674435" w:history="1">
        <w:r w:rsidRPr="00850575">
          <w:rPr>
            <w:rStyle w:val="Hyperlink"/>
            <w:noProof/>
          </w:rPr>
          <w:t>Table 4 Morrisons' SWOT Analysis</w:t>
        </w:r>
        <w:r w:rsidRPr="00850575">
          <w:rPr>
            <w:noProof/>
            <w:webHidden/>
          </w:rPr>
          <w:tab/>
        </w:r>
        <w:r w:rsidRPr="00850575">
          <w:rPr>
            <w:noProof/>
            <w:webHidden/>
          </w:rPr>
          <w:fldChar w:fldCharType="begin"/>
        </w:r>
        <w:r w:rsidRPr="00850575">
          <w:rPr>
            <w:noProof/>
            <w:webHidden/>
          </w:rPr>
          <w:instrText xml:space="preserve"> PAGEREF _Toc238674435 \h </w:instrText>
        </w:r>
        <w:r w:rsidRPr="00850575">
          <w:rPr>
            <w:noProof/>
            <w:webHidden/>
          </w:rPr>
        </w:r>
        <w:r w:rsidRPr="00850575">
          <w:rPr>
            <w:noProof/>
            <w:webHidden/>
          </w:rPr>
          <w:fldChar w:fldCharType="separate"/>
        </w:r>
        <w:r w:rsidRPr="00850575">
          <w:rPr>
            <w:noProof/>
            <w:webHidden/>
          </w:rPr>
          <w:t>27</w:t>
        </w:r>
        <w:r w:rsidRPr="00850575">
          <w:rPr>
            <w:noProof/>
            <w:webHidden/>
          </w:rPr>
          <w:fldChar w:fldCharType="end"/>
        </w:r>
      </w:hyperlink>
    </w:p>
    <w:p w14:paraId="6650A14E" w14:textId="730BC28A" w:rsidR="0019625E" w:rsidRDefault="00DE5C01">
      <w:pPr>
        <w:rPr>
          <w:rFonts w:eastAsiaTheme="majorEastAsia" w:cstheme="majorBidi"/>
          <w:b/>
          <w:color w:val="000000" w:themeColor="text1"/>
          <w:sz w:val="32"/>
          <w:szCs w:val="32"/>
        </w:rPr>
      </w:pPr>
      <w:r w:rsidRPr="00850575">
        <w:fldChar w:fldCharType="end"/>
      </w:r>
      <w:r w:rsidR="0019625E">
        <w:br w:type="page"/>
      </w:r>
    </w:p>
    <w:p w14:paraId="47D6EB0D" w14:textId="39F42588" w:rsidR="00E939D5" w:rsidRPr="00C2098E" w:rsidRDefault="00E939D5" w:rsidP="00E939D5">
      <w:pPr>
        <w:pStyle w:val="Heading1"/>
      </w:pPr>
      <w:bookmarkStart w:id="0" w:name="_Toc238675463"/>
      <w:r w:rsidRPr="00C2098E">
        <w:lastRenderedPageBreak/>
        <w:t>Executive Summary</w:t>
      </w:r>
      <w:bookmarkEnd w:id="0"/>
    </w:p>
    <w:p w14:paraId="33F4FDAE" w14:textId="3E315E39" w:rsidR="00080292" w:rsidRPr="00C2098E" w:rsidRDefault="006A25EB" w:rsidP="00080292">
      <w:r w:rsidRPr="00C2098E">
        <w:t>T</w:t>
      </w:r>
      <w:r w:rsidR="00080292" w:rsidRPr="00C2098E">
        <w:t xml:space="preserve">his business plan examines the </w:t>
      </w:r>
      <w:r w:rsidRPr="00C2098E">
        <w:t>Morrisons</w:t>
      </w:r>
      <w:r w:rsidR="00080292" w:rsidRPr="00C2098E">
        <w:t>'s private-brand development strategy to add “The Best” to the GCC market, with the primary focus being biscuit and confectionery in the UAE and Saudi Arabia, treating this as a capital light market development as opposed to Morrisons branded stores (Morrisons, 2023/24). The market and PESTEL analysis reveal a conducive macro environment, including large and growing packaged foods and snacks sectors, increasing demand for imported high-quality premium brands, and the UK-GCC Free Trade Agreement, alongside regulatory and competitive pressures that demand disciplined execution (Alpen Capital, 2025; UK Government, 2026).</w:t>
      </w:r>
    </w:p>
    <w:p w14:paraId="58B4DA3F" w14:textId="4E0F5B60" w:rsidR="00080292" w:rsidRPr="00C2098E" w:rsidRDefault="00080292" w:rsidP="00080292">
      <w:r w:rsidRPr="00C2098E">
        <w:t>The business model and marketing and operations chapters suggest that "The Best" will be marketed under the slogan "premium British supermarket quality at accessible prices" with a limited number of hero SKUs, with more stringent category management and compliance, and with close links with partners such as Lulu, Noon and Kibsons, for category management and GCC specific promotions (Kumar and Steenkamp, 2007; Morrisons, 2025). The SWOT analysis, Competitor Analysis and Porter's Five Forces indicate that the firm possesses good internal resources (vertical integration, export experience) and a number of external pressures, primarily the intense competition, high buyer power and numerous substitutes, making targeted market development more feasible than a wide diversification policy (Porter, 1985; Strategy&amp;/PwC, 2024).</w:t>
      </w:r>
    </w:p>
    <w:p w14:paraId="4E0F35D8" w14:textId="73DBF794" w:rsidR="00E840BD" w:rsidRPr="00C2098E" w:rsidRDefault="00080292" w:rsidP="00080292">
      <w:r w:rsidRPr="00C2098E">
        <w:t>The Financial Plan highlights that Morrisons' most recent cash flows (838m net operating cash inflow and 849m cash at period end) provide sufficient budgets to support a modest GCC programme, while sector data (such as the projected growth in the GCC snacks market to approximately USD 12.87bn by 2030) suggests that even a small premium niche could generate meaningful incremental profits (Morrisons, 2023/24; MarkNtel Advisors, 2024</w:t>
      </w:r>
      <w:r w:rsidR="00A56C5D">
        <w:t>a</w:t>
      </w:r>
      <w:r w:rsidRPr="00C2098E">
        <w:t>). The reflection chapter concludes that the strategy needs to be executed in a phased and partial manner, starting with some “The Best” launches in selected priority UAE and KSA channels, building up the investment in GCC-specific insight and analytics, and the adoption of clear KPIs and scenario planning to evaluate whether to scale up, adapt or exit based on early results (Cornelius et al., 2005; Trigeorgis, 1996).</w:t>
      </w:r>
      <w:r w:rsidR="00E840BD" w:rsidRPr="00C2098E">
        <w:br w:type="page"/>
      </w:r>
    </w:p>
    <w:p w14:paraId="731F41BA" w14:textId="36EE8BE0" w:rsidR="00963387" w:rsidRPr="00C2098E" w:rsidRDefault="00DD3F3F" w:rsidP="00372E67">
      <w:pPr>
        <w:pStyle w:val="Heading1"/>
      </w:pPr>
      <w:bookmarkStart w:id="1" w:name="_Toc238675464"/>
      <w:r w:rsidRPr="00C2098E">
        <w:lastRenderedPageBreak/>
        <w:t>1</w:t>
      </w:r>
      <w:r w:rsidR="00963387" w:rsidRPr="00C2098E">
        <w:t xml:space="preserve">. </w:t>
      </w:r>
      <w:r w:rsidR="001D46E1" w:rsidRPr="00C2098E">
        <w:t>Introduction and Business Context</w:t>
      </w:r>
      <w:bookmarkEnd w:id="1"/>
    </w:p>
    <w:p w14:paraId="11296134" w14:textId="3CF2CFB6" w:rsidR="00963387" w:rsidRPr="00C2098E" w:rsidRDefault="00DD3F3F" w:rsidP="00590EC6">
      <w:pPr>
        <w:pStyle w:val="Heading2"/>
      </w:pPr>
      <w:bookmarkStart w:id="2" w:name="_Toc238675465"/>
      <w:r w:rsidRPr="00C2098E">
        <w:t>1</w:t>
      </w:r>
      <w:r w:rsidR="00963387" w:rsidRPr="00C2098E">
        <w:t>.1 History</w:t>
      </w:r>
      <w:r w:rsidR="001708D6" w:rsidRPr="00C2098E">
        <w:t>, Ownership and Strategic Context</w:t>
      </w:r>
      <w:bookmarkEnd w:id="2"/>
    </w:p>
    <w:p w14:paraId="42DB1625" w14:textId="18DAF26A" w:rsidR="005C0494" w:rsidRPr="00C2098E" w:rsidRDefault="005C0494" w:rsidP="005C0494">
      <w:r w:rsidRPr="00C2098E">
        <w:t>Wm Morrison Supermarkets Ltd (“Morrisons”) has had a long history of specialising in fresh food, and close ties with British agriculture since 1899, when it was founded as a small market stall in Bradford. The company grew from a regional grocer to a national supermarket over the past 110 years and over the years acquired several businesses and properties, including the Safeway purchase in 2004 that really broadened their store footprint and geographic reach</w:t>
      </w:r>
      <w:r w:rsidR="00E972CA" w:rsidRPr="00C2098E">
        <w:t xml:space="preserve"> (Morrisons, 2023/24</w:t>
      </w:r>
      <w:r w:rsidR="00F96A12" w:rsidRPr="00C2098E">
        <w:t>; Myton Food Group, 2024</w:t>
      </w:r>
      <w:r w:rsidR="00E972CA" w:rsidRPr="00C2098E">
        <w:t>)</w:t>
      </w:r>
      <w:r w:rsidRPr="00C2098E">
        <w:t>. The historical path has importance because Morrisons' positioning in terms of British sourcing and 'in house' production and value for money is closely linked to the credibility of a premium range, such as ‘The Best' in international markets.</w:t>
      </w:r>
    </w:p>
    <w:p w14:paraId="69ED732A" w14:textId="55550C9D" w:rsidR="005C0494" w:rsidRPr="00C2098E" w:rsidRDefault="005C0494" w:rsidP="005C0494">
      <w:r w:rsidRPr="00C2098E">
        <w:t>In recent years, there has been a significant transformation in the strategy and ownership of Morrisons. In 2021, the company was put under private equity ownership but continues to fulfil its reporting and public interest duties, given its involvement in the UK food supply chain</w:t>
      </w:r>
      <w:r w:rsidR="00F96A12" w:rsidRPr="00C2098E">
        <w:t xml:space="preserve"> (Morrisons, 2023/24)</w:t>
      </w:r>
      <w:r w:rsidRPr="00C2098E">
        <w:t xml:space="preserve">. The new owners have emphasised on operational discipline, capital light growth and better return from core assets, which has resulted in programme of cost savings, divestment of </w:t>
      </w:r>
      <w:r w:rsidR="00C868EA" w:rsidRPr="00C2098E">
        <w:t>non-core</w:t>
      </w:r>
      <w:r w:rsidRPr="00C2098E">
        <w:t xml:space="preserve"> businesses like fuel forecourt and focused efforts on grocery and wholesale business. The Group's financial performance has featured a growth in revenue from continuing activities and an underlying boost in profit performance and cash generation, as evidenced by higher EBITDA margins and a decrease in external debt</w:t>
      </w:r>
      <w:r w:rsidR="00C868EA" w:rsidRPr="00C2098E">
        <w:t xml:space="preserve"> (Morrisons, 2023/24; Morrisons, 2025a; Retail Insight Network, 2025)</w:t>
      </w:r>
      <w:r w:rsidRPr="00C2098E">
        <w:t>. This background is significant because it indicates a company that has a need and a desire for new opportunities for growth – in this case, international wholesale – but is not yet out of control.</w:t>
      </w:r>
    </w:p>
    <w:p w14:paraId="5567F769" w14:textId="3A0CEA27" w:rsidR="005C0494" w:rsidRPr="00C2098E" w:rsidRDefault="005C0494" w:rsidP="005C0494">
      <w:r w:rsidRPr="00C2098E">
        <w:t>Morrisons' current story focuses on its “food making and shop keeping” aspect – a unique level of vertical integration for a UK supermarket, strategically speaking. It has several manufacturing sites, slaughterhouses and packing plants and directly buy a large proportion of its stock from farmers</w:t>
      </w:r>
      <w:r w:rsidR="00120861" w:rsidRPr="00C2098E">
        <w:t xml:space="preserve"> (Morrisons, 2023/24; Strategy&amp;/PwC, 2024)</w:t>
      </w:r>
      <w:r w:rsidRPr="00C2098E">
        <w:t>. The integration enables the company to control the quality, traceability and cost in a way that pure retail competitors are unable to, and to influence their brand building strategy. Its competitive position is highlighted by its focus on British origin and direct links with suppliers and “made by Morrisons” products</w:t>
      </w:r>
      <w:r w:rsidR="00120861" w:rsidRPr="00C2098E">
        <w:t xml:space="preserve"> (Morrisons, 2023/24; Myton Food Group, 2024)</w:t>
      </w:r>
      <w:r w:rsidRPr="00C2098E">
        <w:t xml:space="preserve">. It isn't just about the quality of ingredients, for a premium label such as “The Best” it means that its products also </w:t>
      </w:r>
      <w:r w:rsidRPr="00C2098E">
        <w:lastRenderedPageBreak/>
        <w:t>bear an authentic and trustworthy message that resonates well in markets where origin and trust are paramount, such as the GCC.</w:t>
      </w:r>
    </w:p>
    <w:p w14:paraId="5C434E80" w14:textId="31249016" w:rsidR="00963387" w:rsidRPr="00C2098E" w:rsidRDefault="00DD3F3F" w:rsidP="00590EC6">
      <w:pPr>
        <w:pStyle w:val="Heading2"/>
      </w:pPr>
      <w:bookmarkStart w:id="3" w:name="_Toc238675466"/>
      <w:r w:rsidRPr="00C2098E">
        <w:t>1</w:t>
      </w:r>
      <w:r w:rsidR="00963387" w:rsidRPr="00C2098E">
        <w:t xml:space="preserve">.2 Product </w:t>
      </w:r>
      <w:r w:rsidR="001708D6" w:rsidRPr="00C2098E">
        <w:t xml:space="preserve">Portfolio </w:t>
      </w:r>
      <w:r w:rsidR="001708D6">
        <w:t>a</w:t>
      </w:r>
      <w:r w:rsidR="001708D6" w:rsidRPr="00C2098E">
        <w:t>nd “</w:t>
      </w:r>
      <w:r w:rsidR="00963387" w:rsidRPr="00C2098E">
        <w:t>The Best</w:t>
      </w:r>
      <w:r w:rsidR="001708D6" w:rsidRPr="00C2098E">
        <w:t>” Premium Tier</w:t>
      </w:r>
      <w:bookmarkEnd w:id="3"/>
    </w:p>
    <w:p w14:paraId="0D2C9AB5" w14:textId="2AA74CEF" w:rsidR="00E7027D" w:rsidRPr="00C2098E" w:rsidRDefault="00E7027D" w:rsidP="00E7027D">
      <w:r w:rsidRPr="00C2098E">
        <w:t xml:space="preserve">Morrisons provides a complete range of supermarket products including fresh produce, meat and fish, bakery, chilled and frozen convenience foods, ambient grocery, household goods and a selection of </w:t>
      </w:r>
      <w:r w:rsidR="00F96A12" w:rsidRPr="00C2098E">
        <w:t>non-food</w:t>
      </w:r>
      <w:r w:rsidRPr="00C2098E">
        <w:t xml:space="preserve"> items</w:t>
      </w:r>
      <w:r w:rsidR="00017D56" w:rsidRPr="00C2098E">
        <w:t xml:space="preserve"> (Morrisons, 2023/24)</w:t>
      </w:r>
      <w:r w:rsidRPr="00C2098E">
        <w:t>. In this diverse portfolio, own label products play a key role. As with other major supermarkets, Morrisons has three levels:</w:t>
      </w:r>
    </w:p>
    <w:p w14:paraId="0337D4F8" w14:textId="07904498" w:rsidR="00E7027D" w:rsidRPr="00C2098E" w:rsidRDefault="00E7027D" w:rsidP="00231C0F">
      <w:pPr>
        <w:pStyle w:val="ListParagraph"/>
        <w:numPr>
          <w:ilvl w:val="0"/>
          <w:numId w:val="1"/>
        </w:numPr>
      </w:pPr>
      <w:r w:rsidRPr="00C2098E">
        <w:t xml:space="preserve">A value tier to compete directly with discount chains and </w:t>
      </w:r>
      <w:r w:rsidR="00017D56" w:rsidRPr="00C2098E">
        <w:t>low-priced</w:t>
      </w:r>
      <w:r w:rsidRPr="00C2098E">
        <w:t xml:space="preserve"> branded options, directly targeting consumers who are highly price sensitive.</w:t>
      </w:r>
    </w:p>
    <w:p w14:paraId="0FF1DEF3" w14:textId="77777777" w:rsidR="00E7027D" w:rsidRPr="00C2098E" w:rsidRDefault="00E7027D" w:rsidP="00231C0F">
      <w:pPr>
        <w:pStyle w:val="ListParagraph"/>
        <w:numPr>
          <w:ilvl w:val="0"/>
          <w:numId w:val="1"/>
        </w:numPr>
      </w:pPr>
      <w:r w:rsidRPr="00C2098E">
        <w:t>A basic level (the majority of the normal range), designed to provide a standard quality and price in line with the expectations of the general population.</w:t>
      </w:r>
    </w:p>
    <w:p w14:paraId="4D02D43D" w14:textId="77777777" w:rsidR="00E7027D" w:rsidRPr="00C2098E" w:rsidRDefault="00E7027D" w:rsidP="00231C0F">
      <w:pPr>
        <w:pStyle w:val="ListParagraph"/>
        <w:numPr>
          <w:ilvl w:val="0"/>
          <w:numId w:val="1"/>
        </w:numPr>
      </w:pPr>
      <w:r w:rsidRPr="00C2098E">
        <w:t>A higher quality offering, branded as “The Best”, targeting those willing to pay more for quality, innovation and indulgence.</w:t>
      </w:r>
    </w:p>
    <w:p w14:paraId="00950F57" w14:textId="1BB14B03" w:rsidR="00E7027D" w:rsidRPr="00C2098E" w:rsidRDefault="00E7027D" w:rsidP="00E7027D">
      <w:r w:rsidRPr="00C2098E">
        <w:t xml:space="preserve">The Best range is a crucial one, as it will enable Morrisons to go beyond price alone. Products in this grade may have more complicated and “restaurant style” recipes, more attractive packaging and </w:t>
      </w:r>
      <w:r w:rsidR="00D563E7" w:rsidRPr="00C2098E">
        <w:t>higher-grade</w:t>
      </w:r>
      <w:r w:rsidRPr="00C2098E">
        <w:t xml:space="preserve"> ingredients</w:t>
      </w:r>
      <w:r w:rsidR="00D563E7" w:rsidRPr="00C2098E">
        <w:t xml:space="preserve"> (Morrisons, 2023/24; Kumar and Steenkamp, 2007)</w:t>
      </w:r>
      <w:r w:rsidRPr="00C2098E">
        <w:t>. They're set up for special occasions, at home treats or more critical customers who want to experience good worth in contrast to the greatest manufacturer brands. In the ranges such as biscuits, confectionery, chilled ready meals and desserts “The Best” offers a means for Morrisons to occupy high-end categories without just depending on the external brands</w:t>
      </w:r>
      <w:r w:rsidR="00621407" w:rsidRPr="00C2098E">
        <w:t xml:space="preserve"> (Morrisons, 2023/24; Morrisons, 2025)</w:t>
      </w:r>
      <w:r w:rsidRPr="00C2098E">
        <w:t>. That is in line with the academic research on premium private labels that indicates that retailer brands which enhance quality and branding can become “quasi brands” that compete on image and price with manufacturer brands</w:t>
      </w:r>
      <w:r w:rsidR="009E6F2A" w:rsidRPr="00C2098E">
        <w:t xml:space="preserve"> (Kumar and Steenkamp, 2007)</w:t>
      </w:r>
      <w:r w:rsidRPr="00C2098E">
        <w:t>.</w:t>
      </w:r>
    </w:p>
    <w:p w14:paraId="717A34A6" w14:textId="049BB19B" w:rsidR="00E7027D" w:rsidRPr="00C2098E" w:rsidRDefault="00E7027D" w:rsidP="00E7027D">
      <w:r w:rsidRPr="00C2098E">
        <w:t>Brand architecture is another critical aspect. The Best is under the Morrisons master brand, but is often very different in appearance, featuring bold coloured packs, stylised logos and lots of pictures of the products</w:t>
      </w:r>
      <w:r w:rsidR="004044A2" w:rsidRPr="00C2098E">
        <w:t xml:space="preserve"> (Keller, 2013; Kumar and Steenkamp, 2007)</w:t>
      </w:r>
      <w:r w:rsidRPr="00C2098E">
        <w:t>. This will help it to get noticed in store and to help the concept of a sub brand expand beyond the UK. This visual distinctiveness is helpful in a GCC expansion where consumers may not be familiar with the Morrisons brand name - “The Best” can be offered as a clear and consistent premium offering, with cues for British origin and quality</w:t>
      </w:r>
      <w:r w:rsidR="004044A2" w:rsidRPr="00C2098E">
        <w:t xml:space="preserve"> (Aichner, 2014; Burt and Sparks, 2002)</w:t>
      </w:r>
      <w:r w:rsidRPr="00C2098E">
        <w:t>.</w:t>
      </w:r>
    </w:p>
    <w:p w14:paraId="760B4DAF" w14:textId="31E9AF26" w:rsidR="00963387" w:rsidRPr="00C2098E" w:rsidRDefault="00DD3F3F" w:rsidP="00590EC6">
      <w:pPr>
        <w:pStyle w:val="Heading2"/>
      </w:pPr>
      <w:bookmarkStart w:id="4" w:name="_Toc238675467"/>
      <w:r w:rsidRPr="00C2098E">
        <w:lastRenderedPageBreak/>
        <w:t>1</w:t>
      </w:r>
      <w:r w:rsidR="00963387" w:rsidRPr="00C2098E">
        <w:t xml:space="preserve">.3 Internationalisation </w:t>
      </w:r>
      <w:r w:rsidR="00981207" w:rsidRPr="00C2098E">
        <w:t xml:space="preserve">and </w:t>
      </w:r>
      <w:r w:rsidR="00963387" w:rsidRPr="00C2098E">
        <w:t xml:space="preserve">GCC </w:t>
      </w:r>
      <w:r w:rsidR="00981207" w:rsidRPr="00C2098E">
        <w:t>Presence</w:t>
      </w:r>
      <w:bookmarkEnd w:id="4"/>
    </w:p>
    <w:p w14:paraId="2F07E373" w14:textId="3D554F7B" w:rsidR="00E7027D" w:rsidRPr="00C2098E" w:rsidRDefault="00E7027D" w:rsidP="00E7027D">
      <w:r w:rsidRPr="00C2098E">
        <w:t>Unlike some of its peers that have ventured abroad in retail, Morrisons' internationalisation has been wholesale, via export and distribution channels instead of opening stores overseas. This indicates the firm's late entry into the international market, and its aim of risk management and CAPEX</w:t>
      </w:r>
      <w:r w:rsidR="002B45EF" w:rsidRPr="00C2098E">
        <w:t xml:space="preserve"> (Morrisons, 2023/24; Strategy&amp;/PwC, 2024)</w:t>
      </w:r>
      <w:r w:rsidRPr="00C2098E">
        <w:t>. This has actually involved the collaboration with third party distributors and big regional retailers, to list Morrisons products, deal with local logistics and ensure compliance</w:t>
      </w:r>
      <w:r w:rsidR="003E7740" w:rsidRPr="00C2098E">
        <w:t xml:space="preserve"> </w:t>
      </w:r>
      <w:r w:rsidR="00901BC9" w:rsidRPr="00C2098E">
        <w:t>(Johanson and Vahlne, 2009; Root, 1994</w:t>
      </w:r>
      <w:r w:rsidR="003437EB" w:rsidRPr="00C2098E">
        <w:t>; WTA Group, 2025</w:t>
      </w:r>
      <w:r w:rsidR="00901BC9" w:rsidRPr="00C2098E">
        <w:t>)</w:t>
      </w:r>
      <w:r w:rsidRPr="00C2098E">
        <w:t>.</w:t>
      </w:r>
    </w:p>
    <w:p w14:paraId="5CAD9010" w14:textId="3C4A18C1" w:rsidR="00E7027D" w:rsidRPr="00C2098E" w:rsidRDefault="00E7027D" w:rsidP="00E7027D">
      <w:r w:rsidRPr="00C2098E">
        <w:t>The main one is the cooperation with Lulu Retail Group and its sourcing arm Y International</w:t>
      </w:r>
      <w:r w:rsidR="00B77771" w:rsidRPr="00C2098E">
        <w:t xml:space="preserve"> (Morrisons, 2025)</w:t>
      </w:r>
      <w:r w:rsidRPr="00C2098E">
        <w:t>. This partnership enables Morrisons to deliver a select list of its products to the Lulu hypermarkets and supermarkets in the GCC region. Corporate communications and trade press say initial trials were so positive in Qatar that the product could now be expanded to the UAE and Saudi Arabia and other countries in the Gulf region, with the number of stores stocking Morrisons products rising to approximately 260 outlets across the region over time</w:t>
      </w:r>
      <w:r w:rsidR="00155FA0" w:rsidRPr="00C2098E">
        <w:t xml:space="preserve"> (Leverbrook Export, 2022</w:t>
      </w:r>
      <w:r w:rsidR="0086719F">
        <w:t>a</w:t>
      </w:r>
      <w:r w:rsidR="00155FA0" w:rsidRPr="00C2098E">
        <w:t>)</w:t>
      </w:r>
      <w:r w:rsidRPr="00C2098E">
        <w:t>. The stores normally have British food promotions or have sections for British food such as Morrisons stocked alongside other British brands.</w:t>
      </w:r>
    </w:p>
    <w:p w14:paraId="097C9520" w14:textId="6FABDC72" w:rsidR="00E7027D" w:rsidRPr="00C2098E" w:rsidRDefault="00E7027D" w:rsidP="00E7027D">
      <w:r w:rsidRPr="00C2098E">
        <w:t>Further, Morrisons has expanded their footprint in the GCC via digital. The Company's partnerships with platforms like Noon and Kibsons in the UAE enable it to display items in digital catalogues and sell directly to consumers through local logistics channels</w:t>
      </w:r>
      <w:r w:rsidR="00484220" w:rsidRPr="00C2098E">
        <w:t xml:space="preserve"> (Noon, 2025; Kibsons, 2026</w:t>
      </w:r>
      <w:r w:rsidR="000C0F8B">
        <w:t>b</w:t>
      </w:r>
      <w:r w:rsidR="00484220" w:rsidRPr="00C2098E">
        <w:t>)</w:t>
      </w:r>
      <w:r w:rsidRPr="00C2098E">
        <w:t>. This provides a chance to test, collect information about product performance and market awareness creation for the expatriate community and, more digitally driven shopping audiences</w:t>
      </w:r>
      <w:r w:rsidR="00202910" w:rsidRPr="00C2098E">
        <w:t xml:space="preserve"> (Bain &amp; Company, 2022; YouGov, 2024)</w:t>
      </w:r>
      <w:r w:rsidRPr="00C2098E">
        <w:t xml:space="preserve">. Burnley's online listings sometimes mention British products and sometimes focus on “The Best” if it's a category in which British products are </w:t>
      </w:r>
      <w:r w:rsidR="00113F50" w:rsidRPr="00C2098E">
        <w:t>popula</w:t>
      </w:r>
      <w:r w:rsidRPr="00C2098E">
        <w:t>r</w:t>
      </w:r>
      <w:r w:rsidR="00113F50" w:rsidRPr="00C2098E">
        <w:t xml:space="preserve"> (Noon, 2025; Meydan Free Zone, 2026)</w:t>
      </w:r>
      <w:r w:rsidRPr="00C2098E">
        <w:t>.</w:t>
      </w:r>
    </w:p>
    <w:p w14:paraId="65EA1B57" w14:textId="01A48AD8" w:rsidR="00457AA8" w:rsidRPr="00C2098E" w:rsidRDefault="00457AA8" w:rsidP="00457AA8">
      <w:r w:rsidRPr="00C2098E">
        <w:t>However, Morrisons' overseas operations are still more opportunistic than strategic. The product mix in GCC has been decided primarily with the interests of the distributors in mind and the British food festivals, while it was not a long-term strategy to make “The Best” a well-known premium brand in the region</w:t>
      </w:r>
      <w:r w:rsidR="00802BB3" w:rsidRPr="00C2098E">
        <w:t xml:space="preserve"> (Morrisons, 2025; Leverbrook Export, 2022</w:t>
      </w:r>
      <w:r w:rsidR="0086719F">
        <w:t>b</w:t>
      </w:r>
      <w:r w:rsidR="00802BB3" w:rsidRPr="00C2098E">
        <w:t>)</w:t>
      </w:r>
      <w:r w:rsidRPr="00C2098E">
        <w:t>. Many of the products being exported are standard or mainstream ranges and the ‘The Best' is not necessarily consistently placed across markets or channels. There is very little visibility of category specific aspirations such as leadership in premium biscuit category in UAE and KSA</w:t>
      </w:r>
      <w:r w:rsidR="00802BB3" w:rsidRPr="00C2098E">
        <w:t xml:space="preserve"> </w:t>
      </w:r>
      <w:r w:rsidR="00802BB3" w:rsidRPr="00C2098E">
        <w:lastRenderedPageBreak/>
        <w:t>(Strategy&amp;/PwC, 2024)</w:t>
      </w:r>
      <w:r w:rsidRPr="00C2098E">
        <w:t>. A lack of structured planning around “The Best” is the starting point of the business development project.</w:t>
      </w:r>
    </w:p>
    <w:p w14:paraId="3FF42361" w14:textId="15C3AF76" w:rsidR="00963387" w:rsidRPr="00C2098E" w:rsidRDefault="00DD3F3F" w:rsidP="00590EC6">
      <w:pPr>
        <w:pStyle w:val="Heading2"/>
      </w:pPr>
      <w:bookmarkStart w:id="5" w:name="_Toc238675468"/>
      <w:r w:rsidRPr="00C2098E">
        <w:t>1</w:t>
      </w:r>
      <w:r w:rsidR="00963387" w:rsidRPr="00C2098E">
        <w:t xml:space="preserve">.4 Customer </w:t>
      </w:r>
      <w:r w:rsidR="00665988" w:rsidRPr="00C2098E">
        <w:t xml:space="preserve">Problem and Market Gap: </w:t>
      </w:r>
      <w:r w:rsidR="00963387" w:rsidRPr="00C2098E">
        <w:t xml:space="preserve">GCC </w:t>
      </w:r>
      <w:r w:rsidR="00665988" w:rsidRPr="00C2098E">
        <w:t>Premium Segment</w:t>
      </w:r>
      <w:bookmarkEnd w:id="5"/>
    </w:p>
    <w:p w14:paraId="7CFD33F6" w14:textId="77777777" w:rsidR="00457AA8" w:rsidRPr="00C2098E" w:rsidRDefault="00457AA8" w:rsidP="00457AA8">
      <w:r w:rsidRPr="00C2098E">
        <w:t>The customer problem or market gap from the Morrisons perspective is a combination of three;</w:t>
      </w:r>
    </w:p>
    <w:p w14:paraId="18BF719C" w14:textId="3C4FF5E9" w:rsidR="00457AA8" w:rsidRPr="00C2098E" w:rsidRDefault="00457AA8" w:rsidP="00231C0F">
      <w:pPr>
        <w:pStyle w:val="ListParagraph"/>
        <w:numPr>
          <w:ilvl w:val="0"/>
          <w:numId w:val="2"/>
        </w:numPr>
      </w:pPr>
      <w:r w:rsidRPr="00C2098E">
        <w:t>Consumers in the GCC region are increasingly interested in high end, imported food products, particularly in indulgent food categories such as biscuit and confectionery</w:t>
      </w:r>
      <w:r w:rsidR="00A9649F" w:rsidRPr="00C2098E">
        <w:t xml:space="preserve"> (Alpen Capital, 2025; GCC Food Market Report, 2026)</w:t>
      </w:r>
      <w:r w:rsidRPr="00C2098E">
        <w:t>.</w:t>
      </w:r>
    </w:p>
    <w:p w14:paraId="0376304A" w14:textId="206F3512" w:rsidR="00457AA8" w:rsidRPr="00C2098E" w:rsidRDefault="00457AA8" w:rsidP="00231C0F">
      <w:pPr>
        <w:pStyle w:val="ListParagraph"/>
        <w:numPr>
          <w:ilvl w:val="0"/>
          <w:numId w:val="2"/>
        </w:numPr>
      </w:pPr>
      <w:r w:rsidRPr="00C2098E">
        <w:t>Retailers in GCC stock a wide range of international and British brands, but there is scope for value-added, premium brands that are not as “ultra” as the luxury brands</w:t>
      </w:r>
      <w:r w:rsidR="00C45DC6" w:rsidRPr="00C2098E">
        <w:t xml:space="preserve"> (Strategy&amp;/PwC, 2024; Leverbrook Export, 2022</w:t>
      </w:r>
      <w:r w:rsidR="0086719F">
        <w:t>a</w:t>
      </w:r>
      <w:r w:rsidR="00C45DC6" w:rsidRPr="00C2098E">
        <w:t>)</w:t>
      </w:r>
      <w:r w:rsidRPr="00C2098E">
        <w:t>.</w:t>
      </w:r>
    </w:p>
    <w:p w14:paraId="6827265A" w14:textId="3FF3A943" w:rsidR="00457AA8" w:rsidRPr="00C2098E" w:rsidRDefault="00457AA8" w:rsidP="00231C0F">
      <w:pPr>
        <w:pStyle w:val="ListParagraph"/>
        <w:numPr>
          <w:ilvl w:val="0"/>
          <w:numId w:val="2"/>
        </w:numPr>
      </w:pPr>
      <w:r w:rsidRPr="00C2098E">
        <w:t>Distribution access and manufacturing capability is already in place at Morrisons but they are not using their premium private label model to secure a clear and competitive position in this market</w:t>
      </w:r>
      <w:r w:rsidR="00D322F0" w:rsidRPr="00C2098E">
        <w:t xml:space="preserve"> (Morrisons, 2023/24; Morrisons, 2025)</w:t>
      </w:r>
      <w:r w:rsidRPr="00C2098E">
        <w:t>.</w:t>
      </w:r>
    </w:p>
    <w:p w14:paraId="40F72FA0" w14:textId="58B5D064" w:rsidR="00457AA8" w:rsidRPr="00C2098E" w:rsidRDefault="00457AA8" w:rsidP="00457AA8">
      <w:r w:rsidRPr="00C2098E">
        <w:t>The climatic and land limitation factors make food markets in the GCC highly reliant on imports</w:t>
      </w:r>
      <w:r w:rsidR="00646C4E" w:rsidRPr="00C2098E">
        <w:t xml:space="preserve"> (UK Government, 2026a; Strategy&amp;/PwC, 2024)</w:t>
      </w:r>
      <w:r w:rsidRPr="00C2098E">
        <w:t>. As a result, governments and retailers have diversified supply, established links with exporters and made investments in food security measures. Meanwhile, the UAE and the KSA has seen economic growth and increased income levels grow the proportion of expenditure on packaged foods and snacks</w:t>
      </w:r>
      <w:r w:rsidR="00CE1375" w:rsidRPr="00C2098E">
        <w:t xml:space="preserve"> (Alpen Capital, 2025; MarkNtel Advisors, 2024</w:t>
      </w:r>
      <w:r w:rsidR="00A56C5D">
        <w:t>b</w:t>
      </w:r>
      <w:r w:rsidR="00CE1375" w:rsidRPr="00C2098E">
        <w:t>)</w:t>
      </w:r>
      <w:r w:rsidRPr="00C2098E">
        <w:t>. Youthful users and urbanization and high Smartphone penetration in the population has resulted in a higher exposure to the international brand culture and willingness to try new products</w:t>
      </w:r>
      <w:r w:rsidR="00CB28A7" w:rsidRPr="00C2098E">
        <w:t xml:space="preserve"> (Bain &amp; Company, 2022; YouGov, 2024)</w:t>
      </w:r>
      <w:r w:rsidRPr="00C2098E">
        <w:t>.</w:t>
      </w:r>
    </w:p>
    <w:p w14:paraId="7DC59941" w14:textId="2F350224" w:rsidR="00457AA8" w:rsidRPr="00C2098E" w:rsidRDefault="00457AA8" w:rsidP="00457AA8">
      <w:r w:rsidRPr="00C2098E">
        <w:t>The fact that Morrisons is still in operation, primarily via Lulu and online partners, indicates that there is some level of demand for the products</w:t>
      </w:r>
      <w:r w:rsidR="00F07EEE" w:rsidRPr="00C2098E">
        <w:t xml:space="preserve"> (Morrisons, 2025; Noon, 2025; Kibsons, 2026</w:t>
      </w:r>
      <w:r w:rsidR="000C0F8B">
        <w:t>b</w:t>
      </w:r>
      <w:r w:rsidR="00F07EEE" w:rsidRPr="00C2098E">
        <w:t>)</w:t>
      </w:r>
      <w:r w:rsidRPr="00C2098E">
        <w:t>. The difference is that “The Best” is not actively being used as a solution to consumers in GCC who want a good value brand of British products. This project thus sees the absence of a structured approach to "The Best" in UAE and KSA as a growth opportunity since targeting premiums in the ambient space, and carefully selecting SKUs &amp; marketing messages, could allow Morrisons to develop a more coherent position in the GCC premium grocery space</w:t>
      </w:r>
      <w:r w:rsidR="00654A84" w:rsidRPr="00C2098E">
        <w:t xml:space="preserve"> (Morrisons, 2023/24; Strategy&amp;/PwC, 2024)</w:t>
      </w:r>
      <w:r w:rsidRPr="00C2098E">
        <w:t>.</w:t>
      </w:r>
    </w:p>
    <w:p w14:paraId="685E8230" w14:textId="3D50C904" w:rsidR="00963387" w:rsidRPr="00C2098E" w:rsidRDefault="00DD3F3F" w:rsidP="00590EC6">
      <w:pPr>
        <w:pStyle w:val="Heading2"/>
      </w:pPr>
      <w:bookmarkStart w:id="6" w:name="_Toc238675469"/>
      <w:r w:rsidRPr="00C2098E">
        <w:lastRenderedPageBreak/>
        <w:t>1</w:t>
      </w:r>
      <w:r w:rsidR="00963387" w:rsidRPr="00C2098E">
        <w:t>.5 Mission</w:t>
      </w:r>
      <w:r w:rsidR="005D44B3" w:rsidRPr="00C2098E">
        <w:t xml:space="preserve">, Vision, Legal Structure and Specific Objectives For </w:t>
      </w:r>
      <w:r w:rsidR="00963387" w:rsidRPr="00C2098E">
        <w:t>GCC</w:t>
      </w:r>
      <w:bookmarkEnd w:id="6"/>
    </w:p>
    <w:p w14:paraId="59A90F9C" w14:textId="734535C2" w:rsidR="00457AA8" w:rsidRPr="00C2098E" w:rsidRDefault="00457AA8" w:rsidP="00457AA8">
      <w:r w:rsidRPr="00C2098E">
        <w:t xml:space="preserve">Morrisons' overall aim is to provide good quality food at good prices and to be a trustworthy grocery store in the communities that they serve. It is a matter of customer value, colleague development, responsible sourcing and environmental responsibility, which are all highlighted in its strategic documents. The company is legally organised as a UK registered supermarket group operating under </w:t>
      </w:r>
      <w:r w:rsidR="00580CB7" w:rsidRPr="00C2098E">
        <w:t>holding company whose private equity owners</w:t>
      </w:r>
      <w:r w:rsidRPr="00C2098E">
        <w:t xml:space="preserve"> are directors; board governance and reporting is to UK corporate standards.</w:t>
      </w:r>
    </w:p>
    <w:p w14:paraId="45C8AE1C" w14:textId="77777777" w:rsidR="00457AA8" w:rsidRPr="00C2098E" w:rsidRDefault="00457AA8" w:rsidP="00457AA8">
      <w:r w:rsidRPr="00C2098E">
        <w:t>The proposed GCC expansion for “The Best” can be expressed with specific and focused goals within this broader mission:</w:t>
      </w:r>
    </w:p>
    <w:p w14:paraId="3ECC4B3A" w14:textId="77777777" w:rsidR="00457AA8" w:rsidRPr="00C2098E" w:rsidRDefault="00457AA8" w:rsidP="00231C0F">
      <w:pPr>
        <w:pStyle w:val="ListParagraph"/>
        <w:numPr>
          <w:ilvl w:val="0"/>
          <w:numId w:val="3"/>
        </w:numPr>
      </w:pPr>
      <w:r w:rsidRPr="00C2098E">
        <w:t>To develop a viable and scalable premium private label business in UAE and KSA, as a successful viable international income stream for Morrisons.</w:t>
      </w:r>
    </w:p>
    <w:p w14:paraId="3E6ECEDB" w14:textId="77777777" w:rsidR="00457AA8" w:rsidRPr="00C2098E" w:rsidRDefault="00457AA8" w:rsidP="00231C0F">
      <w:pPr>
        <w:pStyle w:val="ListParagraph"/>
        <w:numPr>
          <w:ilvl w:val="0"/>
          <w:numId w:val="3"/>
        </w:numPr>
      </w:pPr>
      <w:r w:rsidRPr="00C2098E">
        <w:t>To strengthen the Morrisons brand story of British quality and food making skills in key international locations with ‘The Best' as the focal point.</w:t>
      </w:r>
    </w:p>
    <w:p w14:paraId="3C0278C8" w14:textId="69DDD269" w:rsidR="00457AA8" w:rsidRPr="00C2098E" w:rsidRDefault="00457AA8" w:rsidP="00231C0F">
      <w:pPr>
        <w:pStyle w:val="ListParagraph"/>
        <w:numPr>
          <w:ilvl w:val="0"/>
          <w:numId w:val="3"/>
        </w:numPr>
      </w:pPr>
      <w:r w:rsidRPr="00C2098E">
        <w:t>To pilot and adapt a model of internationalisation for the capital with the aim of replicating it in other regions/categories.</w:t>
      </w:r>
    </w:p>
    <w:p w14:paraId="45E06699" w14:textId="628A74FB" w:rsidR="00457AA8" w:rsidRPr="00C2098E" w:rsidRDefault="00457AA8" w:rsidP="00231C0F">
      <w:pPr>
        <w:pStyle w:val="ListParagraph"/>
        <w:numPr>
          <w:ilvl w:val="0"/>
          <w:numId w:val="3"/>
        </w:numPr>
      </w:pPr>
      <w:r w:rsidRPr="00C2098E">
        <w:t xml:space="preserve">To boost volumes of </w:t>
      </w:r>
      <w:r w:rsidR="004C21D6" w:rsidRPr="00C2098E">
        <w:t>value-added</w:t>
      </w:r>
      <w:r w:rsidRPr="00C2098E">
        <w:t xml:space="preserve"> products exported, contributing to British agriculture and manufacturing, rural economies and the UK's trade of food and drink.</w:t>
      </w:r>
    </w:p>
    <w:p w14:paraId="4CCCE288" w14:textId="77777777" w:rsidR="00457AA8" w:rsidRPr="00C2098E" w:rsidRDefault="00457AA8" w:rsidP="00457AA8">
      <w:r w:rsidRPr="00C2098E">
        <w:t>The goals support the group's focus on disciplined, capital-light growth and offer a unified justification for the “The Best” brand being the spear they'll use to push into the GCC market, with no new store openings or new brands.</w:t>
      </w:r>
    </w:p>
    <w:p w14:paraId="5F5577A8" w14:textId="77777777" w:rsidR="002C0B55" w:rsidRPr="00C2098E" w:rsidRDefault="002C0B55">
      <w:pPr>
        <w:rPr>
          <w:b/>
          <w:bCs/>
        </w:rPr>
      </w:pPr>
      <w:r w:rsidRPr="00C2098E">
        <w:rPr>
          <w:b/>
          <w:bCs/>
        </w:rPr>
        <w:br w:type="page"/>
      </w:r>
    </w:p>
    <w:p w14:paraId="75B5B53D" w14:textId="638290E8" w:rsidR="00963387" w:rsidRPr="00C2098E" w:rsidRDefault="000B1BC2" w:rsidP="00372E67">
      <w:pPr>
        <w:pStyle w:val="Heading1"/>
      </w:pPr>
      <w:bookmarkStart w:id="7" w:name="_Toc238675470"/>
      <w:r w:rsidRPr="00C2098E">
        <w:lastRenderedPageBreak/>
        <w:t>2</w:t>
      </w:r>
      <w:r w:rsidR="00963387" w:rsidRPr="00C2098E">
        <w:t xml:space="preserve">. </w:t>
      </w:r>
      <w:r w:rsidRPr="00C2098E">
        <w:t>Literature Review and Strategic Framework</w:t>
      </w:r>
      <w:bookmarkEnd w:id="7"/>
    </w:p>
    <w:p w14:paraId="56F6DACC" w14:textId="1AF9263B" w:rsidR="00963387" w:rsidRPr="00C2098E" w:rsidRDefault="00CA2D2B" w:rsidP="00590EC6">
      <w:pPr>
        <w:pStyle w:val="Heading2"/>
      </w:pPr>
      <w:bookmarkStart w:id="8" w:name="_Toc238675471"/>
      <w:r w:rsidRPr="00C2098E">
        <w:t>2</w:t>
      </w:r>
      <w:r w:rsidR="00963387" w:rsidRPr="00C2098E">
        <w:t xml:space="preserve">.1 Macro </w:t>
      </w:r>
      <w:r w:rsidR="00B440EA" w:rsidRPr="00C2098E">
        <w:t xml:space="preserve">Environment: </w:t>
      </w:r>
      <w:r w:rsidR="00963387" w:rsidRPr="00C2098E">
        <w:t xml:space="preserve">GCC </w:t>
      </w:r>
      <w:r w:rsidR="00B440EA" w:rsidRPr="00C2098E">
        <w:t>Food Market and Snacks Segment</w:t>
      </w:r>
      <w:bookmarkEnd w:id="8"/>
    </w:p>
    <w:p w14:paraId="541077FC" w14:textId="574F8D05" w:rsidR="00AA00BC" w:rsidRPr="00C2098E" w:rsidRDefault="00AA00BC" w:rsidP="00AA00BC">
      <w:r w:rsidRPr="00C2098E">
        <w:t>The GCC region, which includes Bahrain, Kuwait, Oman, Qatar, Saudi Arabia and the UAE, has experienced a rapid economic and demographic change over the last few decades. Consumption has been transformed by big investments in infrastructure, diversifying the economy from oil, and a policy emphasis focused on foreign workers and tourists. Increasing incomes and urbanisation have spurred growth in the food and beverage sector, and the hypermarket and supermarket are now a part of daily life</w:t>
      </w:r>
      <w:r w:rsidR="00232806" w:rsidRPr="00C2098E">
        <w:t xml:space="preserve"> </w:t>
      </w:r>
      <w:r w:rsidR="00187AC5" w:rsidRPr="00C2098E">
        <w:t>(Alpen Capital, 2025; Strategy&amp;/PwC, 2024)</w:t>
      </w:r>
      <w:r w:rsidRPr="00C2098E">
        <w:t>.</w:t>
      </w:r>
    </w:p>
    <w:p w14:paraId="16D7DC96" w14:textId="08A42FD5" w:rsidR="00AA00BC" w:rsidRPr="00C2098E" w:rsidRDefault="00AA00BC" w:rsidP="00AA00BC">
      <w:r w:rsidRPr="00C2098E">
        <w:t>GCC snacks market is expected to experience significant growth and a remarkable trend towards higher value products, according to the reports. The snacks market is estimated to be approximately USD 8–9 billion and will grow to over USD 12 billion by 2030, with consistent demand for chips, biscuits, confectionery and nuts, but a growing trend of segmentation within these categories</w:t>
      </w:r>
      <w:r w:rsidR="0012519E" w:rsidRPr="00C2098E">
        <w:t xml:space="preserve"> (MarkNtel Advisors, 2024</w:t>
      </w:r>
      <w:r w:rsidR="00A56C5D">
        <w:t>a</w:t>
      </w:r>
      <w:r w:rsidR="0012519E" w:rsidRPr="00C2098E">
        <w:t>)</w:t>
      </w:r>
      <w:r w:rsidRPr="00C2098E">
        <w:t xml:space="preserve">. Consumers are no longer only interested in </w:t>
      </w:r>
      <w:r w:rsidR="0012519E" w:rsidRPr="00C2098E">
        <w:t>low-cost</w:t>
      </w:r>
      <w:r w:rsidRPr="00C2098E">
        <w:t xml:space="preserve"> products, but also in products with a high flavour or texture, nutritional claims or brand prestige. These are high quality cookies, chocolate biscuits and speciality items from European or British origins for biscuit and sweet snacks</w:t>
      </w:r>
      <w:r w:rsidR="00185D19" w:rsidRPr="00C2098E">
        <w:t xml:space="preserve"> (Alpen Capital, 2025; GCC Food Market Report, 2026; Meydan Free Zone, 2026)</w:t>
      </w:r>
      <w:r w:rsidRPr="00C2098E">
        <w:t>.</w:t>
      </w:r>
    </w:p>
    <w:p w14:paraId="72361864" w14:textId="1BEEBDF3" w:rsidR="00AA00BC" w:rsidRPr="00C2098E" w:rsidRDefault="00AA00BC" w:rsidP="00AA00BC">
      <w:r w:rsidRPr="00C2098E">
        <w:t>Further, governments in the GCC countries have voiced their worry on the food security and social health, which resulted in campaigns on balanced diet and responsible consumption. This has prompted some manufacturers and retailers to create the “better for you” versions, such as wholegrain biscuits, sugar lowered versions or products that feature clean label claims</w:t>
      </w:r>
      <w:r w:rsidR="00990082" w:rsidRPr="00C2098E">
        <w:t xml:space="preserve"> (Alpen Capital, 2025; Strategy&amp;/PwC, 2024)</w:t>
      </w:r>
      <w:r w:rsidRPr="00C2098E">
        <w:t>. In the case of “The Best”, this creates room for higher quality, more indulgent products that will still care about ingredients and quality, possibly making them stand out from lower grade products.</w:t>
      </w:r>
    </w:p>
    <w:p w14:paraId="684FFC00" w14:textId="04948895" w:rsidR="00963387" w:rsidRPr="00C2098E" w:rsidRDefault="00CA2D2B" w:rsidP="00590EC6">
      <w:pPr>
        <w:pStyle w:val="Heading2"/>
      </w:pPr>
      <w:bookmarkStart w:id="9" w:name="_Toc238675472"/>
      <w:r w:rsidRPr="00C2098E">
        <w:t>2</w:t>
      </w:r>
      <w:r w:rsidR="00963387" w:rsidRPr="00C2098E">
        <w:t xml:space="preserve">.2 Consumer </w:t>
      </w:r>
      <w:r w:rsidR="00C111DC" w:rsidRPr="00C2098E">
        <w:t>Behaviour: Premiumisation, Origin and Trust</w:t>
      </w:r>
      <w:bookmarkEnd w:id="9"/>
    </w:p>
    <w:p w14:paraId="39AFB209" w14:textId="10423F39" w:rsidR="00AA00BC" w:rsidRPr="00C2098E" w:rsidRDefault="00AA00BC" w:rsidP="00AA00BC">
      <w:r w:rsidRPr="00C2098E">
        <w:t>One of the most notable trends in the GCC consumer market is premiumisation; as incomes increase and lifestyles evolve, consumers are prepared to pay more for a product in certain categories</w:t>
      </w:r>
      <w:r w:rsidR="003854F5" w:rsidRPr="00C2098E">
        <w:t xml:space="preserve"> (Alpen Capital, 2025; Bain &amp; Company, 2022)</w:t>
      </w:r>
      <w:r w:rsidRPr="00C2098E">
        <w:t xml:space="preserve">. Consumption research in every FMCG category reveals that consumers will often make a premium choice if they believe there is added value and attribute quality to the product, its packaging and the brand. This is </w:t>
      </w:r>
      <w:r w:rsidRPr="00C2098E">
        <w:lastRenderedPageBreak/>
        <w:t>particularly apparent in food products such as chocolate, biscuits, dairy products and beverages and is associated with pleasure and social events</w:t>
      </w:r>
      <w:r w:rsidR="008D08DF" w:rsidRPr="00C2098E">
        <w:t xml:space="preserve"> (YouGov, 2024; Alpen Capital, 2025)</w:t>
      </w:r>
      <w:r w:rsidRPr="00C2098E">
        <w:t>.</w:t>
      </w:r>
    </w:p>
    <w:p w14:paraId="244DDB76" w14:textId="582C3FBE" w:rsidR="00AA00BC" w:rsidRPr="00C2098E" w:rsidRDefault="00AA00BC" w:rsidP="00AA00BC">
      <w:r w:rsidRPr="00C2098E">
        <w:t>Perception of country of origin is another important consideration. Origin cues are a valuable indicator of quality and safety, especially for imported foods among consumers in the GCC region. European and British products enjoy a reputation for being more rigorously tested, having traditional recipes and are subject to trusted regulation</w:t>
      </w:r>
      <w:r w:rsidR="00C91911" w:rsidRPr="00C2098E">
        <w:t xml:space="preserve"> (Aichner, 2014; Leverbrook Export, 2022</w:t>
      </w:r>
      <w:r w:rsidR="0086719F">
        <w:t>b</w:t>
      </w:r>
      <w:r w:rsidR="00C91911" w:rsidRPr="00C2098E">
        <w:t>; Meydan Free Zone, 2026)</w:t>
      </w:r>
      <w:r w:rsidRPr="00C2098E">
        <w:t>. This is supported by the communication of the marketing that emphasizes the provenance and heritage. They are often seen in ‘British aisles' or ‘British promotions' in hypermarkets and have long been associated with British products and expatriate communities</w:t>
      </w:r>
      <w:r w:rsidR="009172C3" w:rsidRPr="00C2098E">
        <w:t xml:space="preserve"> (Leverbrook Export, 2022</w:t>
      </w:r>
      <w:r w:rsidR="0086719F">
        <w:t>b</w:t>
      </w:r>
      <w:r w:rsidR="009172C3" w:rsidRPr="00C2098E">
        <w:t>; WTA Group, 2025)</w:t>
      </w:r>
      <w:r w:rsidRPr="00C2098E">
        <w:t>. Morrisons' use of “The Best” is not being done as a marketing ploy, it is an acknowledging of a consumer preference for certain origins in premium food, a preference that applies to Britain</w:t>
      </w:r>
      <w:r w:rsidR="00185AAE" w:rsidRPr="00C2098E">
        <w:t xml:space="preserve"> (Aichner, 2014; Alpen Capital, 2025)</w:t>
      </w:r>
      <w:r w:rsidRPr="00C2098E">
        <w:t>.</w:t>
      </w:r>
    </w:p>
    <w:p w14:paraId="59E90FB0" w14:textId="3B7F6D2C" w:rsidR="00AA00BC" w:rsidRPr="00C2098E" w:rsidRDefault="00AA00BC" w:rsidP="00AA00BC">
      <w:r w:rsidRPr="00C2098E">
        <w:t>Retailer reputation is also a factor in gaining trust. Supermarkets, such as Lulu or Carrefour, have been investing in quality control and customer service, and they have become trusted distributors of foreign brands</w:t>
      </w:r>
      <w:r w:rsidR="00DD525E" w:rsidRPr="00C2098E">
        <w:t xml:space="preserve"> (Strategy&amp;/PwC, 2024; Bain &amp; Company, 2022)</w:t>
      </w:r>
      <w:r w:rsidRPr="00C2098E">
        <w:t>. If the retailer endorses or co brands a new imported range, consumers might be more inclined to try it. Being featured in these trusted brands is a good first step for Morrisons but to substantiate a growth plan, the project must demonstrate that GCC consumers are likely to perceive “The Best” as a suitable substitute or complement to trusted premium brands</w:t>
      </w:r>
      <w:r w:rsidR="009A171E" w:rsidRPr="00C2098E">
        <w:t xml:space="preserve"> (Morrisons, 2025; Strategy&amp;/PwC, 2024)</w:t>
      </w:r>
      <w:r w:rsidRPr="00C2098E">
        <w:t xml:space="preserve">. This assumption can be tested using </w:t>
      </w:r>
      <w:r w:rsidR="006A3F14">
        <w:t>secondary data sources</w:t>
      </w:r>
      <w:r w:rsidRPr="00C2098E">
        <w:t xml:space="preserve">, </w:t>
      </w:r>
      <w:r w:rsidR="006A3F14">
        <w:t>and</w:t>
      </w:r>
      <w:r w:rsidRPr="00C2098E">
        <w:t xml:space="preserve"> to investigate attitudes towards private label products, and towards the British supermarket brands in particular</w:t>
      </w:r>
      <w:r w:rsidR="00E24968" w:rsidRPr="00C2098E">
        <w:t xml:space="preserve"> (Kumar and Steenkamp, 2007)</w:t>
      </w:r>
      <w:r w:rsidRPr="00C2098E">
        <w:t>.</w:t>
      </w:r>
    </w:p>
    <w:p w14:paraId="1C214444" w14:textId="7FF8D3A0" w:rsidR="00963387" w:rsidRPr="00C2098E" w:rsidRDefault="00CA2D2B" w:rsidP="00590EC6">
      <w:pPr>
        <w:pStyle w:val="Heading2"/>
      </w:pPr>
      <w:bookmarkStart w:id="10" w:name="_Toc238675473"/>
      <w:r w:rsidRPr="00C2098E">
        <w:t>2</w:t>
      </w:r>
      <w:r w:rsidR="00963387" w:rsidRPr="00C2098E">
        <w:t xml:space="preserve">.3 Competitive </w:t>
      </w:r>
      <w:r w:rsidR="00C111DC" w:rsidRPr="00C2098E">
        <w:t xml:space="preserve">Dynamics and </w:t>
      </w:r>
      <w:r w:rsidR="00963387" w:rsidRPr="00C2098E">
        <w:t xml:space="preserve">Morrisons’ </w:t>
      </w:r>
      <w:r w:rsidR="00C111DC" w:rsidRPr="00C2098E">
        <w:t>Potential Position</w:t>
      </w:r>
      <w:bookmarkEnd w:id="10"/>
    </w:p>
    <w:p w14:paraId="3BF452DF" w14:textId="77777777" w:rsidR="00AA00BC" w:rsidRPr="00C2098E" w:rsidRDefault="00AA00BC" w:rsidP="00AA00BC">
      <w:r w:rsidRPr="00C2098E">
        <w:t>The three general players of the grocery market in GCC are influencing the competition:</w:t>
      </w:r>
    </w:p>
    <w:p w14:paraId="271C0F61" w14:textId="543DCC39" w:rsidR="00AA00BC" w:rsidRPr="00C2098E" w:rsidRDefault="00AA00BC" w:rsidP="00231C0F">
      <w:pPr>
        <w:pStyle w:val="ListParagraph"/>
        <w:numPr>
          <w:ilvl w:val="0"/>
          <w:numId w:val="4"/>
        </w:numPr>
      </w:pPr>
      <w:r w:rsidRPr="00C2098E">
        <w:t>Global manufacturer brands, frequently with large marketing budgets and reputations but with a long history in such categories as biscuits and confectionery, built their reputations</w:t>
      </w:r>
      <w:r w:rsidR="000845AD" w:rsidRPr="00C2098E">
        <w:t xml:space="preserve"> (YouGov, 2024; Arabian Business, 2024; Gulf Business, 2024)</w:t>
      </w:r>
      <w:r w:rsidRPr="00C2098E">
        <w:t>.</w:t>
      </w:r>
    </w:p>
    <w:p w14:paraId="7A86B1F5" w14:textId="77777777" w:rsidR="00AA00BC" w:rsidRPr="00C2098E" w:rsidRDefault="00AA00BC" w:rsidP="00231C0F">
      <w:pPr>
        <w:pStyle w:val="ListParagraph"/>
        <w:numPr>
          <w:ilvl w:val="0"/>
          <w:numId w:val="4"/>
        </w:numPr>
      </w:pPr>
      <w:r w:rsidRPr="00C2098E">
        <w:t>Regional and local brands, such as Middle Eastern brands that compete on price, local taste preference, coverage.</w:t>
      </w:r>
    </w:p>
    <w:p w14:paraId="1C660D46" w14:textId="77777777" w:rsidR="00AA00BC" w:rsidRPr="00C2098E" w:rsidRDefault="00AA00BC" w:rsidP="00231C0F">
      <w:pPr>
        <w:pStyle w:val="ListParagraph"/>
        <w:numPr>
          <w:ilvl w:val="0"/>
          <w:numId w:val="4"/>
        </w:numPr>
      </w:pPr>
      <w:r w:rsidRPr="00C2098E">
        <w:t>Retailer private labels – simple value lines to more and more highly developed premium lines that are more and more like branded products in quality and packaging.</w:t>
      </w:r>
    </w:p>
    <w:p w14:paraId="12180748" w14:textId="6FC1E9B0" w:rsidR="00AA00BC" w:rsidRPr="00C2098E" w:rsidRDefault="00AA00BC" w:rsidP="00AA00BC">
      <w:r w:rsidRPr="00C2098E">
        <w:lastRenderedPageBreak/>
        <w:t>Major brands like McVitie's, Oreo, Kit Kat and Cadbury have gained strong market shares in the GCC shelves as well as in the consumers' minds. They are often the most highly rated brands in FMCG surveys and are the leading choices for certain moments such as regular snacking and gifting</w:t>
      </w:r>
      <w:r w:rsidR="00841A7F" w:rsidRPr="00C2098E">
        <w:t xml:space="preserve"> (YouGov, 2024; Arabian Business, 2024; Gulf Business, 2024)</w:t>
      </w:r>
      <w:r w:rsidRPr="00C2098E">
        <w:t>. For Morrisons that translates to going on new market segments where shoppers already have favourites. But the global brands also come with a higher listing price and might not fit every flavour category and packaging option that consumers desire. This leaves room for higher quality private labels that can be priced a little lower.</w:t>
      </w:r>
    </w:p>
    <w:p w14:paraId="1A35A12C" w14:textId="1F9FFB51" w:rsidR="00AA00BC" w:rsidRPr="00C2098E" w:rsidRDefault="00AA00BC" w:rsidP="00AA00BC">
      <w:r w:rsidRPr="00C2098E">
        <w:t>Morrisons' online presence and its presence through Lulu suggest that at least there is some willingness among the GCC population to post and stock its products. The brand is currently playing a second fiddle to well-established brand manufacturers and local brands suggests competitive analysis</w:t>
      </w:r>
      <w:r w:rsidR="007E5A5A" w:rsidRPr="00C2098E">
        <w:t xml:space="preserve"> (Morrisons, 2025; Noon, 2025; Kibsons, 2026</w:t>
      </w:r>
      <w:r w:rsidR="000C0F8B">
        <w:t>a</w:t>
      </w:r>
      <w:r w:rsidR="007E5A5A" w:rsidRPr="00C2098E">
        <w:t>)</w:t>
      </w:r>
      <w:r w:rsidRPr="00C2098E">
        <w:t>. Growth is, therefore, targeted towards specific categories and outlets where “The Best” can make a meaningful impact – premium biscuits and confectionery in select outlets in UAE and KSA, complemented with digital storytelling and targeted promotions in online grocery apps</w:t>
      </w:r>
      <w:r w:rsidR="00AC7E62" w:rsidRPr="00C2098E">
        <w:t xml:space="preserve"> (Bain &amp; Company, 2022; Noon, 2025; Kibsons, 2026)</w:t>
      </w:r>
      <w:r w:rsidRPr="00C2098E">
        <w:t>. Narrowing scope means that Morrisons don't have to invest too much in too many things and can more accurately assess their performance.</w:t>
      </w:r>
    </w:p>
    <w:p w14:paraId="24444EA0" w14:textId="7412C37B" w:rsidR="00963387" w:rsidRPr="00C2098E" w:rsidRDefault="00CA2D2B" w:rsidP="00590EC6">
      <w:pPr>
        <w:pStyle w:val="Heading2"/>
      </w:pPr>
      <w:bookmarkStart w:id="11" w:name="_Toc238675474"/>
      <w:r w:rsidRPr="00C2098E">
        <w:t>2</w:t>
      </w:r>
      <w:r w:rsidR="00963387" w:rsidRPr="00C2098E">
        <w:t>.4 Regulatory</w:t>
      </w:r>
      <w:r w:rsidR="00C111DC" w:rsidRPr="00C2098E">
        <w:t>, Logistical and Macro</w:t>
      </w:r>
      <w:r w:rsidR="00C111DC" w:rsidRPr="00C2098E">
        <w:noBreakHyphen/>
        <w:t>Risk Factors</w:t>
      </w:r>
      <w:bookmarkEnd w:id="11"/>
    </w:p>
    <w:p w14:paraId="514A93F2" w14:textId="44B56265" w:rsidR="00AD0107" w:rsidRPr="00C2098E" w:rsidRDefault="00AD0107" w:rsidP="00AD0107">
      <w:r w:rsidRPr="00C2098E">
        <w:t>The friction points have to be taken into account as well if a growth opportunity is to be validated. GCC food markets have strict regulatory standards for imported food products such as Arabic language labelling, nutrition panels that meet standards, and in the event of its application, halal certification</w:t>
      </w:r>
      <w:r w:rsidR="005C6899" w:rsidRPr="00C2098E">
        <w:t xml:space="preserve"> (WTA Group, 2025; Source International FZCO, 2026)</w:t>
      </w:r>
      <w:r w:rsidRPr="00C2098E">
        <w:t>. This requires a high degree of collaboration with partners and packaging adaptation for a UK retailer such as Morrisons. If labels are not adapted correctly or on time, this can result in rejection of stock at ports or delays, which will have a negative impact on costs and customer relationship</w:t>
      </w:r>
      <w:r w:rsidR="00622494" w:rsidRPr="00C2098E">
        <w:t xml:space="preserve"> (Source International FZCO, 2026; Morrisons, 2023/24)</w:t>
      </w:r>
      <w:r w:rsidRPr="00C2098E">
        <w:t>.</w:t>
      </w:r>
    </w:p>
    <w:p w14:paraId="351A990F" w14:textId="7A146C7B" w:rsidR="00AD0107" w:rsidRPr="00C2098E" w:rsidRDefault="00AD0107" w:rsidP="00AD0107">
      <w:r w:rsidRPr="00C2098E">
        <w:t>Logistics are another factor to consider. Ambient products like biscuits and confectionery are more portable than chilled or frozen products, but their supply chains and forecasting also must be solid to ensure they are not out-of-stock or overstocked. Supply could be interrupted due to shipping times, port congestion or geopolitical instability in the region</w:t>
      </w:r>
      <w:r w:rsidR="004516CB" w:rsidRPr="00C2098E">
        <w:t xml:space="preserve"> (WTA Group, 2025)</w:t>
      </w:r>
      <w:r w:rsidRPr="00C2098E">
        <w:t xml:space="preserve">. These problems can be dealt with in part by working through experienced intermediaries like Y International, but not completely eliminated. A capital light approach that is based on </w:t>
      </w:r>
      <w:r w:rsidRPr="00C2098E">
        <w:lastRenderedPageBreak/>
        <w:t>wholesale has its operational risks as well as advantages</w:t>
      </w:r>
      <w:r w:rsidR="006B79A6" w:rsidRPr="00C2098E">
        <w:t xml:space="preserve"> (Morrisons, 2025; Johanson and Vahlne, 2009)</w:t>
      </w:r>
      <w:r w:rsidRPr="00C2098E">
        <w:t>.</w:t>
      </w:r>
    </w:p>
    <w:p w14:paraId="586EAEBD" w14:textId="4D4D94B9" w:rsidR="00AD0107" w:rsidRPr="00C2098E" w:rsidRDefault="00AD0107" w:rsidP="00AD0107">
      <w:r w:rsidRPr="00C2098E">
        <w:t>Macroeconomic and monetary risks are also important. The sterling price of sales in GCC markets may be impacted by exchange rate fluctuations, and commodity price fluctuations (e.g. cocoa, sugar, wheat) can also have an impact on margins</w:t>
      </w:r>
      <w:r w:rsidR="00791FC1" w:rsidRPr="00C2098E">
        <w:t xml:space="preserve"> (Alpen Capital, 2025; Strategy&amp;/PwC, 2024)</w:t>
      </w:r>
      <w:r w:rsidRPr="00C2098E">
        <w:t>. Consumers' confidence in the economy and their discretionary expenditure on premium imported food can be affected by the cycle of economic fluctuations in the GCC economies themselves, which are linked to oil prices</w:t>
      </w:r>
      <w:r w:rsidR="00CF566E" w:rsidRPr="00C2098E">
        <w:t xml:space="preserve"> (Alpen Capital, 2025)</w:t>
      </w:r>
      <w:r w:rsidRPr="00C2098E">
        <w:t>. In times of economic downturn, however, consumers tend to gravitate towards cheaper products, which means the validation must take that into account if the strategy is a “The Best” private label</w:t>
      </w:r>
      <w:r w:rsidR="00D92601" w:rsidRPr="00C2098E">
        <w:t xml:space="preserve"> (Kumar and Steenkamp, 2007)</w:t>
      </w:r>
      <w:r w:rsidRPr="00C2098E">
        <w:t>.</w:t>
      </w:r>
    </w:p>
    <w:p w14:paraId="198FB468" w14:textId="77777777" w:rsidR="00236EB0" w:rsidRPr="00C2098E" w:rsidRDefault="00AD0107" w:rsidP="00AD0107">
      <w:r w:rsidRPr="00C2098E">
        <w:t>However, the fact that the UK has a concluded trade agreement with the GCC, there is a demand for UK food imports and the continued maturation of modern retail networks shows that the UK exporters can play a meaningful role in the GCC market. The issue for Morrisons is to set the investment and expectations accordingly: ticking the GCC extension of “The Best” as a controlled experiment rather than a yes/no endeavor, with definite scenarios and exit conditions</w:t>
      </w:r>
      <w:r w:rsidR="00593651" w:rsidRPr="00C2098E">
        <w:t xml:space="preserve"> (UK Government, 2026a; UK Government, 2026b; Alpen Capital, 2025; Strategy&amp;/PwC, 2024)</w:t>
      </w:r>
      <w:r w:rsidRPr="00C2098E">
        <w:t>.</w:t>
      </w:r>
    </w:p>
    <w:p w14:paraId="1C11187B" w14:textId="77777777" w:rsidR="00236EB0" w:rsidRPr="00C2098E" w:rsidRDefault="00236EB0">
      <w:r w:rsidRPr="00C2098E">
        <w:br w:type="page"/>
      </w:r>
    </w:p>
    <w:p w14:paraId="10A25B0D" w14:textId="233AF187" w:rsidR="00D21868" w:rsidRPr="00C2098E" w:rsidRDefault="00E11D48" w:rsidP="006E0CA8">
      <w:pPr>
        <w:pStyle w:val="Heading1"/>
      </w:pPr>
      <w:bookmarkStart w:id="12" w:name="_Toc238675475"/>
      <w:r w:rsidRPr="00121FE4">
        <w:lastRenderedPageBreak/>
        <w:t>3</w:t>
      </w:r>
      <w:r w:rsidR="00D21868" w:rsidRPr="00121FE4">
        <w:t>. Methodology</w:t>
      </w:r>
      <w:bookmarkEnd w:id="12"/>
    </w:p>
    <w:p w14:paraId="604856AA" w14:textId="4477AD89" w:rsidR="00B94C9A" w:rsidRPr="00C2098E" w:rsidRDefault="00B94C9A" w:rsidP="00B94C9A">
      <w:r w:rsidRPr="00C2098E">
        <w:t>The study investigates the possibility of implementing a partner-based approach with minimal capital investment in the GCC premium biscuits and confectionery sector. It uses exclusively secondary information such as corporate reports, government documents, market research, academic research and reputable trade sources, without gathering information from consumers, the retail sector or from Morrisons employees.</w:t>
      </w:r>
    </w:p>
    <w:p w14:paraId="6FA480D3" w14:textId="0B4A4613" w:rsidR="00D21868" w:rsidRPr="00C2098E" w:rsidRDefault="00E11D48" w:rsidP="00590EC6">
      <w:pPr>
        <w:pStyle w:val="Heading2"/>
      </w:pPr>
      <w:bookmarkStart w:id="13" w:name="_Toc238675476"/>
      <w:r w:rsidRPr="00C2098E">
        <w:t>3</w:t>
      </w:r>
      <w:r w:rsidR="00D21868" w:rsidRPr="00C2098E">
        <w:t xml:space="preserve">.1 Research </w:t>
      </w:r>
      <w:r w:rsidR="00976324" w:rsidRPr="00C2098E">
        <w:t>Design and Justification</w:t>
      </w:r>
      <w:bookmarkEnd w:id="13"/>
    </w:p>
    <w:p w14:paraId="77948782" w14:textId="177D4553" w:rsidR="00B94C9A" w:rsidRPr="00C2098E" w:rsidRDefault="00B94C9A" w:rsidP="00B94C9A">
      <w:r w:rsidRPr="00C2098E">
        <w:t xml:space="preserve">A qualitative, desk-based, case study approach with limited quantitative scenario analysis is taken in the report. Morrisons was chosen as the case company due to its well-established history across the UK, food manufacturing capabilities, vertically integrated food sourcing, international penetration in the GCC markets and clear strategic opportunity in relation to its structured international development of ‘The Best'. The geographic scope is limited to UAE and KSA as these are two priority markets which are most relevant for the grocery retail business in the proposed expansion area of the GCC and are endowed with </w:t>
      </w:r>
      <w:r w:rsidR="00976324" w:rsidRPr="00C2098E">
        <w:t>well-established</w:t>
      </w:r>
      <w:r w:rsidRPr="00C2098E">
        <w:t xml:space="preserve"> grocery retail channels, online platforms and demand for imported premium food products.</w:t>
      </w:r>
    </w:p>
    <w:p w14:paraId="181F8B74" w14:textId="77777777" w:rsidR="00B94C9A" w:rsidRPr="00C2098E" w:rsidRDefault="00B94C9A" w:rsidP="00B94C9A">
      <w:r w:rsidRPr="00C2098E">
        <w:t>Because this is a business plan for a PRESENT company, and not a study of consumer behaviour or feasibility study for a new venture, a secondary-data design is indicated. The goal is to evaluate the proposed expansion against existing evidence of suitability and financial viability of the proposed expansion considering the grocery environment in the GCC region, market trends and trade conditions. The annual report of Morrisons is the best source to gauge its financial capability, operational structure and current international activities, and published market and trade sources can be used to assess the external GCC environment (Morrisons, 2023/24; UK Government, 2026a).</w:t>
      </w:r>
    </w:p>
    <w:p w14:paraId="0D35931F" w14:textId="54EBC565" w:rsidR="00B94C9A" w:rsidRPr="00C2098E" w:rsidRDefault="00B94C9A" w:rsidP="00B94C9A">
      <w:r w:rsidRPr="00C2098E">
        <w:t>Interviews, surveys and engagement with retailers were not used to collect primary data. Access to contact GCC consumers, Lulu representatives, distributors or Morrisons managers would have necessitated resources beyond the scope of this report – time, ethical approvals and sampling. The recommendations should therefore be taken as one that is based on evidence and strategy.</w:t>
      </w:r>
    </w:p>
    <w:p w14:paraId="74009C37" w14:textId="77777777" w:rsidR="00934AA6" w:rsidRPr="00C2098E" w:rsidRDefault="00934AA6" w:rsidP="00B94C9A"/>
    <w:p w14:paraId="545ECA2B" w14:textId="5B871AC0" w:rsidR="00604CAD" w:rsidRDefault="00E11D48" w:rsidP="00590EC6">
      <w:pPr>
        <w:pStyle w:val="Heading2"/>
      </w:pPr>
      <w:bookmarkStart w:id="14" w:name="_Toc238675477"/>
      <w:r w:rsidRPr="00C2098E">
        <w:lastRenderedPageBreak/>
        <w:t>3</w:t>
      </w:r>
      <w:r w:rsidR="00D21868" w:rsidRPr="00C2098E">
        <w:t xml:space="preserve">.2 Source </w:t>
      </w:r>
      <w:r w:rsidR="00976324" w:rsidRPr="00C2098E">
        <w:t>Selection and Reliability</w:t>
      </w:r>
      <w:bookmarkEnd w:id="14"/>
    </w:p>
    <w:tbl>
      <w:tblPr>
        <w:tblStyle w:val="PlainTable1"/>
        <w:tblW w:w="5000" w:type="pct"/>
        <w:tblLook w:val="04A0" w:firstRow="1" w:lastRow="0" w:firstColumn="1" w:lastColumn="0" w:noHBand="0" w:noVBand="1"/>
      </w:tblPr>
      <w:tblGrid>
        <w:gridCol w:w="2473"/>
        <w:gridCol w:w="2592"/>
        <w:gridCol w:w="3951"/>
      </w:tblGrid>
      <w:tr w:rsidR="00934AA6" w:rsidRPr="00C2098E" w14:paraId="38246F00" w14:textId="77777777" w:rsidTr="00934A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1" w:type="pct"/>
            <w:hideMark/>
          </w:tcPr>
          <w:p w14:paraId="5E5AB76A" w14:textId="77777777" w:rsidR="00934AA6" w:rsidRPr="00934AA6" w:rsidRDefault="00934AA6" w:rsidP="00934AA6">
            <w:pPr>
              <w:jc w:val="center"/>
              <w:rPr>
                <w:rFonts w:eastAsia="Times New Roman" w:cs="Times New Roman"/>
                <w:szCs w:val="24"/>
              </w:rPr>
            </w:pPr>
            <w:r w:rsidRPr="00934AA6">
              <w:rPr>
                <w:rFonts w:eastAsia="Times New Roman" w:cs="Times New Roman"/>
                <w:szCs w:val="24"/>
              </w:rPr>
              <w:t>Pyramid level</w:t>
            </w:r>
          </w:p>
        </w:tc>
        <w:tc>
          <w:tcPr>
            <w:tcW w:w="1437" w:type="pct"/>
            <w:hideMark/>
          </w:tcPr>
          <w:p w14:paraId="593B4D00" w14:textId="77777777" w:rsidR="00934AA6" w:rsidRPr="00934AA6" w:rsidRDefault="00934AA6" w:rsidP="00934AA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934AA6">
              <w:rPr>
                <w:rFonts w:eastAsia="Times New Roman" w:cs="Times New Roman"/>
                <w:szCs w:val="24"/>
              </w:rPr>
              <w:t>Source type</w:t>
            </w:r>
          </w:p>
        </w:tc>
        <w:tc>
          <w:tcPr>
            <w:tcW w:w="2191" w:type="pct"/>
            <w:hideMark/>
          </w:tcPr>
          <w:p w14:paraId="23144128" w14:textId="77777777" w:rsidR="00934AA6" w:rsidRPr="00934AA6" w:rsidRDefault="00934AA6" w:rsidP="00934AA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934AA6">
              <w:rPr>
                <w:rFonts w:eastAsia="Times New Roman" w:cs="Times New Roman"/>
                <w:szCs w:val="24"/>
              </w:rPr>
              <w:t>Main use in the analysis</w:t>
            </w:r>
          </w:p>
        </w:tc>
      </w:tr>
      <w:tr w:rsidR="00934AA6" w:rsidRPr="00C2098E" w14:paraId="6845F41D" w14:textId="77777777" w:rsidTr="00934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1" w:type="pct"/>
            <w:hideMark/>
          </w:tcPr>
          <w:p w14:paraId="68C3165C" w14:textId="77777777" w:rsidR="00934AA6" w:rsidRPr="00934AA6" w:rsidRDefault="00934AA6" w:rsidP="00934AA6">
            <w:pPr>
              <w:jc w:val="left"/>
              <w:rPr>
                <w:rFonts w:eastAsia="Times New Roman" w:cs="Times New Roman"/>
                <w:b w:val="0"/>
                <w:bCs w:val="0"/>
                <w:szCs w:val="24"/>
              </w:rPr>
            </w:pPr>
            <w:r w:rsidRPr="00934AA6">
              <w:rPr>
                <w:rFonts w:eastAsia="Times New Roman" w:cs="Times New Roman"/>
                <w:b w:val="0"/>
                <w:bCs w:val="0"/>
                <w:szCs w:val="24"/>
              </w:rPr>
              <w:t>Level 1: Highest reliability</w:t>
            </w:r>
          </w:p>
        </w:tc>
        <w:tc>
          <w:tcPr>
            <w:tcW w:w="1437" w:type="pct"/>
            <w:hideMark/>
          </w:tcPr>
          <w:p w14:paraId="1F3DAC94" w14:textId="77777777" w:rsidR="00934AA6" w:rsidRPr="00934AA6" w:rsidRDefault="00934AA6" w:rsidP="00934AA6">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934AA6">
              <w:rPr>
                <w:rFonts w:eastAsia="Times New Roman" w:cs="Times New Roman"/>
                <w:szCs w:val="24"/>
              </w:rPr>
              <w:t>Official primary sources</w:t>
            </w:r>
          </w:p>
        </w:tc>
        <w:tc>
          <w:tcPr>
            <w:tcW w:w="2191" w:type="pct"/>
            <w:hideMark/>
          </w:tcPr>
          <w:p w14:paraId="08CC16F9" w14:textId="77777777" w:rsidR="00934AA6" w:rsidRPr="00934AA6" w:rsidRDefault="00934AA6" w:rsidP="00934AA6">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934AA6">
              <w:rPr>
                <w:rFonts w:eastAsia="Times New Roman" w:cs="Times New Roman"/>
                <w:szCs w:val="24"/>
              </w:rPr>
              <w:t>Morrisons’ financial position, operating model, export activity, cash flow, trade conditions and compliance requirements</w:t>
            </w:r>
          </w:p>
        </w:tc>
      </w:tr>
      <w:tr w:rsidR="00934AA6" w:rsidRPr="00C2098E" w14:paraId="710E883E" w14:textId="77777777" w:rsidTr="00934AA6">
        <w:tc>
          <w:tcPr>
            <w:cnfStyle w:val="001000000000" w:firstRow="0" w:lastRow="0" w:firstColumn="1" w:lastColumn="0" w:oddVBand="0" w:evenVBand="0" w:oddHBand="0" w:evenHBand="0" w:firstRowFirstColumn="0" w:firstRowLastColumn="0" w:lastRowFirstColumn="0" w:lastRowLastColumn="0"/>
            <w:tcW w:w="1371" w:type="pct"/>
            <w:hideMark/>
          </w:tcPr>
          <w:p w14:paraId="5EB2EAE7" w14:textId="77777777" w:rsidR="00934AA6" w:rsidRPr="00934AA6" w:rsidRDefault="00934AA6" w:rsidP="00934AA6">
            <w:pPr>
              <w:jc w:val="left"/>
              <w:rPr>
                <w:rFonts w:eastAsia="Times New Roman" w:cs="Times New Roman"/>
                <w:b w:val="0"/>
                <w:bCs w:val="0"/>
                <w:szCs w:val="24"/>
              </w:rPr>
            </w:pPr>
            <w:r w:rsidRPr="00934AA6">
              <w:rPr>
                <w:rFonts w:eastAsia="Times New Roman" w:cs="Times New Roman"/>
                <w:b w:val="0"/>
                <w:bCs w:val="0"/>
                <w:szCs w:val="24"/>
              </w:rPr>
              <w:t>Level 2: High reliability</w:t>
            </w:r>
          </w:p>
        </w:tc>
        <w:tc>
          <w:tcPr>
            <w:tcW w:w="1437" w:type="pct"/>
            <w:hideMark/>
          </w:tcPr>
          <w:p w14:paraId="10EA8F1D" w14:textId="77777777" w:rsidR="00934AA6" w:rsidRPr="00934AA6" w:rsidRDefault="00934AA6" w:rsidP="00934AA6">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934AA6">
              <w:rPr>
                <w:rFonts w:eastAsia="Times New Roman" w:cs="Times New Roman"/>
                <w:szCs w:val="24"/>
              </w:rPr>
              <w:t>Peer-reviewed academic literature and recognised academic books</w:t>
            </w:r>
          </w:p>
        </w:tc>
        <w:tc>
          <w:tcPr>
            <w:tcW w:w="2191" w:type="pct"/>
            <w:hideMark/>
          </w:tcPr>
          <w:p w14:paraId="1FF44309" w14:textId="77777777" w:rsidR="00934AA6" w:rsidRPr="00934AA6" w:rsidRDefault="00934AA6" w:rsidP="00934AA6">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934AA6">
              <w:rPr>
                <w:rFonts w:eastAsia="Times New Roman" w:cs="Times New Roman"/>
                <w:szCs w:val="24"/>
              </w:rPr>
              <w:t>Application of strategy, internationalisation, competitive advantage and scenario-planning frameworks</w:t>
            </w:r>
          </w:p>
        </w:tc>
      </w:tr>
      <w:tr w:rsidR="00934AA6" w:rsidRPr="00C2098E" w14:paraId="025D4F88" w14:textId="77777777" w:rsidTr="00934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1" w:type="pct"/>
            <w:hideMark/>
          </w:tcPr>
          <w:p w14:paraId="558DA1F1" w14:textId="77777777" w:rsidR="00934AA6" w:rsidRPr="00934AA6" w:rsidRDefault="00934AA6" w:rsidP="00934AA6">
            <w:pPr>
              <w:jc w:val="left"/>
              <w:rPr>
                <w:rFonts w:eastAsia="Times New Roman" w:cs="Times New Roman"/>
                <w:b w:val="0"/>
                <w:bCs w:val="0"/>
                <w:szCs w:val="24"/>
              </w:rPr>
            </w:pPr>
            <w:r w:rsidRPr="00934AA6">
              <w:rPr>
                <w:rFonts w:eastAsia="Times New Roman" w:cs="Times New Roman"/>
                <w:b w:val="0"/>
                <w:bCs w:val="0"/>
                <w:szCs w:val="24"/>
              </w:rPr>
              <w:t>Level 3: Moderate-to-high reliability</w:t>
            </w:r>
          </w:p>
        </w:tc>
        <w:tc>
          <w:tcPr>
            <w:tcW w:w="1437" w:type="pct"/>
            <w:hideMark/>
          </w:tcPr>
          <w:p w14:paraId="358A7849" w14:textId="77777777" w:rsidR="00934AA6" w:rsidRPr="00934AA6" w:rsidRDefault="00934AA6" w:rsidP="00934AA6">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934AA6">
              <w:rPr>
                <w:rFonts w:eastAsia="Times New Roman" w:cs="Times New Roman"/>
                <w:szCs w:val="24"/>
              </w:rPr>
              <w:t>Established market-research and professional consultancy reports</w:t>
            </w:r>
          </w:p>
        </w:tc>
        <w:tc>
          <w:tcPr>
            <w:tcW w:w="2191" w:type="pct"/>
            <w:hideMark/>
          </w:tcPr>
          <w:p w14:paraId="486145B4" w14:textId="77777777" w:rsidR="00934AA6" w:rsidRPr="00934AA6" w:rsidRDefault="00934AA6" w:rsidP="00934AA6">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934AA6">
              <w:rPr>
                <w:rFonts w:eastAsia="Times New Roman" w:cs="Times New Roman"/>
                <w:szCs w:val="24"/>
              </w:rPr>
              <w:t>Market growth, consumer premiumisation, retail trends, competition and the GCC food environment</w:t>
            </w:r>
          </w:p>
        </w:tc>
      </w:tr>
      <w:tr w:rsidR="00934AA6" w:rsidRPr="00C2098E" w14:paraId="413FF63D" w14:textId="77777777" w:rsidTr="00934AA6">
        <w:tc>
          <w:tcPr>
            <w:cnfStyle w:val="001000000000" w:firstRow="0" w:lastRow="0" w:firstColumn="1" w:lastColumn="0" w:oddVBand="0" w:evenVBand="0" w:oddHBand="0" w:evenHBand="0" w:firstRowFirstColumn="0" w:firstRowLastColumn="0" w:lastRowFirstColumn="0" w:lastRowLastColumn="0"/>
            <w:tcW w:w="1371" w:type="pct"/>
            <w:hideMark/>
          </w:tcPr>
          <w:p w14:paraId="50C0BCB8" w14:textId="77777777" w:rsidR="00934AA6" w:rsidRPr="00934AA6" w:rsidRDefault="00934AA6" w:rsidP="00934AA6">
            <w:pPr>
              <w:jc w:val="left"/>
              <w:rPr>
                <w:rFonts w:eastAsia="Times New Roman" w:cs="Times New Roman"/>
                <w:b w:val="0"/>
                <w:bCs w:val="0"/>
                <w:szCs w:val="24"/>
              </w:rPr>
            </w:pPr>
            <w:r w:rsidRPr="00934AA6">
              <w:rPr>
                <w:rFonts w:eastAsia="Times New Roman" w:cs="Times New Roman"/>
                <w:b w:val="0"/>
                <w:bCs w:val="0"/>
                <w:szCs w:val="24"/>
              </w:rPr>
              <w:t>Level 4: Moderate reliability</w:t>
            </w:r>
          </w:p>
        </w:tc>
        <w:tc>
          <w:tcPr>
            <w:tcW w:w="1437" w:type="pct"/>
            <w:hideMark/>
          </w:tcPr>
          <w:p w14:paraId="0D14AE0C" w14:textId="77777777" w:rsidR="00934AA6" w:rsidRPr="00934AA6" w:rsidRDefault="00934AA6" w:rsidP="00934AA6">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934AA6">
              <w:rPr>
                <w:rFonts w:eastAsia="Times New Roman" w:cs="Times New Roman"/>
                <w:szCs w:val="24"/>
              </w:rPr>
              <w:t>Trade bodies, export specialists, retailer reports and industry media</w:t>
            </w:r>
          </w:p>
        </w:tc>
        <w:tc>
          <w:tcPr>
            <w:tcW w:w="2191" w:type="pct"/>
            <w:hideMark/>
          </w:tcPr>
          <w:p w14:paraId="75677D19" w14:textId="77777777" w:rsidR="00934AA6" w:rsidRPr="00934AA6" w:rsidRDefault="00934AA6" w:rsidP="00934AA6">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934AA6">
              <w:rPr>
                <w:rFonts w:eastAsia="Times New Roman" w:cs="Times New Roman"/>
                <w:szCs w:val="24"/>
              </w:rPr>
              <w:t>Export processes, labelling, halal requirements, retailer activity, logistics and practical market examples</w:t>
            </w:r>
          </w:p>
        </w:tc>
      </w:tr>
      <w:tr w:rsidR="00934AA6" w:rsidRPr="00C2098E" w14:paraId="79A818B1" w14:textId="77777777" w:rsidTr="00934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1" w:type="pct"/>
            <w:hideMark/>
          </w:tcPr>
          <w:p w14:paraId="4DD6503C" w14:textId="77777777" w:rsidR="00934AA6" w:rsidRPr="00934AA6" w:rsidRDefault="00934AA6" w:rsidP="00934AA6">
            <w:pPr>
              <w:jc w:val="left"/>
              <w:rPr>
                <w:rFonts w:eastAsia="Times New Roman" w:cs="Times New Roman"/>
                <w:b w:val="0"/>
                <w:bCs w:val="0"/>
                <w:szCs w:val="24"/>
              </w:rPr>
            </w:pPr>
            <w:r w:rsidRPr="00934AA6">
              <w:rPr>
                <w:rFonts w:eastAsia="Times New Roman" w:cs="Times New Roman"/>
                <w:b w:val="0"/>
                <w:bCs w:val="0"/>
                <w:szCs w:val="24"/>
              </w:rPr>
              <w:t>Level 5: Supporting evidence only</w:t>
            </w:r>
          </w:p>
        </w:tc>
        <w:tc>
          <w:tcPr>
            <w:tcW w:w="1437" w:type="pct"/>
            <w:hideMark/>
          </w:tcPr>
          <w:p w14:paraId="31D0F1FA" w14:textId="77777777" w:rsidR="00934AA6" w:rsidRPr="00934AA6" w:rsidRDefault="00934AA6" w:rsidP="00934AA6">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934AA6">
              <w:rPr>
                <w:rFonts w:eastAsia="Times New Roman" w:cs="Times New Roman"/>
                <w:szCs w:val="24"/>
              </w:rPr>
              <w:t>General news articles, company marketing pages, blogs and commercial webpages</w:t>
            </w:r>
          </w:p>
        </w:tc>
        <w:tc>
          <w:tcPr>
            <w:tcW w:w="2191" w:type="pct"/>
            <w:hideMark/>
          </w:tcPr>
          <w:p w14:paraId="216FD7C5" w14:textId="77777777" w:rsidR="00934AA6" w:rsidRPr="00934AA6" w:rsidRDefault="00934AA6" w:rsidP="00604CAD">
            <w:pPr>
              <w:keepNext/>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934AA6">
              <w:rPr>
                <w:rFonts w:eastAsia="Times New Roman" w:cs="Times New Roman"/>
                <w:szCs w:val="24"/>
              </w:rPr>
              <w:t>Recent examples of listings, partnerships, campaigns or product availability</w:t>
            </w:r>
          </w:p>
        </w:tc>
      </w:tr>
    </w:tbl>
    <w:p w14:paraId="029AF796" w14:textId="3359CD6F" w:rsidR="00934AA6" w:rsidRPr="00604CAD" w:rsidRDefault="00604CAD" w:rsidP="00604CAD">
      <w:pPr>
        <w:pStyle w:val="Caption"/>
        <w:spacing w:before="240"/>
        <w:jc w:val="center"/>
        <w:rPr>
          <w:b/>
          <w:bCs/>
          <w:i w:val="0"/>
          <w:iCs w:val="0"/>
          <w:color w:val="auto"/>
        </w:rPr>
      </w:pPr>
      <w:bookmarkStart w:id="15" w:name="_Toc237906751"/>
      <w:bookmarkStart w:id="16" w:name="_Toc238674411"/>
      <w:bookmarkStart w:id="17" w:name="_Toc238674432"/>
      <w:r w:rsidRPr="00604CAD">
        <w:rPr>
          <w:b/>
          <w:bCs/>
          <w:i w:val="0"/>
          <w:iCs w:val="0"/>
          <w:color w:val="auto"/>
        </w:rPr>
        <w:t xml:space="preserve">Table </w:t>
      </w:r>
      <w:r w:rsidRPr="00604CAD">
        <w:rPr>
          <w:b/>
          <w:bCs/>
          <w:i w:val="0"/>
          <w:iCs w:val="0"/>
          <w:color w:val="auto"/>
        </w:rPr>
        <w:fldChar w:fldCharType="begin"/>
      </w:r>
      <w:r w:rsidRPr="00604CAD">
        <w:rPr>
          <w:b/>
          <w:bCs/>
          <w:i w:val="0"/>
          <w:iCs w:val="0"/>
          <w:color w:val="auto"/>
        </w:rPr>
        <w:instrText xml:space="preserve"> SEQ Table \* ARABIC </w:instrText>
      </w:r>
      <w:r w:rsidRPr="00604CAD">
        <w:rPr>
          <w:b/>
          <w:bCs/>
          <w:i w:val="0"/>
          <w:iCs w:val="0"/>
          <w:color w:val="auto"/>
        </w:rPr>
        <w:fldChar w:fldCharType="separate"/>
      </w:r>
      <w:r w:rsidR="005B5BFF">
        <w:rPr>
          <w:b/>
          <w:bCs/>
          <w:i w:val="0"/>
          <w:iCs w:val="0"/>
          <w:noProof/>
          <w:color w:val="auto"/>
        </w:rPr>
        <w:t>1</w:t>
      </w:r>
      <w:r w:rsidRPr="00604CAD">
        <w:rPr>
          <w:b/>
          <w:bCs/>
          <w:i w:val="0"/>
          <w:iCs w:val="0"/>
          <w:color w:val="auto"/>
        </w:rPr>
        <w:fldChar w:fldCharType="end"/>
      </w:r>
      <w:r w:rsidRPr="00604CAD">
        <w:rPr>
          <w:b/>
          <w:bCs/>
          <w:i w:val="0"/>
          <w:iCs w:val="0"/>
          <w:color w:val="auto"/>
        </w:rPr>
        <w:t xml:space="preserve"> Source Selection and Reliability Pyramid</w:t>
      </w:r>
      <w:bookmarkEnd w:id="15"/>
      <w:bookmarkEnd w:id="16"/>
      <w:bookmarkEnd w:id="17"/>
    </w:p>
    <w:p w14:paraId="03C255F2" w14:textId="31436C35" w:rsidR="00976324" w:rsidRPr="00C2098E" w:rsidRDefault="00156126" w:rsidP="00156126">
      <w:r w:rsidRPr="00C2098E">
        <w:t>A hierarchy of reliability was used to select sources. Primary corporate and government sources were prioritised in the report, such as Morrisons' annual report, corporate announcements, trade publications of the UK Government and the official guidance of the regulatory bodies. Factual information regarding Morrisons' performance, cash flow, international partnerships, trade policy and food-export requirements was derived from these sources, which are produced by organisations that are directly involved in or responsible for the subject matter. (Morrisons, 2023/24; Morrisons, 2025b; UK Government, 2026a; UK Government, 2026b).</w:t>
      </w:r>
    </w:p>
    <w:p w14:paraId="6EDACEEF" w14:textId="09FABC43" w:rsidR="00156126" w:rsidRPr="00C2098E" w:rsidRDefault="00156126" w:rsidP="00156126">
      <w:r w:rsidRPr="00C2098E">
        <w:t>The</w:t>
      </w:r>
      <w:r w:rsidR="0086662F">
        <w:t xml:space="preserve"> next</w:t>
      </w:r>
      <w:r w:rsidRPr="00C2098E">
        <w:t xml:space="preserve"> group included existing market-research and professional industry sources like Alpen Capital, YouGov, Food Export USA, and Bain &amp; Company. These were used to determine the market size, premiumisation trends, consumer preferences, retail development and packaged food demand in the GCC markets (Alpen Capital, 2025; YouGov, 2024; Food Export USA, 2025). Current market data were not used as sources for interpretation. For instance, Ansoff's Matrix was used to categorise the strategy as market development; Porter's 5 forces to evaluate industry pressure and Johanson and Vahlne's internationalisation model to evaluate Morrisons' </w:t>
      </w:r>
      <w:r w:rsidRPr="00C2098E">
        <w:lastRenderedPageBreak/>
        <w:t>approach of partner internationalisation (Ansoff, 1957; Porter, 1985; Johanson and Vahlne, 2009).</w:t>
      </w:r>
    </w:p>
    <w:p w14:paraId="5B41896E" w14:textId="34963E7B" w:rsidR="00156126" w:rsidRPr="00C2098E" w:rsidRDefault="00156126" w:rsidP="00156126">
      <w:r w:rsidRPr="00C2098E">
        <w:t>Articles, retailer news and company announcements were included only if they helped to illustrate a specific and limited fact, such as availability of products or export partnerships or an upcoming retail event. They were identified as potentially promotional, so were not regarded as a standalone indicator of consumer demand or financial results in the long term (Morrisons, 2025b; Leverbrook Export, 2022</w:t>
      </w:r>
      <w:r w:rsidR="0086719F">
        <w:t>a</w:t>
      </w:r>
      <w:r w:rsidRPr="00C2098E">
        <w:t>). In order to make conclusions more credible through triangulation, where similar claims were made by sources the report contrasted them rather than limiting itself to a single source.</w:t>
      </w:r>
    </w:p>
    <w:p w14:paraId="650FC522" w14:textId="3F908850" w:rsidR="00D21868" w:rsidRPr="00C2098E" w:rsidRDefault="00E11D48" w:rsidP="00590EC6">
      <w:pPr>
        <w:pStyle w:val="Heading2"/>
      </w:pPr>
      <w:bookmarkStart w:id="18" w:name="_Toc238675478"/>
      <w:r w:rsidRPr="00C2098E">
        <w:t>3</w:t>
      </w:r>
      <w:r w:rsidR="00D21868" w:rsidRPr="00C2098E">
        <w:t>.3 Ethics</w:t>
      </w:r>
      <w:r w:rsidR="00976324" w:rsidRPr="00C2098E">
        <w:t>, Limitations and Data Interpretation</w:t>
      </w:r>
      <w:bookmarkEnd w:id="18"/>
    </w:p>
    <w:p w14:paraId="3844E4B2" w14:textId="77777777" w:rsidR="00B94C9A" w:rsidRPr="00C2098E" w:rsidRDefault="00B94C9A" w:rsidP="00B94C9A">
      <w:r w:rsidRPr="00C2098E">
        <w:t>The report is based solely on publicly available secondary data and does not include human subjects, personal information, confidential company information or direct contact with consumers and retailers. This means it doesn't run the risk of informed consent or privacy and commercial confidentiality. However, ethical considerations were upheld by separating fact, interpretation and assumptions, and by citing sources throughout the text instead of using external statements as if they were independent findings.</w:t>
      </w:r>
    </w:p>
    <w:p w14:paraId="460652C9" w14:textId="77777777" w:rsidR="00B94C9A" w:rsidRPr="00C2098E" w:rsidRDefault="00B94C9A" w:rsidP="00B94C9A">
      <w:r w:rsidRPr="00C2098E">
        <w:t>The major drawback is that there's no primary evidence from customers in the GCC region, retail buyers, distributors and Morrisons' management. Broad consumer trends can be seen in published reports which can be double-checked against UAE and KSA consumers to see if these consumers recognise ‘The Best', would purchase ‘The Best' at advertised prices and prefer ‘The Best' to existing, established global and local alternatives. In the same way, it is not possible to confirm the commercial terms, space in the stores, margins or anything else Morrisons might be able to do with Lulu, Noon, Kibsons and KSA retailers.</w:t>
      </w:r>
    </w:p>
    <w:p w14:paraId="7BA2C5DA" w14:textId="77777777" w:rsidR="00B94C9A" w:rsidRPr="00C2098E" w:rsidRDefault="00B94C9A" w:rsidP="00B94C9A">
      <w:r w:rsidRPr="00C2098E">
        <w:t>Another drawback is that Morrisons doesn't provide any revenue, margin or volume or market-share information on a public basis for its activities in the GCC region or for "The Best". The report does not provide a specific financial forecast, but rather indicative scenario modelling. The assumptions of the estimated addressable premium segment, proposed market share, contribution rate and payback periods are used to test commercial plausibility. These should be taken as estimates that assist decision making and should be validated via discussion with retailers, trial listings and actual sales data before full implementation (Morrisons, 2023/24; Trigeorgis, 1996).</w:t>
      </w:r>
    </w:p>
    <w:p w14:paraId="3765BA74" w14:textId="64CC0723" w:rsidR="00D21868" w:rsidRPr="00C2098E" w:rsidRDefault="00E11D48" w:rsidP="00590EC6">
      <w:pPr>
        <w:pStyle w:val="Heading2"/>
      </w:pPr>
      <w:bookmarkStart w:id="19" w:name="_Toc238675479"/>
      <w:r w:rsidRPr="00C2098E">
        <w:lastRenderedPageBreak/>
        <w:t>3</w:t>
      </w:r>
      <w:r w:rsidR="00D21868" w:rsidRPr="00C2098E">
        <w:t xml:space="preserve">.4 Analysis </w:t>
      </w:r>
      <w:r w:rsidR="00976324" w:rsidRPr="00C2098E">
        <w:t>Procedure and Handling of Contradictions</w:t>
      </w:r>
      <w:bookmarkEnd w:id="19"/>
    </w:p>
    <w:p w14:paraId="2A8F6D3C" w14:textId="77777777" w:rsidR="00B94C9A" w:rsidRPr="00C2098E" w:rsidRDefault="00B94C9A" w:rsidP="00B94C9A">
      <w:r w:rsidRPr="00C2098E">
        <w:t>There were four steps in the analysis. The information about Morrisons' strategy, supply chain, financial strength and export activity was gathered from corporate reporting and company communications, first. Second, market evidence was collected regarding GCC food demand, premiumisation, consumer trend, competitor, retail channel, trade condition and food compliance requirement. Thirdly, this evidence was analysed with PESTEL, SWOT, Competitor Analysis, Porter's Five Forces and Ansoff Matrix. Finally, the results were translated into practical recommendations for a phased introduction of "The Best" in the GCC markets in terms of operations, HR, Marketing and Financial.</w:t>
      </w:r>
    </w:p>
    <w:p w14:paraId="5B5E6120" w14:textId="1DCBA857" w:rsidR="00B94C9A" w:rsidRPr="00C2098E" w:rsidRDefault="00B94C9A" w:rsidP="00B94C9A">
      <w:r w:rsidRPr="00C2098E">
        <w:t>The contradictions between different sources were addressed by assigning more credibility to the most reliable and pertinent evidence. For instance, information on financial matters was preferred in Morrisons' annual report; trade-policy information, in UK Government publications. If the figures were found to be different for market size, because of different definitions, e.g., snacks, packaged food, biscuits, or total confectionery, they were not assumed to be interchangeable. Rather, they were intended to represent the magnitude and direction of market opportunity, and the financial plan was based on conservative – and clearly stated – assumptions and not on precision (Food Export USA, 2025; Alpen Capital, 2025; MarkNtel Advisors, 2024</w:t>
      </w:r>
      <w:r w:rsidR="00A56C5D">
        <w:t>c</w:t>
      </w:r>
      <w:r w:rsidRPr="00C2098E">
        <w:t>).</w:t>
      </w:r>
    </w:p>
    <w:p w14:paraId="4EC0E9A8" w14:textId="1383DB10" w:rsidR="00B94C9A" w:rsidRPr="00C2098E" w:rsidRDefault="00B94C9A" w:rsidP="00B94C9A">
      <w:r w:rsidRPr="00C2098E">
        <w:t xml:space="preserve">Overall, this procedure provides medium confidence in the report main conclusion that an expansion of "The Best" capital light and targeted to UAE and KSA is strategically possible and financially viable for Morrisons. Confidence is less high on precise demand, price acceptance and market share and break-even time, however, as these rely on information secondary data </w:t>
      </w:r>
      <w:r w:rsidR="00976324" w:rsidRPr="00C2098E">
        <w:t>cannot</w:t>
      </w:r>
      <w:r w:rsidRPr="00C2098E">
        <w:t xml:space="preserve"> fully provide. Phased implementation, however, with live validation with retailers and consumers before large scale up is therefore appropriate (Cornelius, Van de Putte and Romani, 2005; Trigeorgis, 1996).</w:t>
      </w:r>
    </w:p>
    <w:p w14:paraId="12609B47" w14:textId="77777777" w:rsidR="00E11D48" w:rsidRPr="00C2098E" w:rsidRDefault="00E11D48">
      <w:pPr>
        <w:rPr>
          <w:rFonts w:eastAsiaTheme="majorEastAsia" w:cstheme="majorBidi"/>
          <w:b/>
          <w:color w:val="000000" w:themeColor="text1"/>
          <w:sz w:val="32"/>
          <w:szCs w:val="32"/>
        </w:rPr>
      </w:pPr>
      <w:r w:rsidRPr="00C2098E">
        <w:br w:type="page"/>
      </w:r>
    </w:p>
    <w:p w14:paraId="28E5D094" w14:textId="3D160F95" w:rsidR="007473C0" w:rsidRPr="00C2098E" w:rsidRDefault="007473C0" w:rsidP="007473C0">
      <w:pPr>
        <w:pStyle w:val="Heading1"/>
      </w:pPr>
      <w:bookmarkStart w:id="20" w:name="_Toc238675480"/>
      <w:r w:rsidRPr="00C2098E">
        <w:lastRenderedPageBreak/>
        <w:t>4. Findings and Analysis</w:t>
      </w:r>
      <w:bookmarkEnd w:id="20"/>
    </w:p>
    <w:p w14:paraId="3FA9283E" w14:textId="31A451F2" w:rsidR="00E838E2" w:rsidRDefault="00E838E2" w:rsidP="00590EC6">
      <w:pPr>
        <w:pStyle w:val="Heading2"/>
      </w:pPr>
      <w:bookmarkStart w:id="21" w:name="_Toc238675481"/>
      <w:r w:rsidRPr="00C2098E">
        <w:t>4.1 Marketing and Sales Strategy</w:t>
      </w:r>
      <w:bookmarkEnd w:id="21"/>
    </w:p>
    <w:p w14:paraId="04B35495" w14:textId="77777777" w:rsidR="00A35F1A" w:rsidRDefault="00FB3840" w:rsidP="00A35F1A">
      <w:pPr>
        <w:keepNext/>
      </w:pPr>
      <w:r>
        <w:rPr>
          <w:noProof/>
        </w:rPr>
        <w:drawing>
          <wp:inline distT="0" distB="0" distL="0" distR="0" wp14:anchorId="6FE0F072" wp14:editId="2766A979">
            <wp:extent cx="5486400" cy="32004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7E86FC8" w14:textId="14E13EA1" w:rsidR="00FB3840" w:rsidRPr="00227DB5" w:rsidRDefault="00A35F1A" w:rsidP="0015536E">
      <w:pPr>
        <w:pStyle w:val="Caption"/>
        <w:spacing w:before="240"/>
        <w:jc w:val="center"/>
        <w:rPr>
          <w:b/>
          <w:bCs/>
          <w:i w:val="0"/>
          <w:iCs w:val="0"/>
          <w:color w:val="auto"/>
        </w:rPr>
      </w:pPr>
      <w:bookmarkStart w:id="22" w:name="_Toc237906752"/>
      <w:bookmarkStart w:id="23" w:name="_Toc238674412"/>
      <w:bookmarkStart w:id="24" w:name="_Toc238674433"/>
      <w:r w:rsidRPr="00227DB5">
        <w:rPr>
          <w:b/>
          <w:bCs/>
          <w:i w:val="0"/>
          <w:iCs w:val="0"/>
          <w:color w:val="auto"/>
        </w:rPr>
        <w:t xml:space="preserve">Table </w:t>
      </w:r>
      <w:r w:rsidRPr="00227DB5">
        <w:rPr>
          <w:b/>
          <w:bCs/>
          <w:i w:val="0"/>
          <w:iCs w:val="0"/>
          <w:color w:val="auto"/>
        </w:rPr>
        <w:fldChar w:fldCharType="begin"/>
      </w:r>
      <w:r w:rsidRPr="00227DB5">
        <w:rPr>
          <w:b/>
          <w:bCs/>
          <w:i w:val="0"/>
          <w:iCs w:val="0"/>
          <w:color w:val="auto"/>
        </w:rPr>
        <w:instrText xml:space="preserve"> SEQ Table \* ARABIC </w:instrText>
      </w:r>
      <w:r w:rsidRPr="00227DB5">
        <w:rPr>
          <w:b/>
          <w:bCs/>
          <w:i w:val="0"/>
          <w:iCs w:val="0"/>
          <w:color w:val="auto"/>
        </w:rPr>
        <w:fldChar w:fldCharType="separate"/>
      </w:r>
      <w:r w:rsidR="005B5BFF">
        <w:rPr>
          <w:b/>
          <w:bCs/>
          <w:i w:val="0"/>
          <w:iCs w:val="0"/>
          <w:noProof/>
          <w:color w:val="auto"/>
        </w:rPr>
        <w:t>2</w:t>
      </w:r>
      <w:r w:rsidRPr="00227DB5">
        <w:rPr>
          <w:b/>
          <w:bCs/>
          <w:i w:val="0"/>
          <w:iCs w:val="0"/>
          <w:color w:val="auto"/>
        </w:rPr>
        <w:fldChar w:fldCharType="end"/>
      </w:r>
      <w:r w:rsidRPr="00227DB5">
        <w:rPr>
          <w:b/>
          <w:bCs/>
          <w:i w:val="0"/>
          <w:iCs w:val="0"/>
          <w:color w:val="auto"/>
        </w:rPr>
        <w:t xml:space="preserve"> Morrisons' Marketing Strategy</w:t>
      </w:r>
      <w:bookmarkEnd w:id="22"/>
      <w:bookmarkEnd w:id="23"/>
      <w:bookmarkEnd w:id="24"/>
    </w:p>
    <w:p w14:paraId="577998A8" w14:textId="7BD19D40" w:rsidR="00E838E2" w:rsidRPr="00C2098E" w:rsidRDefault="00E838E2" w:rsidP="00963766">
      <w:pPr>
        <w:pStyle w:val="Heading3"/>
      </w:pPr>
      <w:bookmarkStart w:id="25" w:name="_Toc238675482"/>
      <w:r w:rsidRPr="00C2098E">
        <w:t>4.1.1 Theoretical Grounding: Brand Positioning, Private Labels and COO</w:t>
      </w:r>
      <w:bookmarkEnd w:id="25"/>
    </w:p>
    <w:p w14:paraId="6EE23F78" w14:textId="77777777" w:rsidR="00E838E2" w:rsidRPr="00C2098E" w:rsidRDefault="00E838E2" w:rsidP="00E838E2">
      <w:r w:rsidRPr="00C2098E">
        <w:t>The proposed marketing-mix for “The Best” follows the theories of brand positioning and literature of retailer brands in UAE and KSA. The private brands offered by premium supermarkets are now considered as a “quasi brand” as they can compete head-to-head with the manufacturer brands by providing differentiated quality and image at lower price (Kumar and Steenkamp, 2007). Here, the positioning of ‘The Best’ as a ‘British premium range’ in the GCC naturally taps into the brand equity of the retailer as well as the country-of-origin effect, in which ‘UK' stands for quality and safety of food (Aichner, 2014; Burt and Sparks, 2002).</w:t>
      </w:r>
    </w:p>
    <w:p w14:paraId="78A9C1A5" w14:textId="77777777" w:rsidR="00E838E2" w:rsidRPr="00C2098E" w:rsidRDefault="00E838E2" w:rsidP="00E838E2">
      <w:r w:rsidRPr="00C2098E">
        <w:t xml:space="preserve">In the biscuit and confectionery domain, with high rivalry and strong global brands, sustainable advantage will not be realised through functional attributes alone – taste or packaging (Porter, 1985; Strategy&amp;/PwC, 2024). Rather, literature on brand led differentiation highlights the value of emotional and symbolic benefits, such as “authentic British indulgence” and “restaurant quality treats at home” as the tangible quality cues, as defined by the ingredients and their provenance (Keller, 2013; Kumar and Steenkamp, 2007). The intended emphasis on a range of “The Best” hero SKUs, its planned synchronicity of the retail and online positioning, </w:t>
      </w:r>
      <w:r w:rsidRPr="00C2098E">
        <w:lastRenderedPageBreak/>
        <w:t>and the premium pricing of some SKUs fits in well with the current view on private label and international retail brands (Kumar and Steenkamp, 2007; Burt and Sparks, 2002).</w:t>
      </w:r>
    </w:p>
    <w:p w14:paraId="2376DC3E" w14:textId="673562EA" w:rsidR="00E838E2" w:rsidRPr="00C2098E" w:rsidRDefault="00E838E2" w:rsidP="00963766">
      <w:pPr>
        <w:pStyle w:val="Heading3"/>
      </w:pPr>
      <w:bookmarkStart w:id="26" w:name="_Toc238675483"/>
      <w:r w:rsidRPr="00C2098E">
        <w:t>4.1.2 Positioning: “Premium British Supermarket Quality at Accessible Prices”</w:t>
      </w:r>
      <w:bookmarkEnd w:id="26"/>
    </w:p>
    <w:p w14:paraId="21EBEF65" w14:textId="77777777" w:rsidR="00E838E2" w:rsidRPr="00C2098E" w:rsidRDefault="00E838E2" w:rsidP="00E838E2">
      <w:r w:rsidRPr="00C2098E">
        <w:t xml:space="preserve">The positioning statement for “The Best” in the GCC is </w:t>
      </w:r>
      <w:r w:rsidRPr="00C2098E">
        <w:rPr>
          <w:b/>
          <w:bCs/>
        </w:rPr>
        <w:t>“The best to enjoy Premium British supermarket quality, at affordable prices”</w:t>
      </w:r>
      <w:r w:rsidRPr="00C2098E">
        <w:t>.</w:t>
      </w:r>
    </w:p>
    <w:p w14:paraId="734BCA5C" w14:textId="77777777" w:rsidR="00E838E2" w:rsidRPr="00C2098E" w:rsidRDefault="00E838E2" w:rsidP="00E838E2">
      <w:r w:rsidRPr="00C2098E">
        <w:t>This positioning highlights the British origin, the indulgence of the recipes and the high quality, aligning with top-of-the-range expectations among UAE and KSA consumers, while at the same time being more accessible than super luxury imports (YouGov, 2024; Alpen Capital, 2025). The GCC food shoppers appreciate and prefer strong brands across premium food categories, and the market analyses conducted by Alpen Capital indicate that premium, imported and “better for you” snacks and packaged foods are in increasing demand in the region (YouGov, 2024; Alpen Capital, 2025). Morrisons' approach of positioning “The Best” in line with the aforementioned trends, but keeping the supermarket tier pricing will allow it to play into a value oriented premium space in the category.</w:t>
      </w:r>
    </w:p>
    <w:p w14:paraId="3D9F0F01" w14:textId="534F9080" w:rsidR="00E838E2" w:rsidRPr="00C2098E" w:rsidRDefault="00E838E2" w:rsidP="00963766">
      <w:pPr>
        <w:pStyle w:val="Heading3"/>
      </w:pPr>
      <w:bookmarkStart w:id="27" w:name="_Toc238675484"/>
      <w:r w:rsidRPr="00C2098E">
        <w:t>4.1.3 Target market and customer profile</w:t>
      </w:r>
      <w:bookmarkEnd w:id="27"/>
    </w:p>
    <w:p w14:paraId="1A0F5C47" w14:textId="77777777" w:rsidR="00E838E2" w:rsidRPr="00C2098E" w:rsidRDefault="00E838E2" w:rsidP="00E838E2">
      <w:r w:rsidRPr="00C2098E">
        <w:t>The strategy focuses on the mid to high income shoppers, frequently shop for snacks, grocery at modern retail outlets as well as online platforms, and already buy foreign brands (Bain &amp; Company, 2022; WTA, 2025). They are more likely to appreciate the British origin, brand heritage and indulgent product experiences, and are more likely to be found in segments with higher willingness to pay for quality (Alpen Capital, 2025; GCC Food Market Report, 2026).</w:t>
      </w:r>
    </w:p>
    <w:p w14:paraId="5A53CB23" w14:textId="02E7C217" w:rsidR="00E838E2" w:rsidRPr="00C2098E" w:rsidRDefault="00E838E2" w:rsidP="00E838E2">
      <w:r w:rsidRPr="00C2098E">
        <w:t>Furthermore, expatriate communities, especially British and European residents, tend to look for familiar products and supermarket brands from their home countries (Leverbrook Export, 2022</w:t>
      </w:r>
      <w:r w:rsidR="0086719F">
        <w:t>b</w:t>
      </w:r>
      <w:r w:rsidRPr="00C2098E">
        <w:t>; Meydan Free Zone, 2026). The segments identified by Lulu, Noon and Kibsons, and the leading brands in the UAE and KSA, are targeted through the trial and repeat purchase of the “The Best” SKUs by consumers who tend to trust the UK supermarket brands (Morrisons, 2025b; Noon, 2025; Kibsons, 2026</w:t>
      </w:r>
      <w:r w:rsidR="000C0F8B">
        <w:t>a</w:t>
      </w:r>
      <w:r w:rsidRPr="00C2098E">
        <w:t>).</w:t>
      </w:r>
    </w:p>
    <w:p w14:paraId="5BA4D228" w14:textId="4F829370" w:rsidR="00E838E2" w:rsidRPr="00C2098E" w:rsidRDefault="00E838E2" w:rsidP="00963766">
      <w:pPr>
        <w:pStyle w:val="Heading3"/>
      </w:pPr>
      <w:bookmarkStart w:id="28" w:name="_Toc238675485"/>
      <w:r w:rsidRPr="00C2098E">
        <w:t>4.1.4 Pricing and Portfolio Strategy</w:t>
      </w:r>
      <w:bookmarkEnd w:id="28"/>
    </w:p>
    <w:p w14:paraId="5D1F3D91" w14:textId="77777777" w:rsidR="00E838E2" w:rsidRPr="00C2098E" w:rsidRDefault="00E838E2" w:rsidP="00E838E2">
      <w:r w:rsidRPr="00C2098E">
        <w:t xml:space="preserve">The pricing policy of “The Best” is designed to keep premium prices, compared to standard private labels, but at the same time not to lose the competition with ultra-luxury imports of the </w:t>
      </w:r>
      <w:r w:rsidRPr="00C2098E">
        <w:lastRenderedPageBreak/>
        <w:t>product, leading to “affordable indulgence” (Kumar and Steenkamp, 2007; Porter, 1985). The logic of the structure will be a “good better best” within each category, with:</w:t>
      </w:r>
    </w:p>
    <w:p w14:paraId="1289D93E" w14:textId="77777777" w:rsidR="00E838E2" w:rsidRPr="00C2098E" w:rsidRDefault="00E838E2" w:rsidP="00DC1D0E">
      <w:pPr>
        <w:pStyle w:val="ListParagraph"/>
        <w:numPr>
          <w:ilvl w:val="0"/>
          <w:numId w:val="5"/>
        </w:numPr>
      </w:pPr>
      <w:r w:rsidRPr="00C2098E">
        <w:t>“Good” includes the majority of Morrisons and value lines as appropriate.</w:t>
      </w:r>
    </w:p>
    <w:p w14:paraId="4D5FD2C6" w14:textId="77777777" w:rsidR="00E838E2" w:rsidRPr="00C2098E" w:rsidRDefault="00E838E2" w:rsidP="00DC1D0E">
      <w:pPr>
        <w:pStyle w:val="ListParagraph"/>
        <w:numPr>
          <w:ilvl w:val="0"/>
          <w:numId w:val="5"/>
        </w:numPr>
      </w:pPr>
      <w:r w:rsidRPr="00C2098E">
        <w:t>“Better” includes standard imported SKUs.</w:t>
      </w:r>
    </w:p>
    <w:p w14:paraId="7025D90F" w14:textId="77777777" w:rsidR="00E838E2" w:rsidRPr="00C2098E" w:rsidRDefault="00E838E2" w:rsidP="00DC1D0E">
      <w:pPr>
        <w:pStyle w:val="ListParagraph"/>
        <w:numPr>
          <w:ilvl w:val="0"/>
          <w:numId w:val="5"/>
        </w:numPr>
      </w:pPr>
      <w:r w:rsidRPr="00C2098E">
        <w:t>At the top of the tiers, “Best” is the premium version of “The Best”, which has a higher perceived quality and slightly higher price (Morrisons, 2025a; Strategy&amp;/PwC, 2024).</w:t>
      </w:r>
    </w:p>
    <w:p w14:paraId="7704FA33" w14:textId="77777777" w:rsidR="00E838E2" w:rsidRPr="00C2098E" w:rsidRDefault="00E838E2" w:rsidP="00E838E2">
      <w:r w:rsidRPr="00C2098E">
        <w:t xml:space="preserve">This is also consistent with the strategy for retailers' brand architectures, with the ability to target different segments without compromising on the premium positioning of ‘The Best' (Keller 2013; Burt and Sparks 2002). </w:t>
      </w:r>
    </w:p>
    <w:p w14:paraId="14FF6A25" w14:textId="7086A002" w:rsidR="00E838E2" w:rsidRPr="00C2098E" w:rsidRDefault="00E838E2" w:rsidP="00963766">
      <w:pPr>
        <w:pStyle w:val="Heading3"/>
      </w:pPr>
      <w:bookmarkStart w:id="29" w:name="_Toc238675486"/>
      <w:r w:rsidRPr="00C2098E">
        <w:t>4.1.5 Branding and Promotion</w:t>
      </w:r>
      <w:bookmarkEnd w:id="29"/>
    </w:p>
    <w:p w14:paraId="2597CB69" w14:textId="77777777" w:rsidR="00E838E2" w:rsidRPr="00C2098E" w:rsidRDefault="00E838E2" w:rsidP="00E838E2">
      <w:r w:rsidRPr="00C2098E">
        <w:t>Branding and promotion campaigns are aimed at creating awareness and strengthening the British premium message. Promotional campaigns, including themed in store displays and sampling events, are proposed to be co-developed with retailers in the GCC countries, such as British Food Festivals, which will feature “The Best” SKUs and connect to other aspects of British culture (Morrisons, 2025b; UK Government, 2017). The campaigns have already been rolled out by Morrisons and Lulu in Qatar and other GCC markets, suggesting that the retailers are willing to back them and consumers are interested (Morrisons, 2025b; Supermarket News, 2025).</w:t>
      </w:r>
    </w:p>
    <w:p w14:paraId="4B6336F0" w14:textId="77777777" w:rsidR="00E838E2" w:rsidRPr="00C2098E" w:rsidRDefault="00E838E2" w:rsidP="00E838E2">
      <w:r w:rsidRPr="00C2098E">
        <w:t>Digital marketing will be complementary to key SKUs, origin stories, and usage occasions, including evening treats, weekend gatherings and gifting. This can be featured in the social media content, retailer app banners and influencer partnerships (Bain &amp; Company, 2022; Stratrich Consulting, 2024). Strong imagery and clear descriptions and provenance information on enhanced product pages are recommended to strengthen the brand online for Noon (2025) and Kibsons (2026). It also reflects the findings that consumers are more and more turning to the internet to research products, and that high-quality visual information and content resonates with consumers of premium brands (Stratrich Consulting, 2024; Keller, 2013).</w:t>
      </w:r>
    </w:p>
    <w:p w14:paraId="383F6D14" w14:textId="3897E04A" w:rsidR="00E838E2" w:rsidRPr="00C2098E" w:rsidRDefault="00E838E2" w:rsidP="00963766">
      <w:pPr>
        <w:pStyle w:val="Heading3"/>
      </w:pPr>
      <w:bookmarkStart w:id="30" w:name="_Toc238675487"/>
      <w:r w:rsidRPr="00C2098E">
        <w:t>4.1.6 Distribution, Advertising and Sales Execution</w:t>
      </w:r>
      <w:bookmarkEnd w:id="30"/>
    </w:p>
    <w:p w14:paraId="74487493" w14:textId="77777777" w:rsidR="00E838E2" w:rsidRPr="00C2098E" w:rsidRDefault="00E838E2" w:rsidP="00E838E2">
      <w:r w:rsidRPr="00C2098E">
        <w:t>The strategy focuses on three steps as it relates to distribution and sales execution:</w:t>
      </w:r>
    </w:p>
    <w:p w14:paraId="1AAD2337" w14:textId="77777777" w:rsidR="00E838E2" w:rsidRPr="00C2098E" w:rsidRDefault="00E838E2" w:rsidP="00DC1D0E">
      <w:pPr>
        <w:pStyle w:val="ListParagraph"/>
        <w:numPr>
          <w:ilvl w:val="0"/>
          <w:numId w:val="6"/>
        </w:numPr>
      </w:pPr>
      <w:r w:rsidRPr="00C2098E">
        <w:lastRenderedPageBreak/>
        <w:t>Enhance and deepen Lulu product listings for “The Best”, ensuring key biscuits and confectionery SKUs are in priority stores in UAE and KSA; with good shelf positioning and promotion (Morrisons, 2025b; Supermarket News, 2025).</w:t>
      </w:r>
    </w:p>
    <w:p w14:paraId="7F2CB989" w14:textId="77777777" w:rsidR="00E838E2" w:rsidRPr="00C2098E" w:rsidRDefault="00E838E2" w:rsidP="00DC1D0E">
      <w:pPr>
        <w:pStyle w:val="ListParagraph"/>
        <w:numPr>
          <w:ilvl w:val="0"/>
          <w:numId w:val="6"/>
        </w:numPr>
      </w:pPr>
      <w:r w:rsidRPr="00C2098E">
        <w:t>Secure other top chains listings in UAE and KSA, including Carrefour and leading KSA grocery stores, for a broader reach of customers and to diversify away from one retailer (Strategy&amp;/PwC, 2024; WTA, 2025).</w:t>
      </w:r>
    </w:p>
    <w:p w14:paraId="71D6C4B0" w14:textId="77777777" w:rsidR="00E838E2" w:rsidRPr="00C2098E" w:rsidRDefault="00E838E2" w:rsidP="00DC1D0E">
      <w:pPr>
        <w:pStyle w:val="ListParagraph"/>
        <w:numPr>
          <w:ilvl w:val="0"/>
          <w:numId w:val="6"/>
        </w:numPr>
      </w:pPr>
      <w:r w:rsidRPr="00C2098E">
        <w:t>Improve product pages and invest in quality product photography and advertising, across the leading online grocery platforms (including Noon) (Noon, 2025; Stratrich Consulting, 2024).</w:t>
      </w:r>
    </w:p>
    <w:p w14:paraId="574480F5" w14:textId="77777777" w:rsidR="00E838E2" w:rsidRPr="00C2098E" w:rsidRDefault="00E838E2" w:rsidP="00E838E2">
      <w:r w:rsidRPr="00C2098E">
        <w:t>There will be a focus on the hero SKUs, the flagship products in each category, and a multi-channel campaign will be used to coordinate messaging in store, British Food Festivals and in digital communications (Keller, 2013; Burt and Sparks, 2002). Such an integrated approach aligns with best practice brand management and strives to deliver a unified brand experience (both physical and digital) (Keller, 2013; Bain &amp; Company, 2022).</w:t>
      </w:r>
    </w:p>
    <w:p w14:paraId="7A141BEE" w14:textId="68484F10" w:rsidR="00E838E2" w:rsidRPr="00C2098E" w:rsidRDefault="00E838E2" w:rsidP="00963766">
      <w:pPr>
        <w:pStyle w:val="Heading3"/>
      </w:pPr>
      <w:bookmarkStart w:id="31" w:name="_Toc238675488"/>
      <w:r w:rsidRPr="00C2098E">
        <w:t>4.1.7 Customer Retention and Performance Measurement</w:t>
      </w:r>
      <w:bookmarkEnd w:id="31"/>
    </w:p>
    <w:p w14:paraId="70806CFF" w14:textId="77777777" w:rsidR="00E838E2" w:rsidRPr="00C2098E" w:rsidRDefault="00E838E2" w:rsidP="00E838E2">
      <w:r w:rsidRPr="00C2098E">
        <w:t>Overall, the strategy emphasises customer retention and performance measurement for Morrisons. Repeat purchase rate, as well as category share and basket data, should be tracked by Morrisons and their retail partners in the GCC, while leveraging POS and loyalty programme data if available (Strategy&amp;/PwC, 2024; Bain &amp; Company, 2022). This will be beneficial in determining which “The Best” SKUs are doing well and which are in need of tuning or dropping.</w:t>
      </w:r>
    </w:p>
    <w:p w14:paraId="09E27670" w14:textId="77777777" w:rsidR="00E838E2" w:rsidRPr="00C2098E" w:rsidRDefault="00E838E2" w:rsidP="00E838E2">
      <w:r w:rsidRPr="00C2098E">
        <w:t>Loyalty offers, multi buy promotions and British themed promotions for limited time can help incentivise trial and repeat sales, particularly to new customers (Alpen Capital, 2025; YouGov, 2024). As the data accumulates, it will enable the creation of assortment, pricing and messaging refinement, and help inform scenario planning and real options analysis on a variety of ways to scale, adapt or exit specific categories (Cornelius et al., 2005; Trigeorgis, 1996).</w:t>
      </w:r>
    </w:p>
    <w:p w14:paraId="5DA0B56A" w14:textId="5283A185" w:rsidR="00C51968" w:rsidRPr="00C2098E" w:rsidRDefault="009F7661" w:rsidP="00590EC6">
      <w:pPr>
        <w:pStyle w:val="Heading2"/>
      </w:pPr>
      <w:bookmarkStart w:id="32" w:name="_Toc238675489"/>
      <w:r w:rsidRPr="00C2098E">
        <w:t>4</w:t>
      </w:r>
      <w:r w:rsidR="00C51968" w:rsidRPr="00C2098E">
        <w:t>.</w:t>
      </w:r>
      <w:r w:rsidRPr="00C2098E">
        <w:t>2</w:t>
      </w:r>
      <w:r w:rsidR="00C51968" w:rsidRPr="00C2098E">
        <w:t xml:space="preserve"> Operation Plan</w:t>
      </w:r>
      <w:bookmarkEnd w:id="32"/>
    </w:p>
    <w:p w14:paraId="795C93D2" w14:textId="1C9AF9E6" w:rsidR="00C51968" w:rsidRPr="00C2098E" w:rsidRDefault="009F7661" w:rsidP="00963766">
      <w:pPr>
        <w:pStyle w:val="Heading3"/>
      </w:pPr>
      <w:bookmarkStart w:id="33" w:name="_Toc238675490"/>
      <w:r w:rsidRPr="00C2098E">
        <w:t>4.2</w:t>
      </w:r>
      <w:r w:rsidR="00C51968" w:rsidRPr="00C2098E">
        <w:t>.1 Current Operations: Vertically Integrated UK Supply and Partner</w:t>
      </w:r>
      <w:r w:rsidR="00C51968" w:rsidRPr="00C2098E">
        <w:noBreakHyphen/>
        <w:t>Based Export</w:t>
      </w:r>
      <w:bookmarkEnd w:id="33"/>
    </w:p>
    <w:p w14:paraId="6F9FEA34" w14:textId="77777777" w:rsidR="00C51968" w:rsidRPr="00C2098E" w:rsidRDefault="00C51968" w:rsidP="00C51968">
      <w:r w:rsidRPr="00C2098E">
        <w:t xml:space="preserve">The operations of Morrisons in the GCC markets are supporting their "Best" and other ranges supply chain, which is vertically integrated in the UK, and based on a partner-based export </w:t>
      </w:r>
      <w:r w:rsidRPr="00C2098E">
        <w:lastRenderedPageBreak/>
        <w:t>model (Morrisons, 2025a; Morrisons, 2026). In the UK, Morrisons operates and owns production facilities, slaughterhouses and meat packing plants and has direct access to British farmers, providing it with a high degree of control over the quality of the products, from farm to store traceability and the costs (Myton Food Group, 2024; Morrisons, 2023/24). Successful integration upstream is the basis for the production of “The Best” biscuits, confectionery and other ambient products with consistent standards suitable for export.</w:t>
      </w:r>
    </w:p>
    <w:p w14:paraId="64E8C41A" w14:textId="100D91D3" w:rsidR="00C51968" w:rsidRPr="00C2098E" w:rsidRDefault="00C51968" w:rsidP="00C51968">
      <w:r w:rsidRPr="00C2098E">
        <w:t>Morrisons uses export specialists like Y International, as well as other distributors, to package, label and distribute to the different regions for the GCC (Morrisons, 2025b; Leverbrook Export, 2022</w:t>
      </w:r>
      <w:r w:rsidR="0086719F">
        <w:t>a</w:t>
      </w:r>
      <w:r w:rsidRPr="00C2098E">
        <w:t>). Common working procedures are:</w:t>
      </w:r>
    </w:p>
    <w:p w14:paraId="50B7F2FC" w14:textId="77777777" w:rsidR="00C51968" w:rsidRPr="00C2098E" w:rsidRDefault="00C51968" w:rsidP="00DC1D0E">
      <w:pPr>
        <w:pStyle w:val="ListParagraph"/>
        <w:numPr>
          <w:ilvl w:val="0"/>
          <w:numId w:val="7"/>
        </w:numPr>
      </w:pPr>
      <w:r w:rsidRPr="00C2098E">
        <w:t>Bulk production and packing of “The Best” SKUs in UK.</w:t>
      </w:r>
    </w:p>
    <w:p w14:paraId="3BF189B6" w14:textId="77777777" w:rsidR="00C51968" w:rsidRPr="00C2098E" w:rsidRDefault="00C51968" w:rsidP="00DC1D0E">
      <w:pPr>
        <w:pStyle w:val="ListParagraph"/>
        <w:numPr>
          <w:ilvl w:val="0"/>
          <w:numId w:val="7"/>
        </w:numPr>
      </w:pPr>
      <w:r w:rsidRPr="00C2098E">
        <w:t>Bulk shipping to GCC by sea freight in coordination with exports partners and logistics partners (WTA, 2025).</w:t>
      </w:r>
    </w:p>
    <w:p w14:paraId="3C3CCEA1" w14:textId="77777777" w:rsidR="00C51968" w:rsidRPr="00C2098E" w:rsidRDefault="00C51968" w:rsidP="00DC1D0E">
      <w:pPr>
        <w:pStyle w:val="ListParagraph"/>
        <w:numPr>
          <w:ilvl w:val="0"/>
          <w:numId w:val="7"/>
        </w:numPr>
      </w:pPr>
      <w:r w:rsidRPr="00C2098E">
        <w:t>Label adaptation and compliance, such as Arabic labelling, panel of ingredients and nutritional labels, and halal certification where required, are typically carried out by Y International and/or Morrisons (Source International 2026; WTA 2025).</w:t>
      </w:r>
    </w:p>
    <w:p w14:paraId="03CFC338" w14:textId="77777777" w:rsidR="00C51968" w:rsidRPr="00C2098E" w:rsidRDefault="00C51968" w:rsidP="00DC1D0E">
      <w:pPr>
        <w:pStyle w:val="ListParagraph"/>
        <w:numPr>
          <w:ilvl w:val="0"/>
          <w:numId w:val="7"/>
        </w:numPr>
      </w:pPr>
      <w:r w:rsidRPr="00C2098E">
        <w:t>Distributed to retailers, like Lulu, and via their regional network to stores in UAE, KSA and other GCC countries (Morrisons, 2025b; Supermarket News, 2025).</w:t>
      </w:r>
    </w:p>
    <w:p w14:paraId="5480EED2" w14:textId="77777777" w:rsidR="00C51968" w:rsidRPr="00C2098E" w:rsidRDefault="00C51968" w:rsidP="00C51968">
      <w:r w:rsidRPr="00C2098E">
        <w:t>This operation is in line with capital light model as Morrisons does not own its own stores in the GCC region nor does it own its own warehouses, but relies on those of its partners (Johanson and Vahlne, 2009; Root, 1994). It aligns with the Group's plans to grow its overseas wholesale and export business without significant long-term investments (Morrisons, 2025a; Strategy&amp;/PwC, 2024).</w:t>
      </w:r>
    </w:p>
    <w:p w14:paraId="7156BFF5" w14:textId="10037F8C" w:rsidR="00C51968" w:rsidRPr="00C2098E" w:rsidRDefault="00544961" w:rsidP="00963766">
      <w:pPr>
        <w:pStyle w:val="Heading3"/>
      </w:pPr>
      <w:bookmarkStart w:id="34" w:name="_Toc238675491"/>
      <w:r w:rsidRPr="00C2098E">
        <w:t>4.2</w:t>
      </w:r>
      <w:r w:rsidR="00C51968" w:rsidRPr="00C2098E">
        <w:t>.2 Operational Strengths</w:t>
      </w:r>
      <w:bookmarkEnd w:id="34"/>
    </w:p>
    <w:p w14:paraId="280F19C2" w14:textId="77777777" w:rsidR="00C51968" w:rsidRPr="00C2098E" w:rsidRDefault="00C51968" w:rsidP="00C51968">
      <w:r w:rsidRPr="00C2098E">
        <w:t>There are a number of positive elements currently in place in Morrisons that will help its expansion into the GCC region:</w:t>
      </w:r>
    </w:p>
    <w:p w14:paraId="665BF5C6" w14:textId="739FF83C" w:rsidR="00C51968" w:rsidRPr="00C2098E" w:rsidRDefault="00C51968" w:rsidP="00DC1D0E">
      <w:pPr>
        <w:pStyle w:val="ListParagraph"/>
        <w:numPr>
          <w:ilvl w:val="0"/>
          <w:numId w:val="9"/>
        </w:numPr>
      </w:pPr>
      <w:r w:rsidRPr="00C2098E">
        <w:rPr>
          <w:b/>
          <w:bCs/>
        </w:rPr>
        <w:t>Direct sourcing and management of manufacturing:</w:t>
      </w:r>
      <w:r w:rsidRPr="00C2098E">
        <w:t xml:space="preserve"> Morrisons' direct control of sourcing and manufacturing ensures a consistent quality and it is also meeting origin-based expectations which is important in premium segments (Morrisons, 2026; Myton Food Group, 2024). For “The Best”, it is about having recipes, ingredients and processes designed centrally that comply with both UK and GCC specifications, and having claims of “British quality” that are believable (Aichner, 2014; Leverbrook Export, 2022</w:t>
      </w:r>
      <w:r w:rsidR="0086719F">
        <w:t>b</w:t>
      </w:r>
      <w:r w:rsidRPr="00C2098E">
        <w:t>).</w:t>
      </w:r>
    </w:p>
    <w:p w14:paraId="70F0A603" w14:textId="77777777" w:rsidR="00C51968" w:rsidRPr="00C2098E" w:rsidRDefault="00C51968" w:rsidP="00DC1D0E">
      <w:pPr>
        <w:pStyle w:val="ListParagraph"/>
        <w:numPr>
          <w:ilvl w:val="0"/>
          <w:numId w:val="9"/>
        </w:numPr>
      </w:pPr>
      <w:r w:rsidRPr="00C2098E">
        <w:rPr>
          <w:b/>
          <w:bCs/>
        </w:rPr>
        <w:lastRenderedPageBreak/>
        <w:t>Built export connections:</w:t>
      </w:r>
      <w:r w:rsidRPr="00C2098E">
        <w:t xml:space="preserve"> With Y International and other partners, there are proven routes to ensure products from the UK factories reach the shelves in the GCC. (Morrisons, 2025; Supermarket News, 2025). These partners have local knowledge of the logistics, regulatory and retail sector, which helps Morrisons to manage less and move to shelf (WTA, 2025; Source International, 2026).</w:t>
      </w:r>
    </w:p>
    <w:p w14:paraId="5B1DAF4F" w14:textId="0322ED37" w:rsidR="00C51968" w:rsidRPr="00C2098E" w:rsidRDefault="00C51968" w:rsidP="00DC1D0E">
      <w:pPr>
        <w:pStyle w:val="ListParagraph"/>
        <w:numPr>
          <w:ilvl w:val="0"/>
          <w:numId w:val="9"/>
        </w:numPr>
      </w:pPr>
      <w:r w:rsidRPr="00C2098E">
        <w:rPr>
          <w:b/>
          <w:bCs/>
        </w:rPr>
        <w:t>Products availability:</w:t>
      </w:r>
      <w:r w:rsidRPr="00C2098E">
        <w:t xml:space="preserve"> “The Best” SKUs are already present on the shelf in around 260 Lulu stores and online platforms like Noon and Kibsons, with some operational success of the products at this baseline level (Morrisons, 2025b; Noon, 2025; Kibsons, 2026</w:t>
      </w:r>
      <w:r w:rsidR="000C0F8B">
        <w:t>b</w:t>
      </w:r>
      <w:r w:rsidRPr="00C2098E">
        <w:t>). This in-market presence translates to specific operational functions that are operational such as labelling, shipping, and warehousing; which means that expansion can leverage existing functions and processes instead of starting from scratch (Strategy&amp;/PwC, 2024).</w:t>
      </w:r>
    </w:p>
    <w:p w14:paraId="1CDB4B09" w14:textId="77777777" w:rsidR="00C51968" w:rsidRPr="00C2098E" w:rsidRDefault="00C51968" w:rsidP="00DC1D0E">
      <w:pPr>
        <w:pStyle w:val="ListParagraph"/>
        <w:numPr>
          <w:ilvl w:val="0"/>
          <w:numId w:val="9"/>
        </w:numPr>
      </w:pPr>
      <w:r w:rsidRPr="00C2098E">
        <w:rPr>
          <w:b/>
          <w:bCs/>
        </w:rPr>
        <w:t>Capital light structure and flexibility:</w:t>
      </w:r>
      <w:r w:rsidRPr="00C2098E">
        <w:t xml:space="preserve"> Morrisons do not own any of the stores in the GCC, which means that there is no need for a significant commitment of capital and no long-term lease agreements are made (Cornelius et al., 2005; Trigeorgis, 1996). Functionally, there is less risk to the local property and staff and scenario planning can be used to determine whether to scale, adapt or exit (Cornelius et al., 2005).</w:t>
      </w:r>
    </w:p>
    <w:p w14:paraId="23DA49E0" w14:textId="43F9EBB3" w:rsidR="00C51968" w:rsidRPr="00C2098E" w:rsidRDefault="009F6C60" w:rsidP="00963766">
      <w:pPr>
        <w:pStyle w:val="Heading3"/>
      </w:pPr>
      <w:bookmarkStart w:id="35" w:name="_Toc238675492"/>
      <w:r w:rsidRPr="00C2098E">
        <w:t>4.2</w:t>
      </w:r>
      <w:r w:rsidR="00C51968" w:rsidRPr="00C2098E">
        <w:t>.3 Operational weaknesses</w:t>
      </w:r>
      <w:bookmarkEnd w:id="35"/>
    </w:p>
    <w:p w14:paraId="0850D34C" w14:textId="77777777" w:rsidR="00C51968" w:rsidRPr="00C2098E" w:rsidRDefault="00C51968" w:rsidP="00C51968">
      <w:r w:rsidRPr="00C2098E">
        <w:t>While the current model has a number of strengths, there are some weaknesses that may restrict the effectiveness of “The Best” expansion:</w:t>
      </w:r>
    </w:p>
    <w:p w14:paraId="1FC6B193" w14:textId="77777777" w:rsidR="00C51968" w:rsidRPr="00C2098E" w:rsidRDefault="00C51968" w:rsidP="00DC1D0E">
      <w:pPr>
        <w:pStyle w:val="ListParagraph"/>
        <w:numPr>
          <w:ilvl w:val="0"/>
          <w:numId w:val="8"/>
        </w:numPr>
      </w:pPr>
      <w:r w:rsidRPr="00C2098E">
        <w:rPr>
          <w:b/>
          <w:bCs/>
        </w:rPr>
        <w:t>Limited operational visibility across GCC:</w:t>
      </w:r>
      <w:r w:rsidRPr="00C2098E">
        <w:t xml:space="preserve"> Morrisons depends on its partners for local distribution and in store operations, therefore it has limited direct visibility of day-to-day operations including stock management, merchandising quality and in store promotions (Morrisons, 2023/24; WTA, 2025). This can complicate identification of problem areas such as stockouts, poor placement of products on shelves, or sub-optimal implementation of campaigns.</w:t>
      </w:r>
    </w:p>
    <w:p w14:paraId="24971943" w14:textId="77777777" w:rsidR="00C51968" w:rsidRPr="00C2098E" w:rsidRDefault="00C51968" w:rsidP="00DC1D0E">
      <w:pPr>
        <w:pStyle w:val="ListParagraph"/>
        <w:numPr>
          <w:ilvl w:val="0"/>
          <w:numId w:val="8"/>
        </w:numPr>
      </w:pPr>
      <w:r w:rsidRPr="00C2098E">
        <w:rPr>
          <w:b/>
          <w:bCs/>
        </w:rPr>
        <w:t>Staying Connected:</w:t>
      </w:r>
      <w:r w:rsidRPr="00C2098E">
        <w:t xml:space="preserve"> Communication and coordination may not be optimised working through intermediaries, which can also cause delays in adapting the packaging for Arabic labels and halal certifications (Source International, 2026; WTA, 2025). The postponement of these could hinder the introduction of new “The Best” SKUs or reduce timeliness to new consumer trends in the UAE and KSA.</w:t>
      </w:r>
    </w:p>
    <w:p w14:paraId="53B0F668" w14:textId="77777777" w:rsidR="00C51968" w:rsidRPr="00C2098E" w:rsidRDefault="00C51968" w:rsidP="00DC1D0E">
      <w:pPr>
        <w:pStyle w:val="ListParagraph"/>
        <w:numPr>
          <w:ilvl w:val="0"/>
          <w:numId w:val="8"/>
        </w:numPr>
      </w:pPr>
      <w:r w:rsidRPr="00C2098E">
        <w:rPr>
          <w:b/>
          <w:bCs/>
        </w:rPr>
        <w:t>No granular SKU level performance data:</w:t>
      </w:r>
      <w:r w:rsidRPr="00C2098E">
        <w:t xml:space="preserve"> Morrisons currently has some data from retail partners but public information indicates that it does not have comprehensive real-time </w:t>
      </w:r>
      <w:r w:rsidRPr="00C2098E">
        <w:lastRenderedPageBreak/>
        <w:t>SKU level performance data in all GCC outlets (Morrisons, 2025a; Strategy&amp;/PwC, 2024). The absence of detailed sales, margin and basket data per SKU makes it more difficult to optimise assortments, price and optimise promotions effectively (Bain &amp; Company, 2022).</w:t>
      </w:r>
    </w:p>
    <w:p w14:paraId="46E9D02B" w14:textId="77777777" w:rsidR="00C51968" w:rsidRPr="00C2098E" w:rsidRDefault="00C51968" w:rsidP="00DC1D0E">
      <w:pPr>
        <w:pStyle w:val="ListParagraph"/>
        <w:numPr>
          <w:ilvl w:val="0"/>
          <w:numId w:val="8"/>
        </w:numPr>
      </w:pPr>
      <w:r w:rsidRPr="00C2098E">
        <w:rPr>
          <w:b/>
          <w:bCs/>
        </w:rPr>
        <w:t>Reliance on others:</w:t>
      </w:r>
      <w:r w:rsidRPr="00C2098E">
        <w:t xml:space="preserve"> Morrisons depends on the compliance, forecasting and store execution of Y International, Lulu and others for everything (Morrisons, 2025b; WTA, 2025). A skewed focus for instance on the retailers’ own premium private labels may hinder support of “The Best” in operations and hinder growth.</w:t>
      </w:r>
    </w:p>
    <w:p w14:paraId="4A256C8D" w14:textId="35F07C06" w:rsidR="00C51968" w:rsidRPr="00C2098E" w:rsidRDefault="00607E77" w:rsidP="00590EC6">
      <w:pPr>
        <w:pStyle w:val="Heading2"/>
      </w:pPr>
      <w:bookmarkStart w:id="36" w:name="_Toc238675493"/>
      <w:r w:rsidRPr="00C2098E">
        <w:t>4.3</w:t>
      </w:r>
      <w:r w:rsidR="00C51968" w:rsidRPr="00C2098E">
        <w:t xml:space="preserve"> Human Resource Capital Allocation</w:t>
      </w:r>
      <w:bookmarkEnd w:id="36"/>
    </w:p>
    <w:p w14:paraId="18C236FD" w14:textId="0FF8C347" w:rsidR="00C51968" w:rsidRPr="00C2098E" w:rsidRDefault="00607E77" w:rsidP="00963766">
      <w:pPr>
        <w:pStyle w:val="Heading3"/>
      </w:pPr>
      <w:bookmarkStart w:id="37" w:name="_Toc238675494"/>
      <w:r w:rsidRPr="00C2098E">
        <w:t>4.3</w:t>
      </w:r>
      <w:r w:rsidR="00C51968" w:rsidRPr="00C2098E">
        <w:t>.1 Current Staffing and Management of International Wholesale/Export</w:t>
      </w:r>
      <w:bookmarkEnd w:id="37"/>
    </w:p>
    <w:p w14:paraId="6DC4529C" w14:textId="77777777" w:rsidR="00C51968" w:rsidRPr="00C2098E" w:rsidRDefault="00C51968" w:rsidP="00C51968">
      <w:r w:rsidRPr="00C2098E">
        <w:t>The international wholesale/export function is run by a dedicated team within Morrisons, who are responsible for developing and maintaining relationships with partners and ensuring Morrisons is involved with international trade activities (Morrisons, 2022; Morrisons, 2025). This central team liaises with category management, supply chain, finance and marketing teams in the UK to ensure export decisions are consistent with product strategy, operational capacity and financial goals (The Grocer, 2022; Morrisons, 2025).</w:t>
      </w:r>
    </w:p>
    <w:p w14:paraId="1FA22E8C" w14:textId="77777777" w:rsidR="00C51968" w:rsidRPr="00C2098E" w:rsidRDefault="00C51968" w:rsidP="00C51968">
      <w:r w:rsidRPr="00C2098E">
        <w:t>Within the realm of GCC expansion, this team liaises with Y International, Lulu, Noon and other partners, as well as negotiates listing agreements and maintains a high-level monitoring of performance (Morrisons, 2025b; Strategy&amp;/PwC, 2024). But public data reveals that their remit is wide ranging, covering several regions and several categories and that there is no specifically managed micro-level “The Best” range in GCC (Morrisons, 2023/24; Supermarket News, 2025).</w:t>
      </w:r>
    </w:p>
    <w:p w14:paraId="2BE07EB6" w14:textId="4E8CA6D2" w:rsidR="00C51968" w:rsidRPr="00C2098E" w:rsidRDefault="0072526F" w:rsidP="00963766">
      <w:pPr>
        <w:pStyle w:val="Heading3"/>
      </w:pPr>
      <w:bookmarkStart w:id="38" w:name="_Toc238675495"/>
      <w:r w:rsidRPr="00C2098E">
        <w:t>4.3</w:t>
      </w:r>
      <w:r w:rsidR="00C51968" w:rsidRPr="00C2098E">
        <w:t>.2 Skills and Capability Gaps Related to GCC Expansion</w:t>
      </w:r>
      <w:bookmarkEnd w:id="38"/>
    </w:p>
    <w:p w14:paraId="5E69DB64" w14:textId="77777777" w:rsidR="00C51968" w:rsidRPr="00C2098E" w:rsidRDefault="00C51968" w:rsidP="00C51968">
      <w:r w:rsidRPr="00C2098E">
        <w:t>Several capability gaps are identified to assist the recommended strategy for “The Best” such as,</w:t>
      </w:r>
    </w:p>
    <w:p w14:paraId="1E126BEA" w14:textId="77777777" w:rsidR="00C51968" w:rsidRPr="00C2098E" w:rsidRDefault="00C51968" w:rsidP="00DC1D0E">
      <w:pPr>
        <w:pStyle w:val="ListParagraph"/>
        <w:numPr>
          <w:ilvl w:val="0"/>
          <w:numId w:val="10"/>
        </w:numPr>
      </w:pPr>
      <w:r w:rsidRPr="00C2098E">
        <w:rPr>
          <w:b/>
          <w:bCs/>
        </w:rPr>
        <w:t>International category management with insight into the market in the Gulf countries (GCC countries):</w:t>
      </w:r>
      <w:r w:rsidRPr="00C2098E">
        <w:t xml:space="preserve"> The team requires a specialised understanding of the key consumer trends and the category dynamics and competitive environment of biscuits and confectionery (Bain &amp; Company, 2022; Alpen Capital, 2025). If not, it can be challenging to develop assortments, pricing and promotions that meet local expectations.</w:t>
      </w:r>
    </w:p>
    <w:p w14:paraId="43C2A8A7" w14:textId="77777777" w:rsidR="00C51968" w:rsidRPr="00C2098E" w:rsidRDefault="00C51968" w:rsidP="00DC1D0E">
      <w:pPr>
        <w:pStyle w:val="ListParagraph"/>
        <w:numPr>
          <w:ilvl w:val="0"/>
          <w:numId w:val="10"/>
        </w:numPr>
      </w:pPr>
      <w:r w:rsidRPr="00C2098E">
        <w:rPr>
          <w:b/>
          <w:bCs/>
        </w:rPr>
        <w:lastRenderedPageBreak/>
        <w:t>Trained in management and business skills:</w:t>
      </w:r>
      <w:r w:rsidRPr="00C2098E">
        <w:t xml:space="preserve"> Many aspects are covered by partners but it is important for Morrisons to have enough in-house knowledge about the GCC regulations, Arabic labelling and halal requirements to advise partners properly and prevent reoccurring compliance problems (Source International, 2026; WTA, 2025). This means being aware of the implications of trade policy changes between the UK and the GCC for documentation and tariffs (UK Government, 2026a; UK Government, 2026b).</w:t>
      </w:r>
    </w:p>
    <w:p w14:paraId="1DCCF4CC" w14:textId="77777777" w:rsidR="00C51968" w:rsidRPr="00C2098E" w:rsidRDefault="00C51968" w:rsidP="00DC1D0E">
      <w:pPr>
        <w:pStyle w:val="ListParagraph"/>
        <w:numPr>
          <w:ilvl w:val="0"/>
          <w:numId w:val="10"/>
        </w:numPr>
      </w:pPr>
      <w:r w:rsidRPr="00C2098E">
        <w:rPr>
          <w:b/>
          <w:bCs/>
        </w:rPr>
        <w:t>Analysing the Middle East brand and trade marketing:</w:t>
      </w:r>
      <w:r w:rsidRPr="00C2098E">
        <w:t xml:space="preserve"> The marketing team also needs to be adept at making the brand story relatable to Middle East audiences, picking the right images and words, and going to Middle East destinations like local influencers and retail apps (Keller, 2013; Aichner, 2014). </w:t>
      </w:r>
    </w:p>
    <w:p w14:paraId="5AD7FFB0" w14:textId="77777777" w:rsidR="00C51968" w:rsidRPr="00C2098E" w:rsidRDefault="00C51968" w:rsidP="00DC1D0E">
      <w:pPr>
        <w:pStyle w:val="ListParagraph"/>
        <w:numPr>
          <w:ilvl w:val="0"/>
          <w:numId w:val="10"/>
        </w:numPr>
      </w:pPr>
      <w:r w:rsidRPr="00C2098E">
        <w:rPr>
          <w:b/>
          <w:bCs/>
        </w:rPr>
        <w:t>Data analysis of GCC sales and shopper data:</w:t>
      </w:r>
      <w:r w:rsidRPr="00C2098E">
        <w:t xml:space="preserve"> Morrisons need to be able to analyse SKU level sales and shopper data from its GCC partners to gain insights into repeat purchase, basket composition and category share (Bain &amp; Company, 2022; Strategy&amp;/PwC, 2024). This requires not only group level financial reporting capabilities, but data analytics abilities in retail and FMCG analytics.</w:t>
      </w:r>
    </w:p>
    <w:p w14:paraId="5CD550EC" w14:textId="77777777" w:rsidR="0016395B" w:rsidRPr="00C2098E" w:rsidRDefault="0016395B">
      <w:pPr>
        <w:rPr>
          <w:rFonts w:eastAsiaTheme="majorEastAsia" w:cstheme="majorBidi"/>
          <w:b/>
          <w:bCs/>
          <w:sz w:val="28"/>
          <w:szCs w:val="32"/>
        </w:rPr>
      </w:pPr>
      <w:r w:rsidRPr="00C2098E">
        <w:br w:type="page"/>
      </w:r>
    </w:p>
    <w:p w14:paraId="7697803F" w14:textId="27395096" w:rsidR="00C51968" w:rsidRPr="00C2098E" w:rsidRDefault="003209CC" w:rsidP="00590EC6">
      <w:pPr>
        <w:pStyle w:val="Heading2"/>
      </w:pPr>
      <w:bookmarkStart w:id="39" w:name="_Toc238675496"/>
      <w:r w:rsidRPr="00C2098E">
        <w:lastRenderedPageBreak/>
        <w:t>4.4</w:t>
      </w:r>
      <w:r w:rsidR="00C51968" w:rsidRPr="00C2098E">
        <w:t xml:space="preserve"> Business Analysis Models</w:t>
      </w:r>
      <w:bookmarkEnd w:id="39"/>
    </w:p>
    <w:p w14:paraId="77050D94" w14:textId="3CEE2734" w:rsidR="00C51968" w:rsidRDefault="003209CC" w:rsidP="00963766">
      <w:pPr>
        <w:pStyle w:val="Heading3"/>
      </w:pPr>
      <w:bookmarkStart w:id="40" w:name="_Toc238675497"/>
      <w:r w:rsidRPr="002C60B1">
        <w:t>4.4</w:t>
      </w:r>
      <w:r w:rsidR="00C51968" w:rsidRPr="002C60B1">
        <w:t>.1 PESTEL Analysis</w:t>
      </w:r>
      <w:bookmarkEnd w:id="40"/>
      <w:r w:rsidR="00C51968" w:rsidRPr="00C2098E">
        <w:t xml:space="preserve"> </w:t>
      </w:r>
    </w:p>
    <w:tbl>
      <w:tblPr>
        <w:tblStyle w:val="PlainTable1"/>
        <w:tblW w:w="5000" w:type="pct"/>
        <w:tblLook w:val="04A0" w:firstRow="1" w:lastRow="0" w:firstColumn="1" w:lastColumn="0" w:noHBand="0" w:noVBand="1"/>
      </w:tblPr>
      <w:tblGrid>
        <w:gridCol w:w="2389"/>
        <w:gridCol w:w="6627"/>
      </w:tblGrid>
      <w:tr w:rsidR="005F43F2" w:rsidRPr="005F43F2" w14:paraId="20450866" w14:textId="77777777" w:rsidTr="005F43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hideMark/>
          </w:tcPr>
          <w:p w14:paraId="1C898C54" w14:textId="615F986F" w:rsidR="005F43F2" w:rsidRPr="005F43F2" w:rsidRDefault="00926A9C" w:rsidP="005F43F2">
            <w:pPr>
              <w:spacing w:before="0" w:line="360" w:lineRule="auto"/>
              <w:jc w:val="center"/>
              <w:rPr>
                <w:rFonts w:eastAsia="Times New Roman" w:cs="Times New Roman"/>
                <w:szCs w:val="24"/>
              </w:rPr>
            </w:pPr>
            <w:r w:rsidRPr="00854465">
              <w:rPr>
                <w:rFonts w:eastAsia="Times New Roman" w:cs="Times New Roman"/>
                <w:szCs w:val="24"/>
              </w:rPr>
              <w:t>Factors</w:t>
            </w:r>
          </w:p>
        </w:tc>
        <w:tc>
          <w:tcPr>
            <w:tcW w:w="3675" w:type="pct"/>
            <w:hideMark/>
          </w:tcPr>
          <w:p w14:paraId="63D93EA4" w14:textId="77777777" w:rsidR="005F43F2" w:rsidRPr="005F43F2" w:rsidRDefault="005F43F2" w:rsidP="005F43F2">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5F43F2">
              <w:rPr>
                <w:rFonts w:eastAsia="Times New Roman" w:cs="Times New Roman"/>
                <w:szCs w:val="24"/>
              </w:rPr>
              <w:t>Summary</w:t>
            </w:r>
          </w:p>
        </w:tc>
      </w:tr>
      <w:tr w:rsidR="005F43F2" w:rsidRPr="005F43F2" w14:paraId="165A4D78" w14:textId="77777777" w:rsidTr="005F4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hideMark/>
          </w:tcPr>
          <w:p w14:paraId="135FFD56" w14:textId="77777777" w:rsidR="005F43F2" w:rsidRPr="005F43F2" w:rsidRDefault="005F43F2" w:rsidP="005F43F2">
            <w:pPr>
              <w:spacing w:before="0" w:line="360" w:lineRule="auto"/>
              <w:jc w:val="left"/>
              <w:rPr>
                <w:rFonts w:eastAsia="Times New Roman" w:cs="Times New Roman"/>
                <w:b w:val="0"/>
                <w:bCs w:val="0"/>
                <w:szCs w:val="24"/>
              </w:rPr>
            </w:pPr>
            <w:r w:rsidRPr="005F43F2">
              <w:rPr>
                <w:rFonts w:eastAsia="Times New Roman" w:cs="Times New Roman"/>
                <w:b w:val="0"/>
                <w:bCs w:val="0"/>
                <w:szCs w:val="24"/>
              </w:rPr>
              <w:t>Political factors</w:t>
            </w:r>
          </w:p>
        </w:tc>
        <w:tc>
          <w:tcPr>
            <w:tcW w:w="3675" w:type="pct"/>
            <w:hideMark/>
          </w:tcPr>
          <w:p w14:paraId="64867C45" w14:textId="77777777" w:rsidR="005F43F2" w:rsidRPr="005F43F2" w:rsidRDefault="005F43F2" w:rsidP="005F43F2">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43F2">
              <w:rPr>
                <w:rFonts w:eastAsia="Times New Roman" w:cs="Times New Roman"/>
                <w:szCs w:val="24"/>
              </w:rPr>
              <w:t>Favourable UK-GCC FTA trade terms, tempered by geopolitical risk exposure</w:t>
            </w:r>
          </w:p>
        </w:tc>
      </w:tr>
      <w:tr w:rsidR="005F43F2" w:rsidRPr="005F43F2" w14:paraId="319EE8F2" w14:textId="77777777" w:rsidTr="005F43F2">
        <w:tc>
          <w:tcPr>
            <w:cnfStyle w:val="001000000000" w:firstRow="0" w:lastRow="0" w:firstColumn="1" w:lastColumn="0" w:oddVBand="0" w:evenVBand="0" w:oddHBand="0" w:evenHBand="0" w:firstRowFirstColumn="0" w:firstRowLastColumn="0" w:lastRowFirstColumn="0" w:lastRowLastColumn="0"/>
            <w:tcW w:w="1325" w:type="pct"/>
            <w:hideMark/>
          </w:tcPr>
          <w:p w14:paraId="215AA560" w14:textId="77777777" w:rsidR="005F43F2" w:rsidRPr="005F43F2" w:rsidRDefault="005F43F2" w:rsidP="005F43F2">
            <w:pPr>
              <w:spacing w:before="0" w:line="360" w:lineRule="auto"/>
              <w:jc w:val="left"/>
              <w:rPr>
                <w:rFonts w:eastAsia="Times New Roman" w:cs="Times New Roman"/>
                <w:b w:val="0"/>
                <w:bCs w:val="0"/>
                <w:szCs w:val="24"/>
              </w:rPr>
            </w:pPr>
            <w:r w:rsidRPr="005F43F2">
              <w:rPr>
                <w:rFonts w:eastAsia="Times New Roman" w:cs="Times New Roman"/>
                <w:b w:val="0"/>
                <w:bCs w:val="0"/>
                <w:szCs w:val="24"/>
              </w:rPr>
              <w:t>Economic factors</w:t>
            </w:r>
          </w:p>
        </w:tc>
        <w:tc>
          <w:tcPr>
            <w:tcW w:w="3675" w:type="pct"/>
            <w:hideMark/>
          </w:tcPr>
          <w:p w14:paraId="2D8710DE" w14:textId="77777777" w:rsidR="005F43F2" w:rsidRPr="005F43F2" w:rsidRDefault="005F43F2" w:rsidP="005F43F2">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43F2">
              <w:rPr>
                <w:rFonts w:eastAsia="Times New Roman" w:cs="Times New Roman"/>
                <w:szCs w:val="24"/>
              </w:rPr>
              <w:t>Rising incomes fuel premium demand, but oil and currency volatility loom</w:t>
            </w:r>
          </w:p>
        </w:tc>
      </w:tr>
      <w:tr w:rsidR="005F43F2" w:rsidRPr="005F43F2" w14:paraId="71915D09" w14:textId="77777777" w:rsidTr="005F4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hideMark/>
          </w:tcPr>
          <w:p w14:paraId="385B4CA7" w14:textId="77777777" w:rsidR="005F43F2" w:rsidRPr="005F43F2" w:rsidRDefault="005F43F2" w:rsidP="005F43F2">
            <w:pPr>
              <w:spacing w:before="0" w:line="360" w:lineRule="auto"/>
              <w:jc w:val="left"/>
              <w:rPr>
                <w:rFonts w:eastAsia="Times New Roman" w:cs="Times New Roman"/>
                <w:b w:val="0"/>
                <w:bCs w:val="0"/>
                <w:szCs w:val="24"/>
              </w:rPr>
            </w:pPr>
            <w:r w:rsidRPr="005F43F2">
              <w:rPr>
                <w:rFonts w:eastAsia="Times New Roman" w:cs="Times New Roman"/>
                <w:b w:val="0"/>
                <w:bCs w:val="0"/>
                <w:szCs w:val="24"/>
              </w:rPr>
              <w:t>Social factors</w:t>
            </w:r>
          </w:p>
        </w:tc>
        <w:tc>
          <w:tcPr>
            <w:tcW w:w="3675" w:type="pct"/>
            <w:hideMark/>
          </w:tcPr>
          <w:p w14:paraId="21987A1D" w14:textId="77777777" w:rsidR="005F43F2" w:rsidRPr="005F43F2" w:rsidRDefault="005F43F2" w:rsidP="005F43F2">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43F2">
              <w:rPr>
                <w:rFonts w:eastAsia="Times New Roman" w:cs="Times New Roman"/>
                <w:szCs w:val="24"/>
              </w:rPr>
              <w:t>Young, brand-aware GCC consumers value British quality and indulgence</w:t>
            </w:r>
          </w:p>
        </w:tc>
      </w:tr>
      <w:tr w:rsidR="005F43F2" w:rsidRPr="005F43F2" w14:paraId="151236F9" w14:textId="77777777" w:rsidTr="005F43F2">
        <w:tc>
          <w:tcPr>
            <w:cnfStyle w:val="001000000000" w:firstRow="0" w:lastRow="0" w:firstColumn="1" w:lastColumn="0" w:oddVBand="0" w:evenVBand="0" w:oddHBand="0" w:evenHBand="0" w:firstRowFirstColumn="0" w:firstRowLastColumn="0" w:lastRowFirstColumn="0" w:lastRowLastColumn="0"/>
            <w:tcW w:w="1325" w:type="pct"/>
            <w:hideMark/>
          </w:tcPr>
          <w:p w14:paraId="70AB0C71" w14:textId="77777777" w:rsidR="005F43F2" w:rsidRPr="005F43F2" w:rsidRDefault="005F43F2" w:rsidP="005F43F2">
            <w:pPr>
              <w:spacing w:before="0" w:line="360" w:lineRule="auto"/>
              <w:jc w:val="left"/>
              <w:rPr>
                <w:rFonts w:eastAsia="Times New Roman" w:cs="Times New Roman"/>
                <w:b w:val="0"/>
                <w:bCs w:val="0"/>
                <w:szCs w:val="24"/>
              </w:rPr>
            </w:pPr>
            <w:r w:rsidRPr="005F43F2">
              <w:rPr>
                <w:rFonts w:eastAsia="Times New Roman" w:cs="Times New Roman"/>
                <w:b w:val="0"/>
                <w:bCs w:val="0"/>
                <w:szCs w:val="24"/>
              </w:rPr>
              <w:t>Technological factors</w:t>
            </w:r>
          </w:p>
        </w:tc>
        <w:tc>
          <w:tcPr>
            <w:tcW w:w="3675" w:type="pct"/>
            <w:hideMark/>
          </w:tcPr>
          <w:p w14:paraId="6D0933B9" w14:textId="77777777" w:rsidR="005F43F2" w:rsidRPr="005F43F2" w:rsidRDefault="005F43F2" w:rsidP="005F43F2">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43F2">
              <w:rPr>
                <w:rFonts w:eastAsia="Times New Roman" w:cs="Times New Roman"/>
                <w:szCs w:val="24"/>
              </w:rPr>
              <w:t>E-commerce and digital retail growth open new marketing channels</w:t>
            </w:r>
          </w:p>
        </w:tc>
      </w:tr>
      <w:tr w:rsidR="005F43F2" w:rsidRPr="005F43F2" w14:paraId="531C75FE" w14:textId="77777777" w:rsidTr="005F4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5" w:type="pct"/>
            <w:hideMark/>
          </w:tcPr>
          <w:p w14:paraId="76D39E2F" w14:textId="77777777" w:rsidR="005F43F2" w:rsidRPr="005F43F2" w:rsidRDefault="005F43F2" w:rsidP="005F43F2">
            <w:pPr>
              <w:spacing w:before="0" w:line="360" w:lineRule="auto"/>
              <w:jc w:val="left"/>
              <w:rPr>
                <w:rFonts w:eastAsia="Times New Roman" w:cs="Times New Roman"/>
                <w:b w:val="0"/>
                <w:bCs w:val="0"/>
                <w:szCs w:val="24"/>
              </w:rPr>
            </w:pPr>
            <w:r w:rsidRPr="005F43F2">
              <w:rPr>
                <w:rFonts w:eastAsia="Times New Roman" w:cs="Times New Roman"/>
                <w:b w:val="0"/>
                <w:bCs w:val="0"/>
                <w:szCs w:val="24"/>
              </w:rPr>
              <w:t>Environmental factors</w:t>
            </w:r>
          </w:p>
        </w:tc>
        <w:tc>
          <w:tcPr>
            <w:tcW w:w="3675" w:type="pct"/>
            <w:hideMark/>
          </w:tcPr>
          <w:p w14:paraId="2F6865F7" w14:textId="77777777" w:rsidR="005F43F2" w:rsidRPr="005F43F2" w:rsidRDefault="005F43F2" w:rsidP="005F43F2">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43F2">
              <w:rPr>
                <w:rFonts w:eastAsia="Times New Roman" w:cs="Times New Roman"/>
                <w:szCs w:val="24"/>
              </w:rPr>
              <w:t>Sustainability and heat-resilience expectations shape packaging and sourcing</w:t>
            </w:r>
          </w:p>
        </w:tc>
      </w:tr>
      <w:tr w:rsidR="005F43F2" w:rsidRPr="005F43F2" w14:paraId="65AD51F1" w14:textId="77777777" w:rsidTr="005F43F2">
        <w:tc>
          <w:tcPr>
            <w:cnfStyle w:val="001000000000" w:firstRow="0" w:lastRow="0" w:firstColumn="1" w:lastColumn="0" w:oddVBand="0" w:evenVBand="0" w:oddHBand="0" w:evenHBand="0" w:firstRowFirstColumn="0" w:firstRowLastColumn="0" w:lastRowFirstColumn="0" w:lastRowLastColumn="0"/>
            <w:tcW w:w="1325" w:type="pct"/>
            <w:hideMark/>
          </w:tcPr>
          <w:p w14:paraId="05E77322" w14:textId="77777777" w:rsidR="005F43F2" w:rsidRPr="005F43F2" w:rsidRDefault="005F43F2" w:rsidP="005F43F2">
            <w:pPr>
              <w:spacing w:before="0" w:line="360" w:lineRule="auto"/>
              <w:jc w:val="left"/>
              <w:rPr>
                <w:rFonts w:eastAsia="Times New Roman" w:cs="Times New Roman"/>
                <w:b w:val="0"/>
                <w:bCs w:val="0"/>
                <w:szCs w:val="24"/>
              </w:rPr>
            </w:pPr>
            <w:r w:rsidRPr="005F43F2">
              <w:rPr>
                <w:rFonts w:eastAsia="Times New Roman" w:cs="Times New Roman"/>
                <w:b w:val="0"/>
                <w:bCs w:val="0"/>
                <w:szCs w:val="24"/>
              </w:rPr>
              <w:t>Legal factors</w:t>
            </w:r>
          </w:p>
        </w:tc>
        <w:tc>
          <w:tcPr>
            <w:tcW w:w="3675" w:type="pct"/>
            <w:hideMark/>
          </w:tcPr>
          <w:p w14:paraId="1B389B5F" w14:textId="77777777" w:rsidR="005F43F2" w:rsidRPr="005F43F2" w:rsidRDefault="005F43F2" w:rsidP="005F43F2">
            <w:pPr>
              <w:keepNext/>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43F2">
              <w:rPr>
                <w:rFonts w:eastAsia="Times New Roman" w:cs="Times New Roman"/>
                <w:szCs w:val="24"/>
              </w:rPr>
              <w:t>Strict labelling and halal rules demand proactive compliance</w:t>
            </w:r>
          </w:p>
        </w:tc>
      </w:tr>
    </w:tbl>
    <w:p w14:paraId="65342F1B" w14:textId="202C7457" w:rsidR="005F43F2" w:rsidRPr="005F43F2" w:rsidRDefault="005F43F2" w:rsidP="005F43F2">
      <w:pPr>
        <w:pStyle w:val="Caption"/>
        <w:spacing w:before="240"/>
        <w:jc w:val="center"/>
        <w:rPr>
          <w:b/>
          <w:bCs/>
          <w:i w:val="0"/>
          <w:iCs w:val="0"/>
          <w:color w:val="auto"/>
        </w:rPr>
      </w:pPr>
      <w:bookmarkStart w:id="41" w:name="_Toc237906753"/>
      <w:bookmarkStart w:id="42" w:name="_Toc238674413"/>
      <w:bookmarkStart w:id="43" w:name="_Toc238674434"/>
      <w:r w:rsidRPr="005F43F2">
        <w:rPr>
          <w:b/>
          <w:bCs/>
          <w:i w:val="0"/>
          <w:iCs w:val="0"/>
          <w:color w:val="auto"/>
        </w:rPr>
        <w:t xml:space="preserve">Table </w:t>
      </w:r>
      <w:r w:rsidRPr="005F43F2">
        <w:rPr>
          <w:b/>
          <w:bCs/>
          <w:i w:val="0"/>
          <w:iCs w:val="0"/>
          <w:color w:val="auto"/>
        </w:rPr>
        <w:fldChar w:fldCharType="begin"/>
      </w:r>
      <w:r w:rsidRPr="005F43F2">
        <w:rPr>
          <w:b/>
          <w:bCs/>
          <w:i w:val="0"/>
          <w:iCs w:val="0"/>
          <w:color w:val="auto"/>
        </w:rPr>
        <w:instrText xml:space="preserve"> SEQ Table \* ARABIC </w:instrText>
      </w:r>
      <w:r w:rsidRPr="005F43F2">
        <w:rPr>
          <w:b/>
          <w:bCs/>
          <w:i w:val="0"/>
          <w:iCs w:val="0"/>
          <w:color w:val="auto"/>
        </w:rPr>
        <w:fldChar w:fldCharType="separate"/>
      </w:r>
      <w:r w:rsidR="005B5BFF">
        <w:rPr>
          <w:b/>
          <w:bCs/>
          <w:i w:val="0"/>
          <w:iCs w:val="0"/>
          <w:noProof/>
          <w:color w:val="auto"/>
        </w:rPr>
        <w:t>3</w:t>
      </w:r>
      <w:r w:rsidRPr="005F43F2">
        <w:rPr>
          <w:b/>
          <w:bCs/>
          <w:i w:val="0"/>
          <w:iCs w:val="0"/>
          <w:color w:val="auto"/>
        </w:rPr>
        <w:fldChar w:fldCharType="end"/>
      </w:r>
      <w:r w:rsidRPr="005F43F2">
        <w:rPr>
          <w:b/>
          <w:bCs/>
          <w:i w:val="0"/>
          <w:iCs w:val="0"/>
          <w:color w:val="auto"/>
        </w:rPr>
        <w:t xml:space="preserve"> Morrisons</w:t>
      </w:r>
      <w:r>
        <w:rPr>
          <w:b/>
          <w:bCs/>
          <w:i w:val="0"/>
          <w:iCs w:val="0"/>
          <w:color w:val="auto"/>
        </w:rPr>
        <w:t>’</w:t>
      </w:r>
      <w:r w:rsidRPr="005F43F2">
        <w:rPr>
          <w:b/>
          <w:bCs/>
          <w:i w:val="0"/>
          <w:iCs w:val="0"/>
          <w:color w:val="auto"/>
        </w:rPr>
        <w:t xml:space="preserve"> PESTEL Overview</w:t>
      </w:r>
      <w:bookmarkEnd w:id="41"/>
      <w:bookmarkEnd w:id="42"/>
      <w:bookmarkEnd w:id="43"/>
    </w:p>
    <w:p w14:paraId="2FDDEC5C" w14:textId="1EEDA878"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Political factors</w:t>
      </w:r>
    </w:p>
    <w:p w14:paraId="6FC154B2" w14:textId="77777777" w:rsidR="00C12726" w:rsidRPr="00C2098E" w:rsidRDefault="00C12726" w:rsidP="00C12726">
      <w:pPr>
        <w:rPr>
          <w:rFonts w:eastAsiaTheme="majorEastAsia" w:cstheme="majorBidi"/>
          <w:bCs/>
          <w:color w:val="000000" w:themeColor="text1"/>
          <w:szCs w:val="24"/>
        </w:rPr>
      </w:pPr>
      <w:r w:rsidRPr="00C2098E">
        <w:rPr>
          <w:rFonts w:eastAsiaTheme="majorEastAsia" w:cstheme="majorBidi"/>
          <w:bCs/>
          <w:color w:val="000000" w:themeColor="text1"/>
          <w:szCs w:val="24"/>
        </w:rPr>
        <w:t>The direction of UK-GCC Trade policy and regulatory is at the core. The UK-GCC Free Trade Agreement introduces reductions in non-tariff barriers, as well as tariffs, facilitating the customs process and providing certainty for ‘The Best' exports to the UAE and KSA (UK Government, 2026; Gulf Today, 2025; Westo Direct International, 2026). GCC governments focus on food security and diversified and reliable imports, which align with Morrisons' supply and quality guarantees, but this certainly leaves operations at risk of geopolitical risk (Hill et al., 1990; Johanson and Vahlne, 2009). Overall, the political environment is favourable for UK exporters, given Morrisons' monitoring of food security policy and trade negotiations (UK Government, 2026a; Strategy&amp;/PwC, 2024).</w:t>
      </w:r>
    </w:p>
    <w:p w14:paraId="66DB113F" w14:textId="77777777"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Economic factors</w:t>
      </w:r>
    </w:p>
    <w:p w14:paraId="7D317CF8" w14:textId="04183AEB" w:rsidR="00C12726" w:rsidRPr="00C2098E" w:rsidRDefault="00C12726" w:rsidP="00C12726">
      <w:pPr>
        <w:rPr>
          <w:rFonts w:eastAsiaTheme="majorEastAsia" w:cstheme="majorBidi"/>
          <w:bCs/>
          <w:color w:val="000000" w:themeColor="text1"/>
          <w:szCs w:val="24"/>
        </w:rPr>
      </w:pPr>
      <w:r w:rsidRPr="00C2098E">
        <w:rPr>
          <w:rFonts w:eastAsiaTheme="majorEastAsia" w:cstheme="majorBidi"/>
          <w:bCs/>
          <w:color w:val="000000" w:themeColor="text1"/>
          <w:szCs w:val="24"/>
        </w:rPr>
        <w:t xml:space="preserve">GCC opportunity is a result of income levels, growth, currency dynamics and food spending patterns. The demand for "The Best" in UAE and KSA is driven by high GDP per capita and a growing middle class, with increased spend on packaged food/snacks, and increased penetration of hypermarkets favouring 'The Best' expansion (Alpen Capital, 2025; GCC Food Market Report, 2026). But, the economies of the Gulf Cooperation Council are still vulnerable </w:t>
      </w:r>
      <w:r w:rsidRPr="00C2098E">
        <w:rPr>
          <w:rFonts w:eastAsiaTheme="majorEastAsia" w:cstheme="majorBidi"/>
          <w:bCs/>
          <w:color w:val="000000" w:themeColor="text1"/>
          <w:szCs w:val="24"/>
        </w:rPr>
        <w:lastRenderedPageBreak/>
        <w:t xml:space="preserve">to oil-price volatility, macroeconomic fluctuations that can undermine consumer confidence and spending on premiums (Strategy&amp;/PwC, 2024; Bain &amp; Company, 2022) and sterling-Gulf currency fluctuations impact margins and pricing flexibility (Damodaran, 2012; Trigeorgis, 1996). The climate is </w:t>
      </w:r>
      <w:r w:rsidR="00854465" w:rsidRPr="00C2098E">
        <w:rPr>
          <w:rFonts w:eastAsiaTheme="majorEastAsia" w:cstheme="majorBidi"/>
          <w:bCs/>
          <w:color w:val="000000" w:themeColor="text1"/>
          <w:szCs w:val="24"/>
        </w:rPr>
        <w:t>favourable</w:t>
      </w:r>
      <w:r w:rsidRPr="00C2098E">
        <w:rPr>
          <w:rFonts w:eastAsiaTheme="majorEastAsia" w:cstheme="majorBidi"/>
          <w:bCs/>
          <w:color w:val="000000" w:themeColor="text1"/>
          <w:szCs w:val="24"/>
        </w:rPr>
        <w:t>, but macro shocks and cost pressures need to be managed through scenario planning (Cornelius et al., 2005; Damodaran, 2012).</w:t>
      </w:r>
    </w:p>
    <w:p w14:paraId="6E942330" w14:textId="77777777"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Social factors</w:t>
      </w:r>
    </w:p>
    <w:p w14:paraId="4416D442" w14:textId="5B03098F" w:rsidR="00C12726" w:rsidRPr="00C2098E" w:rsidRDefault="00C12726" w:rsidP="00C12726">
      <w:pPr>
        <w:rPr>
          <w:rFonts w:eastAsiaTheme="majorEastAsia" w:cstheme="majorBidi"/>
          <w:bCs/>
          <w:color w:val="000000" w:themeColor="text1"/>
          <w:szCs w:val="24"/>
        </w:rPr>
      </w:pPr>
      <w:r w:rsidRPr="00C2098E">
        <w:rPr>
          <w:rFonts w:eastAsiaTheme="majorEastAsia" w:cstheme="majorBidi"/>
          <w:bCs/>
          <w:color w:val="000000" w:themeColor="text1"/>
          <w:szCs w:val="24"/>
        </w:rPr>
        <w:t>Demography, cultural taste and attitudes to imported brands is important. GCC populations are young, urbanised and globally exposed through media, tourism, and expatriates, inspiring an interest in international snacks, and convenience foods (Alpen Capital, 2025; GCC Food Market Report, 2026). The UAE/KSA consumers have an awareness of FMCG brands and are prepared to pay for quality and taste and image (YouGov, 2024; Arabian Business, 2024). Owing to the UK's 'British aisles', themed promotions and demand from expatriates, British/European brands are perceived as safe, quality and traditional -- all are important characteristics that GCC shoppers look for in imported food products (Aichner, 2014; Leverbrook Export, 2022</w:t>
      </w:r>
      <w:r w:rsidR="0086719F">
        <w:rPr>
          <w:rFonts w:eastAsiaTheme="majorEastAsia" w:cstheme="majorBidi"/>
          <w:bCs/>
          <w:color w:val="000000" w:themeColor="text1"/>
          <w:szCs w:val="24"/>
        </w:rPr>
        <w:t>a</w:t>
      </w:r>
      <w:r w:rsidRPr="00C2098E">
        <w:rPr>
          <w:rFonts w:eastAsiaTheme="majorEastAsia" w:cstheme="majorBidi"/>
          <w:bCs/>
          <w:color w:val="000000" w:themeColor="text1"/>
          <w:szCs w:val="24"/>
        </w:rPr>
        <w:t xml:space="preserve">). This is in line with ‘The Best’ marketing strategy aimed at British-indulgence, but there is a need to be sensitive to </w:t>
      </w:r>
      <w:r w:rsidR="00854465" w:rsidRPr="00C2098E">
        <w:rPr>
          <w:rFonts w:eastAsiaTheme="majorEastAsia" w:cstheme="majorBidi"/>
          <w:bCs/>
          <w:color w:val="000000" w:themeColor="text1"/>
          <w:szCs w:val="24"/>
        </w:rPr>
        <w:t>flavour</w:t>
      </w:r>
      <w:r w:rsidRPr="00C2098E">
        <w:rPr>
          <w:rFonts w:eastAsiaTheme="majorEastAsia" w:cstheme="majorBidi"/>
          <w:bCs/>
          <w:color w:val="000000" w:themeColor="text1"/>
          <w:szCs w:val="24"/>
        </w:rPr>
        <w:t>, religious and cultural values (Aichner, 2014; Keller, 2013).</w:t>
      </w:r>
    </w:p>
    <w:p w14:paraId="3AD9D081" w14:textId="77777777"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Technological factors</w:t>
      </w:r>
    </w:p>
    <w:p w14:paraId="5120A740" w14:textId="1F36D7AC" w:rsidR="00C12726" w:rsidRPr="00C2098E" w:rsidRDefault="00C12726" w:rsidP="00C12726">
      <w:pPr>
        <w:rPr>
          <w:rFonts w:eastAsiaTheme="majorEastAsia" w:cstheme="majorBidi"/>
          <w:bCs/>
          <w:color w:val="000000" w:themeColor="text1"/>
          <w:szCs w:val="24"/>
        </w:rPr>
      </w:pPr>
      <w:r w:rsidRPr="00C2098E">
        <w:rPr>
          <w:rFonts w:eastAsiaTheme="majorEastAsia" w:cstheme="majorBidi"/>
          <w:bCs/>
          <w:color w:val="000000" w:themeColor="text1"/>
          <w:szCs w:val="24"/>
        </w:rPr>
        <w:t>In UAE/KSA, online grocery and retailer apps have seen rapid expansion, particularly for home delivery, and for detailed digital information about products (Bain &amp; Company, 2022; Stratrich Consulting, 2024), while Noon (2025) and Kibsons (2026) have introduced online grocery and retailer apps, respectively, offering Morrisons opportunities to market “The Best” SKUs through enhanced product pages and influencer marketing to digitally-focused customers. Exporter-retailer coordination is strengthened through better logistics tracking, demand forecasting and data sharing, but invests in systems and analytical capability (Strategy&amp;/PwC, 2024; Bain &amp; Company, 2022). In the end, the advantages of using technology are mostly for the purpose of branding and selling, and to improve the level of digital presentation and data-driven decision making (Keller, 2013; Damodaran, 2012).</w:t>
      </w:r>
    </w:p>
    <w:p w14:paraId="6CBD198A" w14:textId="77777777"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Environmental factors</w:t>
      </w:r>
    </w:p>
    <w:p w14:paraId="2D89B46D" w14:textId="77777777" w:rsidR="00C12726" w:rsidRPr="00C2098E" w:rsidRDefault="00C12726" w:rsidP="00C12726">
      <w:pPr>
        <w:rPr>
          <w:rFonts w:eastAsiaTheme="majorEastAsia" w:cstheme="majorBidi"/>
          <w:bCs/>
          <w:color w:val="000000" w:themeColor="text1"/>
          <w:szCs w:val="24"/>
        </w:rPr>
      </w:pPr>
      <w:r w:rsidRPr="00C2098E">
        <w:rPr>
          <w:rFonts w:eastAsiaTheme="majorEastAsia" w:cstheme="majorBidi"/>
          <w:bCs/>
          <w:color w:val="000000" w:themeColor="text1"/>
          <w:szCs w:val="24"/>
        </w:rPr>
        <w:t xml:space="preserve">Expectations of sustainability, climate and environmental control are key. GCC countries are experiencing high levels of heat and water scarcity, leading to a significant reliance on food </w:t>
      </w:r>
      <w:r w:rsidRPr="00C2098E">
        <w:rPr>
          <w:rFonts w:eastAsiaTheme="majorEastAsia" w:cstheme="majorBidi"/>
          <w:bCs/>
          <w:color w:val="000000" w:themeColor="text1"/>
          <w:szCs w:val="24"/>
        </w:rPr>
        <w:lastRenderedPageBreak/>
        <w:t>imports for both food security and sovereignty (Alpen Capital, 2025; GCC Food Market Report, 2026), and sustainability continues to be a major priority for the retailer and consumer focus on sourcing, packaging and waste (Myton Food Group, 2024; Strategy&amp;/PwC, 2024). If this can be communicated effectively, Morrisons' pledge to ‘The Best' could differentiate the range, and products need to be heat stable, plus packaging needs to be protective and environmentally friendly (Morrisons, 2026; Myton Food Group, 2024), and logistics optimised to reduce waste and food spoilage (Source International, 2026; WTA Group, 2025).</w:t>
      </w:r>
    </w:p>
    <w:p w14:paraId="16DB85A7" w14:textId="77777777"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Legal factors</w:t>
      </w:r>
    </w:p>
    <w:p w14:paraId="7EA31927" w14:textId="3631B6DF" w:rsidR="00C12726" w:rsidRPr="00C2098E" w:rsidRDefault="00C12726" w:rsidP="00C12726">
      <w:pPr>
        <w:rPr>
          <w:rFonts w:eastAsiaTheme="majorEastAsia" w:cstheme="majorBidi"/>
          <w:bCs/>
          <w:color w:val="000000" w:themeColor="text1"/>
          <w:szCs w:val="24"/>
        </w:rPr>
      </w:pPr>
      <w:r w:rsidRPr="00C2098E">
        <w:rPr>
          <w:rFonts w:eastAsiaTheme="majorEastAsia" w:cstheme="majorBidi"/>
          <w:bCs/>
          <w:color w:val="000000" w:themeColor="text1"/>
          <w:szCs w:val="24"/>
        </w:rPr>
        <w:t>Food safety, labelling, halal and trade law are of paramount importance. There are strict requirements for ingredient disclosure and nutritional labelling and Arabic requirements, with fines or product rejection for non-compliance (WTA Group, 2025; Source International, 2026), while legality and consumer trust in a product are dependent on Halal certification for many products (Source International, 2026; UK Government, 2017). The UK-GCC FTA also includes tariffs, rules of origin and customs procedures, which impact cost and administrative burden (UK Government, 2026a; UK Government, 2026b). Legal issues are therefore risk when standards are unclear or change rapidly</w:t>
      </w:r>
      <w:r w:rsidR="00E22692">
        <w:rPr>
          <w:rFonts w:eastAsiaTheme="majorEastAsia" w:cstheme="majorBidi"/>
          <w:bCs/>
          <w:color w:val="000000" w:themeColor="text1"/>
          <w:szCs w:val="24"/>
        </w:rPr>
        <w:t>,</w:t>
      </w:r>
      <w:r w:rsidRPr="00C2098E">
        <w:rPr>
          <w:rFonts w:eastAsiaTheme="majorEastAsia" w:cstheme="majorBidi"/>
          <w:bCs/>
          <w:color w:val="000000" w:themeColor="text1"/>
          <w:szCs w:val="24"/>
        </w:rPr>
        <w:t xml:space="preserve"> as well as opportunity for well-structured, high-standard exporters (Hill et al., 1990; Johanson and Vahlne, 2009); proactive compliance is key to "The Best" expansion.</w:t>
      </w:r>
    </w:p>
    <w:p w14:paraId="5208E3EE" w14:textId="77777777" w:rsidR="00C12726" w:rsidRPr="00C2098E" w:rsidRDefault="00C12726" w:rsidP="00C12726">
      <w:pPr>
        <w:rPr>
          <w:rFonts w:eastAsiaTheme="majorEastAsia" w:cstheme="majorBidi"/>
          <w:b/>
          <w:color w:val="000000" w:themeColor="text1"/>
          <w:szCs w:val="24"/>
        </w:rPr>
      </w:pPr>
      <w:r w:rsidRPr="00C2098E">
        <w:rPr>
          <w:rFonts w:eastAsiaTheme="majorEastAsia" w:cstheme="majorBidi"/>
          <w:b/>
          <w:color w:val="000000" w:themeColor="text1"/>
          <w:szCs w:val="24"/>
        </w:rPr>
        <w:t>What PESTEL tells us about ‘The Best' in GCC is summarised below:</w:t>
      </w:r>
    </w:p>
    <w:p w14:paraId="3A1CF78E" w14:textId="77777777" w:rsidR="00C12726" w:rsidRPr="00C2098E" w:rsidRDefault="00C12726" w:rsidP="00C12726">
      <w:pPr>
        <w:rPr>
          <w:bCs/>
        </w:rPr>
      </w:pPr>
      <w:r w:rsidRPr="00C2098E">
        <w:rPr>
          <w:rFonts w:eastAsiaTheme="majorEastAsia" w:cstheme="majorBidi"/>
          <w:bCs/>
          <w:color w:val="000000" w:themeColor="text1"/>
          <w:szCs w:val="24"/>
        </w:rPr>
        <w:t>Overall, PESTEL suggests that the environment for "The Best" in UAE and KSA is largely favourable; favourable trade policy, growing demand for premium products, favourable country of origin image and a rapidly changing digital retail landscape (Alpen Capital, 2025; Strategy&amp;/PwC, 2024). In spite of this, the factors of economic cycles, regulatory complexity and partner dependence remain risks that have to be tackled with disciplined scenario planning (Cornelius et al., 2005; WTA Group, 2025).</w:t>
      </w:r>
    </w:p>
    <w:p w14:paraId="36B08BA2" w14:textId="77777777" w:rsidR="00347863" w:rsidRDefault="00347863">
      <w:pPr>
        <w:rPr>
          <w:rFonts w:eastAsiaTheme="majorEastAsia" w:cstheme="majorBidi"/>
          <w:b/>
          <w:bCs/>
          <w:sz w:val="28"/>
          <w:szCs w:val="32"/>
        </w:rPr>
      </w:pPr>
      <w:r>
        <w:br w:type="page"/>
      </w:r>
    </w:p>
    <w:p w14:paraId="009B484A" w14:textId="343A2BD6" w:rsidR="00C51968" w:rsidRPr="00C2098E" w:rsidRDefault="003209CC" w:rsidP="00590EC6">
      <w:pPr>
        <w:pStyle w:val="Heading2"/>
      </w:pPr>
      <w:bookmarkStart w:id="44" w:name="_Toc238675498"/>
      <w:r w:rsidRPr="00DB4FF4">
        <w:lastRenderedPageBreak/>
        <w:t>4.</w:t>
      </w:r>
      <w:r w:rsidR="005944B7" w:rsidRPr="00DB4FF4">
        <w:t>5</w:t>
      </w:r>
      <w:r w:rsidR="00C51968" w:rsidRPr="00DB4FF4">
        <w:t xml:space="preserve"> SWOT Analysis of Morrisons for “The Best” in GCC</w:t>
      </w:r>
      <w:bookmarkEnd w:id="44"/>
    </w:p>
    <w:tbl>
      <w:tblPr>
        <w:tblW w:w="5000" w:type="pct"/>
        <w:tblLook w:val="04A0" w:firstRow="1" w:lastRow="0" w:firstColumn="1" w:lastColumn="0" w:noHBand="0" w:noVBand="1"/>
      </w:tblPr>
      <w:tblGrid>
        <w:gridCol w:w="4437"/>
        <w:gridCol w:w="4589"/>
      </w:tblGrid>
      <w:tr w:rsidR="00347863" w:rsidRPr="00347863" w14:paraId="04F1306C" w14:textId="77777777" w:rsidTr="00347863">
        <w:trPr>
          <w:trHeight w:val="300"/>
        </w:trPr>
        <w:tc>
          <w:tcPr>
            <w:tcW w:w="2458" w:type="pct"/>
            <w:tcBorders>
              <w:top w:val="nil"/>
              <w:left w:val="nil"/>
              <w:bottom w:val="nil"/>
              <w:right w:val="nil"/>
            </w:tcBorders>
            <w:shd w:val="clear" w:color="auto" w:fill="auto"/>
            <w:noWrap/>
            <w:vAlign w:val="bottom"/>
            <w:hideMark/>
          </w:tcPr>
          <w:p w14:paraId="6815970F" w14:textId="77777777" w:rsidR="00347863" w:rsidRPr="00347863" w:rsidRDefault="00347863" w:rsidP="00F032C2">
            <w:pPr>
              <w:spacing w:before="0" w:after="0"/>
              <w:jc w:val="left"/>
              <w:rPr>
                <w:rFonts w:eastAsia="Times New Roman" w:cs="Times New Roman"/>
                <w:b/>
                <w:bCs/>
                <w:color w:val="000000"/>
                <w:sz w:val="22"/>
              </w:rPr>
            </w:pPr>
            <w:r w:rsidRPr="00347863">
              <w:rPr>
                <w:rFonts w:eastAsia="Times New Roman" w:cs="Times New Roman"/>
                <w:b/>
                <w:bCs/>
                <w:color w:val="000000"/>
                <w:sz w:val="22"/>
              </w:rPr>
              <w:t>Strengths</w:t>
            </w:r>
          </w:p>
        </w:tc>
        <w:tc>
          <w:tcPr>
            <w:tcW w:w="2542" w:type="pct"/>
            <w:tcBorders>
              <w:top w:val="nil"/>
              <w:left w:val="nil"/>
              <w:bottom w:val="nil"/>
              <w:right w:val="nil"/>
            </w:tcBorders>
            <w:shd w:val="clear" w:color="auto" w:fill="auto"/>
            <w:noWrap/>
            <w:vAlign w:val="bottom"/>
            <w:hideMark/>
          </w:tcPr>
          <w:p w14:paraId="1F511722" w14:textId="77777777" w:rsidR="00347863" w:rsidRPr="00347863" w:rsidRDefault="00347863" w:rsidP="00F032C2">
            <w:pPr>
              <w:spacing w:before="0" w:after="0"/>
              <w:jc w:val="right"/>
              <w:rPr>
                <w:rFonts w:eastAsia="Times New Roman" w:cs="Times New Roman"/>
                <w:b/>
                <w:bCs/>
                <w:color w:val="000000"/>
                <w:sz w:val="22"/>
              </w:rPr>
            </w:pPr>
            <w:r w:rsidRPr="00347863">
              <w:rPr>
                <w:rFonts w:eastAsia="Times New Roman" w:cs="Times New Roman"/>
                <w:b/>
                <w:bCs/>
                <w:color w:val="000000"/>
                <w:sz w:val="22"/>
              </w:rPr>
              <w:t>Opportunities</w:t>
            </w:r>
          </w:p>
        </w:tc>
      </w:tr>
      <w:tr w:rsidR="00347863" w:rsidRPr="00347863" w14:paraId="6C1CB7B1" w14:textId="77777777" w:rsidTr="00347863">
        <w:trPr>
          <w:trHeight w:val="900"/>
        </w:trPr>
        <w:tc>
          <w:tcPr>
            <w:tcW w:w="2458" w:type="pct"/>
            <w:tcBorders>
              <w:top w:val="single" w:sz="4" w:space="0" w:color="auto"/>
              <w:left w:val="nil"/>
              <w:bottom w:val="nil"/>
              <w:right w:val="single" w:sz="4" w:space="0" w:color="auto"/>
            </w:tcBorders>
            <w:shd w:val="clear" w:color="auto" w:fill="auto"/>
            <w:vAlign w:val="bottom"/>
            <w:hideMark/>
          </w:tcPr>
          <w:p w14:paraId="33DB5423"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Vertically integrated sourcing supports quality, traceability and "Made in Britain" appeal</w:t>
            </w:r>
          </w:p>
        </w:tc>
        <w:tc>
          <w:tcPr>
            <w:tcW w:w="2542" w:type="pct"/>
            <w:tcBorders>
              <w:top w:val="single" w:sz="4" w:space="0" w:color="auto"/>
              <w:left w:val="nil"/>
              <w:bottom w:val="nil"/>
              <w:right w:val="nil"/>
            </w:tcBorders>
            <w:shd w:val="clear" w:color="auto" w:fill="auto"/>
            <w:vAlign w:val="bottom"/>
            <w:hideMark/>
          </w:tcPr>
          <w:p w14:paraId="00377F56" w14:textId="77777777" w:rsidR="00347863" w:rsidRPr="00236322" w:rsidRDefault="00347863" w:rsidP="00F032C2">
            <w:pPr>
              <w:pStyle w:val="ListParagraph"/>
              <w:numPr>
                <w:ilvl w:val="0"/>
                <w:numId w:val="20"/>
              </w:numPr>
              <w:spacing w:before="0" w:after="0"/>
              <w:jc w:val="left"/>
              <w:rPr>
                <w:rFonts w:eastAsia="Times New Roman" w:cs="Times New Roman"/>
                <w:color w:val="000000"/>
                <w:sz w:val="22"/>
              </w:rPr>
            </w:pPr>
            <w:r w:rsidRPr="00236322">
              <w:rPr>
                <w:rFonts w:eastAsia="Times New Roman" w:cs="Times New Roman"/>
                <w:color w:val="000000"/>
                <w:sz w:val="22"/>
              </w:rPr>
              <w:t>Favourable UK-GCC trade and food security policies</w:t>
            </w:r>
          </w:p>
        </w:tc>
      </w:tr>
      <w:tr w:rsidR="00347863" w:rsidRPr="00347863" w14:paraId="3F9AEDC2" w14:textId="77777777" w:rsidTr="00347863">
        <w:trPr>
          <w:trHeight w:val="600"/>
        </w:trPr>
        <w:tc>
          <w:tcPr>
            <w:tcW w:w="2458" w:type="pct"/>
            <w:tcBorders>
              <w:top w:val="nil"/>
              <w:left w:val="nil"/>
              <w:bottom w:val="nil"/>
              <w:right w:val="single" w:sz="4" w:space="0" w:color="auto"/>
            </w:tcBorders>
            <w:shd w:val="clear" w:color="auto" w:fill="auto"/>
            <w:vAlign w:val="bottom"/>
            <w:hideMark/>
          </w:tcPr>
          <w:p w14:paraId="24BFFD03"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Established GCC retail and e-commerce partnerships lower expansion barriers</w:t>
            </w:r>
          </w:p>
        </w:tc>
        <w:tc>
          <w:tcPr>
            <w:tcW w:w="2542" w:type="pct"/>
            <w:tcBorders>
              <w:top w:val="nil"/>
              <w:left w:val="nil"/>
              <w:bottom w:val="nil"/>
              <w:right w:val="nil"/>
            </w:tcBorders>
            <w:shd w:val="clear" w:color="auto" w:fill="auto"/>
            <w:vAlign w:val="bottom"/>
            <w:hideMark/>
          </w:tcPr>
          <w:p w14:paraId="745A19C1" w14:textId="77777777" w:rsidR="00347863" w:rsidRPr="00236322" w:rsidRDefault="00347863" w:rsidP="00F032C2">
            <w:pPr>
              <w:pStyle w:val="ListParagraph"/>
              <w:numPr>
                <w:ilvl w:val="0"/>
                <w:numId w:val="20"/>
              </w:numPr>
              <w:spacing w:before="0" w:after="0"/>
              <w:jc w:val="left"/>
              <w:rPr>
                <w:rFonts w:eastAsia="Times New Roman" w:cs="Times New Roman"/>
                <w:color w:val="000000"/>
                <w:sz w:val="22"/>
              </w:rPr>
            </w:pPr>
            <w:r w:rsidRPr="00236322">
              <w:rPr>
                <w:rFonts w:eastAsia="Times New Roman" w:cs="Times New Roman"/>
                <w:color w:val="000000"/>
                <w:sz w:val="22"/>
              </w:rPr>
              <w:t>Growing demand for premium, imported snacks</w:t>
            </w:r>
          </w:p>
        </w:tc>
      </w:tr>
      <w:tr w:rsidR="00347863" w:rsidRPr="00347863" w14:paraId="0EBD990B" w14:textId="77777777" w:rsidTr="00347863">
        <w:trPr>
          <w:trHeight w:val="600"/>
        </w:trPr>
        <w:tc>
          <w:tcPr>
            <w:tcW w:w="2458" w:type="pct"/>
            <w:tcBorders>
              <w:top w:val="nil"/>
              <w:left w:val="nil"/>
              <w:bottom w:val="nil"/>
              <w:right w:val="single" w:sz="4" w:space="0" w:color="auto"/>
            </w:tcBorders>
            <w:shd w:val="clear" w:color="auto" w:fill="auto"/>
            <w:vAlign w:val="bottom"/>
            <w:hideMark/>
          </w:tcPr>
          <w:p w14:paraId="35A01401"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Strong "The Best" brand equity and premium positioning in the UK</w:t>
            </w:r>
          </w:p>
        </w:tc>
        <w:tc>
          <w:tcPr>
            <w:tcW w:w="2542" w:type="pct"/>
            <w:tcBorders>
              <w:top w:val="nil"/>
              <w:left w:val="nil"/>
              <w:bottom w:val="nil"/>
              <w:right w:val="nil"/>
            </w:tcBorders>
            <w:shd w:val="clear" w:color="auto" w:fill="auto"/>
            <w:vAlign w:val="bottom"/>
            <w:hideMark/>
          </w:tcPr>
          <w:p w14:paraId="592C2CC0" w14:textId="77777777" w:rsidR="00347863" w:rsidRPr="00236322" w:rsidRDefault="00347863" w:rsidP="00F032C2">
            <w:pPr>
              <w:pStyle w:val="ListParagraph"/>
              <w:numPr>
                <w:ilvl w:val="0"/>
                <w:numId w:val="20"/>
              </w:numPr>
              <w:spacing w:before="0" w:after="0"/>
              <w:jc w:val="left"/>
              <w:rPr>
                <w:rFonts w:eastAsia="Times New Roman" w:cs="Times New Roman"/>
                <w:color w:val="000000"/>
                <w:sz w:val="22"/>
              </w:rPr>
            </w:pPr>
            <w:r w:rsidRPr="00236322">
              <w:rPr>
                <w:rFonts w:eastAsia="Times New Roman" w:cs="Times New Roman"/>
                <w:color w:val="000000"/>
                <w:sz w:val="22"/>
              </w:rPr>
              <w:t>Expanding e-commerce and online grocery channels</w:t>
            </w:r>
          </w:p>
        </w:tc>
      </w:tr>
      <w:tr w:rsidR="00347863" w:rsidRPr="00347863" w14:paraId="22C196A8" w14:textId="77777777" w:rsidTr="00347863">
        <w:trPr>
          <w:trHeight w:val="615"/>
        </w:trPr>
        <w:tc>
          <w:tcPr>
            <w:tcW w:w="2458" w:type="pct"/>
            <w:tcBorders>
              <w:top w:val="nil"/>
              <w:left w:val="nil"/>
              <w:bottom w:val="single" w:sz="8" w:space="0" w:color="auto"/>
              <w:right w:val="single" w:sz="4" w:space="0" w:color="auto"/>
            </w:tcBorders>
            <w:shd w:val="clear" w:color="auto" w:fill="auto"/>
            <w:vAlign w:val="bottom"/>
            <w:hideMark/>
          </w:tcPr>
          <w:p w14:paraId="1AA505ED"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Capital-light model enables scalable, low-risk market entry</w:t>
            </w:r>
          </w:p>
        </w:tc>
        <w:tc>
          <w:tcPr>
            <w:tcW w:w="2542" w:type="pct"/>
            <w:tcBorders>
              <w:top w:val="nil"/>
              <w:left w:val="nil"/>
              <w:bottom w:val="single" w:sz="8" w:space="0" w:color="auto"/>
              <w:right w:val="nil"/>
            </w:tcBorders>
            <w:shd w:val="clear" w:color="auto" w:fill="auto"/>
            <w:vAlign w:val="bottom"/>
            <w:hideMark/>
          </w:tcPr>
          <w:p w14:paraId="47E12126" w14:textId="77777777" w:rsidR="00347863" w:rsidRPr="00236322" w:rsidRDefault="00347863" w:rsidP="00F032C2">
            <w:pPr>
              <w:pStyle w:val="ListParagraph"/>
              <w:numPr>
                <w:ilvl w:val="0"/>
                <w:numId w:val="20"/>
              </w:numPr>
              <w:spacing w:before="0" w:after="0"/>
              <w:jc w:val="left"/>
              <w:rPr>
                <w:rFonts w:eastAsia="Times New Roman" w:cs="Times New Roman"/>
                <w:color w:val="000000"/>
                <w:sz w:val="22"/>
              </w:rPr>
            </w:pPr>
            <w:r w:rsidRPr="00236322">
              <w:rPr>
                <w:rFonts w:eastAsia="Times New Roman" w:cs="Times New Roman"/>
                <w:color w:val="000000"/>
                <w:sz w:val="22"/>
              </w:rPr>
              <w:t>Differentiation potential through sustainability and British sourcing</w:t>
            </w:r>
          </w:p>
        </w:tc>
      </w:tr>
      <w:tr w:rsidR="00347863" w:rsidRPr="00347863" w14:paraId="7B7364BD" w14:textId="77777777" w:rsidTr="00347863">
        <w:trPr>
          <w:trHeight w:val="600"/>
        </w:trPr>
        <w:tc>
          <w:tcPr>
            <w:tcW w:w="2458" w:type="pct"/>
            <w:tcBorders>
              <w:top w:val="nil"/>
              <w:left w:val="nil"/>
              <w:bottom w:val="nil"/>
              <w:right w:val="single" w:sz="4" w:space="0" w:color="auto"/>
            </w:tcBorders>
            <w:shd w:val="clear" w:color="auto" w:fill="auto"/>
            <w:vAlign w:val="bottom"/>
            <w:hideMark/>
          </w:tcPr>
          <w:p w14:paraId="77BD7B6D"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Low brand awareness in the Gulf versus global competitors</w:t>
            </w:r>
          </w:p>
        </w:tc>
        <w:tc>
          <w:tcPr>
            <w:tcW w:w="2542" w:type="pct"/>
            <w:tcBorders>
              <w:top w:val="nil"/>
              <w:left w:val="nil"/>
              <w:bottom w:val="nil"/>
              <w:right w:val="nil"/>
            </w:tcBorders>
            <w:shd w:val="clear" w:color="auto" w:fill="auto"/>
            <w:vAlign w:val="bottom"/>
            <w:hideMark/>
          </w:tcPr>
          <w:p w14:paraId="3B3500FB"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Intense competition from global and local premium brands</w:t>
            </w:r>
          </w:p>
        </w:tc>
      </w:tr>
      <w:tr w:rsidR="00347863" w:rsidRPr="00347863" w14:paraId="31A68CFC" w14:textId="77777777" w:rsidTr="00347863">
        <w:trPr>
          <w:trHeight w:val="600"/>
        </w:trPr>
        <w:tc>
          <w:tcPr>
            <w:tcW w:w="2458" w:type="pct"/>
            <w:tcBorders>
              <w:top w:val="nil"/>
              <w:left w:val="nil"/>
              <w:bottom w:val="nil"/>
              <w:right w:val="single" w:sz="4" w:space="0" w:color="auto"/>
            </w:tcBorders>
            <w:shd w:val="clear" w:color="auto" w:fill="auto"/>
            <w:vAlign w:val="bottom"/>
            <w:hideMark/>
          </w:tcPr>
          <w:p w14:paraId="14EC9269"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Limited SKU-level data and operational visibility</w:t>
            </w:r>
          </w:p>
        </w:tc>
        <w:tc>
          <w:tcPr>
            <w:tcW w:w="2542" w:type="pct"/>
            <w:tcBorders>
              <w:top w:val="nil"/>
              <w:left w:val="nil"/>
              <w:bottom w:val="nil"/>
              <w:right w:val="nil"/>
            </w:tcBorders>
            <w:shd w:val="clear" w:color="auto" w:fill="auto"/>
            <w:vAlign w:val="bottom"/>
            <w:hideMark/>
          </w:tcPr>
          <w:p w14:paraId="52B98169"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Exposure to oil price and commodity cost volatility</w:t>
            </w:r>
          </w:p>
        </w:tc>
      </w:tr>
      <w:tr w:rsidR="00347863" w:rsidRPr="00347863" w14:paraId="666710E1" w14:textId="77777777" w:rsidTr="00347863">
        <w:trPr>
          <w:trHeight w:val="600"/>
        </w:trPr>
        <w:tc>
          <w:tcPr>
            <w:tcW w:w="2458" w:type="pct"/>
            <w:tcBorders>
              <w:top w:val="nil"/>
              <w:left w:val="nil"/>
              <w:bottom w:val="nil"/>
              <w:right w:val="single" w:sz="4" w:space="0" w:color="auto"/>
            </w:tcBorders>
            <w:shd w:val="clear" w:color="auto" w:fill="auto"/>
            <w:vAlign w:val="bottom"/>
            <w:hideMark/>
          </w:tcPr>
          <w:p w14:paraId="5D7B7257"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GCC-specific marketing expertise still underdeveloped</w:t>
            </w:r>
          </w:p>
        </w:tc>
        <w:tc>
          <w:tcPr>
            <w:tcW w:w="2542" w:type="pct"/>
            <w:tcBorders>
              <w:top w:val="nil"/>
              <w:left w:val="nil"/>
              <w:bottom w:val="nil"/>
              <w:right w:val="nil"/>
            </w:tcBorders>
            <w:shd w:val="clear" w:color="auto" w:fill="auto"/>
            <w:vAlign w:val="bottom"/>
            <w:hideMark/>
          </w:tcPr>
          <w:p w14:paraId="63DE68CB"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Complex regulatory and halal compliance requirements</w:t>
            </w:r>
          </w:p>
        </w:tc>
      </w:tr>
      <w:tr w:rsidR="00347863" w:rsidRPr="00347863" w14:paraId="248D7874" w14:textId="77777777" w:rsidTr="00347863">
        <w:trPr>
          <w:trHeight w:val="615"/>
        </w:trPr>
        <w:tc>
          <w:tcPr>
            <w:tcW w:w="2458" w:type="pct"/>
            <w:tcBorders>
              <w:top w:val="nil"/>
              <w:left w:val="nil"/>
              <w:bottom w:val="single" w:sz="8" w:space="0" w:color="auto"/>
              <w:right w:val="single" w:sz="4" w:space="0" w:color="auto"/>
            </w:tcBorders>
            <w:shd w:val="clear" w:color="auto" w:fill="auto"/>
            <w:vAlign w:val="bottom"/>
            <w:hideMark/>
          </w:tcPr>
          <w:p w14:paraId="1AFF7F7A"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Heavy reliance on partners limits responsiveness</w:t>
            </w:r>
          </w:p>
        </w:tc>
        <w:tc>
          <w:tcPr>
            <w:tcW w:w="2542" w:type="pct"/>
            <w:tcBorders>
              <w:top w:val="nil"/>
              <w:left w:val="nil"/>
              <w:bottom w:val="single" w:sz="8" w:space="0" w:color="auto"/>
              <w:right w:val="nil"/>
            </w:tcBorders>
            <w:shd w:val="clear" w:color="auto" w:fill="auto"/>
            <w:vAlign w:val="bottom"/>
            <w:hideMark/>
          </w:tcPr>
          <w:p w14:paraId="56CA28D6" w14:textId="77777777" w:rsidR="00347863" w:rsidRPr="00236322" w:rsidRDefault="00347863" w:rsidP="00F032C2">
            <w:pPr>
              <w:pStyle w:val="ListParagraph"/>
              <w:numPr>
                <w:ilvl w:val="0"/>
                <w:numId w:val="19"/>
              </w:numPr>
              <w:spacing w:before="0" w:after="0"/>
              <w:jc w:val="left"/>
              <w:rPr>
                <w:rFonts w:eastAsia="Times New Roman" w:cs="Times New Roman"/>
                <w:color w:val="000000"/>
                <w:sz w:val="22"/>
              </w:rPr>
            </w:pPr>
            <w:r w:rsidRPr="00236322">
              <w:rPr>
                <w:rFonts w:eastAsia="Times New Roman" w:cs="Times New Roman"/>
                <w:color w:val="000000"/>
                <w:sz w:val="22"/>
              </w:rPr>
              <w:t>Execution risk from shifting partner priorities</w:t>
            </w:r>
          </w:p>
        </w:tc>
      </w:tr>
      <w:tr w:rsidR="00347863" w:rsidRPr="00347863" w14:paraId="256C42B1" w14:textId="77777777" w:rsidTr="00347863">
        <w:trPr>
          <w:trHeight w:val="300"/>
        </w:trPr>
        <w:tc>
          <w:tcPr>
            <w:tcW w:w="2458" w:type="pct"/>
            <w:tcBorders>
              <w:top w:val="nil"/>
              <w:left w:val="nil"/>
              <w:bottom w:val="nil"/>
              <w:right w:val="nil"/>
            </w:tcBorders>
            <w:shd w:val="clear" w:color="auto" w:fill="auto"/>
            <w:noWrap/>
            <w:vAlign w:val="bottom"/>
            <w:hideMark/>
          </w:tcPr>
          <w:p w14:paraId="6252C465" w14:textId="77777777" w:rsidR="00347863" w:rsidRPr="00347863" w:rsidRDefault="00347863" w:rsidP="00F032C2">
            <w:pPr>
              <w:spacing w:before="0" w:after="0"/>
              <w:jc w:val="left"/>
              <w:rPr>
                <w:rFonts w:eastAsia="Times New Roman" w:cs="Times New Roman"/>
                <w:b/>
                <w:bCs/>
                <w:color w:val="000000"/>
                <w:sz w:val="22"/>
              </w:rPr>
            </w:pPr>
            <w:r w:rsidRPr="00347863">
              <w:rPr>
                <w:rFonts w:eastAsia="Times New Roman" w:cs="Times New Roman"/>
                <w:b/>
                <w:bCs/>
                <w:color w:val="000000"/>
                <w:sz w:val="22"/>
              </w:rPr>
              <w:t>Weaknesses</w:t>
            </w:r>
          </w:p>
        </w:tc>
        <w:tc>
          <w:tcPr>
            <w:tcW w:w="2542" w:type="pct"/>
            <w:tcBorders>
              <w:top w:val="nil"/>
              <w:left w:val="nil"/>
              <w:bottom w:val="nil"/>
              <w:right w:val="nil"/>
            </w:tcBorders>
            <w:shd w:val="clear" w:color="auto" w:fill="auto"/>
            <w:noWrap/>
            <w:vAlign w:val="bottom"/>
            <w:hideMark/>
          </w:tcPr>
          <w:p w14:paraId="1C4530C2" w14:textId="77777777" w:rsidR="00347863" w:rsidRPr="00347863" w:rsidRDefault="00347863" w:rsidP="00F032C2">
            <w:pPr>
              <w:keepNext/>
              <w:spacing w:before="0" w:after="0"/>
              <w:jc w:val="right"/>
              <w:rPr>
                <w:rFonts w:eastAsia="Times New Roman" w:cs="Times New Roman"/>
                <w:b/>
                <w:bCs/>
                <w:color w:val="000000"/>
                <w:sz w:val="22"/>
              </w:rPr>
            </w:pPr>
            <w:r w:rsidRPr="00347863">
              <w:rPr>
                <w:rFonts w:eastAsia="Times New Roman" w:cs="Times New Roman"/>
                <w:b/>
                <w:bCs/>
                <w:color w:val="000000"/>
                <w:sz w:val="22"/>
              </w:rPr>
              <w:t>Threats</w:t>
            </w:r>
          </w:p>
        </w:tc>
      </w:tr>
    </w:tbl>
    <w:p w14:paraId="6030FAD3" w14:textId="5E0F4DCB" w:rsidR="00C51968" w:rsidRPr="00236322" w:rsidRDefault="00236322" w:rsidP="00236322">
      <w:pPr>
        <w:pStyle w:val="Caption"/>
        <w:spacing w:before="240"/>
        <w:jc w:val="center"/>
        <w:rPr>
          <w:b/>
          <w:bCs/>
          <w:i w:val="0"/>
          <w:iCs w:val="0"/>
          <w:color w:val="auto"/>
        </w:rPr>
      </w:pPr>
      <w:bookmarkStart w:id="45" w:name="_Toc237906754"/>
      <w:bookmarkStart w:id="46" w:name="_Toc238674414"/>
      <w:bookmarkStart w:id="47" w:name="_Toc238674435"/>
      <w:r w:rsidRPr="00236322">
        <w:rPr>
          <w:b/>
          <w:bCs/>
          <w:i w:val="0"/>
          <w:iCs w:val="0"/>
          <w:color w:val="auto"/>
        </w:rPr>
        <w:t xml:space="preserve">Table </w:t>
      </w:r>
      <w:r w:rsidRPr="00236322">
        <w:rPr>
          <w:b/>
          <w:bCs/>
          <w:i w:val="0"/>
          <w:iCs w:val="0"/>
          <w:color w:val="auto"/>
        </w:rPr>
        <w:fldChar w:fldCharType="begin"/>
      </w:r>
      <w:r w:rsidRPr="00236322">
        <w:rPr>
          <w:b/>
          <w:bCs/>
          <w:i w:val="0"/>
          <w:iCs w:val="0"/>
          <w:color w:val="auto"/>
        </w:rPr>
        <w:instrText xml:space="preserve"> SEQ Table \* ARABIC </w:instrText>
      </w:r>
      <w:r w:rsidRPr="00236322">
        <w:rPr>
          <w:b/>
          <w:bCs/>
          <w:i w:val="0"/>
          <w:iCs w:val="0"/>
          <w:color w:val="auto"/>
        </w:rPr>
        <w:fldChar w:fldCharType="separate"/>
      </w:r>
      <w:r w:rsidR="005B5BFF">
        <w:rPr>
          <w:b/>
          <w:bCs/>
          <w:i w:val="0"/>
          <w:iCs w:val="0"/>
          <w:noProof/>
          <w:color w:val="auto"/>
        </w:rPr>
        <w:t>4</w:t>
      </w:r>
      <w:r w:rsidRPr="00236322">
        <w:rPr>
          <w:b/>
          <w:bCs/>
          <w:i w:val="0"/>
          <w:iCs w:val="0"/>
          <w:color w:val="auto"/>
        </w:rPr>
        <w:fldChar w:fldCharType="end"/>
      </w:r>
      <w:r w:rsidRPr="00236322">
        <w:rPr>
          <w:b/>
          <w:bCs/>
          <w:i w:val="0"/>
          <w:iCs w:val="0"/>
          <w:color w:val="auto"/>
        </w:rPr>
        <w:t xml:space="preserve"> Morrisons' SWOT Analysis</w:t>
      </w:r>
      <w:bookmarkEnd w:id="45"/>
      <w:bookmarkEnd w:id="46"/>
      <w:bookmarkEnd w:id="47"/>
    </w:p>
    <w:p w14:paraId="77E994F6" w14:textId="77777777" w:rsidR="0070478C" w:rsidRPr="00C2098E" w:rsidRDefault="0070478C" w:rsidP="0070478C">
      <w:pPr>
        <w:rPr>
          <w:b/>
          <w:bCs/>
        </w:rPr>
      </w:pPr>
      <w:r w:rsidRPr="00C2098E">
        <w:rPr>
          <w:b/>
          <w:bCs/>
        </w:rPr>
        <w:t>Strengths</w:t>
      </w:r>
    </w:p>
    <w:p w14:paraId="5704A863" w14:textId="77777777" w:rsidR="0070478C" w:rsidRPr="00C2098E" w:rsidRDefault="0070478C" w:rsidP="00DC1D0E">
      <w:pPr>
        <w:pStyle w:val="ListParagraph"/>
        <w:numPr>
          <w:ilvl w:val="0"/>
          <w:numId w:val="15"/>
        </w:numPr>
      </w:pPr>
      <w:r w:rsidRPr="00C2098E">
        <w:t>The Best's premium positioning is supported by traceability and "Made in Britain" appeal, thanks to Morrisons' vertically integrated supply and sourcing, and the company's ownership of manufacturing sites, abattoirs and packing facilities, as well as its close links with British farmers, provide good control over quality, provenance and cost (Morrisons, 2023/24; Myton Food Group, 2024).</w:t>
      </w:r>
    </w:p>
    <w:p w14:paraId="68BCC417" w14:textId="0B572BA2" w:rsidR="0070478C" w:rsidRPr="00C2098E" w:rsidRDefault="0070478C" w:rsidP="00DC1D0E">
      <w:pPr>
        <w:pStyle w:val="ListParagraph"/>
        <w:numPr>
          <w:ilvl w:val="0"/>
          <w:numId w:val="15"/>
        </w:numPr>
      </w:pPr>
      <w:r w:rsidRPr="00C2098E">
        <w:t>Export and retail partnerships in GCC: Morrisons already distributes through partners such as Y International and Lulu Retail Group (260 stores) and ecommerce companies Noon and Kibsons, which provides established shipping routes, labels, warehouses, and shelves, thereby reducing the expansion barriers (Morrisons, 2025b; Noon, 2025; Kibsons, 2026</w:t>
      </w:r>
      <w:r w:rsidR="000C0F8B">
        <w:t>b</w:t>
      </w:r>
      <w:r w:rsidRPr="00C2098E">
        <w:t>; Strategy&amp;/PwC, 2024; WTA Group, 2025).</w:t>
      </w:r>
    </w:p>
    <w:p w14:paraId="2CBB964D" w14:textId="77777777" w:rsidR="0070478C" w:rsidRPr="00C2098E" w:rsidRDefault="0070478C" w:rsidP="00DC1D0E">
      <w:pPr>
        <w:pStyle w:val="ListParagraph"/>
        <w:numPr>
          <w:ilvl w:val="0"/>
          <w:numId w:val="15"/>
        </w:numPr>
      </w:pPr>
      <w:r w:rsidRPr="00C2098E">
        <w:t xml:space="preserve">Built "The Best" premium tier and brand equity: A well-known UK premium private label, with strong home-market equity (Morrisons, 2025; Kumar and Steenkamp, 2007) and </w:t>
      </w:r>
      <w:r w:rsidRPr="00C2098E">
        <w:lastRenderedPageBreak/>
        <w:t>which was a quasi-brand, competitive with manufacturer brands (Kumar and Steenkamp, 2007; Burt and Sparks, 2002), supported by positive UK country-of-origin perceptions (Aichner, 2014; YouGov, 2024).</w:t>
      </w:r>
    </w:p>
    <w:p w14:paraId="3381C9B0" w14:textId="77777777" w:rsidR="0070478C" w:rsidRPr="00C2098E" w:rsidRDefault="0070478C" w:rsidP="00DC1D0E">
      <w:pPr>
        <w:pStyle w:val="ListParagraph"/>
        <w:numPr>
          <w:ilvl w:val="0"/>
          <w:numId w:val="15"/>
        </w:numPr>
      </w:pPr>
      <w:r w:rsidRPr="00C2098E">
        <w:t>Capital-light internationalisation model: In line with the theories of eclectics and Uppsala model which argue for progressive and risk managed market entry (Hill et al., 1990; Johanson and Vahlne, 2009), not having own outlets reduces fixed costs and makes it a scalable option to enter the GCC market as it has been tested and is not in danger of killing the UK business (Cornelius et al., 2005; Trigeorgis, 1996).</w:t>
      </w:r>
    </w:p>
    <w:p w14:paraId="152323E1" w14:textId="77777777" w:rsidR="0070478C" w:rsidRPr="00C2098E" w:rsidRDefault="0070478C" w:rsidP="0070478C">
      <w:pPr>
        <w:rPr>
          <w:b/>
          <w:bCs/>
        </w:rPr>
      </w:pPr>
      <w:r w:rsidRPr="00C2098E">
        <w:rPr>
          <w:b/>
          <w:bCs/>
        </w:rPr>
        <w:t>Weaknesses</w:t>
      </w:r>
    </w:p>
    <w:p w14:paraId="00243866" w14:textId="77777777" w:rsidR="0070478C" w:rsidRPr="00C2098E" w:rsidRDefault="0070478C" w:rsidP="00DC1D0E">
      <w:pPr>
        <w:pStyle w:val="ListParagraph"/>
        <w:numPr>
          <w:ilvl w:val="0"/>
          <w:numId w:val="16"/>
        </w:numPr>
      </w:pPr>
      <w:r w:rsidRPr="00C2098E">
        <w:t>Low brand awareness in Gulf: Morrisons and "The Best" are far less known than global brands such as Cadbury, Oreo or Kit Kat (YouGov, 2024; Arabian Business, 2024), whereas entry into a new market demands significant investment to establish trust which is still at an early stage in the GCC (Burt and Sparks, 2002; Keller, 2013).</w:t>
      </w:r>
    </w:p>
    <w:p w14:paraId="08944360" w14:textId="77777777" w:rsidR="0070478C" w:rsidRPr="00C2098E" w:rsidRDefault="0070478C" w:rsidP="00DC1D0E">
      <w:pPr>
        <w:pStyle w:val="ListParagraph"/>
        <w:numPr>
          <w:ilvl w:val="0"/>
          <w:numId w:val="16"/>
        </w:numPr>
      </w:pPr>
      <w:r w:rsidRPr="00C2098E">
        <w:t>Limited operational visibility and data gaps: Partner-led operations result in Morrisons having limited SKU-level performance data (Morrisons, 2025a; Strategy&amp;/PwC, 2024), limiting assortment, pricing and promotion decisions (Bain &amp; Company, 2022), and learning agility (Damodaran, 2012; Trigeorgis, 1996).</w:t>
      </w:r>
    </w:p>
    <w:p w14:paraId="3AE974B2" w14:textId="77777777" w:rsidR="0070478C" w:rsidRPr="00C2098E" w:rsidRDefault="0070478C" w:rsidP="00DC1D0E">
      <w:pPr>
        <w:pStyle w:val="ListParagraph"/>
        <w:numPr>
          <w:ilvl w:val="0"/>
          <w:numId w:val="16"/>
        </w:numPr>
      </w:pPr>
      <w:r w:rsidRPr="00C2098E">
        <w:t>Lack of GCC-specific marketing skills: Despite having a strong marketing capability in the UK, the resonance may not yet be there as these skills haven't been localised to the GCC or opportunities may be missed in social media, influencer, or retailer-app channels without specialised marketing skills here (Morrisons, 2022; UK Government, 2017; Aichner, 2014; Stratrich Consulting, 2024).</w:t>
      </w:r>
    </w:p>
    <w:p w14:paraId="292EA912" w14:textId="77777777" w:rsidR="0070478C" w:rsidRPr="00C2098E" w:rsidRDefault="0070478C" w:rsidP="00DC1D0E">
      <w:pPr>
        <w:pStyle w:val="ListParagraph"/>
        <w:numPr>
          <w:ilvl w:val="0"/>
          <w:numId w:val="16"/>
        </w:numPr>
      </w:pPr>
      <w:r w:rsidRPr="00C2098E">
        <w:t>Heavy partner dependence and slow adaptation: Dependence on Y International, Lulu etc. for compliance, labelling, execution can impact packaging or SKU changes; shift in partner priorities to their own private labels could reduce support for "The Best" (Source International, 2026; WTA Group, 2025); (Hill et al., 1990).</w:t>
      </w:r>
    </w:p>
    <w:p w14:paraId="7E18EEFA" w14:textId="77777777" w:rsidR="0070478C" w:rsidRPr="00C2098E" w:rsidRDefault="0070478C" w:rsidP="0070478C">
      <w:pPr>
        <w:rPr>
          <w:b/>
          <w:bCs/>
        </w:rPr>
      </w:pPr>
      <w:r w:rsidRPr="00C2098E">
        <w:rPr>
          <w:b/>
          <w:bCs/>
        </w:rPr>
        <w:t>Opportunities</w:t>
      </w:r>
    </w:p>
    <w:p w14:paraId="1D94EC0D" w14:textId="77777777" w:rsidR="0070478C" w:rsidRPr="00C2098E" w:rsidRDefault="0070478C" w:rsidP="00DC1D0E">
      <w:pPr>
        <w:pStyle w:val="ListParagraph"/>
        <w:numPr>
          <w:ilvl w:val="0"/>
          <w:numId w:val="17"/>
        </w:numPr>
      </w:pPr>
      <w:r w:rsidRPr="00C2098E">
        <w:t>Supportive trade and food security environment: The UK-GCC food security agendas and FTA prioritise diversified UK imports, and lower tariffs and customs allow for competitive, quality export development (Gulf Today, 2025; Westo Direct International, 2026).</w:t>
      </w:r>
    </w:p>
    <w:p w14:paraId="753072AE" w14:textId="77777777" w:rsidR="0070478C" w:rsidRPr="00C2098E" w:rsidRDefault="0070478C" w:rsidP="00DC1D0E">
      <w:pPr>
        <w:pStyle w:val="ListParagraph"/>
        <w:numPr>
          <w:ilvl w:val="0"/>
          <w:numId w:val="17"/>
        </w:numPr>
      </w:pPr>
      <w:r w:rsidRPr="00C2098E">
        <w:t xml:space="preserve">Growth in Premiumisation and Imported Snacks: Consumers are willing to pay more for premium snacks due to their origin story and indulgence (YouGov, 2024; Gulf Business, </w:t>
      </w:r>
      <w:r w:rsidRPr="00C2098E">
        <w:lastRenderedPageBreak/>
        <w:t>2024), while their value-priced nature makes them a viable niche option for this premium product category (Alpen Capital, 2025; GCC Food Market Report, 2026).</w:t>
      </w:r>
    </w:p>
    <w:p w14:paraId="5EAC73BF" w14:textId="2A319369" w:rsidR="0070478C" w:rsidRPr="00C2098E" w:rsidRDefault="0070478C" w:rsidP="00DC1D0E">
      <w:pPr>
        <w:pStyle w:val="ListParagraph"/>
        <w:numPr>
          <w:ilvl w:val="0"/>
          <w:numId w:val="17"/>
        </w:numPr>
      </w:pPr>
      <w:r w:rsidRPr="00C2098E">
        <w:t>Growing e-commerce and online grocery: As online grocery and retailer apps like Noon and Kibsons proliferate (Bain &amp; Company, 2022; Stratrich Consulting, 2024), these platforms offer new opportunities for promotion, including product pages rich with content, targeted advertising and influencer marketing (Noon, 2025; Kibsons, 2026</w:t>
      </w:r>
      <w:r w:rsidR="000C0F8B">
        <w:t>a</w:t>
      </w:r>
      <w:r w:rsidRPr="00C2098E">
        <w:t>), along with the limited physical branding available (Keller, 2013; Strategy&amp;/PwC, 2024).</w:t>
      </w:r>
    </w:p>
    <w:p w14:paraId="18E14E04" w14:textId="77777777" w:rsidR="0070478C" w:rsidRPr="00C2098E" w:rsidRDefault="0070478C" w:rsidP="00DC1D0E">
      <w:pPr>
        <w:pStyle w:val="ListParagraph"/>
        <w:numPr>
          <w:ilvl w:val="0"/>
          <w:numId w:val="17"/>
        </w:numPr>
      </w:pPr>
      <w:r w:rsidRPr="00C2098E">
        <w:t>Differentiation through sustainability and British sourcing: Morrisons' British sourcing efforts and sustainability measures (Morrisons, 2026; Myton Food Group, 2024) can help differentiate ‘The Best’ in a market that is increasingly focused on sustainability (Alpen Capital, 2025; Aichner, 2014).</w:t>
      </w:r>
    </w:p>
    <w:p w14:paraId="167AAAF3" w14:textId="77777777" w:rsidR="0070478C" w:rsidRPr="00C2098E" w:rsidRDefault="0070478C" w:rsidP="0070478C">
      <w:pPr>
        <w:rPr>
          <w:b/>
          <w:bCs/>
        </w:rPr>
      </w:pPr>
      <w:r w:rsidRPr="00C2098E">
        <w:rPr>
          <w:b/>
          <w:bCs/>
        </w:rPr>
        <w:t>Threats</w:t>
      </w:r>
    </w:p>
    <w:p w14:paraId="7AFCE84B" w14:textId="77777777" w:rsidR="0070478C" w:rsidRPr="00C2098E" w:rsidRDefault="0070478C" w:rsidP="00DC1D0E">
      <w:pPr>
        <w:pStyle w:val="ListParagraph"/>
        <w:numPr>
          <w:ilvl w:val="0"/>
          <w:numId w:val="18"/>
        </w:numPr>
      </w:pPr>
      <w:r w:rsidRPr="00C2098E">
        <w:t>Premium global and local competition: There are many brands on the market, both international and local, that contend with "The Best" with increased budgets and shelf space (Strategy&amp;/PwC, 2024; Bain &amp; Company, 2022), and it is important for “The Best” to distinguish itself (Kumar and Steenkamp, 2007; Porter, 1985).</w:t>
      </w:r>
    </w:p>
    <w:p w14:paraId="5368720B" w14:textId="77777777" w:rsidR="0070478C" w:rsidRPr="00C2098E" w:rsidRDefault="0070478C" w:rsidP="00DC1D0E">
      <w:pPr>
        <w:pStyle w:val="ListParagraph"/>
        <w:numPr>
          <w:ilvl w:val="0"/>
          <w:numId w:val="18"/>
        </w:numPr>
      </w:pPr>
      <w:r w:rsidRPr="00C2098E">
        <w:t>Macroeconomic and commodity price volatility: GCC demand for premium imports is affected by oil prices and macroeconomic changes (Alpen Capital, 2025 and GCC Food Market Report, 2026), and commodity price volatility (cocoa, sugar, wheat) affects profitability and needs proactive pricing and hedging strategies (Cornelius et al., 2005; Strategy&amp;/ PwC, 2024).</w:t>
      </w:r>
    </w:p>
    <w:p w14:paraId="68EBDFF1" w14:textId="77777777" w:rsidR="0070478C" w:rsidRPr="00C2098E" w:rsidRDefault="0070478C" w:rsidP="00DC1D0E">
      <w:pPr>
        <w:pStyle w:val="ListParagraph"/>
        <w:numPr>
          <w:ilvl w:val="0"/>
          <w:numId w:val="18"/>
        </w:numPr>
      </w:pPr>
      <w:r w:rsidRPr="00C2098E">
        <w:t>Regulatory and compliance risks: With complex labelling, nutrition and Halal certification requirements (WTA Group, 2025; Source International, 2026), there are potential risks of delay, rejection and fines (UK Government, 2017; Hill et al., 1990) as well as tightening in sugar content or child-directed advertising (GCC Food Market Report, 2026; Strategy&amp;/PwC, 2024).</w:t>
      </w:r>
    </w:p>
    <w:p w14:paraId="3BFB197C" w14:textId="345B1D3F" w:rsidR="0070478C" w:rsidRPr="00C2098E" w:rsidRDefault="0070478C" w:rsidP="00DC1D0E">
      <w:pPr>
        <w:pStyle w:val="ListParagraph"/>
        <w:numPr>
          <w:ilvl w:val="0"/>
          <w:numId w:val="18"/>
        </w:numPr>
      </w:pPr>
      <w:r w:rsidRPr="00C2098E">
        <w:t xml:space="preserve">Execution risk and partner priority conflicts: Retailers may prioritise their own brands or promotions over the visibility and support of "The Best" (Supermarket News, 2025; Strategy&amp;/PwC, 2024) while gaps in execution such as inconsistent shelf placement and digital messaging can undermine strategy (Keller, 2013; Bain &amp; Company, 2022) </w:t>
      </w:r>
      <w:r w:rsidR="00D63442">
        <w:t xml:space="preserve">This in returns </w:t>
      </w:r>
      <w:r w:rsidRPr="00C2098E">
        <w:t>highlight</w:t>
      </w:r>
      <w:r w:rsidR="00D63442">
        <w:t>s</w:t>
      </w:r>
      <w:r w:rsidRPr="00C2098E">
        <w:t xml:space="preserve"> the importance of effective category management and shared KPIs with partners (Parnell, 2010; Johanson and Vahlne, 2009).</w:t>
      </w:r>
    </w:p>
    <w:p w14:paraId="1ECF44B6" w14:textId="77777777" w:rsidR="005944B7" w:rsidRPr="00C2098E" w:rsidRDefault="005944B7">
      <w:pPr>
        <w:rPr>
          <w:b/>
          <w:bCs/>
        </w:rPr>
      </w:pPr>
      <w:r w:rsidRPr="00C2098E">
        <w:rPr>
          <w:b/>
          <w:bCs/>
        </w:rPr>
        <w:lastRenderedPageBreak/>
        <w:br w:type="page"/>
      </w:r>
    </w:p>
    <w:p w14:paraId="75DB820A" w14:textId="10CDDAE8" w:rsidR="00DB7BD2" w:rsidRPr="00C2098E" w:rsidRDefault="005944B7" w:rsidP="00590EC6">
      <w:pPr>
        <w:pStyle w:val="Heading2"/>
        <w:rPr>
          <w:sz w:val="24"/>
        </w:rPr>
      </w:pPr>
      <w:bookmarkStart w:id="48" w:name="_Toc238675499"/>
      <w:r w:rsidRPr="00034BAF">
        <w:rPr>
          <w:rStyle w:val="Strong"/>
          <w:b/>
          <w:bCs/>
        </w:rPr>
        <w:lastRenderedPageBreak/>
        <w:t>4.</w:t>
      </w:r>
      <w:r w:rsidR="00D83877" w:rsidRPr="00034BAF">
        <w:rPr>
          <w:rStyle w:val="Strong"/>
          <w:b/>
          <w:bCs/>
        </w:rPr>
        <w:t xml:space="preserve">6 </w:t>
      </w:r>
      <w:r w:rsidR="00DB7BD2" w:rsidRPr="00034BAF">
        <w:rPr>
          <w:rStyle w:val="Strong"/>
          <w:b/>
          <w:bCs/>
        </w:rPr>
        <w:t xml:space="preserve">Competitive </w:t>
      </w:r>
      <w:r w:rsidR="00D83877" w:rsidRPr="00034BAF">
        <w:rPr>
          <w:rStyle w:val="Strong"/>
          <w:b/>
          <w:bCs/>
        </w:rPr>
        <w:t>Landscape for "</w:t>
      </w:r>
      <w:r w:rsidR="00DB7BD2" w:rsidRPr="00034BAF">
        <w:rPr>
          <w:rStyle w:val="Strong"/>
          <w:b/>
          <w:bCs/>
        </w:rPr>
        <w:t>The Best</w:t>
      </w:r>
      <w:r w:rsidR="00D83877" w:rsidRPr="00034BAF">
        <w:rPr>
          <w:rStyle w:val="Strong"/>
          <w:b/>
          <w:bCs/>
        </w:rPr>
        <w:t xml:space="preserve">" in </w:t>
      </w:r>
      <w:r w:rsidR="00DB7BD2" w:rsidRPr="00034BAF">
        <w:rPr>
          <w:rStyle w:val="Strong"/>
          <w:b/>
          <w:bCs/>
        </w:rPr>
        <w:t>GCC</w:t>
      </w:r>
      <w:bookmarkEnd w:id="48"/>
    </w:p>
    <w:p w14:paraId="19A02018" w14:textId="02CFA044" w:rsidR="006828A2" w:rsidRDefault="006828A2" w:rsidP="006828A2">
      <w:r w:rsidRPr="00C2098E">
        <w:t>The GCC grocery market has three levels of competitors: global manufacturer brands, regional/local manufacturer brands, and retailer-owned labels (ROI) (Bain &amp; Company, 2022, Strategy&amp;/PwC, 2024). Global brands such as Oreo, Kit Kat, Cadbury and McVitie have strong market positions and have been able to maintain their market positions with a consistent marketing investment and consumer trust (Gulf Business, 2024; YouGov, 2024), regional manufacturers compete on local taste and lower price and the retailers are pushing their own premium private brands, utilising the shelf space and data on shoppers against imported products (YouGov, 2024; Strategy&amp;/PwC, 2024; Burt and Sparks, 2002).</w:t>
      </w:r>
    </w:p>
    <w:p w14:paraId="724411F7" w14:textId="4C128FBA" w:rsidR="00963766" w:rsidRPr="00C2098E" w:rsidRDefault="00963766" w:rsidP="00963766">
      <w:pPr>
        <w:pStyle w:val="Heading3"/>
      </w:pPr>
      <w:bookmarkStart w:id="49" w:name="_Toc238675500"/>
      <w:r w:rsidRPr="00963766">
        <w:t>4.6.1 Global manufacturer brands</w:t>
      </w:r>
      <w:bookmarkEnd w:id="49"/>
    </w:p>
    <w:p w14:paraId="0A82A545" w14:textId="77777777" w:rsidR="0032015F" w:rsidRPr="00C2098E" w:rsidRDefault="0032015F" w:rsidP="0032015F">
      <w:pPr>
        <w:keepNext/>
        <w:jc w:val="center"/>
      </w:pPr>
      <w:r w:rsidRPr="00C2098E">
        <w:rPr>
          <w:noProof/>
        </w:rPr>
        <w:drawing>
          <wp:inline distT="0" distB="0" distL="0" distR="0" wp14:anchorId="2C52A153" wp14:editId="7903CA49">
            <wp:extent cx="2148696" cy="106680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57168" cy="1071006"/>
                    </a:xfrm>
                    <a:prstGeom prst="rect">
                      <a:avLst/>
                    </a:prstGeom>
                  </pic:spPr>
                </pic:pic>
              </a:graphicData>
            </a:graphic>
          </wp:inline>
        </w:drawing>
      </w:r>
      <w:r w:rsidRPr="00C2098E">
        <w:rPr>
          <w:noProof/>
        </w:rPr>
        <w:drawing>
          <wp:inline distT="0" distB="0" distL="0" distR="0" wp14:anchorId="21744A42" wp14:editId="055183A5">
            <wp:extent cx="2038350" cy="988187"/>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49463" cy="993575"/>
                    </a:xfrm>
                    <a:prstGeom prst="rect">
                      <a:avLst/>
                    </a:prstGeom>
                  </pic:spPr>
                </pic:pic>
              </a:graphicData>
            </a:graphic>
          </wp:inline>
        </w:drawing>
      </w:r>
      <w:r w:rsidRPr="00C2098E">
        <w:rPr>
          <w:noProof/>
        </w:rPr>
        <w:drawing>
          <wp:inline distT="0" distB="0" distL="0" distR="0" wp14:anchorId="2334173A" wp14:editId="206BCE16">
            <wp:extent cx="2647950" cy="12636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59266" cy="1269075"/>
                    </a:xfrm>
                    <a:prstGeom prst="rect">
                      <a:avLst/>
                    </a:prstGeom>
                  </pic:spPr>
                </pic:pic>
              </a:graphicData>
            </a:graphic>
          </wp:inline>
        </w:drawing>
      </w:r>
    </w:p>
    <w:p w14:paraId="0D9AE653" w14:textId="4B094C9A" w:rsidR="0032015F" w:rsidRPr="00C2098E" w:rsidRDefault="0032015F" w:rsidP="0032015F">
      <w:pPr>
        <w:pStyle w:val="Caption"/>
        <w:jc w:val="center"/>
        <w:rPr>
          <w:b/>
          <w:bCs/>
          <w:i w:val="0"/>
          <w:iCs w:val="0"/>
          <w:color w:val="auto"/>
        </w:rPr>
      </w:pPr>
      <w:bookmarkStart w:id="50" w:name="_Toc237906745"/>
      <w:bookmarkStart w:id="51" w:name="_Toc238674407"/>
      <w:bookmarkStart w:id="52" w:name="_Toc238674426"/>
      <w:r w:rsidRPr="00C2098E">
        <w:rPr>
          <w:b/>
          <w:bCs/>
          <w:i w:val="0"/>
          <w:iCs w:val="0"/>
          <w:color w:val="auto"/>
        </w:rPr>
        <w:t xml:space="preserve">Figure </w:t>
      </w:r>
      <w:r w:rsidRPr="00C2098E">
        <w:rPr>
          <w:b/>
          <w:bCs/>
          <w:i w:val="0"/>
          <w:iCs w:val="0"/>
          <w:color w:val="auto"/>
        </w:rPr>
        <w:fldChar w:fldCharType="begin"/>
      </w:r>
      <w:r w:rsidRPr="00C2098E">
        <w:rPr>
          <w:b/>
          <w:bCs/>
          <w:i w:val="0"/>
          <w:iCs w:val="0"/>
          <w:color w:val="auto"/>
        </w:rPr>
        <w:instrText xml:space="preserve"> SEQ Figure \* ARABIC </w:instrText>
      </w:r>
      <w:r w:rsidRPr="00C2098E">
        <w:rPr>
          <w:b/>
          <w:bCs/>
          <w:i w:val="0"/>
          <w:iCs w:val="0"/>
          <w:color w:val="auto"/>
        </w:rPr>
        <w:fldChar w:fldCharType="separate"/>
      </w:r>
      <w:r w:rsidR="00EF0D6A">
        <w:rPr>
          <w:b/>
          <w:bCs/>
          <w:i w:val="0"/>
          <w:iCs w:val="0"/>
          <w:noProof/>
          <w:color w:val="auto"/>
        </w:rPr>
        <w:t>1</w:t>
      </w:r>
      <w:r w:rsidRPr="00C2098E">
        <w:rPr>
          <w:b/>
          <w:bCs/>
          <w:i w:val="0"/>
          <w:iCs w:val="0"/>
          <w:color w:val="auto"/>
        </w:rPr>
        <w:fldChar w:fldCharType="end"/>
      </w:r>
      <w:r w:rsidRPr="00C2098E">
        <w:rPr>
          <w:b/>
          <w:bCs/>
          <w:i w:val="0"/>
          <w:iCs w:val="0"/>
          <w:color w:val="auto"/>
        </w:rPr>
        <w:t xml:space="preserve"> Competitors in snacks and biscuits for Morrisons</w:t>
      </w:r>
      <w:bookmarkEnd w:id="50"/>
      <w:bookmarkEnd w:id="51"/>
      <w:bookmarkEnd w:id="52"/>
    </w:p>
    <w:p w14:paraId="7531410C" w14:textId="77777777" w:rsidR="007B23EE" w:rsidRPr="00C2098E" w:rsidRDefault="007B23EE" w:rsidP="007B23EE">
      <w:r w:rsidRPr="00C2098E">
        <w:t>Consumers are most competitive and prefer global brands such as Oreo, Kit Kat, Cadbury and Lays compared to local brands, as consistently found by YouGov's FMCG rankings in UAE and KSA (YouGov, 2024; Arabian Business, 2024). Their advantages include:</w:t>
      </w:r>
    </w:p>
    <w:p w14:paraId="7D9969DC" w14:textId="7C42D43D" w:rsidR="007B23EE" w:rsidRPr="00C2098E" w:rsidRDefault="007B23EE" w:rsidP="00102F3C">
      <w:pPr>
        <w:pStyle w:val="ListParagraph"/>
        <w:numPr>
          <w:ilvl w:val="0"/>
          <w:numId w:val="21"/>
        </w:numPr>
      </w:pPr>
      <w:r w:rsidRPr="00C2098E">
        <w:t>Heavy advertising and overseas advertising (Keller, 2013; Porter, 1985)</w:t>
      </w:r>
    </w:p>
    <w:p w14:paraId="017F0A8C" w14:textId="02B05322" w:rsidR="007B23EE" w:rsidRPr="00C2098E" w:rsidRDefault="007B23EE" w:rsidP="00102F3C">
      <w:pPr>
        <w:pStyle w:val="ListParagraph"/>
        <w:numPr>
          <w:ilvl w:val="0"/>
          <w:numId w:val="21"/>
        </w:numPr>
      </w:pPr>
      <w:r w:rsidRPr="00C2098E">
        <w:t>Proven distribution and shelf visibility in major hypermarkets and supermarkets in the GCC (Strategy&amp;/PwC, 2024; Bain &amp; Company, 2022)</w:t>
      </w:r>
    </w:p>
    <w:p w14:paraId="01C44673" w14:textId="68155F27" w:rsidR="007B23EE" w:rsidRPr="00C2098E" w:rsidRDefault="007B23EE" w:rsidP="00102F3C">
      <w:pPr>
        <w:pStyle w:val="ListParagraph"/>
        <w:numPr>
          <w:ilvl w:val="0"/>
          <w:numId w:val="21"/>
        </w:numPr>
      </w:pPr>
      <w:r w:rsidRPr="00C2098E">
        <w:t>They have narrow or wide product lines with diverse tastes and price points, and are the default choice of shopper (YouGov, 2024; Gulf Business, 2024).</w:t>
      </w:r>
    </w:p>
    <w:p w14:paraId="61CF55FC" w14:textId="77777777" w:rsidR="007B23EE" w:rsidRPr="00C2098E" w:rsidRDefault="007B23EE" w:rsidP="007B23EE">
      <w:r w:rsidRPr="00C2098E">
        <w:lastRenderedPageBreak/>
        <w:t>These brands are directly in competition with ‘The Best' in the premium biscuits and confectionery sector, matching the scale of the advertising or the length of time on the market is not feasible with Morrisons (Aichner, 2014; Kumar and Steenkamp, 2007).</w:t>
      </w:r>
    </w:p>
    <w:p w14:paraId="6A229054" w14:textId="77777777" w:rsidR="007B23EE" w:rsidRPr="00C2098E" w:rsidRDefault="007B23EE" w:rsidP="00963766">
      <w:pPr>
        <w:pStyle w:val="Heading3"/>
      </w:pPr>
      <w:bookmarkStart w:id="53" w:name="_Toc238675501"/>
      <w:r w:rsidRPr="00C2098E">
        <w:t>4.6.2 Regional and local brands</w:t>
      </w:r>
      <w:bookmarkEnd w:id="53"/>
    </w:p>
    <w:p w14:paraId="4B07C7B3" w14:textId="1E92A538" w:rsidR="007B23EE" w:rsidRPr="00C2098E" w:rsidRDefault="007B23EE" w:rsidP="007B23EE">
      <w:r w:rsidRPr="00C2098E">
        <w:t>Regional manufacturers are mainly competing in the mid-priced and value category by differentiating on the basis of local flavours (dates, nuts, cardamom, honey) and also enjoying local cost structures and familiarity with regulations (Alpen Capital, 2025; GCC Food Market Report, 2026). The major GCC conglomerates have expanded their presence in strong dairy and bakery segments to biscuits and confectionery (Strategy&amp;/PwC, 2024; Bain &amp; Company, 2022). Their less expensive and more culturally relevant presence can place pressure on imports that don't seem to provide a higher value or experience (Aichner, 2014; Leverbrook Export, 2022</w:t>
      </w:r>
      <w:r w:rsidR="0086719F">
        <w:t>a</w:t>
      </w:r>
      <w:r w:rsidRPr="00C2098E">
        <w:t xml:space="preserve">) -- but it also represents the middle ground that </w:t>
      </w:r>
      <w:r w:rsidR="00CB74A6">
        <w:t>“</w:t>
      </w:r>
      <w:r w:rsidRPr="00C2098E">
        <w:t>The Best</w:t>
      </w:r>
      <w:r w:rsidR="00CB74A6">
        <w:t>”</w:t>
      </w:r>
      <w:r w:rsidRPr="00C2098E">
        <w:t xml:space="preserve"> can fill, providing a higher quality (warm, approachable, fun) and more affordable British product (Kumar and Steenkamp, 2007; Keller, 2013).</w:t>
      </w:r>
    </w:p>
    <w:p w14:paraId="0484E80F" w14:textId="2E7018D2" w:rsidR="007B23EE" w:rsidRPr="00C2098E" w:rsidRDefault="007B23EE" w:rsidP="00963766">
      <w:pPr>
        <w:pStyle w:val="Heading3"/>
      </w:pPr>
      <w:bookmarkStart w:id="54" w:name="_Toc238675502"/>
      <w:r w:rsidRPr="00C2098E">
        <w:t>4.6.</w:t>
      </w:r>
      <w:r w:rsidR="006A03D6">
        <w:t>3</w:t>
      </w:r>
      <w:r w:rsidRPr="00C2098E">
        <w:t xml:space="preserve"> GCC retailers' private labels</w:t>
      </w:r>
      <w:bookmarkEnd w:id="54"/>
    </w:p>
    <w:p w14:paraId="79C74C9B" w14:textId="77777777" w:rsidR="007B23EE" w:rsidRPr="00C2098E" w:rsidRDefault="007B23EE" w:rsidP="007B23EE">
      <w:r w:rsidRPr="00C2098E">
        <w:t>Major retailers such as Lulu, Carrefour and Panda are investing in the higher quality of their own brands, identical in quality and packaging to the manufacturer brands (Strategy&amp;/PwC, 2024; Burt and Sparks, 2002), with benefits in:</w:t>
      </w:r>
    </w:p>
    <w:p w14:paraId="6DD2C93F" w14:textId="0DD8AFE0" w:rsidR="007B23EE" w:rsidRPr="00C2098E" w:rsidRDefault="007B23EE" w:rsidP="00D3627D">
      <w:pPr>
        <w:pStyle w:val="ListParagraph"/>
        <w:numPr>
          <w:ilvl w:val="0"/>
          <w:numId w:val="22"/>
        </w:numPr>
      </w:pPr>
      <w:r w:rsidRPr="00C2098E">
        <w:t>Preferential shelf space and promotion, as retail stores decide how to allocate their shelves (Strategy&amp;/PwC, 2024; Bain &amp; Company, 2022)</w:t>
      </w:r>
    </w:p>
    <w:p w14:paraId="4A7F684D" w14:textId="3A00B002" w:rsidR="007B23EE" w:rsidRPr="00C2098E" w:rsidRDefault="007B23EE" w:rsidP="00D3627D">
      <w:pPr>
        <w:pStyle w:val="ListParagraph"/>
        <w:numPr>
          <w:ilvl w:val="0"/>
          <w:numId w:val="22"/>
        </w:numPr>
      </w:pPr>
      <w:r w:rsidRPr="00C2098E">
        <w:t>Detailed shopper/basket data, which can be used to make localised range and pricing decisions (Bain &amp; Company, 2022; Damodaran, 2012)</w:t>
      </w:r>
    </w:p>
    <w:p w14:paraId="14D139E7" w14:textId="5F835853" w:rsidR="007B23EE" w:rsidRPr="00C2098E" w:rsidRDefault="007B23EE" w:rsidP="00D3627D">
      <w:pPr>
        <w:pStyle w:val="ListParagraph"/>
        <w:numPr>
          <w:ilvl w:val="0"/>
          <w:numId w:val="22"/>
        </w:numPr>
      </w:pPr>
      <w:r w:rsidRPr="00C2098E">
        <w:t>The perception of value lies in between international brands and local value products (Kumar and Steenkamp, 2007)</w:t>
      </w:r>
    </w:p>
    <w:p w14:paraId="39A703EC" w14:textId="22FBACEF" w:rsidR="007B23EE" w:rsidRPr="00C2098E" w:rsidRDefault="007B23EE" w:rsidP="007B23EE">
      <w:r w:rsidRPr="00C2098E">
        <w:t xml:space="preserve">For Morrisons, as a Lulu supplier, the key is to make sure that "The Best" gets noticed and supported in the premium and </w:t>
      </w:r>
      <w:r w:rsidR="00EB3075" w:rsidRPr="00C2098E">
        <w:t>mid-range</w:t>
      </w:r>
      <w:r w:rsidRPr="00C2098E">
        <w:t xml:space="preserve"> categories (Morrisons, 2025; Supermarket News, 2025); "The Best" should be marketed as a unique line of imported British premium products and not be confused with own label lines (Aichner, 2014; Burt and Sparks, 2002).</w:t>
      </w:r>
    </w:p>
    <w:p w14:paraId="574E46A1" w14:textId="77777777" w:rsidR="007B23EE" w:rsidRPr="00C2098E" w:rsidRDefault="007B23EE" w:rsidP="00963766">
      <w:pPr>
        <w:pStyle w:val="Heading3"/>
      </w:pPr>
      <w:bookmarkStart w:id="55" w:name="_Toc238675503"/>
      <w:r w:rsidRPr="00C2098E">
        <w:t>4.6.4 Morrisons' competitive position</w:t>
      </w:r>
      <w:bookmarkEnd w:id="55"/>
    </w:p>
    <w:p w14:paraId="70F87CC8" w14:textId="77777777" w:rsidR="007B23EE" w:rsidRPr="00C2098E" w:rsidRDefault="007B23EE" w:rsidP="007B23EE">
      <w:r w:rsidRPr="00C2098E">
        <w:t>Morrisons can be characterised as:</w:t>
      </w:r>
    </w:p>
    <w:p w14:paraId="07D7ECE3" w14:textId="4BCC0A29" w:rsidR="007B23EE" w:rsidRPr="00C2098E" w:rsidRDefault="007B23EE" w:rsidP="008F2F4A">
      <w:pPr>
        <w:pStyle w:val="ListParagraph"/>
        <w:numPr>
          <w:ilvl w:val="0"/>
          <w:numId w:val="23"/>
        </w:numPr>
      </w:pPr>
      <w:r w:rsidRPr="00C2098E">
        <w:lastRenderedPageBreak/>
        <w:t>A new, niche biscuit and confectionery player in the GCC market with low brand awareness, but access to distribution (Morrisons, 2025b; Noon, 2025)</w:t>
      </w:r>
    </w:p>
    <w:p w14:paraId="01A7670F" w14:textId="464A0E9E" w:rsidR="007B23EE" w:rsidRPr="00C2098E" w:rsidRDefault="007B23EE" w:rsidP="008F2F4A">
      <w:pPr>
        <w:pStyle w:val="ListParagraph"/>
        <w:numPr>
          <w:ilvl w:val="0"/>
          <w:numId w:val="23"/>
        </w:numPr>
      </w:pPr>
      <w:r w:rsidRPr="00C2098E">
        <w:t>Differentiated by its British origin and vertical integration, providing a sourcing guarantee that few competitors can offer (Morrisons, 2023/24; Myton Food Group, 2024).</w:t>
      </w:r>
    </w:p>
    <w:p w14:paraId="0E294C78" w14:textId="115386C1" w:rsidR="007B23EE" w:rsidRPr="00C2098E" w:rsidRDefault="007B23EE" w:rsidP="008F2F4A">
      <w:pPr>
        <w:pStyle w:val="ListParagraph"/>
        <w:numPr>
          <w:ilvl w:val="0"/>
          <w:numId w:val="23"/>
        </w:numPr>
      </w:pPr>
      <w:r w:rsidRPr="00C2098E">
        <w:t>Dependent on strong execution and category focus given limited marketing scale and reliance on partners (Strategy&amp;/PwC, 2024; WTA Group, 2025)</w:t>
      </w:r>
    </w:p>
    <w:p w14:paraId="61675CE7" w14:textId="77777777" w:rsidR="007B23EE" w:rsidRPr="00C2098E" w:rsidRDefault="007B23EE" w:rsidP="008F2F4A">
      <w:r w:rsidRPr="00C2098E">
        <w:t>However, “The Best” shouldn't go up against the bigger manufacturer brands across the whole board, but should focus on premium biscuits and confectionery with a British provenance and brand appeal that resonates with the middle and higher earning shopper (Alpen Capital, 2025; YouGov, 2024). This means:</w:t>
      </w:r>
    </w:p>
    <w:p w14:paraId="5563EFEF" w14:textId="24CF5502" w:rsidR="007B23EE" w:rsidRPr="00C2098E" w:rsidRDefault="007B23EE" w:rsidP="008F2F4A">
      <w:pPr>
        <w:pStyle w:val="ListParagraph"/>
        <w:numPr>
          <w:ilvl w:val="0"/>
          <w:numId w:val="23"/>
        </w:numPr>
      </w:pPr>
      <w:r w:rsidRPr="00C2098E">
        <w:t>The competition based on emotional/symbolic value and brand story instead of advertising expenditure (Keller, 2013; Kumar and Steenkamp, 2007)</w:t>
      </w:r>
    </w:p>
    <w:p w14:paraId="75F87618" w14:textId="7AD908E4" w:rsidR="007B23EE" w:rsidRPr="00C2098E" w:rsidRDefault="007B23EE" w:rsidP="008F2F4A">
      <w:pPr>
        <w:pStyle w:val="ListParagraph"/>
        <w:numPr>
          <w:ilvl w:val="0"/>
          <w:numId w:val="23"/>
        </w:numPr>
      </w:pPr>
      <w:r w:rsidRPr="00C2098E">
        <w:t>With a focus on the quality of perception and British authenticity, it was assumed that there will be certain segments which will still be dominated locally (Aichner, 2014; Leverbrook Export, 2022</w:t>
      </w:r>
      <w:r w:rsidR="0086719F">
        <w:t>b</w:t>
      </w:r>
      <w:r w:rsidRPr="00C2098E">
        <w:t>)</w:t>
      </w:r>
    </w:p>
    <w:p w14:paraId="57D7617E" w14:textId="193FBADF" w:rsidR="007B23EE" w:rsidRPr="00C2098E" w:rsidRDefault="007B23EE" w:rsidP="008F2F4A">
      <w:pPr>
        <w:pStyle w:val="ListParagraph"/>
        <w:numPr>
          <w:ilvl w:val="0"/>
          <w:numId w:val="23"/>
        </w:numPr>
      </w:pPr>
      <w:r w:rsidRPr="00C2098E">
        <w:t>Ensuring that "The Best" is sold as a separate imported premium brand, rather than becoming part of own label brands (Burt and Sparks, 2002; Strategy&amp;/PwC, 2024).</w:t>
      </w:r>
    </w:p>
    <w:p w14:paraId="10E83722" w14:textId="77777777" w:rsidR="00DB7BD2" w:rsidRPr="00C2098E" w:rsidRDefault="00DB7BD2">
      <w:pPr>
        <w:rPr>
          <w:rFonts w:eastAsiaTheme="majorEastAsia" w:cstheme="majorBidi"/>
          <w:b/>
          <w:bCs/>
          <w:sz w:val="28"/>
          <w:szCs w:val="32"/>
        </w:rPr>
      </w:pPr>
      <w:r w:rsidRPr="00C2098E">
        <w:br w:type="page"/>
      </w:r>
    </w:p>
    <w:p w14:paraId="671BB8A1" w14:textId="128C06DA" w:rsidR="00780ABA" w:rsidRPr="00C86192" w:rsidRDefault="00906326" w:rsidP="00590EC6">
      <w:pPr>
        <w:pStyle w:val="Heading2"/>
        <w:rPr>
          <w:rFonts w:eastAsia="Times New Roman"/>
        </w:rPr>
      </w:pPr>
      <w:bookmarkStart w:id="56" w:name="_Toc238675504"/>
      <w:r>
        <w:rPr>
          <w:rFonts w:eastAsia="Times New Roman"/>
        </w:rPr>
        <w:lastRenderedPageBreak/>
        <w:t xml:space="preserve">4.7 </w:t>
      </w:r>
      <w:r w:rsidR="00780ABA" w:rsidRPr="00C86192">
        <w:rPr>
          <w:rFonts w:eastAsia="Times New Roman"/>
        </w:rPr>
        <w:t>Porter's Five Forces for "The Best" in GCC</w:t>
      </w:r>
      <w:bookmarkEnd w:id="56"/>
    </w:p>
    <w:p w14:paraId="2B2DEC17" w14:textId="77777777" w:rsidR="00377AC3" w:rsidRDefault="00377AC3" w:rsidP="00377AC3">
      <w:pPr>
        <w:keepNext/>
      </w:pPr>
      <w:r>
        <w:rPr>
          <w:noProof/>
        </w:rPr>
        <w:drawing>
          <wp:inline distT="0" distB="0" distL="0" distR="0" wp14:anchorId="65397592" wp14:editId="5D22BA2F">
            <wp:extent cx="5486400" cy="3200400"/>
            <wp:effectExtent l="0" t="0" r="0" b="190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3D0F8FB" w14:textId="44B2134F" w:rsidR="0089206F" w:rsidRPr="00377AC3" w:rsidRDefault="00377AC3" w:rsidP="00377AC3">
      <w:pPr>
        <w:pStyle w:val="Caption"/>
        <w:jc w:val="center"/>
        <w:rPr>
          <w:b/>
          <w:bCs/>
          <w:i w:val="0"/>
          <w:iCs w:val="0"/>
          <w:color w:val="auto"/>
        </w:rPr>
      </w:pPr>
      <w:bookmarkStart w:id="57" w:name="_Toc237906746"/>
      <w:bookmarkStart w:id="58" w:name="_Toc238674408"/>
      <w:bookmarkStart w:id="59" w:name="_Toc238674427"/>
      <w:r w:rsidRPr="00377AC3">
        <w:rPr>
          <w:b/>
          <w:bCs/>
          <w:i w:val="0"/>
          <w:iCs w:val="0"/>
          <w:color w:val="auto"/>
        </w:rPr>
        <w:t xml:space="preserve">Figure </w:t>
      </w:r>
      <w:r w:rsidRPr="00377AC3">
        <w:rPr>
          <w:b/>
          <w:bCs/>
          <w:i w:val="0"/>
          <w:iCs w:val="0"/>
          <w:color w:val="auto"/>
        </w:rPr>
        <w:fldChar w:fldCharType="begin"/>
      </w:r>
      <w:r w:rsidRPr="00377AC3">
        <w:rPr>
          <w:b/>
          <w:bCs/>
          <w:i w:val="0"/>
          <w:iCs w:val="0"/>
          <w:color w:val="auto"/>
        </w:rPr>
        <w:instrText xml:space="preserve"> SEQ Figure \* ARABIC </w:instrText>
      </w:r>
      <w:r w:rsidRPr="00377AC3">
        <w:rPr>
          <w:b/>
          <w:bCs/>
          <w:i w:val="0"/>
          <w:iCs w:val="0"/>
          <w:color w:val="auto"/>
        </w:rPr>
        <w:fldChar w:fldCharType="separate"/>
      </w:r>
      <w:r w:rsidR="00EF0D6A">
        <w:rPr>
          <w:b/>
          <w:bCs/>
          <w:i w:val="0"/>
          <w:iCs w:val="0"/>
          <w:noProof/>
          <w:color w:val="auto"/>
        </w:rPr>
        <w:t>2</w:t>
      </w:r>
      <w:r w:rsidRPr="00377AC3">
        <w:rPr>
          <w:b/>
          <w:bCs/>
          <w:i w:val="0"/>
          <w:iCs w:val="0"/>
          <w:color w:val="auto"/>
        </w:rPr>
        <w:fldChar w:fldCharType="end"/>
      </w:r>
      <w:r w:rsidRPr="00377AC3">
        <w:rPr>
          <w:b/>
          <w:bCs/>
          <w:i w:val="0"/>
          <w:iCs w:val="0"/>
          <w:color w:val="auto"/>
        </w:rPr>
        <w:t xml:space="preserve"> Porter's Five Forces Analysis</w:t>
      </w:r>
      <w:bookmarkEnd w:id="57"/>
      <w:bookmarkEnd w:id="58"/>
      <w:bookmarkEnd w:id="59"/>
    </w:p>
    <w:p w14:paraId="0C9160CD" w14:textId="77777777" w:rsidR="00062668" w:rsidRPr="00C2098E" w:rsidRDefault="00062668" w:rsidP="00963766">
      <w:pPr>
        <w:pStyle w:val="Heading3"/>
      </w:pPr>
      <w:bookmarkStart w:id="60" w:name="_Toc238675505"/>
      <w:r w:rsidRPr="00C2098E">
        <w:t>Industry rivalry - High</w:t>
      </w:r>
      <w:bookmarkEnd w:id="60"/>
    </w:p>
    <w:p w14:paraId="403B5C5C" w14:textId="77777777" w:rsidR="00062668" w:rsidRPr="00C2098E" w:rsidRDefault="00062668" w:rsidP="00062668">
      <w:r w:rsidRPr="00C2098E">
        <w:t>Brand strength of competitors and strong regional manufacturers and own-label brands of retailers mean rivalry is high (Strategy&amp;/PwC, 2024). The global brands such as Oreo, Kit Kat, Cadbury and McVitie's are doing well through long-term brand building and consumer default preference (YouGov, 2024; Gulf Business, 2024), whereas the local brands and store brands are bidding hard on pricing, promotions and locally tweaked flavours (Alpen Capital, 2025; GCC Food Market Report, 2026). With the competition for shelf space, promotion and digital visibility being so high (Strategy&amp;/PwC, 2024; Bain &amp; Company, 2022), it is important for ‘The Best' to distinguish itself not only on the intensity of competition, but also through British origin and brand narrative (Kumar and Steenkamp, 2007; Keller, 2013).</w:t>
      </w:r>
    </w:p>
    <w:p w14:paraId="4052FEA1" w14:textId="77777777" w:rsidR="00062668" w:rsidRPr="00C2098E" w:rsidRDefault="00062668" w:rsidP="00963766">
      <w:pPr>
        <w:pStyle w:val="Heading3"/>
      </w:pPr>
      <w:bookmarkStart w:id="61" w:name="_Toc238675506"/>
      <w:r w:rsidRPr="00C2098E">
        <w:t>Power of buyers - High</w:t>
      </w:r>
      <w:bookmarkEnd w:id="61"/>
    </w:p>
    <w:p w14:paraId="4AFF2BB9" w14:textId="25FCF1FC" w:rsidR="00062668" w:rsidRPr="00C2098E" w:rsidRDefault="00062668" w:rsidP="00062668">
      <w:r w:rsidRPr="00C2098E">
        <w:t xml:space="preserve">Retailers and consumers are in a strong position. Consolidated retailers, such as Lulu, Carrefour and other major KSA chains determine pricing, margins, and level of support for promotions and listing fees (Strategy&amp;/PwC, 2024; WTA Group, 2025), as well as shelf placement and wording of promotions (Burt and Sparks, 2002; Bain &amp; Company, 2022). There are many choices available to consumers across different national brands, private label and local brands (YouGov, 2024; Gulf Business, 2024) and they will readily switch to other choices if "The </w:t>
      </w:r>
      <w:r w:rsidRPr="00C2098E">
        <w:lastRenderedPageBreak/>
        <w:t>Best" does not meet its taste and/or value expectations (Porter, 1985; Kumar and Steenkamp, 2007). This means Morrisons must make its price premium more transparent, and form better, data-driven retailer relationships (Strategy&amp;/PwC, 2024; Parnell, 2010).</w:t>
      </w:r>
    </w:p>
    <w:p w14:paraId="3A3D2BC1" w14:textId="77777777" w:rsidR="00062668" w:rsidRPr="00C2098E" w:rsidRDefault="00062668" w:rsidP="00963766">
      <w:pPr>
        <w:pStyle w:val="Heading3"/>
      </w:pPr>
      <w:bookmarkStart w:id="62" w:name="_Toc238675507"/>
      <w:r w:rsidRPr="00C2098E">
        <w:t>Bargaining power of suppliers - Moderate to Low</w:t>
      </w:r>
      <w:bookmarkEnd w:id="62"/>
    </w:p>
    <w:p w14:paraId="57C452E5" w14:textId="77777777" w:rsidR="00062668" w:rsidRPr="00C2098E" w:rsidRDefault="00062668" w:rsidP="00062668">
      <w:r w:rsidRPr="00C2098E">
        <w:t>Upstream supplier power is low due to vertical integration and long-term supplier relationships in the UK, enabling Morrisons to negotiate favourable deals and ensure consistent recipes (Myton Food Group, 2024; Morrisons, 2026). But the suppliers of commodities (cocoa, sugar, wheat) also have some leverage because of the price fluctuations (Damodaran, 2012; GCC Food Market Report, 2026) and so do the specialist logistics and compliance companies for GCC regulations and halal requirements (Source International FZCO, 2026; WTA Group, 2025). Overall, integration maintains supplier power as moderate-low, however commodity and specialist costs require active management (Morrisons, 2023/24; Strategy&amp;/PwC, 2024).</w:t>
      </w:r>
    </w:p>
    <w:p w14:paraId="21ACF57B" w14:textId="77777777" w:rsidR="00062668" w:rsidRPr="00C2098E" w:rsidRDefault="00062668" w:rsidP="00963766">
      <w:pPr>
        <w:pStyle w:val="Heading3"/>
      </w:pPr>
      <w:bookmarkStart w:id="63" w:name="_Toc238675508"/>
      <w:r w:rsidRPr="00C2098E">
        <w:t>Threat of substitutes - High</w:t>
      </w:r>
      <w:bookmarkEnd w:id="63"/>
    </w:p>
    <w:p w14:paraId="035244CE" w14:textId="0270502B" w:rsidR="00062668" w:rsidRPr="00C2098E" w:rsidRDefault="00062668" w:rsidP="00062668">
      <w:r w:rsidRPr="00C2098E">
        <w:t>Threat</w:t>
      </w:r>
      <w:r w:rsidR="003412A2">
        <w:t xml:space="preserve"> of </w:t>
      </w:r>
      <w:r w:rsidR="00BF611B">
        <w:t>substitutes</w:t>
      </w:r>
      <w:r w:rsidRPr="00C2098E">
        <w:t xml:space="preserve"> are also high due to availability of substitutes, such as crisps, chocolate, nuts, pastries and fresh bakery items, in place of biscuits or confectionery products (Alpen Capital, 2025; GCC Food Market Report, 2026), and an increased demand for healthier alternatives such as low sugar biscuits, whole grain biscuits, or fruit-based biscuits (Strategy&amp;/PwC, 2024; Bain &amp; Company, 2022). Demand for biscuits/confectionery products can move to other product categories, as purchases are usually based on a purchase occasion of “an indulgent treat” and not necessarily on a particular product (Porter, 1985; Damodaran, 2012). This underscores the importance of Morrisons to communicate through emotional means – a sensuous indulgence as it were [Keller, 2013; Kumar and Steenkamp, 2007] – and not functional attributes.</w:t>
      </w:r>
    </w:p>
    <w:p w14:paraId="06265381" w14:textId="77777777" w:rsidR="00062668" w:rsidRPr="00C2098E" w:rsidRDefault="00062668" w:rsidP="00963766">
      <w:pPr>
        <w:pStyle w:val="Heading3"/>
      </w:pPr>
      <w:bookmarkStart w:id="64" w:name="_Toc238675509"/>
      <w:r w:rsidRPr="00C2098E">
        <w:t>Bargaining power of buyers - Low to Moderate</w:t>
      </w:r>
      <w:bookmarkEnd w:id="64"/>
    </w:p>
    <w:p w14:paraId="075E25FB" w14:textId="035312BB" w:rsidR="00062668" w:rsidRPr="00C2098E" w:rsidRDefault="00062668" w:rsidP="00062668">
      <w:r w:rsidRPr="00C2098E">
        <w:t xml:space="preserve">Barriers to entry are moderate, as strong supply chains, regulatory knowledge, shelf space and marketing budget are needed to enter the market (WTA Group, 2025; Source International FZCO, 2026), while incumbents have advantages in terms of scale, relationships and data (Strategy&amp;/PwC, 2024; Bain &amp; Company, 2022). However, niche international brands and D2C ecommerce can play a selective role from online channels (Stratrich Consulting, 2024; Alpen Capital, 2025). New entrant threat is not as significant as rivalry or buyer power; </w:t>
      </w:r>
      <w:r w:rsidR="005C53AA" w:rsidRPr="00C2098E">
        <w:lastRenderedPageBreak/>
        <w:t>however,</w:t>
      </w:r>
      <w:r w:rsidRPr="00C2098E">
        <w:t xml:space="preserve"> niche players aiming for premium British positioning are a watch point (Porter, 1985; Parnell, 2010).</w:t>
      </w:r>
    </w:p>
    <w:p w14:paraId="41E3B570" w14:textId="77777777" w:rsidR="00062668" w:rsidRPr="00C2098E" w:rsidRDefault="00062668" w:rsidP="00963766">
      <w:pPr>
        <w:pStyle w:val="Heading3"/>
      </w:pPr>
      <w:bookmarkStart w:id="65" w:name="_Toc238675510"/>
      <w:r w:rsidRPr="00C2098E">
        <w:t>Strategic implications and overall attractiveness.</w:t>
      </w:r>
      <w:bookmarkEnd w:id="65"/>
    </w:p>
    <w:p w14:paraId="57B45B29" w14:textId="3DB61C17" w:rsidR="00062668" w:rsidRPr="00C2098E" w:rsidRDefault="00062668" w:rsidP="00062668">
      <w:r w:rsidRPr="00C2098E">
        <w:t xml:space="preserve">The Five Forces analysis reveals a structurally challenging market with strong rivalry and buyer power, high threat from substitutes, moderate-low supplier power and non-trivial new </w:t>
      </w:r>
      <w:r w:rsidR="005B20F9" w:rsidRPr="00C2098E">
        <w:t>entrants’</w:t>
      </w:r>
      <w:r w:rsidRPr="00C2098E">
        <w:t xml:space="preserve"> risk (Porter, 1985; Strategy&amp;/PwC, 2024). Success with "The Best" requires:</w:t>
      </w:r>
    </w:p>
    <w:p w14:paraId="3D1A2629" w14:textId="48A54D37" w:rsidR="00062668" w:rsidRPr="00C2098E" w:rsidRDefault="00062668" w:rsidP="005C53AA">
      <w:pPr>
        <w:pStyle w:val="ListParagraph"/>
        <w:numPr>
          <w:ilvl w:val="0"/>
          <w:numId w:val="24"/>
        </w:numPr>
      </w:pPr>
      <w:r w:rsidRPr="00C2098E">
        <w:t>High Britishness and supermarket brand value and quality (Kumar and Steenkamp, 2007; Aichner, 2014)</w:t>
      </w:r>
    </w:p>
    <w:p w14:paraId="2F36CCCF" w14:textId="048F04F2" w:rsidR="00062668" w:rsidRPr="00C2098E" w:rsidRDefault="00062668" w:rsidP="005C53AA">
      <w:pPr>
        <w:pStyle w:val="ListParagraph"/>
        <w:numPr>
          <w:ilvl w:val="0"/>
          <w:numId w:val="24"/>
        </w:numPr>
      </w:pPr>
      <w:r w:rsidRPr="00C2098E">
        <w:t>Retailer relationships to obtain strong shelf, promotion and pricing (Burt and Sparks (2002) and Bain &amp; Company (2022).</w:t>
      </w:r>
    </w:p>
    <w:p w14:paraId="645BF9D6" w14:textId="6B734B3C" w:rsidR="00062668" w:rsidRPr="00C2098E" w:rsidRDefault="00062668" w:rsidP="005C53AA">
      <w:pPr>
        <w:pStyle w:val="ListParagraph"/>
        <w:numPr>
          <w:ilvl w:val="0"/>
          <w:numId w:val="24"/>
        </w:numPr>
      </w:pPr>
      <w:r w:rsidRPr="00C2098E">
        <w:t>Control of margins and costs in the context of commodity prices and marketing requirements (Damodaran, 2012; Trigeorgis, 1996)</w:t>
      </w:r>
    </w:p>
    <w:p w14:paraId="48261E56" w14:textId="5EFBF78D" w:rsidR="00C51968" w:rsidRPr="006F7419" w:rsidRDefault="00984CE1" w:rsidP="00984CE1">
      <w:pPr>
        <w:pStyle w:val="Heading2"/>
      </w:pPr>
      <w:bookmarkStart w:id="66" w:name="_Toc238675511"/>
      <w:r>
        <w:t xml:space="preserve">4.8 </w:t>
      </w:r>
      <w:r w:rsidR="00C51968" w:rsidRPr="006F7419">
        <w:t>Ansoff Matrix of Morrisons’ GCC “The Best” Strategy</w:t>
      </w:r>
      <w:bookmarkEnd w:id="66"/>
    </w:p>
    <w:tbl>
      <w:tblPr>
        <w:tblStyle w:val="PlainTable1"/>
        <w:tblW w:w="5000" w:type="pct"/>
        <w:tblLook w:val="04A0" w:firstRow="1" w:lastRow="0" w:firstColumn="1" w:lastColumn="0" w:noHBand="0" w:noVBand="1"/>
      </w:tblPr>
      <w:tblGrid>
        <w:gridCol w:w="2115"/>
        <w:gridCol w:w="6901"/>
      </w:tblGrid>
      <w:tr w:rsidR="00337210" w:rsidRPr="00337210" w14:paraId="02188926" w14:textId="77777777" w:rsidTr="003372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3" w:type="pct"/>
            <w:hideMark/>
          </w:tcPr>
          <w:p w14:paraId="5D32E919" w14:textId="77777777" w:rsidR="00337210" w:rsidRPr="00337210" w:rsidRDefault="00337210" w:rsidP="00337210">
            <w:pPr>
              <w:spacing w:line="360" w:lineRule="auto"/>
              <w:jc w:val="center"/>
              <w:rPr>
                <w:rFonts w:eastAsia="Times New Roman" w:cs="Times New Roman"/>
                <w:szCs w:val="24"/>
              </w:rPr>
            </w:pPr>
            <w:r w:rsidRPr="00337210">
              <w:rPr>
                <w:rFonts w:eastAsia="Times New Roman" w:cs="Times New Roman"/>
                <w:szCs w:val="24"/>
              </w:rPr>
              <w:t>Ansoff Quadrant</w:t>
            </w:r>
          </w:p>
        </w:tc>
        <w:tc>
          <w:tcPr>
            <w:tcW w:w="3827" w:type="pct"/>
            <w:hideMark/>
          </w:tcPr>
          <w:p w14:paraId="052546C4" w14:textId="77777777" w:rsidR="00337210" w:rsidRPr="00337210" w:rsidRDefault="00337210" w:rsidP="00337210">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337210">
              <w:rPr>
                <w:rFonts w:eastAsia="Times New Roman" w:cs="Times New Roman"/>
                <w:szCs w:val="24"/>
              </w:rPr>
              <w:t>Point</w:t>
            </w:r>
          </w:p>
        </w:tc>
      </w:tr>
      <w:tr w:rsidR="00337210" w:rsidRPr="00337210" w14:paraId="31492CE9" w14:textId="77777777" w:rsidTr="00337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3" w:type="pct"/>
            <w:hideMark/>
          </w:tcPr>
          <w:p w14:paraId="02523646" w14:textId="77777777" w:rsidR="00337210" w:rsidRPr="00337210" w:rsidRDefault="00337210" w:rsidP="00337210">
            <w:pPr>
              <w:spacing w:line="360" w:lineRule="auto"/>
              <w:jc w:val="left"/>
              <w:rPr>
                <w:rFonts w:eastAsia="Times New Roman" w:cs="Times New Roman"/>
                <w:b w:val="0"/>
                <w:bCs w:val="0"/>
                <w:szCs w:val="24"/>
              </w:rPr>
            </w:pPr>
            <w:r w:rsidRPr="00337210">
              <w:rPr>
                <w:rFonts w:eastAsia="Times New Roman" w:cs="Times New Roman"/>
                <w:b w:val="0"/>
                <w:bCs w:val="0"/>
                <w:szCs w:val="24"/>
              </w:rPr>
              <w:t>Market penetration</w:t>
            </w:r>
          </w:p>
        </w:tc>
        <w:tc>
          <w:tcPr>
            <w:tcW w:w="3827" w:type="pct"/>
            <w:hideMark/>
          </w:tcPr>
          <w:p w14:paraId="26F8C924" w14:textId="77777777" w:rsidR="00337210" w:rsidRPr="00337210" w:rsidRDefault="00337210" w:rsidP="0033721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37210">
              <w:rPr>
                <w:rFonts w:eastAsia="Times New Roman" w:cs="Times New Roman"/>
                <w:szCs w:val="24"/>
              </w:rPr>
              <w:t>Secondary focus, given the GCC's limited footprint, on boosting sales of existing SKUs in existing GCC stores</w:t>
            </w:r>
          </w:p>
        </w:tc>
      </w:tr>
      <w:tr w:rsidR="00337210" w:rsidRPr="00337210" w14:paraId="16F60014" w14:textId="77777777" w:rsidTr="00337210">
        <w:tc>
          <w:tcPr>
            <w:cnfStyle w:val="001000000000" w:firstRow="0" w:lastRow="0" w:firstColumn="1" w:lastColumn="0" w:oddVBand="0" w:evenVBand="0" w:oddHBand="0" w:evenHBand="0" w:firstRowFirstColumn="0" w:firstRowLastColumn="0" w:lastRowFirstColumn="0" w:lastRowLastColumn="0"/>
            <w:tcW w:w="1173" w:type="pct"/>
            <w:hideMark/>
          </w:tcPr>
          <w:p w14:paraId="5F4CB9BD" w14:textId="77777777" w:rsidR="00337210" w:rsidRPr="00337210" w:rsidRDefault="00337210" w:rsidP="00337210">
            <w:pPr>
              <w:spacing w:line="360" w:lineRule="auto"/>
              <w:jc w:val="left"/>
              <w:rPr>
                <w:rFonts w:eastAsia="Times New Roman" w:cs="Times New Roman"/>
                <w:szCs w:val="24"/>
              </w:rPr>
            </w:pPr>
            <w:r w:rsidRPr="00337210">
              <w:rPr>
                <w:rFonts w:eastAsia="Times New Roman" w:cs="Times New Roman"/>
                <w:szCs w:val="24"/>
              </w:rPr>
              <w:t>Market development</w:t>
            </w:r>
          </w:p>
        </w:tc>
        <w:tc>
          <w:tcPr>
            <w:tcW w:w="3827" w:type="pct"/>
            <w:hideMark/>
          </w:tcPr>
          <w:p w14:paraId="1D7E725C" w14:textId="786A74A5" w:rsidR="00337210" w:rsidRPr="00337210" w:rsidRDefault="00337210" w:rsidP="0033721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337210">
              <w:rPr>
                <w:rFonts w:eastAsia="Times New Roman" w:cs="Times New Roman"/>
                <w:b/>
                <w:bCs/>
                <w:szCs w:val="24"/>
              </w:rPr>
              <w:t>Primary strategy exporting proven UK ranges into new UAE/KSA markets and segments</w:t>
            </w:r>
          </w:p>
        </w:tc>
      </w:tr>
      <w:tr w:rsidR="00337210" w:rsidRPr="00337210" w14:paraId="5119B24C" w14:textId="77777777" w:rsidTr="00337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3" w:type="pct"/>
            <w:hideMark/>
          </w:tcPr>
          <w:p w14:paraId="766DABC5" w14:textId="77777777" w:rsidR="00337210" w:rsidRPr="00337210" w:rsidRDefault="00337210" w:rsidP="00337210">
            <w:pPr>
              <w:spacing w:line="360" w:lineRule="auto"/>
              <w:jc w:val="left"/>
              <w:rPr>
                <w:rFonts w:eastAsia="Times New Roman" w:cs="Times New Roman"/>
                <w:b w:val="0"/>
                <w:bCs w:val="0"/>
                <w:szCs w:val="24"/>
              </w:rPr>
            </w:pPr>
            <w:r w:rsidRPr="00337210">
              <w:rPr>
                <w:rFonts w:eastAsia="Times New Roman" w:cs="Times New Roman"/>
                <w:b w:val="0"/>
                <w:bCs w:val="0"/>
                <w:szCs w:val="24"/>
              </w:rPr>
              <w:t>Product development</w:t>
            </w:r>
          </w:p>
        </w:tc>
        <w:tc>
          <w:tcPr>
            <w:tcW w:w="3827" w:type="pct"/>
            <w:hideMark/>
          </w:tcPr>
          <w:p w14:paraId="6863A0B8" w14:textId="77777777" w:rsidR="00337210" w:rsidRPr="00337210" w:rsidRDefault="00337210" w:rsidP="0033721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37210">
              <w:rPr>
                <w:rFonts w:eastAsia="Times New Roman" w:cs="Times New Roman"/>
                <w:szCs w:val="24"/>
              </w:rPr>
              <w:t>Secondary, localisation-led adaptation of flavours and packaging for GCC tastes</w:t>
            </w:r>
          </w:p>
        </w:tc>
      </w:tr>
      <w:tr w:rsidR="00337210" w:rsidRPr="00337210" w14:paraId="0177F8D0" w14:textId="77777777" w:rsidTr="00337210">
        <w:tc>
          <w:tcPr>
            <w:cnfStyle w:val="001000000000" w:firstRow="0" w:lastRow="0" w:firstColumn="1" w:lastColumn="0" w:oddVBand="0" w:evenVBand="0" w:oddHBand="0" w:evenHBand="0" w:firstRowFirstColumn="0" w:firstRowLastColumn="0" w:lastRowFirstColumn="0" w:lastRowLastColumn="0"/>
            <w:tcW w:w="1173" w:type="pct"/>
            <w:hideMark/>
          </w:tcPr>
          <w:p w14:paraId="61D9E653" w14:textId="77777777" w:rsidR="00337210" w:rsidRPr="00337210" w:rsidRDefault="00337210" w:rsidP="00337210">
            <w:pPr>
              <w:spacing w:line="360" w:lineRule="auto"/>
              <w:jc w:val="left"/>
              <w:rPr>
                <w:rFonts w:eastAsia="Times New Roman" w:cs="Times New Roman"/>
                <w:b w:val="0"/>
                <w:bCs w:val="0"/>
                <w:szCs w:val="24"/>
              </w:rPr>
            </w:pPr>
            <w:r w:rsidRPr="00337210">
              <w:rPr>
                <w:rFonts w:eastAsia="Times New Roman" w:cs="Times New Roman"/>
                <w:b w:val="0"/>
                <w:bCs w:val="0"/>
                <w:szCs w:val="24"/>
              </w:rPr>
              <w:t>Diversification</w:t>
            </w:r>
          </w:p>
        </w:tc>
        <w:tc>
          <w:tcPr>
            <w:tcW w:w="3827" w:type="pct"/>
            <w:hideMark/>
          </w:tcPr>
          <w:p w14:paraId="7F65DA63" w14:textId="77777777" w:rsidR="00337210" w:rsidRPr="00337210" w:rsidRDefault="00337210" w:rsidP="00337210">
            <w:pPr>
              <w:keepNext/>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37210">
              <w:rPr>
                <w:rFonts w:eastAsia="Times New Roman" w:cs="Times New Roman"/>
                <w:szCs w:val="24"/>
              </w:rPr>
              <w:t>Not recommended at this stage, given high risk and limited incremental value</w:t>
            </w:r>
          </w:p>
        </w:tc>
      </w:tr>
    </w:tbl>
    <w:p w14:paraId="4818F59B" w14:textId="725E745A" w:rsidR="00337210" w:rsidRPr="00337210" w:rsidRDefault="00337210" w:rsidP="00337210">
      <w:pPr>
        <w:pStyle w:val="Caption"/>
        <w:spacing w:before="240"/>
        <w:jc w:val="center"/>
        <w:rPr>
          <w:b/>
          <w:bCs/>
          <w:i w:val="0"/>
          <w:iCs w:val="0"/>
          <w:color w:val="auto"/>
        </w:rPr>
      </w:pPr>
      <w:bookmarkStart w:id="67" w:name="_Toc237906747"/>
      <w:bookmarkStart w:id="68" w:name="_Toc238674409"/>
      <w:bookmarkStart w:id="69" w:name="_Toc238674428"/>
      <w:r w:rsidRPr="00337210">
        <w:rPr>
          <w:b/>
          <w:bCs/>
          <w:i w:val="0"/>
          <w:iCs w:val="0"/>
          <w:color w:val="auto"/>
        </w:rPr>
        <w:t xml:space="preserve">Figure </w:t>
      </w:r>
      <w:r w:rsidRPr="00337210">
        <w:rPr>
          <w:b/>
          <w:bCs/>
          <w:i w:val="0"/>
          <w:iCs w:val="0"/>
          <w:color w:val="auto"/>
        </w:rPr>
        <w:fldChar w:fldCharType="begin"/>
      </w:r>
      <w:r w:rsidRPr="00337210">
        <w:rPr>
          <w:b/>
          <w:bCs/>
          <w:i w:val="0"/>
          <w:iCs w:val="0"/>
          <w:color w:val="auto"/>
        </w:rPr>
        <w:instrText xml:space="preserve"> SEQ Figure \* ARABIC </w:instrText>
      </w:r>
      <w:r w:rsidRPr="00337210">
        <w:rPr>
          <w:b/>
          <w:bCs/>
          <w:i w:val="0"/>
          <w:iCs w:val="0"/>
          <w:color w:val="auto"/>
        </w:rPr>
        <w:fldChar w:fldCharType="separate"/>
      </w:r>
      <w:r w:rsidR="00EF0D6A">
        <w:rPr>
          <w:b/>
          <w:bCs/>
          <w:i w:val="0"/>
          <w:iCs w:val="0"/>
          <w:noProof/>
          <w:color w:val="auto"/>
        </w:rPr>
        <w:t>3</w:t>
      </w:r>
      <w:r w:rsidRPr="00337210">
        <w:rPr>
          <w:b/>
          <w:bCs/>
          <w:i w:val="0"/>
          <w:iCs w:val="0"/>
          <w:color w:val="auto"/>
        </w:rPr>
        <w:fldChar w:fldCharType="end"/>
      </w:r>
      <w:r w:rsidRPr="00337210">
        <w:rPr>
          <w:b/>
          <w:bCs/>
          <w:i w:val="0"/>
          <w:iCs w:val="0"/>
          <w:color w:val="auto"/>
        </w:rPr>
        <w:t xml:space="preserve"> Ansoff Matrix Quadrant</w:t>
      </w:r>
      <w:bookmarkEnd w:id="67"/>
      <w:bookmarkEnd w:id="68"/>
      <w:bookmarkEnd w:id="69"/>
    </w:p>
    <w:p w14:paraId="34C0C3C2" w14:textId="663CC3EA" w:rsidR="006C57CA" w:rsidRPr="00C2098E" w:rsidRDefault="00A734E2" w:rsidP="00963766">
      <w:pPr>
        <w:pStyle w:val="Heading3"/>
      </w:pPr>
      <w:bookmarkStart w:id="70" w:name="_Toc238675512"/>
      <w:r w:rsidRPr="00C2098E">
        <w:t>4.</w:t>
      </w:r>
      <w:r w:rsidR="00D5083B">
        <w:t>8</w:t>
      </w:r>
      <w:r w:rsidRPr="00C2098E">
        <w:t xml:space="preserve">.1 </w:t>
      </w:r>
      <w:r w:rsidR="006C57CA" w:rsidRPr="00C2098E">
        <w:t>Market penetration (existing product, existing markets)</w:t>
      </w:r>
      <w:bookmarkEnd w:id="70"/>
    </w:p>
    <w:p w14:paraId="6222AA70" w14:textId="77777777" w:rsidR="006C57CA" w:rsidRPr="00C2098E" w:rsidRDefault="006C57CA" w:rsidP="006C57CA">
      <w:r w:rsidRPr="00C2098E">
        <w:t xml:space="preserve">Market penetration boosts sales of existing products in existing markets through pricing, promotions and improved distribution (Ansoff, 1957; Porter, 1985). The UK is the main place where this is relevant for Morrisons, as ‘The Best' is already established and can be expanded through in-store marketing and digital engagement &amp; assortment optimisation (Morrisons, 2023/24; Keller, 2013). Penetration would involve more strongly promoting existing SKUs in </w:t>
      </w:r>
      <w:r w:rsidRPr="00C2098E">
        <w:lastRenderedPageBreak/>
        <w:t>small stores in the GCC, such as Morrisons, in listed stores, with better shelf placement, and improved retailer-app visibility (Morrisons, 2025b; Supermarket News, 2025; Strategy&amp;/PwC, 2024; Bain &amp; Company, 2022). This is secondary to market development in view of the limited GCC footprint.</w:t>
      </w:r>
    </w:p>
    <w:p w14:paraId="66F17708" w14:textId="734595D0" w:rsidR="006C57CA" w:rsidRPr="00C2098E" w:rsidRDefault="00D5083B" w:rsidP="00963766">
      <w:pPr>
        <w:pStyle w:val="Heading3"/>
      </w:pPr>
      <w:bookmarkStart w:id="71" w:name="_Toc238675513"/>
      <w:r w:rsidRPr="00C2098E">
        <w:t>4.</w:t>
      </w:r>
      <w:r>
        <w:t>8</w:t>
      </w:r>
      <w:r w:rsidR="006C57CA" w:rsidRPr="00C2098E">
        <w:t>.2 Market development (existing products, new markets)</w:t>
      </w:r>
      <w:bookmarkEnd w:id="71"/>
    </w:p>
    <w:p w14:paraId="587060C5" w14:textId="561AA6BA" w:rsidR="006C57CA" w:rsidRPr="00C2098E" w:rsidRDefault="006C57CA" w:rsidP="006C57CA">
      <w:r w:rsidRPr="00C2098E">
        <w:t xml:space="preserve">Market development involves selling established and already-tested products into new markets or segments, which involves some risk (Ansoff, 1957; Ansoff, 1989). Here lies the essence of Morrisons' GCC strategy: introducing successful premium ranges to UAE and KSA and appealing to the mid-to-high income population of locals and expatriates (Morrisons, 2023/24; Strategy&amp;/PwC, 2024). PESTEL analysis and competitor analysis confirms this as favourable factors for expansion </w:t>
      </w:r>
      <w:r w:rsidR="00880F51">
        <w:t>because of</w:t>
      </w:r>
      <w:r w:rsidRPr="00C2098E">
        <w:t xml:space="preserve"> improving trade policy, the increased demand for premiumisation and very strong modern retail and ecommerce infrastructure (Alpen Capital, 2025; YouGov, 2024). Adapting the message of distribution, compliance and marketing to GCC conditions while keeping the core British message of quality at value (Kumar and Steenkamp, 2007; Aichner, 2014). This is Morrisons' major approach, where they will be capitalising on their brand architecture in the UK and expanding to the new region (Ansoff, 1957; Strategy&amp;/PwC, 2024).</w:t>
      </w:r>
    </w:p>
    <w:p w14:paraId="6A3D50DD" w14:textId="4BCADA99" w:rsidR="006C57CA" w:rsidRPr="00C2098E" w:rsidRDefault="00D5083B" w:rsidP="00963766">
      <w:pPr>
        <w:pStyle w:val="Heading3"/>
      </w:pPr>
      <w:bookmarkStart w:id="72" w:name="_Toc238675514"/>
      <w:r w:rsidRPr="00C2098E">
        <w:t>4.</w:t>
      </w:r>
      <w:r>
        <w:t>8</w:t>
      </w:r>
      <w:r w:rsidR="006C57CA" w:rsidRPr="00C2098E">
        <w:t>.3 Product development (new products, existing markets)</w:t>
      </w:r>
      <w:bookmarkEnd w:id="72"/>
    </w:p>
    <w:p w14:paraId="4D540C52" w14:textId="733711D4" w:rsidR="006C57CA" w:rsidRPr="00C2098E" w:rsidRDefault="006C57CA" w:rsidP="006C57CA">
      <w:r w:rsidRPr="00C2098E">
        <w:t>Product development involves the creation of new products for current markets, usually to satisfy changes in customer preferences or to target some high-value market segments (Ansoff, 1957; Keller, 2013). Morrisons have already been regularly updating their ‘Best' recipes and SKUs in the UK (Morrisons, 2023/24; Morrisons, 2025a). This might involve customisation of either flavour or packaging, such as adding a local profile of dates, pistachios or local spices, or creating a size that suits the gifting or family sharing culture of the GCC region (Alpen Capital, 2025; GCC Food Market Report, 2026; Leverbrook Export, 2022</w:t>
      </w:r>
      <w:r w:rsidR="0086719F">
        <w:t>a</w:t>
      </w:r>
      <w:r w:rsidRPr="00C2098E">
        <w:t>; Meydan Free Zone, 2026). It should be a secondary strategy that is still based on localisation and not a big push into new products.</w:t>
      </w:r>
    </w:p>
    <w:p w14:paraId="2C697E0E" w14:textId="2AC33512" w:rsidR="006C57CA" w:rsidRPr="00C2098E" w:rsidRDefault="00D5083B" w:rsidP="00963766">
      <w:pPr>
        <w:pStyle w:val="Heading3"/>
      </w:pPr>
      <w:bookmarkStart w:id="73" w:name="_Toc238675515"/>
      <w:r w:rsidRPr="00C2098E">
        <w:t>4.</w:t>
      </w:r>
      <w:r>
        <w:t>8</w:t>
      </w:r>
      <w:r w:rsidR="006C57CA" w:rsidRPr="00C2098E">
        <w:t>.4 Diversification (new products, new markets):</w:t>
      </w:r>
      <w:bookmarkEnd w:id="73"/>
    </w:p>
    <w:p w14:paraId="78A45842" w14:textId="4035EC46" w:rsidR="00DC2AEB" w:rsidRPr="00C83350" w:rsidRDefault="006C57CA">
      <w:r w:rsidRPr="00C2098E">
        <w:t>The quadrant with the greatest risk is diversification</w:t>
      </w:r>
      <w:r w:rsidR="00C83350">
        <w:t>,</w:t>
      </w:r>
      <w:r w:rsidRPr="00C2098E">
        <w:t xml:space="preserve"> new product in new market</w:t>
      </w:r>
      <w:r w:rsidR="00C83350">
        <w:t>,</w:t>
      </w:r>
      <w:r w:rsidRPr="00C2098E">
        <w:t xml:space="preserve"> where new capabilities are needed in the face of high uncertainty, as proposed by Ansoff (1957, 1989). This would represent new, possibly non-food product lines for Morrisons, and GCC entry </w:t>
      </w:r>
      <w:r w:rsidRPr="00C2098E">
        <w:lastRenderedPageBreak/>
        <w:t>(Strategy&amp;/PwC, 2024). At this stage, complete diversification is not recommended as it is a capital-light approach and is looking to utilise current UK assets (Morrisons, 2023/24; Cornelius et al., 2005). The issue is that, with the high levels of competition and the execution issues already associated with market development, there would be no clear additional value with diversification, but an added strain on resources. (Porter, 1985; Trigeorgis, 1996). The focus continues with market development with selective product development, where there is a clear opportunity in the GCC.</w:t>
      </w:r>
    </w:p>
    <w:p w14:paraId="1D439FF4" w14:textId="5AE2C758" w:rsidR="0032015F" w:rsidRPr="00C2098E" w:rsidRDefault="00DE12C1" w:rsidP="00590EC6">
      <w:pPr>
        <w:pStyle w:val="Heading2"/>
        <w:rPr>
          <w:rFonts w:eastAsia="Times New Roman"/>
        </w:rPr>
      </w:pPr>
      <w:bookmarkStart w:id="74" w:name="_Toc238675516"/>
      <w:r w:rsidRPr="00C2098E">
        <w:rPr>
          <w:rFonts w:eastAsia="Times New Roman"/>
        </w:rPr>
        <w:t>4.</w:t>
      </w:r>
      <w:r w:rsidR="00D5083B">
        <w:rPr>
          <w:rFonts w:eastAsia="Times New Roman"/>
        </w:rPr>
        <w:t>9</w:t>
      </w:r>
      <w:r w:rsidR="0032015F" w:rsidRPr="00C2098E">
        <w:rPr>
          <w:rFonts w:eastAsia="Times New Roman"/>
        </w:rPr>
        <w:t xml:space="preserve"> Overall Strategic Analysis: How the Models Look for Morrisons' GCC Expansion</w:t>
      </w:r>
      <w:bookmarkEnd w:id="74"/>
    </w:p>
    <w:p w14:paraId="1B66E4A9" w14:textId="1226528A" w:rsidR="00654649" w:rsidRDefault="00654649" w:rsidP="00654649">
      <w:r>
        <w:t>Overall, using PESTEL, SWOT, Competitor Analysis</w:t>
      </w:r>
      <w:r w:rsidR="003736B1">
        <w:t>,</w:t>
      </w:r>
      <w:r>
        <w:t xml:space="preserve"> Porter's Five Forces alongside the Ansoff Matrix, Morrisons' "The Best" entry into UAE and KSA appears to be a strategic move with its potential difficulties:</w:t>
      </w:r>
    </w:p>
    <w:p w14:paraId="555EF3AC" w14:textId="0E9DE975" w:rsidR="00654649" w:rsidRDefault="00654649" w:rsidP="00CE4773">
      <w:pPr>
        <w:pStyle w:val="ListParagraph"/>
        <w:numPr>
          <w:ilvl w:val="0"/>
          <w:numId w:val="25"/>
        </w:numPr>
      </w:pPr>
      <w:r>
        <w:t>Overall, the macro environment is favourable as per PESTEL (UK Government, 2026a; Alpen Capital, 2025) with supportive UK-GCC FTA trade policy, increasing incomes and premiumisation, a strong demand for imported brands, and evolving retail and e-commerce infrastructure, which are counterbalanced by regulatory, environmental and economic cyclicality that necessitates scenario planning (Cornelius et al., 2005; WTA Group, 2025).</w:t>
      </w:r>
    </w:p>
    <w:p w14:paraId="36B6E3E1" w14:textId="16107F97" w:rsidR="00654649" w:rsidRDefault="00654649" w:rsidP="00CE4773">
      <w:pPr>
        <w:pStyle w:val="ListParagraph"/>
        <w:numPr>
          <w:ilvl w:val="0"/>
          <w:numId w:val="25"/>
        </w:numPr>
      </w:pPr>
      <w:r>
        <w:t>SWOT identifies that UK vertical integration, export relationships and brand architecture are strengths, while GCC brand awareness, data visibility and partner reliance (Morrisons, 2023/24; Bain &amp; Company, 2022) are weaknesses. Opportunities include premiumisation, digital grocery growth and sustainability differentiation, while threats include high competition, a high buyer power and regulatory risks (YouGov, 2024; Strategy&amp;/PwC, 2024).</w:t>
      </w:r>
    </w:p>
    <w:p w14:paraId="2150F2C6" w14:textId="728D387E" w:rsidR="00654649" w:rsidRDefault="00654649" w:rsidP="00CE4773">
      <w:pPr>
        <w:pStyle w:val="ListParagraph"/>
        <w:numPr>
          <w:ilvl w:val="0"/>
          <w:numId w:val="25"/>
        </w:numPr>
      </w:pPr>
      <w:r>
        <w:t>Research on competitors reveals that there are many competitors including global competitors, local manufacturers, and retailer private labels (YouGov, 2024; Gulf Business, 2024), which necessitates the creation of a unique niche for Morrisons in the British premium market to distinguish itself from other brands and products.</w:t>
      </w:r>
    </w:p>
    <w:p w14:paraId="397E6D12" w14:textId="3B74B784" w:rsidR="00654649" w:rsidRDefault="00654649" w:rsidP="00CE4773">
      <w:pPr>
        <w:pStyle w:val="ListParagraph"/>
        <w:numPr>
          <w:ilvl w:val="0"/>
          <w:numId w:val="25"/>
        </w:numPr>
      </w:pPr>
      <w:r>
        <w:t>Porter's Five Forces suggest that rivalry is high, buyer power is high and strong substitute threat, while supplier power and new entrants</w:t>
      </w:r>
      <w:r w:rsidR="003736B1">
        <w:t>’</w:t>
      </w:r>
      <w:r>
        <w:t xml:space="preserve"> pressure is moderate – a structurally challenging industry for above-average returns (Porter, 1985; Strategy&amp;/PwC, 2024), where success requires differentiation, retailer cooperation, cost discipline and focused targeting instead of broad expansion (Parnell, 2010; Trigeorgis, 1996).</w:t>
      </w:r>
    </w:p>
    <w:p w14:paraId="6ACFFC80" w14:textId="07F40436" w:rsidR="00B15414" w:rsidRDefault="00654649" w:rsidP="00E838E2">
      <w:r>
        <w:lastRenderedPageBreak/>
        <w:t xml:space="preserve">The combined models indicate that Morrisons' GCC expansion can be a successful, yet challenging, </w:t>
      </w:r>
      <w:r w:rsidR="00CE4773">
        <w:t>endeavour</w:t>
      </w:r>
      <w:r>
        <w:t xml:space="preserve">, as the external environment and internal capabilities are </w:t>
      </w:r>
      <w:r w:rsidR="00CE4773">
        <w:t>favourable</w:t>
      </w:r>
      <w:r>
        <w:t xml:space="preserve"> and a market development strategy that targets existing market segments can be successful, provided there is careful planning, strong partnerships and an attitude to continuous learning (Cornelius et al., 2005; Porter, 1985).</w:t>
      </w:r>
    </w:p>
    <w:p w14:paraId="3B293F75" w14:textId="3BA443E4" w:rsidR="00DF2720" w:rsidRPr="00DF2720" w:rsidRDefault="003736B1" w:rsidP="00DF2720">
      <w:pPr>
        <w:pStyle w:val="Heading1"/>
        <w:numPr>
          <w:ilvl w:val="0"/>
          <w:numId w:val="10"/>
        </w:numPr>
      </w:pPr>
      <w:bookmarkStart w:id="75" w:name="_Toc238675517"/>
      <w:r>
        <w:t>Implementation Plan</w:t>
      </w:r>
      <w:bookmarkEnd w:id="75"/>
    </w:p>
    <w:p w14:paraId="25725E7B" w14:textId="4C34C6E4" w:rsidR="00236EB0" w:rsidRDefault="003736B1" w:rsidP="00590EC6">
      <w:pPr>
        <w:pStyle w:val="Heading2"/>
      </w:pPr>
      <w:bookmarkStart w:id="76" w:name="_Toc238675518"/>
      <w:r>
        <w:t>5</w:t>
      </w:r>
      <w:r w:rsidR="00236EB0" w:rsidRPr="00C2098E">
        <w:t>.</w:t>
      </w:r>
      <w:r>
        <w:t>1</w:t>
      </w:r>
      <w:r w:rsidR="00236EB0" w:rsidRPr="00C2098E">
        <w:t xml:space="preserve"> Business Model Canvas</w:t>
      </w:r>
      <w:bookmarkEnd w:id="76"/>
    </w:p>
    <w:p w14:paraId="1FBF0613" w14:textId="64115186" w:rsidR="00153ABA" w:rsidRPr="00153ABA" w:rsidRDefault="00153ABA" w:rsidP="00963766">
      <w:pPr>
        <w:pStyle w:val="Heading3"/>
      </w:pPr>
      <w:bookmarkStart w:id="77" w:name="_Toc238675519"/>
      <w:r>
        <w:t>5.1.1 Key Partners</w:t>
      </w:r>
      <w:bookmarkEnd w:id="77"/>
    </w:p>
    <w:p w14:paraId="7268478D" w14:textId="1984C99A" w:rsidR="00463F0F" w:rsidRPr="00C2098E" w:rsidRDefault="00463F0F" w:rsidP="00463F0F">
      <w:pPr>
        <w:keepNext/>
      </w:pPr>
      <w:r w:rsidRPr="00C2098E">
        <w:rPr>
          <w:noProof/>
        </w:rPr>
        <w:drawing>
          <wp:anchor distT="0" distB="0" distL="114300" distR="114300" simplePos="0" relativeHeight="251659264" behindDoc="0" locked="0" layoutInCell="1" allowOverlap="1" wp14:anchorId="4FBF8E69" wp14:editId="02C73E7F">
            <wp:simplePos x="0" y="0"/>
            <wp:positionH relativeFrom="column">
              <wp:posOffset>3971925</wp:posOffset>
            </wp:positionH>
            <wp:positionV relativeFrom="paragraph">
              <wp:posOffset>1545590</wp:posOffset>
            </wp:positionV>
            <wp:extent cx="1545590" cy="12763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545590" cy="1276350"/>
                    </a:xfrm>
                    <a:prstGeom prst="rect">
                      <a:avLst/>
                    </a:prstGeom>
                  </pic:spPr>
                </pic:pic>
              </a:graphicData>
            </a:graphic>
          </wp:anchor>
        </w:drawing>
      </w:r>
      <w:r w:rsidRPr="00C2098E">
        <w:rPr>
          <w:noProof/>
        </w:rPr>
        <w:drawing>
          <wp:inline distT="0" distB="0" distL="0" distR="0" wp14:anchorId="30B53447" wp14:editId="32A34CBB">
            <wp:extent cx="1543050" cy="1539341"/>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49368" cy="1545643"/>
                    </a:xfrm>
                    <a:prstGeom prst="rect">
                      <a:avLst/>
                    </a:prstGeom>
                  </pic:spPr>
                </pic:pic>
              </a:graphicData>
            </a:graphic>
          </wp:inline>
        </w:drawing>
      </w:r>
      <w:r w:rsidRPr="00C2098E">
        <w:rPr>
          <w:noProof/>
        </w:rPr>
        <w:t xml:space="preserve"> </w:t>
      </w:r>
      <w:r w:rsidRPr="00C2098E">
        <w:rPr>
          <w:noProof/>
        </w:rPr>
        <w:drawing>
          <wp:inline distT="0" distB="0" distL="0" distR="0" wp14:anchorId="3DC3709C" wp14:editId="0DC3DFE0">
            <wp:extent cx="1962150" cy="15096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008214" cy="1545087"/>
                    </a:xfrm>
                    <a:prstGeom prst="rect">
                      <a:avLst/>
                    </a:prstGeom>
                  </pic:spPr>
                </pic:pic>
              </a:graphicData>
            </a:graphic>
          </wp:inline>
        </w:drawing>
      </w:r>
      <w:r w:rsidRPr="00C2098E">
        <w:rPr>
          <w:noProof/>
        </w:rPr>
        <w:t xml:space="preserve"> </w:t>
      </w:r>
      <w:r w:rsidRPr="00C2098E">
        <w:rPr>
          <w:noProof/>
        </w:rPr>
        <w:drawing>
          <wp:inline distT="0" distB="0" distL="0" distR="0" wp14:anchorId="2E7047A1" wp14:editId="2478A842">
            <wp:extent cx="2409825" cy="11073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20979" cy="1112498"/>
                    </a:xfrm>
                    <a:prstGeom prst="rect">
                      <a:avLst/>
                    </a:prstGeom>
                  </pic:spPr>
                </pic:pic>
              </a:graphicData>
            </a:graphic>
          </wp:inline>
        </w:drawing>
      </w:r>
    </w:p>
    <w:p w14:paraId="16FC918B" w14:textId="1D7F1A64" w:rsidR="00463F0F" w:rsidRPr="00C2098E" w:rsidRDefault="00463F0F" w:rsidP="00463F0F">
      <w:pPr>
        <w:pStyle w:val="Caption"/>
        <w:jc w:val="center"/>
        <w:rPr>
          <w:b/>
          <w:bCs/>
          <w:i w:val="0"/>
          <w:iCs w:val="0"/>
          <w:color w:val="auto"/>
        </w:rPr>
      </w:pPr>
      <w:bookmarkStart w:id="78" w:name="_Toc237906748"/>
      <w:bookmarkStart w:id="79" w:name="_Toc238674410"/>
      <w:bookmarkStart w:id="80" w:name="_Toc238674429"/>
      <w:r w:rsidRPr="00C2098E">
        <w:rPr>
          <w:b/>
          <w:bCs/>
          <w:i w:val="0"/>
          <w:iCs w:val="0"/>
          <w:color w:val="auto"/>
        </w:rPr>
        <w:t xml:space="preserve">Figure </w:t>
      </w:r>
      <w:r w:rsidRPr="00C2098E">
        <w:rPr>
          <w:b/>
          <w:bCs/>
          <w:i w:val="0"/>
          <w:iCs w:val="0"/>
          <w:color w:val="auto"/>
        </w:rPr>
        <w:fldChar w:fldCharType="begin"/>
      </w:r>
      <w:r w:rsidRPr="00C2098E">
        <w:rPr>
          <w:b/>
          <w:bCs/>
          <w:i w:val="0"/>
          <w:iCs w:val="0"/>
          <w:color w:val="auto"/>
        </w:rPr>
        <w:instrText xml:space="preserve"> SEQ Figure \* ARABIC </w:instrText>
      </w:r>
      <w:r w:rsidRPr="00C2098E">
        <w:rPr>
          <w:b/>
          <w:bCs/>
          <w:i w:val="0"/>
          <w:iCs w:val="0"/>
          <w:color w:val="auto"/>
        </w:rPr>
        <w:fldChar w:fldCharType="separate"/>
      </w:r>
      <w:r w:rsidR="00EF0D6A">
        <w:rPr>
          <w:b/>
          <w:bCs/>
          <w:i w:val="0"/>
          <w:iCs w:val="0"/>
          <w:noProof/>
          <w:color w:val="auto"/>
        </w:rPr>
        <w:t>4</w:t>
      </w:r>
      <w:r w:rsidRPr="00C2098E">
        <w:rPr>
          <w:b/>
          <w:bCs/>
          <w:i w:val="0"/>
          <w:iCs w:val="0"/>
          <w:color w:val="auto"/>
        </w:rPr>
        <w:fldChar w:fldCharType="end"/>
      </w:r>
      <w:r w:rsidRPr="00C2098E">
        <w:rPr>
          <w:b/>
          <w:bCs/>
          <w:i w:val="0"/>
          <w:iCs w:val="0"/>
          <w:color w:val="auto"/>
        </w:rPr>
        <w:t xml:space="preserve"> Strategic partners for Morrison’s "The Best"</w:t>
      </w:r>
      <w:bookmarkEnd w:id="78"/>
      <w:bookmarkEnd w:id="79"/>
      <w:bookmarkEnd w:id="80"/>
    </w:p>
    <w:p w14:paraId="300EFA68" w14:textId="4AF0E767" w:rsidR="00153ABA" w:rsidRPr="00153ABA" w:rsidRDefault="00153ABA" w:rsidP="00153ABA">
      <w:r w:rsidRPr="00153ABA">
        <w:t>Partnerships are central to "The Best" business model (Johanson and Vahlne, 2009; Root, 1994). Lulu Retail Group and its sourcing/packing arm Y International are the main regional partners, distributing Morrisons products to around 260 Lulu outlets across UAE and Saudi Arabia (Morrisons, 2025; Supermarket News, 2025). Other potential retail and e-commerce partners include Carrefour (Strategy&amp;/PwC, 2024), Panda and Tamimi in-store, and Noon and Kibsons online (Noon, 2025; Kibsons, 2026</w:t>
      </w:r>
      <w:r w:rsidR="000C0F8B">
        <w:t>b</w:t>
      </w:r>
      <w:r w:rsidRPr="00153ABA">
        <w:t xml:space="preserve">), enabling simultaneous presence across hypermarkets, supermarkets and online grocery (Bain &amp; Company, 2022; Strategy&amp;/PwC, 2024). Logistics companies and export agents also support shipping, customs clearance and compliance, including Arabic labelling and halal certification (WTA, 2025; Source International, 2026). This network-based approach mirrors the revised Uppsala model, using </w:t>
      </w:r>
      <w:r w:rsidRPr="00153ABA">
        <w:lastRenderedPageBreak/>
        <w:t>existing relationships to reduce liability of outsidership and capital risk in market entry (Johanson and Vahlne, 2009; Hill et al., 1990).</w:t>
      </w:r>
    </w:p>
    <w:p w14:paraId="49A93E2C" w14:textId="13C65CE5" w:rsidR="00153ABA" w:rsidRPr="00153ABA" w:rsidRDefault="00153ABA" w:rsidP="00963766">
      <w:pPr>
        <w:pStyle w:val="Heading3"/>
      </w:pPr>
      <w:bookmarkStart w:id="81" w:name="_Toc238675520"/>
      <w:r>
        <w:t>5</w:t>
      </w:r>
      <w:r w:rsidRPr="00C2098E">
        <w:t>.</w:t>
      </w:r>
      <w:r>
        <w:t>1</w:t>
      </w:r>
      <w:r w:rsidRPr="00153ABA">
        <w:t>.2 Key Activities</w:t>
      </w:r>
      <w:bookmarkEnd w:id="81"/>
    </w:p>
    <w:p w14:paraId="7CC30861" w14:textId="77777777" w:rsidR="00153ABA" w:rsidRPr="00153ABA" w:rsidRDefault="00153ABA" w:rsidP="00153ABA">
      <w:r w:rsidRPr="00153ABA">
        <w:t>Four activities underpin GCC expansion. First, UK-based sourcing and manufacturing through Morrisons' vertically integrated plants, abattoirs and pack houses maintains "The Best" quality and supply reliability — a differentiator versus competitors (Morrisons, 2025a; Myton Food Group, 2024; Morrisons, 2026). Second, export logistics and compliance — shipping, documentation, Arabic packaging, nutritional panels and halal certification — is managed with Y International and specialist partners to prevent border delays or rejections (WTA, 2025; Source International, 2026). Third, category management and joint business planning with GCC retailers covers SKU selection, pricing, shelf positioning and promotions, critical in a competitive biscuit/confectionery category dominated by global brands (Strategy&amp;/PwC, 2024; Bain &amp; Company, 2022; YouGov, 2024; Alpen Capital, 2025). Fourth, brand development and marketing — in-store theatre, British Food Festivals, sampling and digital campaigns — translates the UK "affordable luxury" positioning into a story that resonates with UAE/KSA consumers (Morrisons, 2025b; UK Government, 2017; Aichner, 2014; Keller, 2013).</w:t>
      </w:r>
    </w:p>
    <w:p w14:paraId="61256EBE" w14:textId="3B0BFB9F" w:rsidR="00153ABA" w:rsidRPr="00153ABA" w:rsidRDefault="00153ABA" w:rsidP="00963766">
      <w:pPr>
        <w:pStyle w:val="Heading3"/>
      </w:pPr>
      <w:bookmarkStart w:id="82" w:name="_Toc238675521"/>
      <w:r>
        <w:t>5</w:t>
      </w:r>
      <w:r w:rsidRPr="00C2098E">
        <w:t>.</w:t>
      </w:r>
      <w:r>
        <w:t>1</w:t>
      </w:r>
      <w:r w:rsidRPr="00153ABA">
        <w:t>.3 Key Resources</w:t>
      </w:r>
      <w:bookmarkEnd w:id="82"/>
    </w:p>
    <w:p w14:paraId="74165273" w14:textId="77777777" w:rsidR="00153ABA" w:rsidRPr="00153ABA" w:rsidRDefault="00153ABA" w:rsidP="00153ABA">
      <w:r w:rsidRPr="00153ABA">
        <w:t>Strong brand equity and product development capability let Morrisons create standout recipes and packaging versus value lines and competitor labels (Morrisons, 2025a; Kumar and Steenkamp, 2007). A dedicated wholesale/export team and existing GCC sales data support category performance analysis, repeat-purchase tracking and assortment gap identification (Morrisons, 2022; Morrisons, 2025a). Strategically, these resources enable a hybrid competitive approach — differentiating on quality, provenance and branding while retaining some cost advantage versus global manufacturer brands (Porter, 1985; Parnell, 2010).</w:t>
      </w:r>
    </w:p>
    <w:p w14:paraId="17660768" w14:textId="015B1698" w:rsidR="00153ABA" w:rsidRPr="00153ABA" w:rsidRDefault="00153ABA" w:rsidP="00963766">
      <w:pPr>
        <w:pStyle w:val="Heading3"/>
      </w:pPr>
      <w:bookmarkStart w:id="83" w:name="_Toc238675522"/>
      <w:r>
        <w:t>5</w:t>
      </w:r>
      <w:r w:rsidRPr="00C2098E">
        <w:t>.</w:t>
      </w:r>
      <w:r>
        <w:t>1</w:t>
      </w:r>
      <w:r w:rsidRPr="00153ABA">
        <w:t>.4 Value Proposition</w:t>
      </w:r>
      <w:bookmarkEnd w:id="83"/>
    </w:p>
    <w:p w14:paraId="4036DD8C" w14:textId="22B3EDB9" w:rsidR="00153ABA" w:rsidRPr="00153ABA" w:rsidRDefault="00153ABA" w:rsidP="00153ABA">
      <w:r w:rsidRPr="00153ABA">
        <w:t xml:space="preserve">For consumers, "The Best" offers premium British supermarket quality — restaurant-inspired recipes at accessible prices, meeting demand for quality imports at a competitive price versus ultra-luxury brands (Morrisons, 2025a; YouGov, 2024; Alpen Capital, 2025; GCC Food Market Report, 2026). For retailers, Morrisons offers a broad, reliable range of British grocery products with strong sourcing standards, differentiating it from other global brands in the GCC </w:t>
      </w:r>
      <w:r w:rsidRPr="00153ABA">
        <w:lastRenderedPageBreak/>
        <w:t>partner mix (Morrisons, 2022; Leverbrook Export, 2022</w:t>
      </w:r>
      <w:r w:rsidR="0086719F">
        <w:t>a</w:t>
      </w:r>
      <w:r w:rsidRPr="00153ABA">
        <w:t>). Together, consumer indulgence and retailer reliability position "The Best" as a credible premium private label within the premiumisation trend (Kumar and Steenkamp, 2007; Burt and Sparks, 2002).</w:t>
      </w:r>
    </w:p>
    <w:p w14:paraId="13DE299D" w14:textId="56023FB0" w:rsidR="00153ABA" w:rsidRPr="00153ABA" w:rsidRDefault="00153ABA" w:rsidP="00963766">
      <w:pPr>
        <w:pStyle w:val="Heading3"/>
      </w:pPr>
      <w:bookmarkStart w:id="84" w:name="_Toc238675523"/>
      <w:r>
        <w:t>5</w:t>
      </w:r>
      <w:r w:rsidRPr="00C2098E">
        <w:t>.</w:t>
      </w:r>
      <w:r>
        <w:t>1</w:t>
      </w:r>
      <w:r w:rsidRPr="00153ABA">
        <w:t>.5 Customer Relationships</w:t>
      </w:r>
      <w:bookmarkEnd w:id="84"/>
    </w:p>
    <w:p w14:paraId="4CEF3923" w14:textId="77777777" w:rsidR="00153ABA" w:rsidRPr="00153ABA" w:rsidRDefault="00153ABA" w:rsidP="00153ABA">
      <w:r w:rsidRPr="00153ABA">
        <w:t>Two relationship types apply. At B2B level, Morrisons engages retailers and distributors through joint category planning, promotions and business reviews — key to securing shelf space and managing stock (Morrisons, 2022; Strategy&amp;/PwC, 2024). At B2C level, consumer engagement runs through in-store displays, sampling, British Food Festivals and digital activity on retailer apps and social media (Morrisons, 2025b; UK Government, 2017). This dual structure aligns with retail brand theory, which holds that premium private labels need both strong upstream retailer relationships and consistent downstream consumer engagement (Burt and Sparks, 2002; Keller, 2013).</w:t>
      </w:r>
    </w:p>
    <w:p w14:paraId="106FCA09" w14:textId="6C038ADC" w:rsidR="00153ABA" w:rsidRPr="00153ABA" w:rsidRDefault="00153ABA" w:rsidP="00963766">
      <w:pPr>
        <w:pStyle w:val="Heading3"/>
      </w:pPr>
      <w:bookmarkStart w:id="85" w:name="_Toc238675524"/>
      <w:r>
        <w:t>5</w:t>
      </w:r>
      <w:r w:rsidRPr="00C2098E">
        <w:t>.</w:t>
      </w:r>
      <w:r>
        <w:t>1</w:t>
      </w:r>
      <w:r w:rsidRPr="00153ABA">
        <w:t>.6 Channels</w:t>
      </w:r>
      <w:bookmarkEnd w:id="85"/>
    </w:p>
    <w:p w14:paraId="2BA67856" w14:textId="127C5060" w:rsidR="00153ABA" w:rsidRPr="00153ABA" w:rsidRDefault="00153ABA" w:rsidP="00153ABA">
      <w:r w:rsidRPr="00153ABA">
        <w:t>Channels include GCC hypermarkets and supermarkets — mainly Lulu, with potential expansion to other top UAE/KSA chains (Morrisons, 2025b; Strategy&amp;/PwC, 2024) — and online grocery platforms including Noon and Kibsons (Noon, 2025; Kibsons, 2026</w:t>
      </w:r>
      <w:r w:rsidR="000C0F8B">
        <w:t>a</w:t>
      </w:r>
      <w:r w:rsidRPr="00153ABA">
        <w:t>; Stratrich Consulting, 2024). In-store channels offer high footfall and visibility (Morrisons, 2025b; Supermarket News, 2025), while online channels reach digitally-savvy shoppers and delivery-preferring expatriates with richer product content (Bain &amp; Company, 2022; Stratrich Consulting, 2024).</w:t>
      </w:r>
    </w:p>
    <w:p w14:paraId="2C635682" w14:textId="5B75D56C" w:rsidR="00153ABA" w:rsidRPr="00153ABA" w:rsidRDefault="00153ABA" w:rsidP="00963766">
      <w:pPr>
        <w:pStyle w:val="Heading3"/>
      </w:pPr>
      <w:bookmarkStart w:id="86" w:name="_Toc238675525"/>
      <w:r>
        <w:t>5</w:t>
      </w:r>
      <w:r w:rsidRPr="00C2098E">
        <w:t>.</w:t>
      </w:r>
      <w:r>
        <w:t>1</w:t>
      </w:r>
      <w:r w:rsidRPr="00153ABA">
        <w:t>.7 Customer Segments</w:t>
      </w:r>
      <w:bookmarkEnd w:id="86"/>
    </w:p>
    <w:p w14:paraId="79FA75D7" w14:textId="77777777" w:rsidR="00153ABA" w:rsidRPr="00153ABA" w:rsidRDefault="00153ABA" w:rsidP="00153ABA">
      <w:r w:rsidRPr="00153ABA">
        <w:t>Two core segments exist: GCC retailers and distributors who purchase wholesale for resale (Morrisons, 2022; WTA, 2025), and end consumers — mid-to-high income residents and expatriates with an existing affinity for foreign snacks in modern retail settings (Bain &amp; Company, 2022; YouGov, 2024). This fits the premiumisation trend, with higher-income consumers valuing British origin and indulgence, and expatriates drawn to familiar UK brands (Alpen Capital, 2025; Meydan Free Zone, 2026).</w:t>
      </w:r>
    </w:p>
    <w:p w14:paraId="1887B74A" w14:textId="06B7136A" w:rsidR="00153ABA" w:rsidRPr="00153ABA" w:rsidRDefault="00153ABA" w:rsidP="00963766">
      <w:pPr>
        <w:pStyle w:val="Heading3"/>
      </w:pPr>
      <w:bookmarkStart w:id="87" w:name="_Toc238675526"/>
      <w:r>
        <w:t>5</w:t>
      </w:r>
      <w:r w:rsidRPr="00C2098E">
        <w:t>.</w:t>
      </w:r>
      <w:r>
        <w:t>1</w:t>
      </w:r>
      <w:r w:rsidRPr="00153ABA">
        <w:t>.8 Cost Structure</w:t>
      </w:r>
      <w:bookmarkEnd w:id="87"/>
    </w:p>
    <w:p w14:paraId="298F40DD" w14:textId="77777777" w:rsidR="00153ABA" w:rsidRPr="00153ABA" w:rsidRDefault="00153ABA" w:rsidP="00153ABA">
      <w:r w:rsidRPr="00153ABA">
        <w:t xml:space="preserve">Main costs are UK manufacturing and sourcing, including ingredients and labour (Morrisons, 2025a; Myton Food Group, 2024); export logistics, duties and compliance, including Arabic </w:t>
      </w:r>
      <w:r w:rsidRPr="00153ABA">
        <w:lastRenderedPageBreak/>
        <w:t>labelling and halal certification (WTA, 2025; Source International, 2026); and marketing/promotional investment across store displays, festivals, sampling and digital activity (Morrisons, 2025b; Strategy&amp;/PwC, 2024). While the capital-light model avoids store investment, variable logistics and promotional costs still require close management to protect margins (Damodaran, 2012; Trigeorgis, 1996).</w:t>
      </w:r>
    </w:p>
    <w:p w14:paraId="77B833DA" w14:textId="6C3B9098" w:rsidR="00153ABA" w:rsidRPr="00153ABA" w:rsidRDefault="00153ABA" w:rsidP="00963766">
      <w:pPr>
        <w:pStyle w:val="Heading3"/>
      </w:pPr>
      <w:bookmarkStart w:id="88" w:name="_Toc238675527"/>
      <w:r>
        <w:t>5</w:t>
      </w:r>
      <w:r w:rsidRPr="00C2098E">
        <w:t>.</w:t>
      </w:r>
      <w:r>
        <w:t>1</w:t>
      </w:r>
      <w:r w:rsidRPr="00153ABA">
        <w:t>.9 Revenue Streams</w:t>
      </w:r>
      <w:bookmarkEnd w:id="88"/>
    </w:p>
    <w:p w14:paraId="70AA1CAA" w14:textId="46242839" w:rsidR="00153ABA" w:rsidRPr="00153ABA" w:rsidRDefault="00153ABA" w:rsidP="00153ABA">
      <w:r w:rsidRPr="00153ABA">
        <w:t>Revenue comes primarily from wholesale sales of "The Best" and complementary lines to GCC retailers (Morrisons, 2022; Morrisons, 2025a), with incremental growth expected from range extension and online platform penetration (Noon, 2025; Kibsons, 2026</w:t>
      </w:r>
      <w:r w:rsidR="000C0F8B">
        <w:t>b</w:t>
      </w:r>
      <w:r w:rsidRPr="00153ABA">
        <w:t>). Though small relative to group EBITDA, this revenue is strategically valuable if sustained, offering learning in internationalisation and premium positioning (Cornelius et al., 2005; Trigeorgis, 1996).</w:t>
      </w:r>
    </w:p>
    <w:p w14:paraId="491AAA4E" w14:textId="6F58E53E" w:rsidR="00153ABA" w:rsidRPr="00153ABA" w:rsidRDefault="00153ABA" w:rsidP="00963766">
      <w:pPr>
        <w:pStyle w:val="Heading3"/>
      </w:pPr>
      <w:bookmarkStart w:id="89" w:name="_Toc238675528"/>
      <w:r>
        <w:t>5</w:t>
      </w:r>
      <w:r w:rsidRPr="00C2098E">
        <w:t>.</w:t>
      </w:r>
      <w:r>
        <w:t>1</w:t>
      </w:r>
      <w:r w:rsidRPr="00153ABA">
        <w:t>.10 Interpretation and Improvement Areas</w:t>
      </w:r>
      <w:bookmarkEnd w:id="89"/>
    </w:p>
    <w:p w14:paraId="6FF8A247" w14:textId="39E18A8D" w:rsidR="00153ABA" w:rsidRDefault="00153ABA" w:rsidP="00153ABA">
      <w:r w:rsidRPr="00153ABA">
        <w:t>Overall, Morrisons' current GCC model is a B2B wholesale approach with "The Best" as an underleveraged premium sub-brand (Morrisons, 2025b; Strategy&amp;/PwC, 2024). Key improvements include: strengthening the value proposition and customer relationships around a defined premium strategy rather than generic export (Kumar and Steenkamp, 2007; Keller, 2013); increasing emotionally-driven brand marketing around "authentic British indulgence" and "restaurant quality treats at home" (Porter, 1985; Burt and Sparks, 2002); and expanding online engagement through richer product pages and targeted campaigns on Noon, Kibsons and retailer apps (Stratrich Consulting, 2024; Bain &amp; Company, 2022). The core opportunity is shifting from opportunistic export to a structured regional brand strategy, with "The Best" as the UAE/KSA growth driver while retaining the capital-light wholesale model (Johanson and Vahlne, 2009; Trigeorgis, 1996).</w:t>
      </w:r>
    </w:p>
    <w:p w14:paraId="6AA3F75F" w14:textId="399481D8" w:rsidR="00C115DF" w:rsidRPr="003F5820" w:rsidRDefault="00C115DF" w:rsidP="00590EC6">
      <w:pPr>
        <w:pStyle w:val="Heading2"/>
      </w:pPr>
      <w:bookmarkStart w:id="90" w:name="_Toc237690669"/>
      <w:bookmarkStart w:id="91" w:name="_Toc238675529"/>
      <w:r>
        <w:t xml:space="preserve">5.2 </w:t>
      </w:r>
      <w:r w:rsidRPr="003F5820">
        <w:t xml:space="preserve">HR </w:t>
      </w:r>
      <w:r w:rsidR="00293325" w:rsidRPr="003F5820">
        <w:t>Allocation and Role Design</w:t>
      </w:r>
      <w:bookmarkEnd w:id="90"/>
      <w:bookmarkEnd w:id="91"/>
    </w:p>
    <w:p w14:paraId="2F55F7CA" w14:textId="05239602" w:rsidR="00C115DF" w:rsidRPr="00DC2964" w:rsidRDefault="00242F78" w:rsidP="00963766">
      <w:pPr>
        <w:pStyle w:val="Heading3"/>
      </w:pPr>
      <w:bookmarkStart w:id="92" w:name="_Toc237690670"/>
      <w:bookmarkStart w:id="93" w:name="_Toc238675530"/>
      <w:r>
        <w:t xml:space="preserve">5.2.1 </w:t>
      </w:r>
      <w:r w:rsidR="00C115DF" w:rsidRPr="00DC2964">
        <w:t>Designate a GCC Category Manager for “The Best”</w:t>
      </w:r>
      <w:bookmarkEnd w:id="92"/>
      <w:bookmarkEnd w:id="93"/>
    </w:p>
    <w:p w14:paraId="100FD907" w14:textId="77777777" w:rsidR="00C115DF" w:rsidRPr="003F5820" w:rsidRDefault="00C115DF" w:rsidP="00C115DF">
      <w:r w:rsidRPr="003F5820">
        <w:t>Morrisons needs to appoint a Category Manager to look after “The Best” range with a focus on the GCC market. This position will be responsible for:</w:t>
      </w:r>
    </w:p>
    <w:p w14:paraId="4B059073" w14:textId="77777777" w:rsidR="00C115DF" w:rsidRPr="003F5820" w:rsidRDefault="00C115DF" w:rsidP="00C115DF">
      <w:pPr>
        <w:pStyle w:val="ListParagraph"/>
        <w:numPr>
          <w:ilvl w:val="0"/>
          <w:numId w:val="11"/>
        </w:numPr>
      </w:pPr>
      <w:r w:rsidRPr="003F5820">
        <w:t>Creating GCC assortments for “The Best” biscuits and confectionery, using local preferences and sales data (Alpen Capital, 2025; GCC Food Market Report, 2026).</w:t>
      </w:r>
    </w:p>
    <w:p w14:paraId="2F835A61" w14:textId="77777777" w:rsidR="00C115DF" w:rsidRPr="003F5820" w:rsidRDefault="00C115DF" w:rsidP="00C115DF">
      <w:pPr>
        <w:pStyle w:val="ListParagraph"/>
        <w:numPr>
          <w:ilvl w:val="0"/>
          <w:numId w:val="11"/>
        </w:numPr>
      </w:pPr>
      <w:r w:rsidRPr="003F5820">
        <w:lastRenderedPageBreak/>
        <w:t>Establishing pricing policies and promotional strategies jointly with the retailers and maintaining the ‘premium but accessible' positioning (Kumar and Steenkamp, 2007; Porter, 1985).</w:t>
      </w:r>
    </w:p>
    <w:p w14:paraId="5D2F0378" w14:textId="77777777" w:rsidR="00C115DF" w:rsidRPr="003F5820" w:rsidRDefault="00C115DF" w:rsidP="00C115DF">
      <w:pPr>
        <w:pStyle w:val="ListParagraph"/>
        <w:numPr>
          <w:ilvl w:val="0"/>
          <w:numId w:val="11"/>
        </w:numPr>
      </w:pPr>
      <w:r w:rsidRPr="003F5820">
        <w:t>Monitoring the performance of each SKU and suggest modifications to the product line or marketing efforts (Bain &amp; Company, 2022; Cornelius et al., 2005).</w:t>
      </w:r>
    </w:p>
    <w:p w14:paraId="6FA4F054" w14:textId="77777777" w:rsidR="00C115DF" w:rsidRPr="003F5820" w:rsidRDefault="00C115DF" w:rsidP="00C115DF">
      <w:r w:rsidRPr="003F5820">
        <w:t>It is a dedicated role focused on a hub &amp; spoke approach with the UK as the hub and the GCC region as the spoke but managed by category specialists (Johanson and Vahlne, 2009; Strategy&amp;/PwC, 2024).</w:t>
      </w:r>
    </w:p>
    <w:p w14:paraId="25A4A946" w14:textId="11C7CB8C" w:rsidR="00C115DF" w:rsidRPr="00DC2964" w:rsidRDefault="00242F78" w:rsidP="00963766">
      <w:pPr>
        <w:pStyle w:val="Heading3"/>
      </w:pPr>
      <w:bookmarkStart w:id="94" w:name="_Toc238675531"/>
      <w:r>
        <w:t xml:space="preserve">5.2.2 </w:t>
      </w:r>
      <w:r w:rsidR="00C115DF" w:rsidRPr="00DC2964">
        <w:t>Enhance local market insight via regional marketing specialists</w:t>
      </w:r>
      <w:bookmarkEnd w:id="94"/>
    </w:p>
    <w:p w14:paraId="38FEA57E" w14:textId="77777777" w:rsidR="00C115DF" w:rsidRPr="003F5820" w:rsidRDefault="00C115DF" w:rsidP="00C115DF">
      <w:r w:rsidRPr="003F5820">
        <w:t>The company needs to improve the ability to gain local market insights by employing or contracting local marketing experts, or by collaborating closely with local partner marketing teams (Burt and Sparks, 2002; Aichner, 2014). These specialists could:</w:t>
      </w:r>
    </w:p>
    <w:p w14:paraId="1C1F9C0E" w14:textId="77777777" w:rsidR="00C115DF" w:rsidRPr="003F5820" w:rsidRDefault="00C115DF" w:rsidP="00C115DF">
      <w:pPr>
        <w:pStyle w:val="ListParagraph"/>
        <w:numPr>
          <w:ilvl w:val="0"/>
          <w:numId w:val="12"/>
        </w:numPr>
      </w:pPr>
      <w:r w:rsidRPr="003F5820">
        <w:t>Give direction on cultural subtleties, language and images appropriate for UAE and KSA consumers (Aichner, 2014; Keller, 2013).</w:t>
      </w:r>
    </w:p>
    <w:p w14:paraId="03B2914B" w14:textId="77777777" w:rsidR="00C115DF" w:rsidRPr="003F5820" w:rsidRDefault="00C115DF" w:rsidP="00C115DF">
      <w:pPr>
        <w:pStyle w:val="ListParagraph"/>
        <w:numPr>
          <w:ilvl w:val="0"/>
          <w:numId w:val="12"/>
        </w:numPr>
      </w:pPr>
      <w:r w:rsidRPr="003F5820">
        <w:t>Recommend local media, influencer, and digital platforms that can help amplify “The Best” narrative (Stratrich Consulting, 2024; Bain &amp; Company, 2022).</w:t>
      </w:r>
    </w:p>
    <w:p w14:paraId="747C934E" w14:textId="77777777" w:rsidR="00C115DF" w:rsidRPr="003F5820" w:rsidRDefault="00C115DF" w:rsidP="00C115DF">
      <w:pPr>
        <w:pStyle w:val="ListParagraph"/>
        <w:numPr>
          <w:ilvl w:val="0"/>
          <w:numId w:val="12"/>
        </w:numPr>
      </w:pPr>
      <w:r w:rsidRPr="003F5820">
        <w:t>Support translation of global campaigns into regionally appropriate campaigns, brand consistency, while avoiding mistakes in translation (Burt and Sparks, 2002).</w:t>
      </w:r>
    </w:p>
    <w:p w14:paraId="6A2C05DA" w14:textId="4366693D" w:rsidR="00C115DF" w:rsidRPr="00D66A8A" w:rsidRDefault="00591AA4" w:rsidP="00963766">
      <w:pPr>
        <w:pStyle w:val="Heading3"/>
      </w:pPr>
      <w:bookmarkStart w:id="95" w:name="_Toc237690672"/>
      <w:bookmarkStart w:id="96" w:name="_Toc238675532"/>
      <w:r>
        <w:t xml:space="preserve">5.2.3 </w:t>
      </w:r>
      <w:r w:rsidR="00C115DF" w:rsidRPr="00D66A8A">
        <w:t>Develop data analytics capability for GCC retail data</w:t>
      </w:r>
      <w:bookmarkEnd w:id="95"/>
      <w:bookmarkEnd w:id="96"/>
    </w:p>
    <w:p w14:paraId="35E97967" w14:textId="77777777" w:rsidR="00C115DF" w:rsidRPr="003F5820" w:rsidRDefault="00C115DF" w:rsidP="00C115DF">
      <w:r w:rsidRPr="003F5820">
        <w:t>Finally, Morrisons needs to invest in data analytic capabilities targeting data from the GCC retail sector. This may involve:</w:t>
      </w:r>
    </w:p>
    <w:p w14:paraId="58E32BE6" w14:textId="77777777" w:rsidR="00C115DF" w:rsidRPr="003F5820" w:rsidRDefault="00C115DF" w:rsidP="00C115DF">
      <w:pPr>
        <w:pStyle w:val="ListParagraph"/>
        <w:numPr>
          <w:ilvl w:val="0"/>
          <w:numId w:val="13"/>
        </w:numPr>
      </w:pPr>
      <w:r w:rsidRPr="003F5820">
        <w:t>Incorporating analysts into the export or category management team responsible for managing the POS and loyalty data from Lulu, Noon and other partners (Bain &amp; Company, 2022; Strategy&amp;/PwC, 2024).</w:t>
      </w:r>
    </w:p>
    <w:p w14:paraId="1E17FB56" w14:textId="77777777" w:rsidR="00C115DF" w:rsidRPr="003F5820" w:rsidRDefault="00C115DF" w:rsidP="00C115DF">
      <w:pPr>
        <w:pStyle w:val="ListParagraph"/>
        <w:numPr>
          <w:ilvl w:val="0"/>
          <w:numId w:val="13"/>
        </w:numPr>
      </w:pPr>
      <w:r w:rsidRPr="003F5820">
        <w:t>Monitoring “The Best” performance via SKU, store and channel using tools and dashboards, and uncovering areas for optimisation (Damodaran, 2012; Trigeorgis, 1996).</w:t>
      </w:r>
    </w:p>
    <w:p w14:paraId="1911D17C" w14:textId="77777777" w:rsidR="00C115DF" w:rsidRPr="00DA2106" w:rsidRDefault="00C115DF" w:rsidP="00C115DF">
      <w:r w:rsidRPr="003F5820">
        <w:t>The GCC expansion's success and ability to achieve its goals will be driven by strong analytics which will form the basis of scenario modelling, financial planning and realistic assessment of the goals achieved so far, with agile adjustments to strategy and operations (Cornelius et al., 2005; Trigeorgis, 1996).</w:t>
      </w:r>
    </w:p>
    <w:p w14:paraId="40906D1E" w14:textId="05E2EB68" w:rsidR="00F6139C" w:rsidRPr="003F5820" w:rsidRDefault="00F93493" w:rsidP="00590EC6">
      <w:pPr>
        <w:pStyle w:val="Heading2"/>
      </w:pPr>
      <w:bookmarkStart w:id="97" w:name="_Toc236867750"/>
      <w:bookmarkStart w:id="98" w:name="_Toc238675533"/>
      <w:r>
        <w:lastRenderedPageBreak/>
        <w:t>5.3</w:t>
      </w:r>
      <w:r w:rsidR="00F6139C" w:rsidRPr="003F5820">
        <w:t xml:space="preserve"> Operational Improvements</w:t>
      </w:r>
      <w:bookmarkEnd w:id="97"/>
      <w:bookmarkEnd w:id="98"/>
    </w:p>
    <w:p w14:paraId="7FB6E3A6" w14:textId="534E0D37" w:rsidR="00F6139C" w:rsidRPr="003F5820" w:rsidRDefault="00987C45" w:rsidP="00963766">
      <w:pPr>
        <w:pStyle w:val="Heading3"/>
      </w:pPr>
      <w:bookmarkStart w:id="99" w:name="_Toc236867751"/>
      <w:bookmarkStart w:id="100" w:name="_Toc238675534"/>
      <w:r>
        <w:t>5.3</w:t>
      </w:r>
      <w:r w:rsidR="00F6139C" w:rsidRPr="003F5820">
        <w:t>.1 Supply and assortment planning</w:t>
      </w:r>
      <w:bookmarkEnd w:id="99"/>
      <w:bookmarkEnd w:id="100"/>
    </w:p>
    <w:p w14:paraId="264849A6" w14:textId="77777777" w:rsidR="00F6139C" w:rsidRPr="003F5820" w:rsidRDefault="00F6139C" w:rsidP="00F6139C">
      <w:r w:rsidRPr="003F5820">
        <w:t>First, Morrisons needs to tweak its supply and assortment planning for GCC, by concentrating on SKUs that are:</w:t>
      </w:r>
    </w:p>
    <w:p w14:paraId="3E3E1FF9" w14:textId="77777777" w:rsidR="00F6139C" w:rsidRPr="003F5820" w:rsidRDefault="00F6139C" w:rsidP="00F6139C">
      <w:pPr>
        <w:pStyle w:val="ListParagraph"/>
        <w:numPr>
          <w:ilvl w:val="0"/>
          <w:numId w:val="29"/>
        </w:numPr>
      </w:pPr>
      <w:r w:rsidRPr="003F5820">
        <w:rPr>
          <w:b/>
          <w:bCs/>
        </w:rPr>
        <w:t>Shelf stable under local conditions:</w:t>
      </w:r>
      <w:r w:rsidRPr="003F5820">
        <w:t xml:space="preserve"> Biscuits and confectionery which are tolerant to heat and have reasonable shelf life (Alpen Capital, 2025; GCC Food Market Report, 2026).</w:t>
      </w:r>
    </w:p>
    <w:p w14:paraId="705D75E9" w14:textId="316D09D6" w:rsidR="00F6139C" w:rsidRPr="003F5820" w:rsidRDefault="00F6139C" w:rsidP="00F6139C">
      <w:pPr>
        <w:pStyle w:val="ListParagraph"/>
        <w:numPr>
          <w:ilvl w:val="0"/>
          <w:numId w:val="29"/>
        </w:numPr>
      </w:pPr>
      <w:r w:rsidRPr="003F5820">
        <w:rPr>
          <w:b/>
          <w:bCs/>
        </w:rPr>
        <w:t>Responsive to local preferences:</w:t>
      </w:r>
      <w:r w:rsidRPr="003F5820">
        <w:t xml:space="preserve"> Such as providing variations of the product with chocolate, dates, nuts or spices that are relevant to the local consumer taste palette (Leverbrook Export, 2022</w:t>
      </w:r>
      <w:r w:rsidR="0086719F">
        <w:t>b</w:t>
      </w:r>
      <w:r w:rsidRPr="003F5820">
        <w:t>; Meydan Free Zone, 2026).</w:t>
      </w:r>
    </w:p>
    <w:p w14:paraId="4C815F69" w14:textId="77777777" w:rsidR="00F6139C" w:rsidRPr="003F5820" w:rsidRDefault="00F6139C" w:rsidP="00F6139C">
      <w:r w:rsidRPr="003F5820">
        <w:t>This focussed planning helps minimize waste and stockout, and ensures “The Best” range matches the categories best suited to the GCC logistics and demand landscape (Strategy&amp;/PwC, 2024; Bain &amp; Company, 2022).</w:t>
      </w:r>
    </w:p>
    <w:p w14:paraId="1A360B0D" w14:textId="3B413DAD" w:rsidR="00F6139C" w:rsidRPr="003F5820" w:rsidRDefault="00987C45" w:rsidP="00963766">
      <w:pPr>
        <w:pStyle w:val="Heading3"/>
      </w:pPr>
      <w:bookmarkStart w:id="101" w:name="_Toc236867752"/>
      <w:bookmarkStart w:id="102" w:name="_Toc238675535"/>
      <w:r>
        <w:t>5.3</w:t>
      </w:r>
      <w:r w:rsidR="00F6139C" w:rsidRPr="003F5820">
        <w:t>.2 Regulatory compliance and packaging</w:t>
      </w:r>
      <w:bookmarkEnd w:id="101"/>
      <w:bookmarkEnd w:id="102"/>
    </w:p>
    <w:p w14:paraId="2652A546" w14:textId="77777777" w:rsidR="00F6139C" w:rsidRPr="003F5820" w:rsidRDefault="00F6139C" w:rsidP="00F6139C">
      <w:r w:rsidRPr="003F5820">
        <w:t>Second, the regulations compliance together with packaging adaptation should be improved in Morrisons. All “The Best” products for the GCC have to meet the following requirements:</w:t>
      </w:r>
    </w:p>
    <w:p w14:paraId="4B9B4712" w14:textId="77777777" w:rsidR="00F6139C" w:rsidRPr="003F5820" w:rsidRDefault="00F6139C" w:rsidP="00F6139C">
      <w:pPr>
        <w:pStyle w:val="ListParagraph"/>
        <w:numPr>
          <w:ilvl w:val="0"/>
          <w:numId w:val="26"/>
        </w:numPr>
      </w:pPr>
      <w:r w:rsidRPr="003F5820">
        <w:t>Correct Arabic labelling and ingredients lists.</w:t>
      </w:r>
    </w:p>
    <w:p w14:paraId="1F0252CF" w14:textId="77777777" w:rsidR="00F6139C" w:rsidRPr="003F5820" w:rsidRDefault="00F6139C" w:rsidP="00F6139C">
      <w:pPr>
        <w:pStyle w:val="ListParagraph"/>
        <w:numPr>
          <w:ilvl w:val="0"/>
          <w:numId w:val="26"/>
        </w:numPr>
      </w:pPr>
      <w:r w:rsidRPr="003F5820">
        <w:t>Provide nutrition information in compliance with local legislation.</w:t>
      </w:r>
    </w:p>
    <w:p w14:paraId="372F9DCD" w14:textId="77777777" w:rsidR="00F6139C" w:rsidRPr="003F5820" w:rsidRDefault="00F6139C" w:rsidP="00F6139C">
      <w:pPr>
        <w:pStyle w:val="ListParagraph"/>
        <w:numPr>
          <w:ilvl w:val="0"/>
          <w:numId w:val="26"/>
        </w:numPr>
      </w:pPr>
      <w:r w:rsidRPr="003F5820">
        <w:t>If necessary, ingredients or processes need to be appropriately certified with a halal word mark (Source International (2026) / WTA (2025).</w:t>
      </w:r>
    </w:p>
    <w:p w14:paraId="38C589B4" w14:textId="77777777" w:rsidR="00F6139C" w:rsidRPr="003F5820" w:rsidRDefault="00F6139C" w:rsidP="00F6139C">
      <w:r w:rsidRPr="003F5820">
        <w:t>To minimise delays and errors, Morrisons may integrate compliance checklists into their packaging production process in the UK, and collaborate with Source International or similar compliance advisors to keep their knowledge of the requirements in the GCC region up to date (Source International (2026); UK Government (2026b)).</w:t>
      </w:r>
    </w:p>
    <w:p w14:paraId="0D409C21" w14:textId="75765B66" w:rsidR="00F6139C" w:rsidRPr="003F5820" w:rsidRDefault="00987C45" w:rsidP="00963766">
      <w:pPr>
        <w:pStyle w:val="Heading3"/>
      </w:pPr>
      <w:bookmarkStart w:id="103" w:name="_Toc236867753"/>
      <w:bookmarkStart w:id="104" w:name="_Toc238675536"/>
      <w:r>
        <w:t>5.3</w:t>
      </w:r>
      <w:r w:rsidR="00F6139C" w:rsidRPr="003F5820">
        <w:t>.3 Logistics optimisation and forecasting</w:t>
      </w:r>
      <w:bookmarkEnd w:id="103"/>
      <w:bookmarkEnd w:id="104"/>
    </w:p>
    <w:p w14:paraId="02B25A62" w14:textId="77777777" w:rsidR="00F6139C" w:rsidRPr="003F5820" w:rsidRDefault="00F6139C" w:rsidP="00F6139C">
      <w:r w:rsidRPr="003F5820">
        <w:t>Third, it probably will need to fine-tune shipping routes and stock allocation between its primary markets UAE and KSA. This includes:</w:t>
      </w:r>
    </w:p>
    <w:p w14:paraId="0F422484" w14:textId="77777777" w:rsidR="00F6139C" w:rsidRPr="003F5820" w:rsidRDefault="00F6139C" w:rsidP="00F6139C">
      <w:pPr>
        <w:pStyle w:val="ListParagraph"/>
        <w:numPr>
          <w:ilvl w:val="0"/>
          <w:numId w:val="27"/>
        </w:numPr>
      </w:pPr>
      <w:r w:rsidRPr="003F5820">
        <w:t>Analysing freight networks and warehouses to optimise transit times and minimise the potential for stockouts (WTA, 2025; Strategy&amp;/PwC, 2024).</w:t>
      </w:r>
    </w:p>
    <w:p w14:paraId="777F974C" w14:textId="77777777" w:rsidR="00F6139C" w:rsidRPr="003F5820" w:rsidRDefault="00F6139C" w:rsidP="00F6139C">
      <w:pPr>
        <w:pStyle w:val="ListParagraph"/>
        <w:numPr>
          <w:ilvl w:val="0"/>
          <w:numId w:val="27"/>
        </w:numPr>
      </w:pPr>
      <w:r w:rsidRPr="003F5820">
        <w:lastRenderedPageBreak/>
        <w:t>Coordinating closely with partner on joint forecasting and replenishments, tie-in UK production with GCC sales trends to ensure there is no over production or under stocking (Bain &amp; Company, 2022; WTA, 2025).</w:t>
      </w:r>
    </w:p>
    <w:p w14:paraId="74DC2A0E" w14:textId="161F346C" w:rsidR="00F6139C" w:rsidRPr="003F5820" w:rsidRDefault="00987C45" w:rsidP="00963766">
      <w:pPr>
        <w:pStyle w:val="Heading3"/>
      </w:pPr>
      <w:bookmarkStart w:id="105" w:name="_Toc236867754"/>
      <w:bookmarkStart w:id="106" w:name="_Toc238675537"/>
      <w:r>
        <w:t>5.3</w:t>
      </w:r>
      <w:r w:rsidR="00F6139C" w:rsidRPr="003F5820">
        <w:t>.4 Quality control and customer service</w:t>
      </w:r>
      <w:bookmarkEnd w:id="105"/>
      <w:bookmarkEnd w:id="106"/>
    </w:p>
    <w:p w14:paraId="3D464735" w14:textId="77777777" w:rsidR="00F6139C" w:rsidRPr="003F5820" w:rsidRDefault="00F6139C" w:rsidP="00F6139C">
      <w:r w:rsidRPr="003F5820">
        <w:t>Lastly, Morrisons needs to strengthen the quality management and customer service system across the export value chain. This entails:</w:t>
      </w:r>
    </w:p>
    <w:p w14:paraId="4C269A4A" w14:textId="77777777" w:rsidR="00F6139C" w:rsidRPr="003F5820" w:rsidRDefault="00F6139C" w:rsidP="00F6139C">
      <w:pPr>
        <w:pStyle w:val="ListParagraph"/>
        <w:numPr>
          <w:ilvl w:val="0"/>
          <w:numId w:val="28"/>
        </w:numPr>
      </w:pPr>
      <w:r w:rsidRPr="003F5820">
        <w:t>Setting definitive standards in terms of the quality of “The Best” products during transportation and storage, including temperature and handling, and quality of presentation (Myton Food Group, 2024; Source International, 2026).</w:t>
      </w:r>
    </w:p>
    <w:p w14:paraId="7FF9E125" w14:textId="77777777" w:rsidR="00F6139C" w:rsidRPr="003F5820" w:rsidRDefault="00F6139C" w:rsidP="00F6139C">
      <w:pPr>
        <w:pStyle w:val="ListParagraph"/>
        <w:numPr>
          <w:ilvl w:val="0"/>
          <w:numId w:val="28"/>
        </w:numPr>
      </w:pPr>
      <w:r w:rsidRPr="003F5820">
        <w:t>Setting up feedback loops with GCC retailers to inform them of product issues, consumer comments and observe performance trends, and addressing concerns quickly (Morrisons, 2025b; WTA, 2025).</w:t>
      </w:r>
    </w:p>
    <w:p w14:paraId="1C8D0FCD" w14:textId="650CF584" w:rsidR="00C115DF" w:rsidRPr="00987C45" w:rsidRDefault="00F6139C" w:rsidP="00153ABA">
      <w:r w:rsidRPr="003F5820">
        <w:t>Strong quality control safeguards the premium brand image of “The Best” and helps mitigate the risk of brand damage in markets where there is consumer sensitivity to perceived quality and safety (Aichner, 2014; YouGov, 2024).</w:t>
      </w:r>
    </w:p>
    <w:p w14:paraId="40A34066" w14:textId="524DD322" w:rsidR="00064C05" w:rsidRPr="00C2098E" w:rsidRDefault="00590EC6" w:rsidP="00590EC6">
      <w:pPr>
        <w:pStyle w:val="Heading2"/>
        <w:rPr>
          <w:rFonts w:eastAsia="Times New Roman"/>
        </w:rPr>
      </w:pPr>
      <w:bookmarkStart w:id="107" w:name="_Toc238675538"/>
      <w:r w:rsidRPr="00590EC6">
        <w:rPr>
          <w:rFonts w:eastAsia="Times New Roman"/>
        </w:rPr>
        <w:t>5.4</w:t>
      </w:r>
      <w:r w:rsidR="00064C05" w:rsidRPr="00590EC6">
        <w:rPr>
          <w:rFonts w:eastAsia="Times New Roman"/>
        </w:rPr>
        <w:t xml:space="preserve"> Financial Plan</w:t>
      </w:r>
      <w:bookmarkEnd w:id="107"/>
    </w:p>
    <w:p w14:paraId="51EA5269" w14:textId="551FC12D" w:rsidR="00064C05" w:rsidRPr="00C2098E" w:rsidRDefault="00590EC6" w:rsidP="00963766">
      <w:pPr>
        <w:pStyle w:val="Heading3"/>
      </w:pPr>
      <w:bookmarkStart w:id="108" w:name="_Toc238675539"/>
      <w:r>
        <w:t>5.4</w:t>
      </w:r>
      <w:r w:rsidR="00064C05" w:rsidRPr="00C2098E">
        <w:t>.1 Purpose of the financial plan</w:t>
      </w:r>
      <w:bookmarkEnd w:id="108"/>
    </w:p>
    <w:p w14:paraId="25685951" w14:textId="7F4F23FE" w:rsidR="00064C05" w:rsidRDefault="00064C05" w:rsidP="00064C05">
      <w:pPr>
        <w:spacing w:before="100" w:beforeAutospacing="1" w:after="100" w:afterAutospacing="1"/>
        <w:rPr>
          <w:rFonts w:eastAsia="Times New Roman" w:cs="Times New Roman"/>
          <w:szCs w:val="24"/>
        </w:rPr>
      </w:pPr>
      <w:r w:rsidRPr="00CA616E">
        <w:rPr>
          <w:rFonts w:eastAsia="Times New Roman" w:cs="Times New Roman"/>
          <w:szCs w:val="24"/>
        </w:rPr>
        <w:t>The financial plan assesses the viability of Morrisons' "The Best" expansion into UAE and KSA, based on the company's cash flows, capital structure and GCC snacks/confectionery market performance (Damodaran, 2012; Strategy&amp;/PwC, 2024). It covers Morrisons' capacity to self-fund the project, the scale of the GCC opportunity, and the key financial risks and sensitivities of a capital-light market development strategy (Ansoff, 1957; Trigeorgis, 1996).</w:t>
      </w:r>
    </w:p>
    <w:p w14:paraId="0F89CA8E" w14:textId="6CADEAA2" w:rsidR="000D3C64" w:rsidRPr="00C2098E" w:rsidRDefault="000D3C64" w:rsidP="00963766">
      <w:pPr>
        <w:pStyle w:val="Heading3"/>
      </w:pPr>
      <w:bookmarkStart w:id="109" w:name="_Toc238675540"/>
      <w:r>
        <w:lastRenderedPageBreak/>
        <w:t>5.4</w:t>
      </w:r>
      <w:r w:rsidRPr="00C2098E">
        <w:t>.</w:t>
      </w:r>
      <w:r w:rsidR="001E7519">
        <w:t>2</w:t>
      </w:r>
      <w:r w:rsidRPr="00C2098E">
        <w:t xml:space="preserve"> Sector Level Financial Performance: GCC Snacks, Biscuits and Confectionery</w:t>
      </w:r>
      <w:bookmarkEnd w:id="109"/>
    </w:p>
    <w:p w14:paraId="4CED9E89" w14:textId="77777777" w:rsidR="00D41ABC" w:rsidRDefault="000D3C64" w:rsidP="00D41ABC">
      <w:pPr>
        <w:keepNext/>
        <w:jc w:val="center"/>
      </w:pPr>
      <w:r w:rsidRPr="00C2098E">
        <w:rPr>
          <w:noProof/>
        </w:rPr>
        <w:drawing>
          <wp:inline distT="0" distB="0" distL="0" distR="0" wp14:anchorId="167A9718" wp14:editId="78033C05">
            <wp:extent cx="2981325" cy="20475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84561" cy="2049777"/>
                    </a:xfrm>
                    <a:prstGeom prst="rect">
                      <a:avLst/>
                    </a:prstGeom>
                  </pic:spPr>
                </pic:pic>
              </a:graphicData>
            </a:graphic>
          </wp:inline>
        </w:drawing>
      </w:r>
    </w:p>
    <w:p w14:paraId="342C745E" w14:textId="0D227447" w:rsidR="000D3C64" w:rsidRPr="00D41ABC" w:rsidRDefault="00D41ABC" w:rsidP="00D41ABC">
      <w:pPr>
        <w:pStyle w:val="Caption"/>
        <w:jc w:val="center"/>
        <w:rPr>
          <w:b/>
          <w:bCs/>
          <w:i w:val="0"/>
          <w:iCs w:val="0"/>
          <w:color w:val="auto"/>
        </w:rPr>
      </w:pPr>
      <w:bookmarkStart w:id="110" w:name="_Toc238674430"/>
      <w:r w:rsidRPr="00D41ABC">
        <w:rPr>
          <w:b/>
          <w:bCs/>
          <w:i w:val="0"/>
          <w:iCs w:val="0"/>
          <w:color w:val="auto"/>
        </w:rPr>
        <w:t xml:space="preserve">Figure </w:t>
      </w:r>
      <w:r w:rsidRPr="00D41ABC">
        <w:rPr>
          <w:b/>
          <w:bCs/>
          <w:i w:val="0"/>
          <w:iCs w:val="0"/>
          <w:color w:val="auto"/>
        </w:rPr>
        <w:fldChar w:fldCharType="begin"/>
      </w:r>
      <w:r w:rsidRPr="00D41ABC">
        <w:rPr>
          <w:b/>
          <w:bCs/>
          <w:i w:val="0"/>
          <w:iCs w:val="0"/>
          <w:color w:val="auto"/>
        </w:rPr>
        <w:instrText xml:space="preserve"> SEQ Figure \* ARABIC </w:instrText>
      </w:r>
      <w:r w:rsidRPr="00D41ABC">
        <w:rPr>
          <w:b/>
          <w:bCs/>
          <w:i w:val="0"/>
          <w:iCs w:val="0"/>
          <w:color w:val="auto"/>
        </w:rPr>
        <w:fldChar w:fldCharType="separate"/>
      </w:r>
      <w:r w:rsidR="00EF0D6A">
        <w:rPr>
          <w:b/>
          <w:bCs/>
          <w:i w:val="0"/>
          <w:iCs w:val="0"/>
          <w:noProof/>
          <w:color w:val="auto"/>
        </w:rPr>
        <w:t>5</w:t>
      </w:r>
      <w:r w:rsidRPr="00D41ABC">
        <w:rPr>
          <w:b/>
          <w:bCs/>
          <w:i w:val="0"/>
          <w:iCs w:val="0"/>
          <w:color w:val="auto"/>
        </w:rPr>
        <w:fldChar w:fldCharType="end"/>
      </w:r>
      <w:r w:rsidRPr="00D41ABC">
        <w:rPr>
          <w:b/>
          <w:bCs/>
          <w:i w:val="0"/>
          <w:iCs w:val="0"/>
          <w:color w:val="auto"/>
        </w:rPr>
        <w:t xml:space="preserve"> GCC Snack Market Future Growth</w:t>
      </w:r>
      <w:bookmarkEnd w:id="110"/>
    </w:p>
    <w:p w14:paraId="43D9126F" w14:textId="77777777" w:rsidR="000D3C64" w:rsidRPr="00CA616E" w:rsidRDefault="000D3C64" w:rsidP="000D3C64">
      <w:pPr>
        <w:spacing w:before="100" w:beforeAutospacing="1" w:after="100" w:afterAutospacing="1"/>
        <w:rPr>
          <w:rFonts w:eastAsia="Times New Roman" w:cs="Times New Roman"/>
          <w:szCs w:val="24"/>
        </w:rPr>
      </w:pPr>
      <w:r w:rsidRPr="00CA616E">
        <w:rPr>
          <w:rFonts w:eastAsia="Times New Roman" w:cs="Times New Roman"/>
          <w:szCs w:val="24"/>
        </w:rPr>
        <w:t>The GCC snacks/confectionery segment is financially attractive and growing steadily:</w:t>
      </w:r>
    </w:p>
    <w:p w14:paraId="79A4FBF8" w14:textId="2905E0A8" w:rsidR="000D3C64" w:rsidRPr="00CA616E" w:rsidRDefault="000D3C64" w:rsidP="000D3C64">
      <w:pPr>
        <w:numPr>
          <w:ilvl w:val="0"/>
          <w:numId w:val="14"/>
        </w:numPr>
        <w:spacing w:before="100" w:beforeAutospacing="1" w:after="100" w:afterAutospacing="1"/>
        <w:rPr>
          <w:rFonts w:eastAsia="Times New Roman" w:cs="Times New Roman"/>
          <w:szCs w:val="24"/>
        </w:rPr>
      </w:pPr>
      <w:r w:rsidRPr="00CA616E">
        <w:rPr>
          <w:rFonts w:eastAsia="Times New Roman" w:cs="Times New Roman"/>
          <w:b/>
          <w:bCs/>
          <w:szCs w:val="24"/>
        </w:rPr>
        <w:t>Snack market</w:t>
      </w:r>
      <w:r w:rsidRPr="00CA616E">
        <w:rPr>
          <w:rFonts w:eastAsia="Times New Roman" w:cs="Times New Roman"/>
          <w:szCs w:val="24"/>
        </w:rPr>
        <w:t xml:space="preserve"> (chips, biscuits, snack bars): ~USD 8.49bn in 2024, projected to reach USD 12.87bn by 2030 (~7.2% CAGR) (MarkNtel Advisors, 2024</w:t>
      </w:r>
      <w:r w:rsidR="00A56C5D">
        <w:rPr>
          <w:rFonts w:eastAsia="Times New Roman" w:cs="Times New Roman"/>
          <w:szCs w:val="24"/>
        </w:rPr>
        <w:t>a</w:t>
      </w:r>
      <w:r w:rsidRPr="00CA616E">
        <w:rPr>
          <w:rFonts w:eastAsia="Times New Roman" w:cs="Times New Roman"/>
          <w:szCs w:val="24"/>
        </w:rPr>
        <w:t>)</w:t>
      </w:r>
    </w:p>
    <w:p w14:paraId="49635C85" w14:textId="77777777" w:rsidR="000D3C64" w:rsidRPr="00CA616E" w:rsidRDefault="000D3C64" w:rsidP="000D3C64">
      <w:pPr>
        <w:numPr>
          <w:ilvl w:val="0"/>
          <w:numId w:val="14"/>
        </w:numPr>
        <w:spacing w:before="100" w:beforeAutospacing="1" w:after="100" w:afterAutospacing="1"/>
        <w:rPr>
          <w:rFonts w:eastAsia="Times New Roman" w:cs="Times New Roman"/>
          <w:szCs w:val="24"/>
        </w:rPr>
      </w:pPr>
      <w:r w:rsidRPr="00CA616E">
        <w:rPr>
          <w:rFonts w:eastAsia="Times New Roman" w:cs="Times New Roman"/>
          <w:b/>
          <w:bCs/>
          <w:szCs w:val="24"/>
        </w:rPr>
        <w:t>Packaged food retail</w:t>
      </w:r>
      <w:r w:rsidRPr="00CA616E">
        <w:rPr>
          <w:rFonts w:eastAsia="Times New Roman" w:cs="Times New Roman"/>
          <w:szCs w:val="24"/>
        </w:rPr>
        <w:t xml:space="preserve"> across GCC-6: ~USD 40bn in 2023, projected to reach ~USD 57.1bn by 2028, with sweet biscuits, snack bars and fruit snacks the fastest-growing categories (Food Export USA, 2025)</w:t>
      </w:r>
    </w:p>
    <w:p w14:paraId="03E124E0" w14:textId="77777777" w:rsidR="000D3C64" w:rsidRPr="00CA616E" w:rsidRDefault="000D3C64" w:rsidP="000D3C64">
      <w:pPr>
        <w:numPr>
          <w:ilvl w:val="0"/>
          <w:numId w:val="14"/>
        </w:numPr>
        <w:spacing w:before="100" w:beforeAutospacing="1" w:after="100" w:afterAutospacing="1"/>
        <w:rPr>
          <w:rFonts w:eastAsia="Times New Roman" w:cs="Times New Roman"/>
          <w:szCs w:val="24"/>
        </w:rPr>
      </w:pPr>
      <w:r w:rsidRPr="00CA616E">
        <w:rPr>
          <w:rFonts w:eastAsia="Times New Roman" w:cs="Times New Roman"/>
          <w:b/>
          <w:bCs/>
          <w:szCs w:val="24"/>
        </w:rPr>
        <w:t>Sweet biscuits</w:t>
      </w:r>
      <w:r w:rsidRPr="00CA616E">
        <w:rPr>
          <w:rFonts w:eastAsia="Times New Roman" w:cs="Times New Roman"/>
          <w:szCs w:val="24"/>
        </w:rPr>
        <w:t>: ~335k tons / USD 858m in 2024, projected to reach ~USD 1bn by 2035 (volume CAGR +0.4%, value CAGR +1.8%) (GCC Sweet Biscuit Market Report, 2025)</w:t>
      </w:r>
    </w:p>
    <w:p w14:paraId="6F504E95" w14:textId="77777777" w:rsidR="000D3C64" w:rsidRPr="00CA616E" w:rsidRDefault="000D3C64" w:rsidP="000D3C64">
      <w:pPr>
        <w:numPr>
          <w:ilvl w:val="0"/>
          <w:numId w:val="14"/>
        </w:numPr>
        <w:spacing w:before="100" w:beforeAutospacing="1" w:after="100" w:afterAutospacing="1"/>
        <w:rPr>
          <w:rFonts w:eastAsia="Times New Roman" w:cs="Times New Roman"/>
          <w:szCs w:val="24"/>
        </w:rPr>
      </w:pPr>
      <w:r w:rsidRPr="00CA616E">
        <w:rPr>
          <w:rFonts w:eastAsia="Times New Roman" w:cs="Times New Roman"/>
          <w:b/>
          <w:bCs/>
          <w:szCs w:val="24"/>
        </w:rPr>
        <w:t>Confectionery</w:t>
      </w:r>
      <w:r w:rsidRPr="00CA616E">
        <w:rPr>
          <w:rFonts w:eastAsia="Times New Roman" w:cs="Times New Roman"/>
          <w:szCs w:val="24"/>
        </w:rPr>
        <w:t xml:space="preserve"> (chocolate, sugar confectionery, ice cream, preserved pastries): USD 17.6bn currently, projected to reach USD 24.2bn by 2029 (~4.5% annual growth) (GourmetPro, 2024)</w:t>
      </w:r>
    </w:p>
    <w:p w14:paraId="76E3A695" w14:textId="77777777" w:rsidR="000D3C64" w:rsidRPr="00C2098E" w:rsidRDefault="000D3C64" w:rsidP="000D3C64">
      <w:pPr>
        <w:spacing w:before="100" w:beforeAutospacing="1" w:after="100" w:afterAutospacing="1"/>
        <w:rPr>
          <w:rFonts w:eastAsia="Times New Roman" w:cs="Times New Roman"/>
          <w:szCs w:val="24"/>
        </w:rPr>
      </w:pPr>
      <w:r w:rsidRPr="00CA616E">
        <w:rPr>
          <w:rFonts w:eastAsia="Times New Roman" w:cs="Times New Roman"/>
          <w:szCs w:val="24"/>
        </w:rPr>
        <w:t>Together, these confirm premium biscuits and confectionery in UAE/KSA sit within a multibillion-dollar regional market, with premiumisation and higher unit prices driving value growth (Alpen Capital, 2025; GCC Food Market Report, 2026). For Morrisons, a premium "The Best" sales share could generate revenue that's significant relative to its current international wholesale business, though modest against total group revenue (Morrisons, 2023/24; Strategy&amp;/PwC, 2024).</w:t>
      </w:r>
    </w:p>
    <w:p w14:paraId="1A24C442" w14:textId="77777777" w:rsidR="000D3C64" w:rsidRPr="00CA616E" w:rsidRDefault="000D3C64" w:rsidP="00064C05">
      <w:pPr>
        <w:spacing w:before="100" w:beforeAutospacing="1" w:after="100" w:afterAutospacing="1"/>
        <w:rPr>
          <w:rFonts w:eastAsia="Times New Roman" w:cs="Times New Roman"/>
          <w:szCs w:val="24"/>
        </w:rPr>
      </w:pPr>
    </w:p>
    <w:p w14:paraId="2F3743BB" w14:textId="510AC8E7" w:rsidR="00064C05" w:rsidRPr="00C2098E" w:rsidRDefault="00D0146F" w:rsidP="00963766">
      <w:pPr>
        <w:pStyle w:val="Heading3"/>
      </w:pPr>
      <w:bookmarkStart w:id="111" w:name="_Toc238675541"/>
      <w:r>
        <w:lastRenderedPageBreak/>
        <w:t>5.4</w:t>
      </w:r>
      <w:r w:rsidR="00064C05" w:rsidRPr="00C2098E">
        <w:t>.</w:t>
      </w:r>
      <w:r w:rsidR="001E7519">
        <w:t>3</w:t>
      </w:r>
      <w:r w:rsidR="00064C05" w:rsidRPr="00C2098E">
        <w:t xml:space="preserve"> Morrisons' Cash Flow Position and Funding Capacity</w:t>
      </w:r>
      <w:bookmarkEnd w:id="111"/>
    </w:p>
    <w:p w14:paraId="4CF65783" w14:textId="77777777" w:rsidR="00EF0D6A" w:rsidRDefault="00064C05" w:rsidP="00EF0D6A">
      <w:pPr>
        <w:keepNext/>
        <w:jc w:val="center"/>
      </w:pPr>
      <w:r w:rsidRPr="00C2098E">
        <w:rPr>
          <w:noProof/>
        </w:rPr>
        <w:drawing>
          <wp:inline distT="0" distB="0" distL="0" distR="0" wp14:anchorId="1E949C11" wp14:editId="4633F385">
            <wp:extent cx="3990975" cy="34930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99553" cy="3500605"/>
                    </a:xfrm>
                    <a:prstGeom prst="rect">
                      <a:avLst/>
                    </a:prstGeom>
                  </pic:spPr>
                </pic:pic>
              </a:graphicData>
            </a:graphic>
          </wp:inline>
        </w:drawing>
      </w:r>
    </w:p>
    <w:p w14:paraId="762E2576" w14:textId="3FBC221B" w:rsidR="00064C05" w:rsidRPr="00EF0D6A" w:rsidRDefault="00EF0D6A" w:rsidP="00EF0D6A">
      <w:pPr>
        <w:pStyle w:val="Caption"/>
        <w:jc w:val="center"/>
        <w:rPr>
          <w:b/>
          <w:bCs/>
          <w:i w:val="0"/>
          <w:iCs w:val="0"/>
          <w:color w:val="auto"/>
        </w:rPr>
      </w:pPr>
      <w:bookmarkStart w:id="112" w:name="_Toc238674431"/>
      <w:r w:rsidRPr="00EF0D6A">
        <w:rPr>
          <w:b/>
          <w:bCs/>
          <w:i w:val="0"/>
          <w:iCs w:val="0"/>
          <w:color w:val="auto"/>
        </w:rPr>
        <w:t xml:space="preserve">Figure </w:t>
      </w:r>
      <w:r w:rsidRPr="00EF0D6A">
        <w:rPr>
          <w:b/>
          <w:bCs/>
          <w:i w:val="0"/>
          <w:iCs w:val="0"/>
          <w:color w:val="auto"/>
        </w:rPr>
        <w:fldChar w:fldCharType="begin"/>
      </w:r>
      <w:r w:rsidRPr="00EF0D6A">
        <w:rPr>
          <w:b/>
          <w:bCs/>
          <w:i w:val="0"/>
          <w:iCs w:val="0"/>
          <w:color w:val="auto"/>
        </w:rPr>
        <w:instrText xml:space="preserve"> SEQ Figure \* ARABIC </w:instrText>
      </w:r>
      <w:r w:rsidRPr="00EF0D6A">
        <w:rPr>
          <w:b/>
          <w:bCs/>
          <w:i w:val="0"/>
          <w:iCs w:val="0"/>
          <w:color w:val="auto"/>
        </w:rPr>
        <w:fldChar w:fldCharType="separate"/>
      </w:r>
      <w:r w:rsidRPr="00EF0D6A">
        <w:rPr>
          <w:b/>
          <w:bCs/>
          <w:i w:val="0"/>
          <w:iCs w:val="0"/>
          <w:noProof/>
          <w:color w:val="auto"/>
        </w:rPr>
        <w:t>6</w:t>
      </w:r>
      <w:r w:rsidRPr="00EF0D6A">
        <w:rPr>
          <w:b/>
          <w:bCs/>
          <w:i w:val="0"/>
          <w:iCs w:val="0"/>
          <w:color w:val="auto"/>
        </w:rPr>
        <w:fldChar w:fldCharType="end"/>
      </w:r>
      <w:r w:rsidRPr="00EF0D6A">
        <w:rPr>
          <w:b/>
          <w:bCs/>
          <w:i w:val="0"/>
          <w:iCs w:val="0"/>
          <w:color w:val="auto"/>
        </w:rPr>
        <w:t xml:space="preserve"> Morrisons Cash Flow Statement FY 2024</w:t>
      </w:r>
      <w:bookmarkEnd w:id="112"/>
    </w:p>
    <w:p w14:paraId="6824E1C8" w14:textId="37391CBD" w:rsidR="00D7181A" w:rsidRDefault="00D7181A" w:rsidP="00064C05">
      <w:pPr>
        <w:spacing w:before="100" w:beforeAutospacing="1" w:after="100" w:afterAutospacing="1"/>
        <w:rPr>
          <w:rFonts w:eastAsia="Times New Roman" w:cs="Times New Roman"/>
          <w:szCs w:val="24"/>
        </w:rPr>
      </w:pPr>
      <w:r w:rsidRPr="00AA0295">
        <w:rPr>
          <w:rFonts w:eastAsia="Times New Roman" w:cs="Times New Roman"/>
          <w:szCs w:val="24"/>
        </w:rPr>
        <w:t>Morrisons reported £835 million underlying EBITDA, £817 million operating cash inflow from continuing operations, £849 million cash and cash equivalents, and £326 million capital expenditure in 2023/24. A conservative proxy for funds available before financing is therefore £491 million, calculated as operating cash inflow less capital expenditure. This is not reported free cash flow and should not be confused with cash available for unrestricted distribution; it is used only to demonstrate that the proposed GCC programme is immaterial relative to Morrisons’ operating cash generation.</w:t>
      </w:r>
    </w:p>
    <w:p w14:paraId="33377E80" w14:textId="5704A46E" w:rsidR="00064C05" w:rsidRPr="00CA616E" w:rsidRDefault="00064C05" w:rsidP="00064C05">
      <w:pPr>
        <w:spacing w:before="100" w:beforeAutospacing="1" w:after="100" w:afterAutospacing="1"/>
        <w:rPr>
          <w:rFonts w:eastAsia="Times New Roman" w:cs="Times New Roman"/>
          <w:szCs w:val="24"/>
        </w:rPr>
      </w:pPr>
      <w:r w:rsidRPr="00CA616E">
        <w:rPr>
          <w:rFonts w:eastAsia="Times New Roman" w:cs="Times New Roman"/>
          <w:szCs w:val="24"/>
        </w:rPr>
        <w:t>These figures show Morrisons is well-funded, with strong operating cash flow, meaningful cash from asset disposals, and low borrowing needs giving it flexibility to fund a capital-light GCC expansion without taking on excessive new debt (Morrisons, 2023/24; Morrisons, 2025a). "The Best" GCC project can therefore be financed from existing cash generation within normal investment and marketing budgets, rather than through equity or major new debt (Damodaran, 2012; Trigeorgis, 1996).</w:t>
      </w:r>
    </w:p>
    <w:p w14:paraId="7C0E2D95" w14:textId="6EF6BCA4" w:rsidR="00064C05" w:rsidRPr="00AA0295" w:rsidRDefault="00C948FB" w:rsidP="00A769AE">
      <w:pPr>
        <w:pStyle w:val="Heading2"/>
        <w:rPr>
          <w:rFonts w:eastAsia="Times New Roman"/>
        </w:rPr>
      </w:pPr>
      <w:bookmarkStart w:id="113" w:name="_Toc238675542"/>
      <w:r>
        <w:rPr>
          <w:rFonts w:eastAsia="Times New Roman"/>
        </w:rPr>
        <w:lastRenderedPageBreak/>
        <w:t>5</w:t>
      </w:r>
      <w:r w:rsidR="00064C05" w:rsidRPr="00AA0295">
        <w:rPr>
          <w:rFonts w:eastAsia="Times New Roman"/>
        </w:rPr>
        <w:t>.</w:t>
      </w:r>
      <w:r>
        <w:rPr>
          <w:rFonts w:eastAsia="Times New Roman"/>
        </w:rPr>
        <w:t>5</w:t>
      </w:r>
      <w:r w:rsidR="00064C05" w:rsidRPr="00AA0295">
        <w:rPr>
          <w:rFonts w:eastAsia="Times New Roman"/>
        </w:rPr>
        <w:t xml:space="preserve"> </w:t>
      </w:r>
      <w:r w:rsidR="00B25B09">
        <w:rPr>
          <w:rFonts w:eastAsia="Times New Roman"/>
        </w:rPr>
        <w:t>The Best</w:t>
      </w:r>
      <w:r w:rsidR="009B379A">
        <w:rPr>
          <w:rFonts w:eastAsia="Times New Roman"/>
        </w:rPr>
        <w:t>’s</w:t>
      </w:r>
      <w:r w:rsidR="00B25B09">
        <w:rPr>
          <w:rFonts w:eastAsia="Times New Roman"/>
        </w:rPr>
        <w:t xml:space="preserve"> </w:t>
      </w:r>
      <w:r w:rsidR="00064C05" w:rsidRPr="00AA0295">
        <w:rPr>
          <w:rFonts w:eastAsia="Times New Roman"/>
        </w:rPr>
        <w:t>Five-Year Projection</w:t>
      </w:r>
      <w:bookmarkEnd w:id="113"/>
    </w:p>
    <w:p w14:paraId="6E71F403" w14:textId="35536958" w:rsidR="00064C05" w:rsidRPr="00AA0295" w:rsidRDefault="00A769AE" w:rsidP="00963766">
      <w:pPr>
        <w:pStyle w:val="Heading3"/>
      </w:pPr>
      <w:bookmarkStart w:id="114" w:name="_Toc238675543"/>
      <w:r>
        <w:rPr>
          <w:bCs/>
        </w:rPr>
        <w:t>5</w:t>
      </w:r>
      <w:r w:rsidRPr="00AA0295">
        <w:rPr>
          <w:bCs/>
        </w:rPr>
        <w:t>.</w:t>
      </w:r>
      <w:r>
        <w:rPr>
          <w:bCs/>
        </w:rPr>
        <w:t>5</w:t>
      </w:r>
      <w:r w:rsidR="00064C05" w:rsidRPr="00AA0295">
        <w:t>.1 Core assumptions</w:t>
      </w:r>
      <w:bookmarkEnd w:id="114"/>
    </w:p>
    <w:tbl>
      <w:tblPr>
        <w:tblStyle w:val="PlainTable1"/>
        <w:tblW w:w="5000" w:type="pct"/>
        <w:tblLook w:val="04A0" w:firstRow="1" w:lastRow="0" w:firstColumn="1" w:lastColumn="0" w:noHBand="0" w:noVBand="1"/>
      </w:tblPr>
      <w:tblGrid>
        <w:gridCol w:w="1846"/>
        <w:gridCol w:w="1975"/>
        <w:gridCol w:w="5195"/>
      </w:tblGrid>
      <w:tr w:rsidR="00064C05" w:rsidRPr="00AA0295" w14:paraId="60BB3A11" w14:textId="77777777" w:rsidTr="004304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24AB1A4B"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Assumption</w:t>
            </w:r>
          </w:p>
        </w:tc>
        <w:tc>
          <w:tcPr>
            <w:tcW w:w="1095" w:type="pct"/>
            <w:hideMark/>
          </w:tcPr>
          <w:p w14:paraId="531C64D2"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Base-case input</w:t>
            </w:r>
          </w:p>
        </w:tc>
        <w:tc>
          <w:tcPr>
            <w:tcW w:w="2881" w:type="pct"/>
            <w:hideMark/>
          </w:tcPr>
          <w:p w14:paraId="0354A143"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Rationale</w:t>
            </w:r>
          </w:p>
        </w:tc>
      </w:tr>
      <w:tr w:rsidR="00A86A95" w:rsidRPr="00AA0295" w14:paraId="44A1FD12"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09AF76E6"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Forecast period</w:t>
            </w:r>
          </w:p>
        </w:tc>
        <w:tc>
          <w:tcPr>
            <w:tcW w:w="1095" w:type="pct"/>
            <w:hideMark/>
          </w:tcPr>
          <w:p w14:paraId="2B70FC12" w14:textId="77777777"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2026–2030</w:t>
            </w:r>
          </w:p>
        </w:tc>
        <w:tc>
          <w:tcPr>
            <w:tcW w:w="2881" w:type="pct"/>
            <w:hideMark/>
          </w:tcPr>
          <w:p w14:paraId="2882FFF4" w14:textId="4A65E502"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6948B4">
              <w:t>5 years, which represents launch, early scale-up and payback.</w:t>
            </w:r>
          </w:p>
        </w:tc>
      </w:tr>
      <w:tr w:rsidR="00A86A95" w:rsidRPr="00AA0295" w14:paraId="25558F62" w14:textId="77777777" w:rsidTr="0043049B">
        <w:tc>
          <w:tcPr>
            <w:cnfStyle w:val="001000000000" w:firstRow="0" w:lastRow="0" w:firstColumn="1" w:lastColumn="0" w:oddVBand="0" w:evenVBand="0" w:oddHBand="0" w:evenHBand="0" w:firstRowFirstColumn="0" w:firstRowLastColumn="0" w:lastRowFirstColumn="0" w:lastRowLastColumn="0"/>
            <w:tcW w:w="1024" w:type="pct"/>
            <w:hideMark/>
          </w:tcPr>
          <w:p w14:paraId="157675AE"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Target markets</w:t>
            </w:r>
          </w:p>
        </w:tc>
        <w:tc>
          <w:tcPr>
            <w:tcW w:w="1095" w:type="pct"/>
            <w:hideMark/>
          </w:tcPr>
          <w:p w14:paraId="7C8D5B64" w14:textId="77777777"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UAE and KSA</w:t>
            </w:r>
          </w:p>
        </w:tc>
        <w:tc>
          <w:tcPr>
            <w:tcW w:w="2881" w:type="pct"/>
            <w:hideMark/>
          </w:tcPr>
          <w:p w14:paraId="55F7FA98" w14:textId="39869BC9"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6948B4">
              <w:t>These forms the priority markets of the report and adopts a partner-led route to market.</w:t>
            </w:r>
          </w:p>
        </w:tc>
      </w:tr>
      <w:tr w:rsidR="00A86A95" w:rsidRPr="00AA0295" w14:paraId="1740486D"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5E6A673C"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Market-entry route</w:t>
            </w:r>
          </w:p>
        </w:tc>
        <w:tc>
          <w:tcPr>
            <w:tcW w:w="1095" w:type="pct"/>
            <w:hideMark/>
          </w:tcPr>
          <w:p w14:paraId="33075153" w14:textId="77777777"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Existing and new retail/e-commerce partners</w:t>
            </w:r>
          </w:p>
        </w:tc>
        <w:tc>
          <w:tcPr>
            <w:tcW w:w="2881" w:type="pct"/>
            <w:hideMark/>
          </w:tcPr>
          <w:p w14:paraId="3AC79F8A" w14:textId="06CA81DD"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6948B4">
              <w:t>There are no stores or distribution centres assumed, hence limited fixed investment.</w:t>
            </w:r>
          </w:p>
        </w:tc>
      </w:tr>
      <w:tr w:rsidR="00A86A95" w:rsidRPr="00AA0295" w14:paraId="4C3F1870" w14:textId="77777777" w:rsidTr="0043049B">
        <w:tc>
          <w:tcPr>
            <w:cnfStyle w:val="001000000000" w:firstRow="0" w:lastRow="0" w:firstColumn="1" w:lastColumn="0" w:oddVBand="0" w:evenVBand="0" w:oddHBand="0" w:evenHBand="0" w:firstRowFirstColumn="0" w:firstRowLastColumn="0" w:lastRowFirstColumn="0" w:lastRowLastColumn="0"/>
            <w:tcW w:w="1024" w:type="pct"/>
            <w:hideMark/>
          </w:tcPr>
          <w:p w14:paraId="18274887"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Revenue growth</w:t>
            </w:r>
          </w:p>
        </w:tc>
        <w:tc>
          <w:tcPr>
            <w:tcW w:w="1095" w:type="pct"/>
            <w:hideMark/>
          </w:tcPr>
          <w:p w14:paraId="36162F19" w14:textId="77777777"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45%, 35%, 25%, 20%</w:t>
            </w:r>
          </w:p>
        </w:tc>
        <w:tc>
          <w:tcPr>
            <w:tcW w:w="2881" w:type="pct"/>
            <w:hideMark/>
          </w:tcPr>
          <w:p w14:paraId="0C199393" w14:textId="5AAFDBED"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6948B4">
              <w:t>Initial growth is accentuated by more widespread distribution and awareness building; subsequent growth is slowed as the base grows.</w:t>
            </w:r>
          </w:p>
        </w:tc>
      </w:tr>
      <w:tr w:rsidR="00A86A95" w:rsidRPr="00AA0295" w14:paraId="47F67DE5"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2B9956B5"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Year 1 revenue</w:t>
            </w:r>
          </w:p>
        </w:tc>
        <w:tc>
          <w:tcPr>
            <w:tcW w:w="1095" w:type="pct"/>
            <w:hideMark/>
          </w:tcPr>
          <w:p w14:paraId="34A02550" w14:textId="77777777"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£0.70m</w:t>
            </w:r>
          </w:p>
        </w:tc>
        <w:tc>
          <w:tcPr>
            <w:tcW w:w="2881" w:type="pct"/>
            <w:hideMark/>
          </w:tcPr>
          <w:p w14:paraId="7EC43371" w14:textId="461F4439"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6948B4">
              <w:t>The report's previous</w:t>
            </w:r>
            <w:r>
              <w:t xml:space="preserve"> </w:t>
            </w:r>
            <w:r w:rsidRPr="006948B4">
              <w:t>1.0m annual base case for launch year sales has been reduced.</w:t>
            </w:r>
          </w:p>
        </w:tc>
      </w:tr>
      <w:tr w:rsidR="00A86A95" w:rsidRPr="00AA0295" w14:paraId="3221209B" w14:textId="77777777" w:rsidTr="0043049B">
        <w:tc>
          <w:tcPr>
            <w:cnfStyle w:val="001000000000" w:firstRow="0" w:lastRow="0" w:firstColumn="1" w:lastColumn="0" w:oddVBand="0" w:evenVBand="0" w:oddHBand="0" w:evenHBand="0" w:firstRowFirstColumn="0" w:firstRowLastColumn="0" w:lastRowFirstColumn="0" w:lastRowLastColumn="0"/>
            <w:tcW w:w="1024" w:type="pct"/>
            <w:hideMark/>
          </w:tcPr>
          <w:p w14:paraId="5648A02B"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Gross margin</w:t>
            </w:r>
          </w:p>
        </w:tc>
        <w:tc>
          <w:tcPr>
            <w:tcW w:w="1095" w:type="pct"/>
            <w:hideMark/>
          </w:tcPr>
          <w:p w14:paraId="3B3573A1" w14:textId="77777777"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32% of revenue</w:t>
            </w:r>
          </w:p>
        </w:tc>
        <w:tc>
          <w:tcPr>
            <w:tcW w:w="2881" w:type="pct"/>
            <w:hideMark/>
          </w:tcPr>
          <w:p w14:paraId="0CA1B172" w14:textId="0B832BAD"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6948B4">
              <w:t>Ass</w:t>
            </w:r>
            <w:r w:rsidR="00E03C04">
              <w:t xml:space="preserve">uming </w:t>
            </w:r>
            <w:r w:rsidRPr="006948B4">
              <w:t>post manufacturing, packaging, freight, duty and retailer/distributor discounts; this needs to be verified with supplier and partner quotes.</w:t>
            </w:r>
          </w:p>
        </w:tc>
      </w:tr>
      <w:tr w:rsidR="00A86A95" w:rsidRPr="00AA0295" w14:paraId="1F7E379C"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3BECAB02"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Marketing and trade spend</w:t>
            </w:r>
          </w:p>
        </w:tc>
        <w:tc>
          <w:tcPr>
            <w:tcW w:w="1095" w:type="pct"/>
            <w:hideMark/>
          </w:tcPr>
          <w:p w14:paraId="01693742" w14:textId="77777777"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12% to 8% of revenue</w:t>
            </w:r>
          </w:p>
        </w:tc>
        <w:tc>
          <w:tcPr>
            <w:tcW w:w="2881" w:type="pct"/>
            <w:hideMark/>
          </w:tcPr>
          <w:p w14:paraId="3C79960D" w14:textId="27257CB5"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6948B4">
              <w:t>More to raise at launch to fund listings, sampling, digital content, promotions and British-food events.</w:t>
            </w:r>
          </w:p>
        </w:tc>
      </w:tr>
      <w:tr w:rsidR="00A86A95" w:rsidRPr="00AA0295" w14:paraId="2C1634EE" w14:textId="77777777" w:rsidTr="0043049B">
        <w:tc>
          <w:tcPr>
            <w:cnfStyle w:val="001000000000" w:firstRow="0" w:lastRow="0" w:firstColumn="1" w:lastColumn="0" w:oddVBand="0" w:evenVBand="0" w:oddHBand="0" w:evenHBand="0" w:firstRowFirstColumn="0" w:firstRowLastColumn="0" w:lastRowFirstColumn="0" w:lastRowLastColumn="0"/>
            <w:tcW w:w="1024" w:type="pct"/>
            <w:hideMark/>
          </w:tcPr>
          <w:p w14:paraId="4828142B"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Operating overhead</w:t>
            </w:r>
          </w:p>
        </w:tc>
        <w:tc>
          <w:tcPr>
            <w:tcW w:w="1095" w:type="pct"/>
            <w:hideMark/>
          </w:tcPr>
          <w:p w14:paraId="449A8DD0" w14:textId="77777777"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£0.19m–£0.25m</w:t>
            </w:r>
          </w:p>
        </w:tc>
        <w:tc>
          <w:tcPr>
            <w:tcW w:w="2881" w:type="pct"/>
            <w:hideMark/>
          </w:tcPr>
          <w:p w14:paraId="783F3662" w14:textId="50271D1A"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6948B4">
              <w:t>Includes GCC category management, local marketing support, compliance, analytics and administration.</w:t>
            </w:r>
          </w:p>
        </w:tc>
      </w:tr>
      <w:tr w:rsidR="00A86A95" w:rsidRPr="00AA0295" w14:paraId="73527763"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6AF95484"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Upfront investment</w:t>
            </w:r>
          </w:p>
        </w:tc>
        <w:tc>
          <w:tcPr>
            <w:tcW w:w="1095" w:type="pct"/>
            <w:hideMark/>
          </w:tcPr>
          <w:p w14:paraId="7A2C45C9" w14:textId="77777777"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£0.30m</w:t>
            </w:r>
          </w:p>
        </w:tc>
        <w:tc>
          <w:tcPr>
            <w:tcW w:w="2881" w:type="pct"/>
            <w:hideMark/>
          </w:tcPr>
          <w:p w14:paraId="0F7E1759" w14:textId="61AE0746"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6948B4">
              <w:t>All inclusive: localisation, Arabic packaging, compliance, launch marketing, listing support, systems/data work and initial working capital.</w:t>
            </w:r>
          </w:p>
        </w:tc>
      </w:tr>
      <w:tr w:rsidR="00A86A95" w:rsidRPr="00AA0295" w14:paraId="1EE55BFD" w14:textId="77777777" w:rsidTr="0043049B">
        <w:tc>
          <w:tcPr>
            <w:cnfStyle w:val="001000000000" w:firstRow="0" w:lastRow="0" w:firstColumn="1" w:lastColumn="0" w:oddVBand="0" w:evenVBand="0" w:oddHBand="0" w:evenHBand="0" w:firstRowFirstColumn="0" w:firstRowLastColumn="0" w:lastRowFirstColumn="0" w:lastRowLastColumn="0"/>
            <w:tcW w:w="1024" w:type="pct"/>
            <w:hideMark/>
          </w:tcPr>
          <w:p w14:paraId="3DBB0ACC"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Discount rate</w:t>
            </w:r>
          </w:p>
        </w:tc>
        <w:tc>
          <w:tcPr>
            <w:tcW w:w="1095" w:type="pct"/>
            <w:hideMark/>
          </w:tcPr>
          <w:p w14:paraId="4B9A1B6F" w14:textId="77777777"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10%</w:t>
            </w:r>
          </w:p>
        </w:tc>
        <w:tc>
          <w:tcPr>
            <w:tcW w:w="2881" w:type="pct"/>
            <w:hideMark/>
          </w:tcPr>
          <w:p w14:paraId="721B5DAB" w14:textId="4F3343C6" w:rsidR="00A86A95" w:rsidRPr="00AA0295" w:rsidRDefault="00A86A95" w:rsidP="00A86A9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6948B4">
              <w:t>A smart international FMCG pilot rate with Demand, Execution, Partner-dependence risks.</w:t>
            </w:r>
          </w:p>
        </w:tc>
      </w:tr>
      <w:tr w:rsidR="00A86A95" w:rsidRPr="00AA0295" w14:paraId="2A56410F"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4" w:type="pct"/>
            <w:hideMark/>
          </w:tcPr>
          <w:p w14:paraId="6006BDEB" w14:textId="77777777" w:rsidR="00A86A95" w:rsidRPr="00AA0295" w:rsidRDefault="00A86A95" w:rsidP="00A86A95">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Corporation tax</w:t>
            </w:r>
          </w:p>
        </w:tc>
        <w:tc>
          <w:tcPr>
            <w:tcW w:w="1095" w:type="pct"/>
            <w:hideMark/>
          </w:tcPr>
          <w:p w14:paraId="7DB0C55F" w14:textId="77777777"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25%</w:t>
            </w:r>
          </w:p>
        </w:tc>
        <w:tc>
          <w:tcPr>
            <w:tcW w:w="2881" w:type="pct"/>
            <w:hideMark/>
          </w:tcPr>
          <w:p w14:paraId="0190C806" w14:textId="4D36CD11" w:rsidR="00A86A95" w:rsidRPr="00AA0295" w:rsidRDefault="00A86A95" w:rsidP="00A86A9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6948B4">
              <w:t>Applies only if the venture makes a positive operating profit, not a description of the tax treatment in each jurisdiction – planning assumption.</w:t>
            </w:r>
          </w:p>
        </w:tc>
      </w:tr>
    </w:tbl>
    <w:p w14:paraId="4A0A9CBD" w14:textId="34E2F179" w:rsidR="00064C05" w:rsidRPr="00AA0295" w:rsidRDefault="004329C4" w:rsidP="00963766">
      <w:pPr>
        <w:pStyle w:val="Heading3"/>
      </w:pPr>
      <w:bookmarkStart w:id="115" w:name="_Toc238675544"/>
      <w:r>
        <w:lastRenderedPageBreak/>
        <w:t>5</w:t>
      </w:r>
      <w:r w:rsidRPr="00AA0295">
        <w:t>.</w:t>
      </w:r>
      <w:r>
        <w:t>5</w:t>
      </w:r>
      <w:r w:rsidR="00064C05" w:rsidRPr="00AA0295">
        <w:t>.2 Initial investment requirement</w:t>
      </w:r>
      <w:bookmarkEnd w:id="115"/>
    </w:p>
    <w:p w14:paraId="142BDE29" w14:textId="76C639F5"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£300,000 initial commitment is deliberately limited because the proposed model uses Morrisons’ established UK production base and partner distribution, rather than requiring owned stores, warehouses or major fixed assets in the GCC.</w:t>
      </w:r>
    </w:p>
    <w:tbl>
      <w:tblPr>
        <w:tblStyle w:val="PlainTable1"/>
        <w:tblW w:w="5000" w:type="pct"/>
        <w:tblLook w:val="04A0" w:firstRow="1" w:lastRow="0" w:firstColumn="1" w:lastColumn="0" w:noHBand="0" w:noVBand="1"/>
      </w:tblPr>
      <w:tblGrid>
        <w:gridCol w:w="6474"/>
        <w:gridCol w:w="696"/>
        <w:gridCol w:w="1846"/>
      </w:tblGrid>
      <w:tr w:rsidR="00064C05" w:rsidRPr="00AA0295" w14:paraId="42541B87" w14:textId="77777777" w:rsidTr="00A520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pct"/>
            <w:hideMark/>
          </w:tcPr>
          <w:p w14:paraId="71F67E71"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Initial investment item</w:t>
            </w:r>
          </w:p>
        </w:tc>
        <w:tc>
          <w:tcPr>
            <w:tcW w:w="386" w:type="pct"/>
            <w:hideMark/>
          </w:tcPr>
          <w:p w14:paraId="185DB40F"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£000</w:t>
            </w:r>
          </w:p>
        </w:tc>
        <w:tc>
          <w:tcPr>
            <w:tcW w:w="1024" w:type="pct"/>
            <w:hideMark/>
          </w:tcPr>
          <w:p w14:paraId="5DD1526E"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Timing</w:t>
            </w:r>
          </w:p>
        </w:tc>
      </w:tr>
      <w:tr w:rsidR="00064C05" w:rsidRPr="00AA0295" w14:paraId="3E1DCC07" w14:textId="77777777" w:rsidTr="00A5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pct"/>
            <w:hideMark/>
          </w:tcPr>
          <w:p w14:paraId="2FB0F484"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GCC product adaptation, Arabic labelling and regulatory work</w:t>
            </w:r>
          </w:p>
        </w:tc>
        <w:tc>
          <w:tcPr>
            <w:tcW w:w="386" w:type="pct"/>
            <w:hideMark/>
          </w:tcPr>
          <w:p w14:paraId="32A14A1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55</w:t>
            </w:r>
          </w:p>
        </w:tc>
        <w:tc>
          <w:tcPr>
            <w:tcW w:w="1024" w:type="pct"/>
            <w:hideMark/>
          </w:tcPr>
          <w:p w14:paraId="70A3270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Pre-launch</w:t>
            </w:r>
          </w:p>
        </w:tc>
      </w:tr>
      <w:tr w:rsidR="00064C05" w:rsidRPr="00AA0295" w14:paraId="1AF6325B" w14:textId="77777777" w:rsidTr="00A520CE">
        <w:tc>
          <w:tcPr>
            <w:cnfStyle w:val="001000000000" w:firstRow="0" w:lastRow="0" w:firstColumn="1" w:lastColumn="0" w:oddVBand="0" w:evenVBand="0" w:oddHBand="0" w:evenHBand="0" w:firstRowFirstColumn="0" w:firstRowLastColumn="0" w:lastRowFirstColumn="0" w:lastRowLastColumn="0"/>
            <w:tcW w:w="3590" w:type="pct"/>
            <w:hideMark/>
          </w:tcPr>
          <w:p w14:paraId="18290C46"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Product testing, packaging artwork and compliance documentation</w:t>
            </w:r>
          </w:p>
        </w:tc>
        <w:tc>
          <w:tcPr>
            <w:tcW w:w="386" w:type="pct"/>
            <w:hideMark/>
          </w:tcPr>
          <w:p w14:paraId="79C8AA33"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30</w:t>
            </w:r>
          </w:p>
        </w:tc>
        <w:tc>
          <w:tcPr>
            <w:tcW w:w="1024" w:type="pct"/>
            <w:hideMark/>
          </w:tcPr>
          <w:p w14:paraId="22365F6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Pre-launch</w:t>
            </w:r>
          </w:p>
        </w:tc>
      </w:tr>
      <w:tr w:rsidR="00064C05" w:rsidRPr="00AA0295" w14:paraId="1AC27E89" w14:textId="77777777" w:rsidTr="00A5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pct"/>
            <w:hideMark/>
          </w:tcPr>
          <w:p w14:paraId="71F69B48"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Retailer listing fees and launch merchandising</w:t>
            </w:r>
          </w:p>
        </w:tc>
        <w:tc>
          <w:tcPr>
            <w:tcW w:w="386" w:type="pct"/>
            <w:hideMark/>
          </w:tcPr>
          <w:p w14:paraId="1CB00B46"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50</w:t>
            </w:r>
          </w:p>
        </w:tc>
        <w:tc>
          <w:tcPr>
            <w:tcW w:w="1024" w:type="pct"/>
            <w:hideMark/>
          </w:tcPr>
          <w:p w14:paraId="28AD487C"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Year 1</w:t>
            </w:r>
          </w:p>
        </w:tc>
      </w:tr>
      <w:tr w:rsidR="00064C05" w:rsidRPr="00AA0295" w14:paraId="6F956819" w14:textId="77777777" w:rsidTr="00A520CE">
        <w:tc>
          <w:tcPr>
            <w:cnfStyle w:val="001000000000" w:firstRow="0" w:lastRow="0" w:firstColumn="1" w:lastColumn="0" w:oddVBand="0" w:evenVBand="0" w:oddHBand="0" w:evenHBand="0" w:firstRowFirstColumn="0" w:firstRowLastColumn="0" w:lastRowFirstColumn="0" w:lastRowLastColumn="0"/>
            <w:tcW w:w="3590" w:type="pct"/>
            <w:hideMark/>
          </w:tcPr>
          <w:p w14:paraId="327D1E2B"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Digital content, sampling and trade marketing</w:t>
            </w:r>
          </w:p>
        </w:tc>
        <w:tc>
          <w:tcPr>
            <w:tcW w:w="386" w:type="pct"/>
            <w:hideMark/>
          </w:tcPr>
          <w:p w14:paraId="04FB2DA5"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75</w:t>
            </w:r>
          </w:p>
        </w:tc>
        <w:tc>
          <w:tcPr>
            <w:tcW w:w="1024" w:type="pct"/>
            <w:hideMark/>
          </w:tcPr>
          <w:p w14:paraId="3312B423"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Year 1</w:t>
            </w:r>
          </w:p>
        </w:tc>
      </w:tr>
      <w:tr w:rsidR="00064C05" w:rsidRPr="00AA0295" w14:paraId="63FCDEC8" w14:textId="77777777" w:rsidTr="00A5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pct"/>
            <w:hideMark/>
          </w:tcPr>
          <w:p w14:paraId="51C76890"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GCC category-management, analytics and training set-up</w:t>
            </w:r>
          </w:p>
        </w:tc>
        <w:tc>
          <w:tcPr>
            <w:tcW w:w="386" w:type="pct"/>
            <w:hideMark/>
          </w:tcPr>
          <w:p w14:paraId="6A03424A"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40</w:t>
            </w:r>
          </w:p>
        </w:tc>
        <w:tc>
          <w:tcPr>
            <w:tcW w:w="1024" w:type="pct"/>
            <w:hideMark/>
          </w:tcPr>
          <w:p w14:paraId="1A12F2E4"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Year 1</w:t>
            </w:r>
          </w:p>
        </w:tc>
      </w:tr>
      <w:tr w:rsidR="00064C05" w:rsidRPr="00AA0295" w14:paraId="3B8A7AF3" w14:textId="77777777" w:rsidTr="00A520CE">
        <w:tc>
          <w:tcPr>
            <w:cnfStyle w:val="001000000000" w:firstRow="0" w:lastRow="0" w:firstColumn="1" w:lastColumn="0" w:oddVBand="0" w:evenVBand="0" w:oddHBand="0" w:evenHBand="0" w:firstRowFirstColumn="0" w:firstRowLastColumn="0" w:lastRowFirstColumn="0" w:lastRowLastColumn="0"/>
            <w:tcW w:w="3590" w:type="pct"/>
            <w:hideMark/>
          </w:tcPr>
          <w:p w14:paraId="76FB8335"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Initial working-capital provision</w:t>
            </w:r>
          </w:p>
        </w:tc>
        <w:tc>
          <w:tcPr>
            <w:tcW w:w="386" w:type="pct"/>
            <w:hideMark/>
          </w:tcPr>
          <w:p w14:paraId="29E57F51"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50</w:t>
            </w:r>
          </w:p>
        </w:tc>
        <w:tc>
          <w:tcPr>
            <w:tcW w:w="1024" w:type="pct"/>
            <w:hideMark/>
          </w:tcPr>
          <w:p w14:paraId="64521207"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Pre-launch / Year 1</w:t>
            </w:r>
          </w:p>
        </w:tc>
      </w:tr>
      <w:tr w:rsidR="00064C05" w:rsidRPr="00AA0295" w14:paraId="03681BBD" w14:textId="77777777" w:rsidTr="00A5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pct"/>
            <w:hideMark/>
          </w:tcPr>
          <w:p w14:paraId="4A9B7F0A"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Total initial investment</w:t>
            </w:r>
          </w:p>
        </w:tc>
        <w:tc>
          <w:tcPr>
            <w:tcW w:w="386" w:type="pct"/>
            <w:hideMark/>
          </w:tcPr>
          <w:p w14:paraId="4A657667"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300</w:t>
            </w:r>
          </w:p>
        </w:tc>
        <w:tc>
          <w:tcPr>
            <w:tcW w:w="1024" w:type="pct"/>
            <w:hideMark/>
          </w:tcPr>
          <w:p w14:paraId="317C2A1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2026</w:t>
            </w:r>
          </w:p>
        </w:tc>
      </w:tr>
    </w:tbl>
    <w:p w14:paraId="2A99084F" w14:textId="77777777" w:rsidR="00A520CE" w:rsidRDefault="00A520CE" w:rsidP="00963766">
      <w:pPr>
        <w:pStyle w:val="Heading3"/>
      </w:pPr>
    </w:p>
    <w:p w14:paraId="4BFCD18A" w14:textId="0A2AE4D2" w:rsidR="00064C05" w:rsidRPr="00AA0295" w:rsidRDefault="00A520CE" w:rsidP="00963766">
      <w:pPr>
        <w:pStyle w:val="Heading3"/>
      </w:pPr>
      <w:bookmarkStart w:id="116" w:name="_Toc238675545"/>
      <w:r>
        <w:t>5</w:t>
      </w:r>
      <w:r w:rsidRPr="00AA0295">
        <w:t>.</w:t>
      </w:r>
      <w:r>
        <w:t>5</w:t>
      </w:r>
      <w:r w:rsidR="00064C05" w:rsidRPr="00AA0295">
        <w:t>.3 Five-year revenue forecast</w:t>
      </w:r>
      <w:bookmarkEnd w:id="116"/>
    </w:p>
    <w:p w14:paraId="3CFF7798" w14:textId="137AEC42"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forecast assumes a phased expansion</w:t>
      </w:r>
      <w:r w:rsidR="0089463E">
        <w:rPr>
          <w:rFonts w:eastAsia="Times New Roman" w:cs="Times New Roman"/>
          <w:szCs w:val="24"/>
        </w:rPr>
        <w:t>,</w:t>
      </w:r>
      <w:r w:rsidRPr="00AA0295">
        <w:rPr>
          <w:rFonts w:eastAsia="Times New Roman" w:cs="Times New Roman"/>
          <w:szCs w:val="24"/>
        </w:rPr>
        <w:t xml:space="preserve"> initial listings in selected UAE and KSA channels in 2026, increasing availability and online visibility in 2027–2028, followed by broader distribution and selective SKU additions in 2029–2030. This approach is consistent </w:t>
      </w:r>
      <w:r w:rsidR="00D570A7" w:rsidRPr="00AA0295">
        <w:rPr>
          <w:rFonts w:eastAsia="Times New Roman" w:cs="Times New Roman"/>
          <w:szCs w:val="24"/>
        </w:rPr>
        <w:t>with capital</w:t>
      </w:r>
      <w:r w:rsidRPr="00AA0295">
        <w:rPr>
          <w:rFonts w:eastAsia="Times New Roman" w:cs="Times New Roman"/>
          <w:szCs w:val="24"/>
        </w:rPr>
        <w:t>-light, partner-based entry design.</w:t>
      </w:r>
    </w:p>
    <w:tbl>
      <w:tblPr>
        <w:tblStyle w:val="PlainTable1"/>
        <w:tblW w:w="5000" w:type="pct"/>
        <w:tblLook w:val="04A0" w:firstRow="1" w:lastRow="0" w:firstColumn="1" w:lastColumn="0" w:noHBand="0" w:noVBand="1"/>
      </w:tblPr>
      <w:tblGrid>
        <w:gridCol w:w="3263"/>
        <w:gridCol w:w="993"/>
        <w:gridCol w:w="1190"/>
        <w:gridCol w:w="1190"/>
        <w:gridCol w:w="1190"/>
        <w:gridCol w:w="1190"/>
      </w:tblGrid>
      <w:tr w:rsidR="00064C05" w:rsidRPr="00AA0295" w14:paraId="50A24124" w14:textId="77777777" w:rsidTr="004304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pct"/>
            <w:hideMark/>
          </w:tcPr>
          <w:p w14:paraId="2F9BE19B"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£000</w:t>
            </w:r>
          </w:p>
        </w:tc>
        <w:tc>
          <w:tcPr>
            <w:tcW w:w="550" w:type="pct"/>
            <w:hideMark/>
          </w:tcPr>
          <w:p w14:paraId="0A2AB38E"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2026</w:t>
            </w:r>
          </w:p>
        </w:tc>
        <w:tc>
          <w:tcPr>
            <w:tcW w:w="660" w:type="pct"/>
            <w:hideMark/>
          </w:tcPr>
          <w:p w14:paraId="23370390"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2027</w:t>
            </w:r>
          </w:p>
        </w:tc>
        <w:tc>
          <w:tcPr>
            <w:tcW w:w="660" w:type="pct"/>
            <w:hideMark/>
          </w:tcPr>
          <w:p w14:paraId="10906EE7"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2028</w:t>
            </w:r>
          </w:p>
        </w:tc>
        <w:tc>
          <w:tcPr>
            <w:tcW w:w="660" w:type="pct"/>
            <w:hideMark/>
          </w:tcPr>
          <w:p w14:paraId="0FFB4141"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2029</w:t>
            </w:r>
          </w:p>
        </w:tc>
        <w:tc>
          <w:tcPr>
            <w:tcW w:w="660" w:type="pct"/>
            <w:hideMark/>
          </w:tcPr>
          <w:p w14:paraId="350309F8"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2030</w:t>
            </w:r>
          </w:p>
        </w:tc>
      </w:tr>
      <w:tr w:rsidR="00064C05" w:rsidRPr="00AA0295" w14:paraId="52848187"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pct"/>
            <w:hideMark/>
          </w:tcPr>
          <w:p w14:paraId="7BA9D7F1"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UAE revenue</w:t>
            </w:r>
          </w:p>
        </w:tc>
        <w:tc>
          <w:tcPr>
            <w:tcW w:w="550" w:type="pct"/>
            <w:hideMark/>
          </w:tcPr>
          <w:p w14:paraId="3DCE3EE6"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420</w:t>
            </w:r>
          </w:p>
        </w:tc>
        <w:tc>
          <w:tcPr>
            <w:tcW w:w="660" w:type="pct"/>
            <w:hideMark/>
          </w:tcPr>
          <w:p w14:paraId="2C4FCB4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609</w:t>
            </w:r>
          </w:p>
        </w:tc>
        <w:tc>
          <w:tcPr>
            <w:tcW w:w="660" w:type="pct"/>
            <w:hideMark/>
          </w:tcPr>
          <w:p w14:paraId="0C356451"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822</w:t>
            </w:r>
          </w:p>
        </w:tc>
        <w:tc>
          <w:tcPr>
            <w:tcW w:w="660" w:type="pct"/>
            <w:hideMark/>
          </w:tcPr>
          <w:p w14:paraId="775639E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1,028</w:t>
            </w:r>
          </w:p>
        </w:tc>
        <w:tc>
          <w:tcPr>
            <w:tcW w:w="660" w:type="pct"/>
            <w:hideMark/>
          </w:tcPr>
          <w:p w14:paraId="41F797BA"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1,234</w:t>
            </w:r>
          </w:p>
        </w:tc>
      </w:tr>
      <w:tr w:rsidR="00064C05" w:rsidRPr="00AA0295" w14:paraId="2AAE8866" w14:textId="77777777" w:rsidTr="0043049B">
        <w:tc>
          <w:tcPr>
            <w:cnfStyle w:val="001000000000" w:firstRow="0" w:lastRow="0" w:firstColumn="1" w:lastColumn="0" w:oddVBand="0" w:evenVBand="0" w:oddHBand="0" w:evenHBand="0" w:firstRowFirstColumn="0" w:firstRowLastColumn="0" w:lastRowFirstColumn="0" w:lastRowLastColumn="0"/>
            <w:tcW w:w="1809" w:type="pct"/>
            <w:hideMark/>
          </w:tcPr>
          <w:p w14:paraId="4069F268"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KSA revenue</w:t>
            </w:r>
          </w:p>
        </w:tc>
        <w:tc>
          <w:tcPr>
            <w:tcW w:w="550" w:type="pct"/>
            <w:hideMark/>
          </w:tcPr>
          <w:p w14:paraId="3B855BDE"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280</w:t>
            </w:r>
          </w:p>
        </w:tc>
        <w:tc>
          <w:tcPr>
            <w:tcW w:w="660" w:type="pct"/>
            <w:hideMark/>
          </w:tcPr>
          <w:p w14:paraId="0622368F"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406</w:t>
            </w:r>
          </w:p>
        </w:tc>
        <w:tc>
          <w:tcPr>
            <w:tcW w:w="660" w:type="pct"/>
            <w:hideMark/>
          </w:tcPr>
          <w:p w14:paraId="6993B66E"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548</w:t>
            </w:r>
          </w:p>
        </w:tc>
        <w:tc>
          <w:tcPr>
            <w:tcW w:w="660" w:type="pct"/>
            <w:hideMark/>
          </w:tcPr>
          <w:p w14:paraId="62CA99C9"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685</w:t>
            </w:r>
          </w:p>
        </w:tc>
        <w:tc>
          <w:tcPr>
            <w:tcW w:w="660" w:type="pct"/>
            <w:hideMark/>
          </w:tcPr>
          <w:p w14:paraId="117AAF9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822</w:t>
            </w:r>
          </w:p>
        </w:tc>
      </w:tr>
      <w:tr w:rsidR="00064C05" w:rsidRPr="00AA0295" w14:paraId="1FE3DD03"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pct"/>
            <w:hideMark/>
          </w:tcPr>
          <w:p w14:paraId="04B37D69"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Total revenue</w:t>
            </w:r>
          </w:p>
        </w:tc>
        <w:tc>
          <w:tcPr>
            <w:tcW w:w="550" w:type="pct"/>
            <w:hideMark/>
          </w:tcPr>
          <w:p w14:paraId="74DEDC24"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700</w:t>
            </w:r>
          </w:p>
        </w:tc>
        <w:tc>
          <w:tcPr>
            <w:tcW w:w="660" w:type="pct"/>
            <w:hideMark/>
          </w:tcPr>
          <w:p w14:paraId="24B0375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1,015</w:t>
            </w:r>
          </w:p>
        </w:tc>
        <w:tc>
          <w:tcPr>
            <w:tcW w:w="660" w:type="pct"/>
            <w:hideMark/>
          </w:tcPr>
          <w:p w14:paraId="174875A7"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1,370</w:t>
            </w:r>
          </w:p>
        </w:tc>
        <w:tc>
          <w:tcPr>
            <w:tcW w:w="660" w:type="pct"/>
            <w:hideMark/>
          </w:tcPr>
          <w:p w14:paraId="51D6481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1,713</w:t>
            </w:r>
          </w:p>
        </w:tc>
        <w:tc>
          <w:tcPr>
            <w:tcW w:w="660" w:type="pct"/>
            <w:hideMark/>
          </w:tcPr>
          <w:p w14:paraId="249915BE"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2,056</w:t>
            </w:r>
          </w:p>
        </w:tc>
      </w:tr>
      <w:tr w:rsidR="00064C05" w:rsidRPr="00AA0295" w14:paraId="12442FC6" w14:textId="77777777" w:rsidTr="0043049B">
        <w:tc>
          <w:tcPr>
            <w:cnfStyle w:val="001000000000" w:firstRow="0" w:lastRow="0" w:firstColumn="1" w:lastColumn="0" w:oddVBand="0" w:evenVBand="0" w:oddHBand="0" w:evenHBand="0" w:firstRowFirstColumn="0" w:firstRowLastColumn="0" w:lastRowFirstColumn="0" w:lastRowLastColumn="0"/>
            <w:tcW w:w="1809" w:type="pct"/>
            <w:hideMark/>
          </w:tcPr>
          <w:p w14:paraId="03A27E68"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Revenue growth</w:t>
            </w:r>
          </w:p>
        </w:tc>
        <w:tc>
          <w:tcPr>
            <w:tcW w:w="550" w:type="pct"/>
            <w:hideMark/>
          </w:tcPr>
          <w:p w14:paraId="0BD805BF"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w:t>
            </w:r>
          </w:p>
        </w:tc>
        <w:tc>
          <w:tcPr>
            <w:tcW w:w="660" w:type="pct"/>
            <w:hideMark/>
          </w:tcPr>
          <w:p w14:paraId="79611912"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45.0%</w:t>
            </w:r>
          </w:p>
        </w:tc>
        <w:tc>
          <w:tcPr>
            <w:tcW w:w="660" w:type="pct"/>
            <w:hideMark/>
          </w:tcPr>
          <w:p w14:paraId="1D0BB995"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35.0%</w:t>
            </w:r>
          </w:p>
        </w:tc>
        <w:tc>
          <w:tcPr>
            <w:tcW w:w="660" w:type="pct"/>
            <w:hideMark/>
          </w:tcPr>
          <w:p w14:paraId="65DB4E49"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25.0%</w:t>
            </w:r>
          </w:p>
        </w:tc>
        <w:tc>
          <w:tcPr>
            <w:tcW w:w="660" w:type="pct"/>
            <w:hideMark/>
          </w:tcPr>
          <w:p w14:paraId="29573976"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20.0%</w:t>
            </w:r>
          </w:p>
        </w:tc>
      </w:tr>
      <w:tr w:rsidR="00064C05" w:rsidRPr="00AA0295" w14:paraId="752170FD"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pct"/>
            <w:hideMark/>
          </w:tcPr>
          <w:p w14:paraId="5CE9727B"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Cumulative revenue</w:t>
            </w:r>
          </w:p>
        </w:tc>
        <w:tc>
          <w:tcPr>
            <w:tcW w:w="550" w:type="pct"/>
            <w:hideMark/>
          </w:tcPr>
          <w:p w14:paraId="02D9B154"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700</w:t>
            </w:r>
          </w:p>
        </w:tc>
        <w:tc>
          <w:tcPr>
            <w:tcW w:w="660" w:type="pct"/>
            <w:hideMark/>
          </w:tcPr>
          <w:p w14:paraId="7474926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1,715</w:t>
            </w:r>
          </w:p>
        </w:tc>
        <w:tc>
          <w:tcPr>
            <w:tcW w:w="660" w:type="pct"/>
            <w:hideMark/>
          </w:tcPr>
          <w:p w14:paraId="372207D6"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3,085</w:t>
            </w:r>
          </w:p>
        </w:tc>
        <w:tc>
          <w:tcPr>
            <w:tcW w:w="660" w:type="pct"/>
            <w:hideMark/>
          </w:tcPr>
          <w:p w14:paraId="2F937BFA"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4,798</w:t>
            </w:r>
          </w:p>
        </w:tc>
        <w:tc>
          <w:tcPr>
            <w:tcW w:w="660" w:type="pct"/>
            <w:hideMark/>
          </w:tcPr>
          <w:p w14:paraId="4807FA7D"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6,854</w:t>
            </w:r>
          </w:p>
        </w:tc>
      </w:tr>
    </w:tbl>
    <w:p w14:paraId="1EF8831D" w14:textId="4887DC9A"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 xml:space="preserve">The projected £2.06 million sales level in 2030 remains modest when compared with the report’s estimated £200 million accessible premium biscuit and confectionery segment. It </w:t>
      </w:r>
      <w:r w:rsidRPr="00AA0295">
        <w:rPr>
          <w:rFonts w:eastAsia="Times New Roman" w:cs="Times New Roman"/>
          <w:szCs w:val="24"/>
        </w:rPr>
        <w:lastRenderedPageBreak/>
        <w:t>represents approximately 1.0% of that reference market, so the model does not require an implausibly dominant share to achieve its upper-year forecast.</w:t>
      </w:r>
    </w:p>
    <w:p w14:paraId="3ECAA3E9" w14:textId="6963A079" w:rsidR="00064C05" w:rsidRPr="00AA0295" w:rsidRDefault="00EA2DF2" w:rsidP="00936493">
      <w:pPr>
        <w:pStyle w:val="Heading3"/>
        <w:rPr>
          <w:rFonts w:eastAsia="Times New Roman"/>
        </w:rPr>
      </w:pPr>
      <w:bookmarkStart w:id="117" w:name="_Toc238675546"/>
      <w:r>
        <w:t>5</w:t>
      </w:r>
      <w:r w:rsidRPr="00AA0295">
        <w:t>.</w:t>
      </w:r>
      <w:r>
        <w:t>5</w:t>
      </w:r>
      <w:r w:rsidR="00064C05" w:rsidRPr="00AA0295">
        <w:rPr>
          <w:rFonts w:eastAsia="Times New Roman"/>
        </w:rPr>
        <w:t>.4 Five-year profit and cash-flow model</w:t>
      </w:r>
      <w:bookmarkEnd w:id="117"/>
    </w:p>
    <w:tbl>
      <w:tblPr>
        <w:tblStyle w:val="PlainTable1"/>
        <w:tblW w:w="0" w:type="auto"/>
        <w:tblLook w:val="04A0" w:firstRow="1" w:lastRow="0" w:firstColumn="1" w:lastColumn="0" w:noHBand="0" w:noVBand="1"/>
      </w:tblPr>
      <w:tblGrid>
        <w:gridCol w:w="4936"/>
        <w:gridCol w:w="736"/>
        <w:gridCol w:w="756"/>
        <w:gridCol w:w="756"/>
        <w:gridCol w:w="916"/>
        <w:gridCol w:w="916"/>
      </w:tblGrid>
      <w:tr w:rsidR="00064C05" w:rsidRPr="00AA0295" w14:paraId="10BA6C1A" w14:textId="77777777" w:rsidTr="004304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FEFA35"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£000</w:t>
            </w:r>
          </w:p>
        </w:tc>
        <w:tc>
          <w:tcPr>
            <w:tcW w:w="0" w:type="auto"/>
            <w:hideMark/>
          </w:tcPr>
          <w:p w14:paraId="16D1B7EC"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2026</w:t>
            </w:r>
          </w:p>
        </w:tc>
        <w:tc>
          <w:tcPr>
            <w:tcW w:w="0" w:type="auto"/>
            <w:hideMark/>
          </w:tcPr>
          <w:p w14:paraId="0689852C"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2027</w:t>
            </w:r>
          </w:p>
        </w:tc>
        <w:tc>
          <w:tcPr>
            <w:tcW w:w="0" w:type="auto"/>
            <w:hideMark/>
          </w:tcPr>
          <w:p w14:paraId="64C69172"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2028</w:t>
            </w:r>
          </w:p>
        </w:tc>
        <w:tc>
          <w:tcPr>
            <w:tcW w:w="0" w:type="auto"/>
            <w:hideMark/>
          </w:tcPr>
          <w:p w14:paraId="30C69F8D"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2029</w:t>
            </w:r>
          </w:p>
        </w:tc>
        <w:tc>
          <w:tcPr>
            <w:tcW w:w="0" w:type="auto"/>
            <w:hideMark/>
          </w:tcPr>
          <w:p w14:paraId="4EE3B598"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2030</w:t>
            </w:r>
          </w:p>
        </w:tc>
      </w:tr>
      <w:tr w:rsidR="00064C05" w:rsidRPr="00AA0295" w14:paraId="76315D54"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D1D9CA"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Revenue</w:t>
            </w:r>
          </w:p>
        </w:tc>
        <w:tc>
          <w:tcPr>
            <w:tcW w:w="0" w:type="auto"/>
            <w:hideMark/>
          </w:tcPr>
          <w:p w14:paraId="3F9D0B0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700</w:t>
            </w:r>
          </w:p>
        </w:tc>
        <w:tc>
          <w:tcPr>
            <w:tcW w:w="0" w:type="auto"/>
            <w:hideMark/>
          </w:tcPr>
          <w:p w14:paraId="06BBD911"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1,015</w:t>
            </w:r>
          </w:p>
        </w:tc>
        <w:tc>
          <w:tcPr>
            <w:tcW w:w="0" w:type="auto"/>
            <w:hideMark/>
          </w:tcPr>
          <w:p w14:paraId="6F832163"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1,370</w:t>
            </w:r>
          </w:p>
        </w:tc>
        <w:tc>
          <w:tcPr>
            <w:tcW w:w="0" w:type="auto"/>
            <w:hideMark/>
          </w:tcPr>
          <w:p w14:paraId="14A4C65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1,713</w:t>
            </w:r>
          </w:p>
        </w:tc>
        <w:tc>
          <w:tcPr>
            <w:tcW w:w="0" w:type="auto"/>
            <w:hideMark/>
          </w:tcPr>
          <w:p w14:paraId="105A6069"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2,056</w:t>
            </w:r>
          </w:p>
        </w:tc>
      </w:tr>
      <w:tr w:rsidR="00064C05" w:rsidRPr="00AA0295" w14:paraId="7AA8A648"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5ED660C4"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Cost of goods, logistics and retailer/distributor deductions</w:t>
            </w:r>
          </w:p>
        </w:tc>
        <w:tc>
          <w:tcPr>
            <w:tcW w:w="0" w:type="auto"/>
            <w:hideMark/>
          </w:tcPr>
          <w:p w14:paraId="614B25C7"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(476)</w:t>
            </w:r>
          </w:p>
        </w:tc>
        <w:tc>
          <w:tcPr>
            <w:tcW w:w="0" w:type="auto"/>
            <w:hideMark/>
          </w:tcPr>
          <w:p w14:paraId="1AF536AF"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(690)</w:t>
            </w:r>
          </w:p>
        </w:tc>
        <w:tc>
          <w:tcPr>
            <w:tcW w:w="0" w:type="auto"/>
            <w:hideMark/>
          </w:tcPr>
          <w:p w14:paraId="4C3FA6EC"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(932)</w:t>
            </w:r>
          </w:p>
        </w:tc>
        <w:tc>
          <w:tcPr>
            <w:tcW w:w="0" w:type="auto"/>
            <w:hideMark/>
          </w:tcPr>
          <w:p w14:paraId="40F39349"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(1,165)</w:t>
            </w:r>
          </w:p>
        </w:tc>
        <w:tc>
          <w:tcPr>
            <w:tcW w:w="0" w:type="auto"/>
            <w:hideMark/>
          </w:tcPr>
          <w:p w14:paraId="5B663268"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(1,398)</w:t>
            </w:r>
          </w:p>
        </w:tc>
      </w:tr>
      <w:tr w:rsidR="00064C05" w:rsidRPr="00AA0295" w14:paraId="0D6C435D"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00494"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Gross profit</w:t>
            </w:r>
          </w:p>
        </w:tc>
        <w:tc>
          <w:tcPr>
            <w:tcW w:w="0" w:type="auto"/>
            <w:hideMark/>
          </w:tcPr>
          <w:p w14:paraId="22BC755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224</w:t>
            </w:r>
          </w:p>
        </w:tc>
        <w:tc>
          <w:tcPr>
            <w:tcW w:w="0" w:type="auto"/>
            <w:hideMark/>
          </w:tcPr>
          <w:p w14:paraId="32ED45D8"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325</w:t>
            </w:r>
          </w:p>
        </w:tc>
        <w:tc>
          <w:tcPr>
            <w:tcW w:w="0" w:type="auto"/>
            <w:hideMark/>
          </w:tcPr>
          <w:p w14:paraId="539D49C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438</w:t>
            </w:r>
          </w:p>
        </w:tc>
        <w:tc>
          <w:tcPr>
            <w:tcW w:w="0" w:type="auto"/>
            <w:hideMark/>
          </w:tcPr>
          <w:p w14:paraId="54236C98"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548</w:t>
            </w:r>
          </w:p>
        </w:tc>
        <w:tc>
          <w:tcPr>
            <w:tcW w:w="0" w:type="auto"/>
            <w:hideMark/>
          </w:tcPr>
          <w:p w14:paraId="6E09EA3E"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658</w:t>
            </w:r>
          </w:p>
        </w:tc>
      </w:tr>
      <w:tr w:rsidR="00064C05" w:rsidRPr="00AA0295" w14:paraId="5601EF95"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0D60FD90"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Marketing and trade promotion</w:t>
            </w:r>
          </w:p>
        </w:tc>
        <w:tc>
          <w:tcPr>
            <w:tcW w:w="0" w:type="auto"/>
            <w:hideMark/>
          </w:tcPr>
          <w:p w14:paraId="5CEC2852"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(84)</w:t>
            </w:r>
          </w:p>
        </w:tc>
        <w:tc>
          <w:tcPr>
            <w:tcW w:w="0" w:type="auto"/>
            <w:hideMark/>
          </w:tcPr>
          <w:p w14:paraId="6AD3B5AB"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(102)</w:t>
            </w:r>
          </w:p>
        </w:tc>
        <w:tc>
          <w:tcPr>
            <w:tcW w:w="0" w:type="auto"/>
            <w:hideMark/>
          </w:tcPr>
          <w:p w14:paraId="56ED3FD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(123)</w:t>
            </w:r>
          </w:p>
        </w:tc>
        <w:tc>
          <w:tcPr>
            <w:tcW w:w="0" w:type="auto"/>
            <w:hideMark/>
          </w:tcPr>
          <w:p w14:paraId="66B698A1"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(137)</w:t>
            </w:r>
          </w:p>
        </w:tc>
        <w:tc>
          <w:tcPr>
            <w:tcW w:w="0" w:type="auto"/>
            <w:hideMark/>
          </w:tcPr>
          <w:p w14:paraId="060A58EB"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(164)</w:t>
            </w:r>
          </w:p>
        </w:tc>
      </w:tr>
      <w:tr w:rsidR="00064C05" w:rsidRPr="00AA0295" w14:paraId="099A358B"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511A85"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GCC operating overhead</w:t>
            </w:r>
          </w:p>
        </w:tc>
        <w:tc>
          <w:tcPr>
            <w:tcW w:w="0" w:type="auto"/>
            <w:hideMark/>
          </w:tcPr>
          <w:p w14:paraId="79732FAA"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(190)</w:t>
            </w:r>
          </w:p>
        </w:tc>
        <w:tc>
          <w:tcPr>
            <w:tcW w:w="0" w:type="auto"/>
            <w:hideMark/>
          </w:tcPr>
          <w:p w14:paraId="52F8744F"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(205)</w:t>
            </w:r>
          </w:p>
        </w:tc>
        <w:tc>
          <w:tcPr>
            <w:tcW w:w="0" w:type="auto"/>
            <w:hideMark/>
          </w:tcPr>
          <w:p w14:paraId="2092D5BD"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(220)</w:t>
            </w:r>
          </w:p>
        </w:tc>
        <w:tc>
          <w:tcPr>
            <w:tcW w:w="0" w:type="auto"/>
            <w:hideMark/>
          </w:tcPr>
          <w:p w14:paraId="3C1E81BC"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(235)</w:t>
            </w:r>
          </w:p>
        </w:tc>
        <w:tc>
          <w:tcPr>
            <w:tcW w:w="0" w:type="auto"/>
            <w:hideMark/>
          </w:tcPr>
          <w:p w14:paraId="7963ED79"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(250)</w:t>
            </w:r>
          </w:p>
        </w:tc>
      </w:tr>
      <w:tr w:rsidR="00064C05" w:rsidRPr="00AA0295" w14:paraId="7102B446"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7C04CF43"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Operating profit/(loss)</w:t>
            </w:r>
          </w:p>
        </w:tc>
        <w:tc>
          <w:tcPr>
            <w:tcW w:w="0" w:type="auto"/>
            <w:hideMark/>
          </w:tcPr>
          <w:p w14:paraId="5F903F4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(50)</w:t>
            </w:r>
          </w:p>
        </w:tc>
        <w:tc>
          <w:tcPr>
            <w:tcW w:w="0" w:type="auto"/>
            <w:hideMark/>
          </w:tcPr>
          <w:p w14:paraId="3BD7EC58"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18</w:t>
            </w:r>
          </w:p>
        </w:tc>
        <w:tc>
          <w:tcPr>
            <w:tcW w:w="0" w:type="auto"/>
            <w:hideMark/>
          </w:tcPr>
          <w:p w14:paraId="6592C13C"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95</w:t>
            </w:r>
          </w:p>
        </w:tc>
        <w:tc>
          <w:tcPr>
            <w:tcW w:w="0" w:type="auto"/>
            <w:hideMark/>
          </w:tcPr>
          <w:p w14:paraId="4A0C0FC2"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176</w:t>
            </w:r>
          </w:p>
        </w:tc>
        <w:tc>
          <w:tcPr>
            <w:tcW w:w="0" w:type="auto"/>
            <w:hideMark/>
          </w:tcPr>
          <w:p w14:paraId="4BC57412"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244</w:t>
            </w:r>
          </w:p>
        </w:tc>
      </w:tr>
      <w:tr w:rsidR="00064C05" w:rsidRPr="00AA0295" w14:paraId="03AAF197"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CAC430"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Tax at 25% on positive profit</w:t>
            </w:r>
          </w:p>
        </w:tc>
        <w:tc>
          <w:tcPr>
            <w:tcW w:w="0" w:type="auto"/>
            <w:hideMark/>
          </w:tcPr>
          <w:p w14:paraId="70D5287F"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w:t>
            </w:r>
          </w:p>
        </w:tc>
        <w:tc>
          <w:tcPr>
            <w:tcW w:w="0" w:type="auto"/>
            <w:hideMark/>
          </w:tcPr>
          <w:p w14:paraId="3C7F7FC8"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(5)</w:t>
            </w:r>
          </w:p>
        </w:tc>
        <w:tc>
          <w:tcPr>
            <w:tcW w:w="0" w:type="auto"/>
            <w:hideMark/>
          </w:tcPr>
          <w:p w14:paraId="0255E803"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(24)</w:t>
            </w:r>
          </w:p>
        </w:tc>
        <w:tc>
          <w:tcPr>
            <w:tcW w:w="0" w:type="auto"/>
            <w:hideMark/>
          </w:tcPr>
          <w:p w14:paraId="34B27217"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(44)</w:t>
            </w:r>
          </w:p>
        </w:tc>
        <w:tc>
          <w:tcPr>
            <w:tcW w:w="0" w:type="auto"/>
            <w:hideMark/>
          </w:tcPr>
          <w:p w14:paraId="3CCF9C46"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(61)</w:t>
            </w:r>
          </w:p>
        </w:tc>
      </w:tr>
      <w:tr w:rsidR="00064C05" w:rsidRPr="00AA0295" w14:paraId="6A065336"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5002DE42"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Operating cash flow after tax</w:t>
            </w:r>
          </w:p>
        </w:tc>
        <w:tc>
          <w:tcPr>
            <w:tcW w:w="0" w:type="auto"/>
            <w:hideMark/>
          </w:tcPr>
          <w:p w14:paraId="191570DB"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(50)</w:t>
            </w:r>
          </w:p>
        </w:tc>
        <w:tc>
          <w:tcPr>
            <w:tcW w:w="0" w:type="auto"/>
            <w:hideMark/>
          </w:tcPr>
          <w:p w14:paraId="66974418"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13</w:t>
            </w:r>
          </w:p>
        </w:tc>
        <w:tc>
          <w:tcPr>
            <w:tcW w:w="0" w:type="auto"/>
            <w:hideMark/>
          </w:tcPr>
          <w:p w14:paraId="541C31F2"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71</w:t>
            </w:r>
          </w:p>
        </w:tc>
        <w:tc>
          <w:tcPr>
            <w:tcW w:w="0" w:type="auto"/>
            <w:hideMark/>
          </w:tcPr>
          <w:p w14:paraId="58B4F9F6"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132</w:t>
            </w:r>
          </w:p>
        </w:tc>
        <w:tc>
          <w:tcPr>
            <w:tcW w:w="0" w:type="auto"/>
            <w:hideMark/>
          </w:tcPr>
          <w:p w14:paraId="31E64588"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183</w:t>
            </w:r>
          </w:p>
        </w:tc>
      </w:tr>
      <w:tr w:rsidR="00064C05" w:rsidRPr="00AA0295" w14:paraId="792DB16B"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B33289"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Initial investment / incremental working capital</w:t>
            </w:r>
          </w:p>
        </w:tc>
        <w:tc>
          <w:tcPr>
            <w:tcW w:w="0" w:type="auto"/>
            <w:hideMark/>
          </w:tcPr>
          <w:p w14:paraId="68A6652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(300)</w:t>
            </w:r>
          </w:p>
        </w:tc>
        <w:tc>
          <w:tcPr>
            <w:tcW w:w="0" w:type="auto"/>
            <w:hideMark/>
          </w:tcPr>
          <w:p w14:paraId="528413B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(40)</w:t>
            </w:r>
          </w:p>
        </w:tc>
        <w:tc>
          <w:tcPr>
            <w:tcW w:w="0" w:type="auto"/>
            <w:hideMark/>
          </w:tcPr>
          <w:p w14:paraId="2FF42473"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(50)</w:t>
            </w:r>
          </w:p>
        </w:tc>
        <w:tc>
          <w:tcPr>
            <w:tcW w:w="0" w:type="auto"/>
            <w:hideMark/>
          </w:tcPr>
          <w:p w14:paraId="44271DA1"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(55)</w:t>
            </w:r>
          </w:p>
        </w:tc>
        <w:tc>
          <w:tcPr>
            <w:tcW w:w="0" w:type="auto"/>
            <w:hideMark/>
          </w:tcPr>
          <w:p w14:paraId="2BA878C4"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(60)</w:t>
            </w:r>
          </w:p>
        </w:tc>
      </w:tr>
      <w:tr w:rsidR="00064C05" w:rsidRPr="00AA0295" w14:paraId="7ADDAAC1"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68FC5B3E"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Net free cash flow</w:t>
            </w:r>
          </w:p>
        </w:tc>
        <w:tc>
          <w:tcPr>
            <w:tcW w:w="0" w:type="auto"/>
            <w:hideMark/>
          </w:tcPr>
          <w:p w14:paraId="34453FA7"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(350)</w:t>
            </w:r>
          </w:p>
        </w:tc>
        <w:tc>
          <w:tcPr>
            <w:tcW w:w="0" w:type="auto"/>
            <w:hideMark/>
          </w:tcPr>
          <w:p w14:paraId="5FA7B33F"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(27)</w:t>
            </w:r>
          </w:p>
        </w:tc>
        <w:tc>
          <w:tcPr>
            <w:tcW w:w="0" w:type="auto"/>
            <w:hideMark/>
          </w:tcPr>
          <w:p w14:paraId="3F945FF6"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21</w:t>
            </w:r>
          </w:p>
        </w:tc>
        <w:tc>
          <w:tcPr>
            <w:tcW w:w="0" w:type="auto"/>
            <w:hideMark/>
          </w:tcPr>
          <w:p w14:paraId="3A3245AC"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77</w:t>
            </w:r>
          </w:p>
        </w:tc>
        <w:tc>
          <w:tcPr>
            <w:tcW w:w="0" w:type="auto"/>
            <w:hideMark/>
          </w:tcPr>
          <w:p w14:paraId="35A7A12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123</w:t>
            </w:r>
          </w:p>
        </w:tc>
      </w:tr>
      <w:tr w:rsidR="00064C05" w:rsidRPr="00AA0295" w14:paraId="16FEB034"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ECB5A9"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Cumulative net free cash flow</w:t>
            </w:r>
          </w:p>
        </w:tc>
        <w:tc>
          <w:tcPr>
            <w:tcW w:w="0" w:type="auto"/>
            <w:hideMark/>
          </w:tcPr>
          <w:p w14:paraId="2801DE8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(350)</w:t>
            </w:r>
          </w:p>
        </w:tc>
        <w:tc>
          <w:tcPr>
            <w:tcW w:w="0" w:type="auto"/>
            <w:hideMark/>
          </w:tcPr>
          <w:p w14:paraId="6AC1A0A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(377)</w:t>
            </w:r>
          </w:p>
        </w:tc>
        <w:tc>
          <w:tcPr>
            <w:tcW w:w="0" w:type="auto"/>
            <w:hideMark/>
          </w:tcPr>
          <w:p w14:paraId="213C08F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(356)</w:t>
            </w:r>
          </w:p>
        </w:tc>
        <w:tc>
          <w:tcPr>
            <w:tcW w:w="0" w:type="auto"/>
            <w:hideMark/>
          </w:tcPr>
          <w:p w14:paraId="172FF83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(279)</w:t>
            </w:r>
          </w:p>
        </w:tc>
        <w:tc>
          <w:tcPr>
            <w:tcW w:w="0" w:type="auto"/>
            <w:hideMark/>
          </w:tcPr>
          <w:p w14:paraId="2651463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b/>
                <w:bCs/>
                <w:szCs w:val="24"/>
              </w:rPr>
              <w:t>(156)</w:t>
            </w:r>
          </w:p>
        </w:tc>
      </w:tr>
    </w:tbl>
    <w:p w14:paraId="43BA6BAB" w14:textId="77777777"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project reaches annual operating profitability in 2027 and generates positive annual free cash flow in 2028. However, the cumulative five-year cash position remains negative at £156,000 because of the launch investment and continuing working-capital needs. This means the project is strategically viable under the base case, but its cash payback occurs after the fifth year rather than within it.</w:t>
      </w:r>
    </w:p>
    <w:p w14:paraId="61C16279" w14:textId="2EBE1A96" w:rsidR="00064C05" w:rsidRPr="00AA0295" w:rsidRDefault="00D66E2E" w:rsidP="00963766">
      <w:pPr>
        <w:pStyle w:val="Heading3"/>
      </w:pPr>
      <w:bookmarkStart w:id="118" w:name="_Toc238675547"/>
      <w:r>
        <w:t>5</w:t>
      </w:r>
      <w:r w:rsidRPr="00AA0295">
        <w:t>.</w:t>
      </w:r>
      <w:r>
        <w:t>5</w:t>
      </w:r>
      <w:r w:rsidR="00064C05" w:rsidRPr="00AA0295">
        <w:t>.5 Break-even analysis</w:t>
      </w:r>
      <w:bookmarkEnd w:id="118"/>
    </w:p>
    <w:p w14:paraId="52EBB69D" w14:textId="77777777"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break-even calculation identifies the revenue needed to cover annual GCC-specific operating costs. It uses the Year 3 contribution structure because this represents a more stable operating year after launch.</w:t>
      </w:r>
    </w:p>
    <w:tbl>
      <w:tblPr>
        <w:tblStyle w:val="PlainTable1"/>
        <w:tblW w:w="0" w:type="auto"/>
        <w:tblLook w:val="04A0" w:firstRow="1" w:lastRow="0" w:firstColumn="1" w:lastColumn="0" w:noHBand="0" w:noVBand="1"/>
      </w:tblPr>
      <w:tblGrid>
        <w:gridCol w:w="3468"/>
        <w:gridCol w:w="5328"/>
      </w:tblGrid>
      <w:tr w:rsidR="00064C05" w:rsidRPr="00AA0295" w14:paraId="2D83C166" w14:textId="77777777" w:rsidTr="004304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C98C23"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Break-even calculation</w:t>
            </w:r>
          </w:p>
        </w:tc>
        <w:tc>
          <w:tcPr>
            <w:tcW w:w="0" w:type="auto"/>
            <w:hideMark/>
          </w:tcPr>
          <w:p w14:paraId="4A11F228"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Amount</w:t>
            </w:r>
          </w:p>
        </w:tc>
      </w:tr>
      <w:tr w:rsidR="00064C05" w:rsidRPr="00AA0295" w14:paraId="27072CD2"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9F29DE"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Gross margin</w:t>
            </w:r>
          </w:p>
        </w:tc>
        <w:tc>
          <w:tcPr>
            <w:tcW w:w="0" w:type="auto"/>
            <w:hideMark/>
          </w:tcPr>
          <w:p w14:paraId="1F15EBE3"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32.0%</w:t>
            </w:r>
          </w:p>
        </w:tc>
      </w:tr>
      <w:tr w:rsidR="00064C05" w:rsidRPr="00AA0295" w14:paraId="1AEB7184"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594F4775"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Marketing and trade spend</w:t>
            </w:r>
          </w:p>
        </w:tc>
        <w:tc>
          <w:tcPr>
            <w:tcW w:w="0" w:type="auto"/>
            <w:hideMark/>
          </w:tcPr>
          <w:p w14:paraId="5175452B"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9.0% of revenue</w:t>
            </w:r>
          </w:p>
        </w:tc>
      </w:tr>
      <w:tr w:rsidR="00064C05" w:rsidRPr="00AA0295" w14:paraId="190842E3"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6EA833"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Net contribution margin</w:t>
            </w:r>
          </w:p>
        </w:tc>
        <w:tc>
          <w:tcPr>
            <w:tcW w:w="0" w:type="auto"/>
            <w:hideMark/>
          </w:tcPr>
          <w:p w14:paraId="11377ECD"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23.0%</w:t>
            </w:r>
          </w:p>
        </w:tc>
      </w:tr>
      <w:tr w:rsidR="00064C05" w:rsidRPr="00AA0295" w14:paraId="3303DB3F"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6CFAABB8"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lastRenderedPageBreak/>
              <w:t>Year 3 annual operating overhead</w:t>
            </w:r>
          </w:p>
        </w:tc>
        <w:tc>
          <w:tcPr>
            <w:tcW w:w="0" w:type="auto"/>
            <w:hideMark/>
          </w:tcPr>
          <w:p w14:paraId="679AA6F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£220,000</w:t>
            </w:r>
          </w:p>
        </w:tc>
      </w:tr>
      <w:tr w:rsidR="00064C05" w:rsidRPr="00AA0295" w14:paraId="09124C17"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FEDC59"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Annual revenue break-even</w:t>
            </w:r>
          </w:p>
        </w:tc>
        <w:tc>
          <w:tcPr>
            <w:tcW w:w="0" w:type="auto"/>
            <w:hideMark/>
          </w:tcPr>
          <w:p w14:paraId="0D5821B8"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£956,522</w:t>
            </w:r>
          </w:p>
        </w:tc>
      </w:tr>
      <w:tr w:rsidR="00064C05" w:rsidRPr="00AA0295" w14:paraId="1E9743EE" w14:textId="77777777" w:rsidTr="0043049B">
        <w:tc>
          <w:tcPr>
            <w:cnfStyle w:val="001000000000" w:firstRow="0" w:lastRow="0" w:firstColumn="1" w:lastColumn="0" w:oddVBand="0" w:evenVBand="0" w:oddHBand="0" w:evenHBand="0" w:firstRowFirstColumn="0" w:firstRowLastColumn="0" w:lastRowFirstColumn="0" w:lastRowLastColumn="0"/>
            <w:tcW w:w="0" w:type="auto"/>
            <w:hideMark/>
          </w:tcPr>
          <w:p w14:paraId="1DFDC355"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Forecast revenue in 2027</w:t>
            </w:r>
          </w:p>
        </w:tc>
        <w:tc>
          <w:tcPr>
            <w:tcW w:w="0" w:type="auto"/>
            <w:hideMark/>
          </w:tcPr>
          <w:p w14:paraId="2B3B5777"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£1,015,000</w:t>
            </w:r>
          </w:p>
        </w:tc>
      </w:tr>
      <w:tr w:rsidR="00064C05" w:rsidRPr="00AA0295" w14:paraId="77640D52"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5B0D1" w14:textId="77777777" w:rsidR="00064C05" w:rsidRPr="00AA0295" w:rsidRDefault="00064C05" w:rsidP="0043049B">
            <w:pPr>
              <w:spacing w:before="100" w:beforeAutospacing="1" w:after="100" w:afterAutospacing="1" w:line="360" w:lineRule="auto"/>
              <w:rPr>
                <w:rFonts w:eastAsia="Times New Roman" w:cs="Times New Roman"/>
                <w:b w:val="0"/>
                <w:bCs w:val="0"/>
                <w:szCs w:val="24"/>
              </w:rPr>
            </w:pPr>
            <w:r w:rsidRPr="00AA0295">
              <w:rPr>
                <w:rFonts w:eastAsia="Times New Roman" w:cs="Times New Roman"/>
                <w:b w:val="0"/>
                <w:bCs w:val="0"/>
                <w:szCs w:val="24"/>
              </w:rPr>
              <w:t>Interpretation</w:t>
            </w:r>
          </w:p>
        </w:tc>
        <w:tc>
          <w:tcPr>
            <w:tcW w:w="0" w:type="auto"/>
            <w:hideMark/>
          </w:tcPr>
          <w:p w14:paraId="572D13F9"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Annual operating break-even is reached during 2027.</w:t>
            </w:r>
          </w:p>
        </w:tc>
      </w:tr>
    </w:tbl>
    <w:p w14:paraId="54600922" w14:textId="77777777"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project therefore needs approximately £0.96 million annual sales to cover its recurring operational cost base. The base-case forecast exceeds this threshold from Year 2, but recovering the total initial investment takes longer.</w:t>
      </w:r>
    </w:p>
    <w:p w14:paraId="034B516B" w14:textId="7DAE1F20" w:rsidR="00064C05" w:rsidRPr="00AA0295" w:rsidRDefault="0003077C" w:rsidP="00936493">
      <w:pPr>
        <w:pStyle w:val="Heading3"/>
        <w:rPr>
          <w:rFonts w:eastAsia="Times New Roman"/>
        </w:rPr>
      </w:pPr>
      <w:bookmarkStart w:id="119" w:name="_Toc238675548"/>
      <w:r>
        <w:t>5</w:t>
      </w:r>
      <w:r w:rsidRPr="00AA0295">
        <w:t>.</w:t>
      </w:r>
      <w:r>
        <w:t>5</w:t>
      </w:r>
      <w:r w:rsidR="00064C05" w:rsidRPr="00AA0295">
        <w:rPr>
          <w:rFonts w:eastAsia="Times New Roman"/>
        </w:rPr>
        <w:t>.6 Sensitivity analysis</w:t>
      </w:r>
      <w:bookmarkEnd w:id="119"/>
    </w:p>
    <w:p w14:paraId="7B7F3735" w14:textId="77777777"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main uncertainties are sales growth, gross margin and promotional costs. The following sensitivity test assesses the effect on five-year cumulative free cash flow and the approximate payback period.</w:t>
      </w:r>
    </w:p>
    <w:tbl>
      <w:tblPr>
        <w:tblStyle w:val="PlainTable1"/>
        <w:tblW w:w="0" w:type="auto"/>
        <w:tblLook w:val="04A0" w:firstRow="1" w:lastRow="0" w:firstColumn="1" w:lastColumn="0" w:noHBand="0" w:noVBand="1"/>
      </w:tblPr>
      <w:tblGrid>
        <w:gridCol w:w="1217"/>
        <w:gridCol w:w="2409"/>
        <w:gridCol w:w="1543"/>
        <w:gridCol w:w="1576"/>
        <w:gridCol w:w="2271"/>
      </w:tblGrid>
      <w:tr w:rsidR="00064C05" w:rsidRPr="00AA0295" w14:paraId="58F484CB" w14:textId="77777777" w:rsidTr="004016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75D514"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Scenario</w:t>
            </w:r>
          </w:p>
        </w:tc>
        <w:tc>
          <w:tcPr>
            <w:tcW w:w="0" w:type="auto"/>
            <w:hideMark/>
          </w:tcPr>
          <w:p w14:paraId="757C5587" w14:textId="77777777" w:rsidR="00064C05" w:rsidRPr="00AA0295" w:rsidRDefault="00064C05" w:rsidP="0040167F">
            <w:pPr>
              <w:spacing w:before="100" w:beforeAutospacing="1" w:after="100" w:afterAutospacing="1"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Key change from base case</w:t>
            </w:r>
          </w:p>
        </w:tc>
        <w:tc>
          <w:tcPr>
            <w:tcW w:w="0" w:type="auto"/>
            <w:hideMark/>
          </w:tcPr>
          <w:p w14:paraId="3DEA0026" w14:textId="21B5598E" w:rsidR="00064C05" w:rsidRPr="00AA0295" w:rsidRDefault="0040167F" w:rsidP="0040167F">
            <w:pPr>
              <w:spacing w:before="100" w:beforeAutospacing="1" w:after="100" w:afterAutospacing="1"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5-year</w:t>
            </w:r>
            <w:r w:rsidR="00064C05" w:rsidRPr="00AA0295">
              <w:rPr>
                <w:rFonts w:eastAsia="Times New Roman" w:cs="Times New Roman"/>
                <w:szCs w:val="24"/>
              </w:rPr>
              <w:t xml:space="preserve"> cumulative </w:t>
            </w:r>
            <w:r>
              <w:rPr>
                <w:rFonts w:eastAsia="Times New Roman" w:cs="Times New Roman"/>
                <w:szCs w:val="24"/>
              </w:rPr>
              <w:t>FCF</w:t>
            </w:r>
          </w:p>
        </w:tc>
        <w:tc>
          <w:tcPr>
            <w:tcW w:w="1566" w:type="dxa"/>
            <w:hideMark/>
          </w:tcPr>
          <w:p w14:paraId="55147F0E" w14:textId="77777777" w:rsidR="00064C05" w:rsidRPr="00AA0295" w:rsidRDefault="00064C05" w:rsidP="0040167F">
            <w:pPr>
              <w:spacing w:before="100" w:beforeAutospacing="1" w:after="100" w:afterAutospacing="1"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Approximate cash payback</w:t>
            </w:r>
          </w:p>
        </w:tc>
        <w:tc>
          <w:tcPr>
            <w:tcW w:w="2271" w:type="dxa"/>
            <w:hideMark/>
          </w:tcPr>
          <w:p w14:paraId="0E5B2058" w14:textId="77777777" w:rsidR="00064C05" w:rsidRPr="00AA0295" w:rsidRDefault="00064C05" w:rsidP="0040167F">
            <w:pPr>
              <w:spacing w:before="100" w:beforeAutospacing="1" w:after="100" w:afterAutospacing="1"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Decision implication</w:t>
            </w:r>
          </w:p>
        </w:tc>
      </w:tr>
      <w:tr w:rsidR="00064C05" w:rsidRPr="00AA0295" w14:paraId="50300128" w14:textId="77777777" w:rsidTr="004016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973BC2"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Downside</w:t>
            </w:r>
          </w:p>
        </w:tc>
        <w:tc>
          <w:tcPr>
            <w:tcW w:w="0" w:type="auto"/>
            <w:hideMark/>
          </w:tcPr>
          <w:p w14:paraId="3FDC5D6A" w14:textId="77777777" w:rsidR="00064C05" w:rsidRPr="00AA0295" w:rsidRDefault="00064C05" w:rsidP="0040167F">
            <w:pPr>
              <w:spacing w:before="100" w:beforeAutospacing="1" w:after="100" w:afterAutospacing="1"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Revenue 20% below base case; gross margin 29%; marketing 1 percentage point higher</w:t>
            </w:r>
          </w:p>
        </w:tc>
        <w:tc>
          <w:tcPr>
            <w:tcW w:w="0" w:type="auto"/>
            <w:hideMark/>
          </w:tcPr>
          <w:p w14:paraId="03F8807B"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(£520,000)</w:t>
            </w:r>
          </w:p>
        </w:tc>
        <w:tc>
          <w:tcPr>
            <w:tcW w:w="1566" w:type="dxa"/>
            <w:hideMark/>
          </w:tcPr>
          <w:p w14:paraId="6F65A168"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Not achieved within 10 years</w:t>
            </w:r>
          </w:p>
        </w:tc>
        <w:tc>
          <w:tcPr>
            <w:tcW w:w="2271" w:type="dxa"/>
            <w:hideMark/>
          </w:tcPr>
          <w:p w14:paraId="28EE11DD"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Reduce range, restrict spend, or exit after review.</w:t>
            </w:r>
          </w:p>
        </w:tc>
      </w:tr>
      <w:tr w:rsidR="00064C05" w:rsidRPr="00AA0295" w14:paraId="216B3E1B" w14:textId="77777777" w:rsidTr="0040167F">
        <w:tc>
          <w:tcPr>
            <w:cnfStyle w:val="001000000000" w:firstRow="0" w:lastRow="0" w:firstColumn="1" w:lastColumn="0" w:oddVBand="0" w:evenVBand="0" w:oddHBand="0" w:evenHBand="0" w:firstRowFirstColumn="0" w:firstRowLastColumn="0" w:lastRowFirstColumn="0" w:lastRowLastColumn="0"/>
            <w:tcW w:w="0" w:type="auto"/>
            <w:hideMark/>
          </w:tcPr>
          <w:p w14:paraId="5CA94C5F"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Base case</w:t>
            </w:r>
          </w:p>
        </w:tc>
        <w:tc>
          <w:tcPr>
            <w:tcW w:w="0" w:type="auto"/>
            <w:hideMark/>
          </w:tcPr>
          <w:p w14:paraId="65E3C77B" w14:textId="77777777" w:rsidR="00064C05" w:rsidRPr="00AA0295" w:rsidRDefault="00064C05" w:rsidP="0040167F">
            <w:pPr>
              <w:spacing w:before="100" w:beforeAutospacing="1" w:after="100" w:afterAutospacing="1"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Forecast as modelled</w:t>
            </w:r>
          </w:p>
        </w:tc>
        <w:tc>
          <w:tcPr>
            <w:tcW w:w="0" w:type="auto"/>
            <w:hideMark/>
          </w:tcPr>
          <w:p w14:paraId="6E6893E5"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(£156,000)</w:t>
            </w:r>
          </w:p>
        </w:tc>
        <w:tc>
          <w:tcPr>
            <w:tcW w:w="1566" w:type="dxa"/>
            <w:hideMark/>
          </w:tcPr>
          <w:p w14:paraId="3CFEACB5"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Year 7</w:t>
            </w:r>
          </w:p>
        </w:tc>
        <w:tc>
          <w:tcPr>
            <w:tcW w:w="2271" w:type="dxa"/>
            <w:hideMark/>
          </w:tcPr>
          <w:p w14:paraId="1134609E"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Continue only with KPI progress and partner support.</w:t>
            </w:r>
          </w:p>
        </w:tc>
      </w:tr>
      <w:tr w:rsidR="00064C05" w:rsidRPr="00AA0295" w14:paraId="7E629867" w14:textId="77777777" w:rsidTr="004016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A47D5"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Upside</w:t>
            </w:r>
          </w:p>
        </w:tc>
        <w:tc>
          <w:tcPr>
            <w:tcW w:w="0" w:type="auto"/>
            <w:hideMark/>
          </w:tcPr>
          <w:p w14:paraId="18E28ECC" w14:textId="77777777" w:rsidR="00064C05" w:rsidRPr="00AA0295" w:rsidRDefault="00064C05" w:rsidP="0040167F">
            <w:pPr>
              <w:spacing w:before="100" w:beforeAutospacing="1" w:after="100" w:afterAutospacing="1"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Revenue 20% above base case; gross margin 34%; marketing 1 percentage point lower</w:t>
            </w:r>
          </w:p>
        </w:tc>
        <w:tc>
          <w:tcPr>
            <w:tcW w:w="0" w:type="auto"/>
            <w:hideMark/>
          </w:tcPr>
          <w:p w14:paraId="468CE879"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£241,000</w:t>
            </w:r>
          </w:p>
        </w:tc>
        <w:tc>
          <w:tcPr>
            <w:tcW w:w="1566" w:type="dxa"/>
            <w:hideMark/>
          </w:tcPr>
          <w:p w14:paraId="26BF44EC"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Year 4</w:t>
            </w:r>
          </w:p>
        </w:tc>
        <w:tc>
          <w:tcPr>
            <w:tcW w:w="2271" w:type="dxa"/>
            <w:hideMark/>
          </w:tcPr>
          <w:p w14:paraId="12C3D8D8"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Expand range, channels and selected KSA distribution.</w:t>
            </w:r>
          </w:p>
        </w:tc>
      </w:tr>
    </w:tbl>
    <w:p w14:paraId="277DA1A1" w14:textId="2ECE9917"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lastRenderedPageBreak/>
        <w:t>The sensitivity analysis shows that the proposal is most dependent on gaining sufficient sales velocity and maintaining margin after retailer discounts, freight and promotional spending. This supports a controlled pilot rather than a full rollout: Morrisons should release later-stage funding only when agreed sales, margin, availability and repeat-purchase targets are achieved.</w:t>
      </w:r>
    </w:p>
    <w:p w14:paraId="19AE5ADB" w14:textId="194090FA" w:rsidR="00064C05" w:rsidRPr="00AA0295" w:rsidRDefault="00927409" w:rsidP="00936493">
      <w:pPr>
        <w:pStyle w:val="Heading3"/>
        <w:rPr>
          <w:rFonts w:eastAsia="Times New Roman"/>
        </w:rPr>
      </w:pPr>
      <w:bookmarkStart w:id="120" w:name="_Toc238675549"/>
      <w:r>
        <w:t>5</w:t>
      </w:r>
      <w:r w:rsidRPr="00AA0295">
        <w:t>.</w:t>
      </w:r>
      <w:r>
        <w:t>5</w:t>
      </w:r>
      <w:r w:rsidR="00064C05" w:rsidRPr="00AA0295">
        <w:rPr>
          <w:rFonts w:eastAsia="Times New Roman"/>
        </w:rPr>
        <w:t>.7 Affordability and funding recommendation</w:t>
      </w:r>
      <w:bookmarkEnd w:id="120"/>
    </w:p>
    <w:tbl>
      <w:tblPr>
        <w:tblStyle w:val="PlainTable1"/>
        <w:tblW w:w="5000" w:type="pct"/>
        <w:tblLook w:val="04A0" w:firstRow="1" w:lastRow="0" w:firstColumn="1" w:lastColumn="0" w:noHBand="0" w:noVBand="1"/>
      </w:tblPr>
      <w:tblGrid>
        <w:gridCol w:w="4255"/>
        <w:gridCol w:w="837"/>
        <w:gridCol w:w="3924"/>
      </w:tblGrid>
      <w:tr w:rsidR="00064C05" w:rsidRPr="00C2098E" w14:paraId="6786D60E" w14:textId="77777777" w:rsidTr="004304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pct"/>
            <w:hideMark/>
          </w:tcPr>
          <w:p w14:paraId="50E05455" w14:textId="77777777" w:rsidR="00064C05" w:rsidRPr="00AA0295" w:rsidRDefault="00064C05" w:rsidP="0043049B">
            <w:pPr>
              <w:spacing w:before="100" w:beforeAutospacing="1" w:after="100" w:afterAutospacing="1" w:line="360" w:lineRule="auto"/>
              <w:rPr>
                <w:rFonts w:eastAsia="Times New Roman" w:cs="Times New Roman"/>
                <w:szCs w:val="24"/>
              </w:rPr>
            </w:pPr>
            <w:r w:rsidRPr="00AA0295">
              <w:rPr>
                <w:rFonts w:eastAsia="Times New Roman" w:cs="Times New Roman"/>
                <w:szCs w:val="24"/>
              </w:rPr>
              <w:t>Funding measure</w:t>
            </w:r>
          </w:p>
        </w:tc>
        <w:tc>
          <w:tcPr>
            <w:tcW w:w="464" w:type="pct"/>
            <w:hideMark/>
          </w:tcPr>
          <w:p w14:paraId="49101360"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£m</w:t>
            </w:r>
          </w:p>
        </w:tc>
        <w:tc>
          <w:tcPr>
            <w:tcW w:w="2176" w:type="pct"/>
            <w:hideMark/>
          </w:tcPr>
          <w:p w14:paraId="08C42331" w14:textId="77777777" w:rsidR="00064C05" w:rsidRPr="00AA0295" w:rsidRDefault="00064C05" w:rsidP="0043049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Interpretation</w:t>
            </w:r>
          </w:p>
        </w:tc>
      </w:tr>
      <w:tr w:rsidR="00064C05" w:rsidRPr="00C2098E" w14:paraId="47C19514"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pct"/>
            <w:hideMark/>
          </w:tcPr>
          <w:p w14:paraId="3ACECD53" w14:textId="77777777" w:rsidR="00064C05" w:rsidRPr="00AA0295" w:rsidRDefault="00064C05" w:rsidP="0043049B">
            <w:pPr>
              <w:spacing w:before="100" w:beforeAutospacing="1" w:after="100" w:afterAutospacing="1" w:line="360" w:lineRule="auto"/>
              <w:jc w:val="left"/>
              <w:rPr>
                <w:rFonts w:eastAsia="Times New Roman" w:cs="Times New Roman"/>
                <w:b w:val="0"/>
                <w:bCs w:val="0"/>
                <w:szCs w:val="24"/>
              </w:rPr>
            </w:pPr>
            <w:r w:rsidRPr="00AA0295">
              <w:rPr>
                <w:rFonts w:eastAsia="Times New Roman" w:cs="Times New Roman"/>
                <w:b w:val="0"/>
                <w:bCs w:val="0"/>
                <w:szCs w:val="24"/>
              </w:rPr>
              <w:t>Morrisons operating cash inflow, continuing operations, 2023/24</w:t>
            </w:r>
          </w:p>
        </w:tc>
        <w:tc>
          <w:tcPr>
            <w:tcW w:w="464" w:type="pct"/>
            <w:hideMark/>
          </w:tcPr>
          <w:p w14:paraId="2AA7B4C2"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817</w:t>
            </w:r>
          </w:p>
        </w:tc>
        <w:tc>
          <w:tcPr>
            <w:tcW w:w="2176" w:type="pct"/>
            <w:hideMark/>
          </w:tcPr>
          <w:p w14:paraId="7ECE3484"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Reported operating cash generation.</w:t>
            </w:r>
          </w:p>
        </w:tc>
      </w:tr>
      <w:tr w:rsidR="00064C05" w:rsidRPr="00C2098E" w14:paraId="047F25E9" w14:textId="77777777" w:rsidTr="0043049B">
        <w:tc>
          <w:tcPr>
            <w:cnfStyle w:val="001000000000" w:firstRow="0" w:lastRow="0" w:firstColumn="1" w:lastColumn="0" w:oddVBand="0" w:evenVBand="0" w:oddHBand="0" w:evenHBand="0" w:firstRowFirstColumn="0" w:firstRowLastColumn="0" w:lastRowFirstColumn="0" w:lastRowLastColumn="0"/>
            <w:tcW w:w="2360" w:type="pct"/>
            <w:hideMark/>
          </w:tcPr>
          <w:p w14:paraId="6880F41C" w14:textId="77777777" w:rsidR="00064C05" w:rsidRPr="00AA0295" w:rsidRDefault="00064C05" w:rsidP="0043049B">
            <w:pPr>
              <w:spacing w:before="100" w:beforeAutospacing="1" w:after="100" w:afterAutospacing="1" w:line="360" w:lineRule="auto"/>
              <w:jc w:val="left"/>
              <w:rPr>
                <w:rFonts w:eastAsia="Times New Roman" w:cs="Times New Roman"/>
                <w:b w:val="0"/>
                <w:bCs w:val="0"/>
                <w:szCs w:val="24"/>
              </w:rPr>
            </w:pPr>
            <w:r w:rsidRPr="00AA0295">
              <w:rPr>
                <w:rFonts w:eastAsia="Times New Roman" w:cs="Times New Roman"/>
                <w:b w:val="0"/>
                <w:bCs w:val="0"/>
                <w:szCs w:val="24"/>
              </w:rPr>
              <w:t>Less: capital expenditure, 2023/24</w:t>
            </w:r>
          </w:p>
        </w:tc>
        <w:tc>
          <w:tcPr>
            <w:tcW w:w="464" w:type="pct"/>
            <w:hideMark/>
          </w:tcPr>
          <w:p w14:paraId="3621B9D4"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(326)</w:t>
            </w:r>
          </w:p>
        </w:tc>
        <w:tc>
          <w:tcPr>
            <w:tcW w:w="2176" w:type="pct"/>
            <w:hideMark/>
          </w:tcPr>
          <w:p w14:paraId="46E2C3D2"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Existing Group investment in stores, systems and other assets.</w:t>
            </w:r>
          </w:p>
        </w:tc>
      </w:tr>
      <w:tr w:rsidR="00064C05" w:rsidRPr="00C2098E" w14:paraId="254CFCC6"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pct"/>
            <w:hideMark/>
          </w:tcPr>
          <w:p w14:paraId="1CDE0E39" w14:textId="77777777" w:rsidR="00064C05" w:rsidRPr="00AA0295" w:rsidRDefault="00064C05" w:rsidP="0043049B">
            <w:pPr>
              <w:spacing w:before="100" w:beforeAutospacing="1" w:after="100" w:afterAutospacing="1" w:line="360" w:lineRule="auto"/>
              <w:jc w:val="left"/>
              <w:rPr>
                <w:rFonts w:eastAsia="Times New Roman" w:cs="Times New Roman"/>
                <w:b w:val="0"/>
                <w:bCs w:val="0"/>
                <w:szCs w:val="24"/>
              </w:rPr>
            </w:pPr>
            <w:r w:rsidRPr="00AA0295">
              <w:rPr>
                <w:rFonts w:eastAsia="Times New Roman" w:cs="Times New Roman"/>
                <w:b w:val="0"/>
                <w:bCs w:val="0"/>
                <w:szCs w:val="24"/>
              </w:rPr>
              <w:t>Indicative cash generation before financing</w:t>
            </w:r>
          </w:p>
        </w:tc>
        <w:tc>
          <w:tcPr>
            <w:tcW w:w="464" w:type="pct"/>
            <w:hideMark/>
          </w:tcPr>
          <w:p w14:paraId="0DD46B7D"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491</w:t>
            </w:r>
          </w:p>
        </w:tc>
        <w:tc>
          <w:tcPr>
            <w:tcW w:w="2176" w:type="pct"/>
            <w:hideMark/>
          </w:tcPr>
          <w:p w14:paraId="292C5887"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Conservative affordability reference, not reported free cash flow.</w:t>
            </w:r>
          </w:p>
        </w:tc>
      </w:tr>
      <w:tr w:rsidR="00064C05" w:rsidRPr="00C2098E" w14:paraId="4095E0F2" w14:textId="77777777" w:rsidTr="0043049B">
        <w:tc>
          <w:tcPr>
            <w:cnfStyle w:val="001000000000" w:firstRow="0" w:lastRow="0" w:firstColumn="1" w:lastColumn="0" w:oddVBand="0" w:evenVBand="0" w:oddHBand="0" w:evenHBand="0" w:firstRowFirstColumn="0" w:firstRowLastColumn="0" w:lastRowFirstColumn="0" w:lastRowLastColumn="0"/>
            <w:tcW w:w="2360" w:type="pct"/>
            <w:hideMark/>
          </w:tcPr>
          <w:p w14:paraId="158A0795" w14:textId="77777777" w:rsidR="00064C05" w:rsidRPr="00AA0295" w:rsidRDefault="00064C05" w:rsidP="0043049B">
            <w:pPr>
              <w:spacing w:before="100" w:beforeAutospacing="1" w:after="100" w:afterAutospacing="1" w:line="360" w:lineRule="auto"/>
              <w:jc w:val="left"/>
              <w:rPr>
                <w:rFonts w:eastAsia="Times New Roman" w:cs="Times New Roman"/>
                <w:b w:val="0"/>
                <w:bCs w:val="0"/>
                <w:szCs w:val="24"/>
              </w:rPr>
            </w:pPr>
            <w:r w:rsidRPr="00AA0295">
              <w:rPr>
                <w:rFonts w:eastAsia="Times New Roman" w:cs="Times New Roman"/>
                <w:b w:val="0"/>
                <w:bCs w:val="0"/>
                <w:szCs w:val="24"/>
              </w:rPr>
              <w:t>Proposed Year 1 GCC cash requirement</w:t>
            </w:r>
          </w:p>
        </w:tc>
        <w:tc>
          <w:tcPr>
            <w:tcW w:w="464" w:type="pct"/>
            <w:hideMark/>
          </w:tcPr>
          <w:p w14:paraId="6B5195D3"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0.350</w:t>
            </w:r>
          </w:p>
        </w:tc>
        <w:tc>
          <w:tcPr>
            <w:tcW w:w="2176" w:type="pct"/>
            <w:hideMark/>
          </w:tcPr>
          <w:p w14:paraId="33EDB06C"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Initial investment plus Year 1 operating loss.</w:t>
            </w:r>
          </w:p>
        </w:tc>
      </w:tr>
      <w:tr w:rsidR="00064C05" w:rsidRPr="00C2098E" w14:paraId="4F8C6764" w14:textId="77777777" w:rsidTr="004304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pct"/>
            <w:hideMark/>
          </w:tcPr>
          <w:p w14:paraId="50E38937" w14:textId="77777777" w:rsidR="00064C05" w:rsidRPr="00AA0295" w:rsidRDefault="00064C05" w:rsidP="0043049B">
            <w:pPr>
              <w:spacing w:before="100" w:beforeAutospacing="1" w:after="100" w:afterAutospacing="1" w:line="360" w:lineRule="auto"/>
              <w:jc w:val="left"/>
              <w:rPr>
                <w:rFonts w:eastAsia="Times New Roman" w:cs="Times New Roman"/>
                <w:b w:val="0"/>
                <w:bCs w:val="0"/>
                <w:szCs w:val="24"/>
              </w:rPr>
            </w:pPr>
            <w:r w:rsidRPr="00AA0295">
              <w:rPr>
                <w:rFonts w:eastAsia="Times New Roman" w:cs="Times New Roman"/>
                <w:b w:val="0"/>
                <w:bCs w:val="0"/>
                <w:szCs w:val="24"/>
              </w:rPr>
              <w:t>Year 1 requirement as proportion of indicative cash generation</w:t>
            </w:r>
          </w:p>
        </w:tc>
        <w:tc>
          <w:tcPr>
            <w:tcW w:w="464" w:type="pct"/>
            <w:hideMark/>
          </w:tcPr>
          <w:p w14:paraId="4413F300"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0.07%</w:t>
            </w:r>
          </w:p>
        </w:tc>
        <w:tc>
          <w:tcPr>
            <w:tcW w:w="2176" w:type="pct"/>
            <w:hideMark/>
          </w:tcPr>
          <w:p w14:paraId="4C5E0FAE" w14:textId="77777777" w:rsidR="00064C05" w:rsidRPr="00AA0295" w:rsidRDefault="00064C05" w:rsidP="0043049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AA0295">
              <w:rPr>
                <w:rFonts w:eastAsia="Times New Roman" w:cs="Times New Roman"/>
                <w:szCs w:val="24"/>
              </w:rPr>
              <w:t>Financially immaterial at Group level.</w:t>
            </w:r>
          </w:p>
        </w:tc>
      </w:tr>
      <w:tr w:rsidR="00064C05" w:rsidRPr="00C2098E" w14:paraId="56466679" w14:textId="77777777" w:rsidTr="0043049B">
        <w:tc>
          <w:tcPr>
            <w:cnfStyle w:val="001000000000" w:firstRow="0" w:lastRow="0" w:firstColumn="1" w:lastColumn="0" w:oddVBand="0" w:evenVBand="0" w:oddHBand="0" w:evenHBand="0" w:firstRowFirstColumn="0" w:firstRowLastColumn="0" w:lastRowFirstColumn="0" w:lastRowLastColumn="0"/>
            <w:tcW w:w="2360" w:type="pct"/>
            <w:hideMark/>
          </w:tcPr>
          <w:p w14:paraId="586757B8" w14:textId="77777777" w:rsidR="00064C05" w:rsidRPr="00AA0295" w:rsidRDefault="00064C05" w:rsidP="0043049B">
            <w:pPr>
              <w:spacing w:before="100" w:beforeAutospacing="1" w:after="100" w:afterAutospacing="1" w:line="360" w:lineRule="auto"/>
              <w:jc w:val="left"/>
              <w:rPr>
                <w:rFonts w:eastAsia="Times New Roman" w:cs="Times New Roman"/>
                <w:b w:val="0"/>
                <w:bCs w:val="0"/>
                <w:szCs w:val="24"/>
              </w:rPr>
            </w:pPr>
            <w:r w:rsidRPr="00AA0295">
              <w:rPr>
                <w:rFonts w:eastAsia="Times New Roman" w:cs="Times New Roman"/>
                <w:b w:val="0"/>
                <w:bCs w:val="0"/>
                <w:szCs w:val="24"/>
              </w:rPr>
              <w:t>Cash and cash equivalents at October 2024</w:t>
            </w:r>
          </w:p>
        </w:tc>
        <w:tc>
          <w:tcPr>
            <w:tcW w:w="464" w:type="pct"/>
            <w:hideMark/>
          </w:tcPr>
          <w:p w14:paraId="0F9D195E"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849</w:t>
            </w:r>
          </w:p>
        </w:tc>
        <w:tc>
          <w:tcPr>
            <w:tcW w:w="2176" w:type="pct"/>
            <w:hideMark/>
          </w:tcPr>
          <w:p w14:paraId="18E2F7BA" w14:textId="77777777" w:rsidR="00064C05" w:rsidRPr="00AA0295" w:rsidRDefault="00064C05" w:rsidP="0043049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AA0295">
              <w:rPr>
                <w:rFonts w:eastAsia="Times New Roman" w:cs="Times New Roman"/>
                <w:szCs w:val="24"/>
              </w:rPr>
              <w:t>Indicates liquidity capacity, though this cash is subject to wider Group needs and treasury decisions.</w:t>
            </w:r>
          </w:p>
        </w:tc>
      </w:tr>
    </w:tbl>
    <w:p w14:paraId="65D609DE" w14:textId="77777777" w:rsidR="00064C05" w:rsidRPr="00AA0295" w:rsidRDefault="00064C05" w:rsidP="00064C05">
      <w:pPr>
        <w:spacing w:before="100" w:beforeAutospacing="1" w:after="100" w:afterAutospacing="1"/>
        <w:rPr>
          <w:rFonts w:eastAsia="Times New Roman" w:cs="Times New Roman"/>
          <w:szCs w:val="24"/>
        </w:rPr>
      </w:pPr>
      <w:r w:rsidRPr="00AA0295">
        <w:rPr>
          <w:rFonts w:eastAsia="Times New Roman" w:cs="Times New Roman"/>
          <w:szCs w:val="24"/>
        </w:rPr>
        <w:t>The proposed programme is affordable because its Year 1 funding requirement is only £350,000, equivalent to approximately 0.07% of Morrisons’ 2023/24 operating cash generation before capital expenditure. Nevertheless, affordability alone does not justify the investment: the base case produces a long cash payback, so approval should be conditional on a staged investment model and measurable commercial thresholds.</w:t>
      </w:r>
    </w:p>
    <w:p w14:paraId="5F4588A6" w14:textId="4332589F" w:rsidR="00064C05" w:rsidRPr="00C2098E" w:rsidRDefault="0066032C" w:rsidP="00963766">
      <w:pPr>
        <w:pStyle w:val="Heading3"/>
      </w:pPr>
      <w:bookmarkStart w:id="121" w:name="_Toc238675550"/>
      <w:r>
        <w:t>5</w:t>
      </w:r>
      <w:r w:rsidRPr="00AA0295">
        <w:t>.</w:t>
      </w:r>
      <w:r>
        <w:t>5</w:t>
      </w:r>
      <w:r w:rsidR="00064C05" w:rsidRPr="00C2098E">
        <w:t>.8 Financial recommendation</w:t>
      </w:r>
      <w:bookmarkEnd w:id="121"/>
    </w:p>
    <w:p w14:paraId="79EF86D9" w14:textId="32E8514F" w:rsidR="00193394" w:rsidRDefault="00193394" w:rsidP="00193394">
      <w:r>
        <w:t xml:space="preserve">Morrisons should get a year 1 pilot budget of </w:t>
      </w:r>
      <w:r w:rsidR="005766C7" w:rsidRPr="00AA0295">
        <w:rPr>
          <w:rFonts w:eastAsia="Times New Roman" w:cs="Times New Roman"/>
          <w:szCs w:val="24"/>
        </w:rPr>
        <w:t>£</w:t>
      </w:r>
      <w:r>
        <w:t xml:space="preserve">350,000, which includes the launch investment of </w:t>
      </w:r>
      <w:r w:rsidR="005766C7" w:rsidRPr="00AA0295">
        <w:rPr>
          <w:rFonts w:eastAsia="Times New Roman" w:cs="Times New Roman"/>
          <w:szCs w:val="24"/>
        </w:rPr>
        <w:t>£</w:t>
      </w:r>
      <w:r>
        <w:t xml:space="preserve">300,000 and the expected first year operating loss of </w:t>
      </w:r>
      <w:r w:rsidR="005766C7" w:rsidRPr="00AA0295">
        <w:rPr>
          <w:rFonts w:eastAsia="Times New Roman" w:cs="Times New Roman"/>
          <w:szCs w:val="24"/>
        </w:rPr>
        <w:t>£</w:t>
      </w:r>
      <w:r>
        <w:t xml:space="preserve">50,000. For expansion, the funding should not be granted before the venture </w:t>
      </w:r>
      <w:r w:rsidR="000D22C4">
        <w:t>hits £</w:t>
      </w:r>
      <w:r>
        <w:t>0.96 million annualised revenue, a positive operating result, agreed retailer data-sharing, good availability and repeat purchase.</w:t>
      </w:r>
    </w:p>
    <w:p w14:paraId="7515313C" w14:textId="77777777" w:rsidR="00193394" w:rsidRDefault="00193394" w:rsidP="00193394">
      <w:r>
        <w:lastRenderedPageBreak/>
        <w:t>However, Morrisons should not make the leap to a wider rollout in KSA if its revenue is 20% below plan or its gross margin is below 29%. Rather, it should adjust the number of SKUs, renegotiate the terms and support for retailers, focus on the best channel, or abandon the project. This staged approach would preserve cash and leave the possibility of expanding if the commercial evidence suggests that this is a worthwhile option.</w:t>
      </w:r>
    </w:p>
    <w:p w14:paraId="2824399E" w14:textId="1C74FEC3" w:rsidR="00064C05" w:rsidRPr="00C2098E" w:rsidRDefault="00761FA6" w:rsidP="00963766">
      <w:pPr>
        <w:pStyle w:val="Heading3"/>
      </w:pPr>
      <w:bookmarkStart w:id="122" w:name="_Toc238675551"/>
      <w:r>
        <w:t>5</w:t>
      </w:r>
      <w:r w:rsidRPr="00AA0295">
        <w:t>.</w:t>
      </w:r>
      <w:r>
        <w:t>5</w:t>
      </w:r>
      <w:r w:rsidR="00064C05" w:rsidRPr="00C2098E">
        <w:t>.</w:t>
      </w:r>
      <w:r w:rsidR="00936493">
        <w:t>9</w:t>
      </w:r>
      <w:r w:rsidR="00064C05" w:rsidRPr="00C2098E">
        <w:t xml:space="preserve"> Overall Financial Realism of Morrisons' GCC Expansion</w:t>
      </w:r>
      <w:bookmarkEnd w:id="122"/>
    </w:p>
    <w:p w14:paraId="215EDFE9" w14:textId="241CB06A" w:rsidR="00193394" w:rsidRDefault="00193394" w:rsidP="00193394">
      <w:r>
        <w:t xml:space="preserve">The bottom line is that the planned expansion of the GCC is a viable financial investment only in the form of a small-scale, staged and capital-light pilot project, and not a major investment in growth. Forecasting shows that the forecast takes around </w:t>
      </w:r>
      <w:r w:rsidR="004D4986" w:rsidRPr="00AA0295">
        <w:rPr>
          <w:rFonts w:eastAsia="Times New Roman" w:cs="Times New Roman"/>
          <w:szCs w:val="24"/>
        </w:rPr>
        <w:t>£</w:t>
      </w:r>
      <w:r>
        <w:t xml:space="preserve">350,000 in first year funding and breaks even in annual operating revenues around the second year with </w:t>
      </w:r>
      <w:r w:rsidR="004D4986" w:rsidRPr="00AA0295">
        <w:rPr>
          <w:rFonts w:eastAsia="Times New Roman" w:cs="Times New Roman"/>
          <w:szCs w:val="24"/>
        </w:rPr>
        <w:t>£</w:t>
      </w:r>
      <w:r>
        <w:t xml:space="preserve">0.96 million of revenue. While the base case does not pay off in less than 5 years, the cash required for the investment is not significant for Morrisons' operating cash flow, capital expenditure and cash balance in 2023/24, which were </w:t>
      </w:r>
      <w:r w:rsidR="00B7687C" w:rsidRPr="00AA0295">
        <w:rPr>
          <w:rFonts w:eastAsia="Times New Roman" w:cs="Times New Roman"/>
          <w:szCs w:val="24"/>
        </w:rPr>
        <w:t>£</w:t>
      </w:r>
      <w:r>
        <w:t>817 million,</w:t>
      </w:r>
      <w:r w:rsidR="00B7687C">
        <w:t xml:space="preserve"> </w:t>
      </w:r>
      <w:r w:rsidR="00B7687C" w:rsidRPr="00AA0295">
        <w:rPr>
          <w:rFonts w:eastAsia="Times New Roman" w:cs="Times New Roman"/>
          <w:szCs w:val="24"/>
        </w:rPr>
        <w:t>£</w:t>
      </w:r>
      <w:r>
        <w:t xml:space="preserve">326 million, and </w:t>
      </w:r>
      <w:r w:rsidR="00B7687C" w:rsidRPr="00AA0295">
        <w:rPr>
          <w:rFonts w:eastAsia="Times New Roman" w:cs="Times New Roman"/>
          <w:szCs w:val="24"/>
        </w:rPr>
        <w:t>£</w:t>
      </w:r>
      <w:r>
        <w:t>849 million, respectively (Morrisons, 2024). The offering is therefore priced well, but commercial success will rely on sales growth and protecting margins post retailer deductions and controlling promotion spend. As such, Morrisons should only make further investments if the pilot achieves pre-agreed revenue, margin, availability and repeat purchase figures.</w:t>
      </w:r>
      <w:r w:rsidRPr="00C2098E">
        <w:br w:type="page"/>
      </w:r>
    </w:p>
    <w:p w14:paraId="03092674" w14:textId="2C0B79D0" w:rsidR="00B2680B" w:rsidRPr="00C2098E" w:rsidRDefault="000144E0" w:rsidP="00193394">
      <w:pPr>
        <w:pStyle w:val="Heading1"/>
        <w:rPr>
          <w:sz w:val="36"/>
        </w:rPr>
      </w:pPr>
      <w:bookmarkStart w:id="123" w:name="_Toc238675552"/>
      <w:r>
        <w:lastRenderedPageBreak/>
        <w:t>6</w:t>
      </w:r>
      <w:r w:rsidR="00B2680B" w:rsidRPr="00C2098E">
        <w:t>. Conclusion and Recommendations</w:t>
      </w:r>
      <w:bookmarkEnd w:id="123"/>
    </w:p>
    <w:p w14:paraId="1114E891" w14:textId="52160DCE" w:rsidR="00B2680B" w:rsidRPr="00C2098E" w:rsidRDefault="000144E0" w:rsidP="00193394">
      <w:pPr>
        <w:pStyle w:val="Heading2"/>
      </w:pPr>
      <w:bookmarkStart w:id="124" w:name="_Toc238675553"/>
      <w:r>
        <w:t>6</w:t>
      </w:r>
      <w:r w:rsidR="00B2680B" w:rsidRPr="00C2098E">
        <w:t>.1 Conclusion</w:t>
      </w:r>
      <w:bookmarkEnd w:id="124"/>
    </w:p>
    <w:p w14:paraId="6AB35C82" w14:textId="04A7FA05" w:rsidR="00C33A01" w:rsidRDefault="00C33A01" w:rsidP="00C33A01">
      <w:r>
        <w:t xml:space="preserve">This report concludes that ‘The Best' is a strategically credible opportunity for Morrisons to expand its premium private label brand to Dubai in the UAE and KSA, but it should not be considered a full-scale international retail launch. Morrisons already has an adequate base in capital-light, via export and retail relationships, like Lulu, and digital tools like Noon and Kibsons. It is a vertically integrated supply chain in the UK, with a British sourcing brand and a premium range which are viable differentiators in the GCC market where there is demand for imported, premium food products. But material risks are also recognized in the analysis. Morrisons has comparatively low brand awareness in the GCC markets, high competition from both global brands and retailer own brands and relies on partners for in store execution, distribution and sales data. The financial case is viable at project scale but not transformational scale the capital-light model reduces risk of exposure to fixed costs but the contribution and payback is dependent on achieving adequate distribution and repeat purchase and promotional support. In general, a focused market-development approach, with a limited degree of product adaptation is recommended. It should sort of put “The Best” into the category of </w:t>
      </w:r>
      <w:r w:rsidR="002251EA">
        <w:t>high-quality</w:t>
      </w:r>
      <w:r>
        <w:t xml:space="preserve"> British supermarket products at affordable prices, not primarily a price battle or an attempt at generalized diversification (Ansoff 1957; Porter 1985).</w:t>
      </w:r>
    </w:p>
    <w:p w14:paraId="009F377C" w14:textId="63DD5B8E" w:rsidR="00B2680B" w:rsidRPr="00C2098E" w:rsidRDefault="000144E0" w:rsidP="00193394">
      <w:pPr>
        <w:pStyle w:val="Heading2"/>
      </w:pPr>
      <w:bookmarkStart w:id="125" w:name="_Toc238675554"/>
      <w:r>
        <w:t>6</w:t>
      </w:r>
      <w:r w:rsidR="00B2680B" w:rsidRPr="00C2098E">
        <w:t>.2 Recommendations</w:t>
      </w:r>
      <w:bookmarkEnd w:id="125"/>
    </w:p>
    <w:p w14:paraId="482FB2DF" w14:textId="77777777" w:rsidR="009D4145" w:rsidRDefault="009D4145" w:rsidP="009D4145">
      <w:r>
        <w:t>Morrisons should make a phased pilot of the proposal instead of rolling it out immediately in the GCC. This should be UAE and KSA first, selected Lulu stores, relevant online platforms and, where possible, a limited number of priority KSA retail partners.</w:t>
      </w:r>
    </w:p>
    <w:p w14:paraId="68EDF764" w14:textId="77777777" w:rsidR="009D4145" w:rsidRDefault="009D4145" w:rsidP="009D4145">
      <w:r>
        <w:t>The initial phase should comprise of:</w:t>
      </w:r>
    </w:p>
    <w:p w14:paraId="0C38A421" w14:textId="7EA4E621" w:rsidR="009D4145" w:rsidRDefault="009D4145" w:rsidP="00743025">
      <w:pPr>
        <w:pStyle w:val="ListParagraph"/>
        <w:numPr>
          <w:ilvl w:val="0"/>
          <w:numId w:val="30"/>
        </w:numPr>
      </w:pPr>
      <w:r>
        <w:t>Introduction of a small range of shelf-ready ‘The Best' hero SKUs in biscuits and confectionery, selected to suit the logistics, compliance and local preferences in the GCC.</w:t>
      </w:r>
    </w:p>
    <w:p w14:paraId="73FD2F92" w14:textId="7E818CAB" w:rsidR="009D4145" w:rsidRDefault="009D4145" w:rsidP="00743025">
      <w:pPr>
        <w:pStyle w:val="ListParagraph"/>
        <w:numPr>
          <w:ilvl w:val="0"/>
          <w:numId w:val="30"/>
        </w:numPr>
      </w:pPr>
      <w:r>
        <w:t>In-store displays, sampling, British promotions and better product content online to support the British origin and indulgent quality whilst maintaining accessible premium value.</w:t>
      </w:r>
    </w:p>
    <w:p w14:paraId="5316ECF9" w14:textId="4BA038E4" w:rsidR="009D4145" w:rsidRDefault="009D4145" w:rsidP="00743025">
      <w:pPr>
        <w:pStyle w:val="ListParagraph"/>
        <w:numPr>
          <w:ilvl w:val="0"/>
          <w:numId w:val="30"/>
        </w:numPr>
      </w:pPr>
      <w:r>
        <w:t>The recruitment of a GCC category manager, and by leveraging regional marketing and compliance support to enhance assortment decisions, Arabic labelling, halal requirements if applicable, promotion planning and retailer relationships.</w:t>
      </w:r>
    </w:p>
    <w:p w14:paraId="318DECE4" w14:textId="73654738" w:rsidR="009D4145" w:rsidRDefault="009D4145" w:rsidP="00743025">
      <w:pPr>
        <w:pStyle w:val="ListParagraph"/>
        <w:numPr>
          <w:ilvl w:val="0"/>
          <w:numId w:val="30"/>
        </w:numPr>
      </w:pPr>
      <w:r>
        <w:lastRenderedPageBreak/>
        <w:t>Creating joint performance reporting with partners, including SKU sales, SKU availability, repeat purchase, promotion results, stock out and customer feedback.</w:t>
      </w:r>
    </w:p>
    <w:p w14:paraId="2CC5B7E7" w14:textId="28876B1A" w:rsidR="009D4145" w:rsidRDefault="009D4145" w:rsidP="009D4145">
      <w:r>
        <w:t>Prior to expansion, decision criteria should be set by Morrisons. The pilot must be scaled down if it fails to meet agreed criterion of sales growth, contribution margin, repeat purchase, availability and retailer support. If performance is below the base case, Morrisons should change the mix of SKUs, the pricing, the positioning or the partner approach, or if performance is still not good, they should reduce the range or exit with minimal sunk costs. This staged approach is representative of the real options perspective of the need for a small initial investment to buy the option, but not the obligation, to expand when evidence becomes stronger (Cornelius, Van de Putte and Romani, 2005; Trigeorgis, 1996).</w:t>
      </w:r>
    </w:p>
    <w:p w14:paraId="49165E02" w14:textId="47EC582A" w:rsidR="006C678C" w:rsidRPr="00C2098E" w:rsidRDefault="00A57C93" w:rsidP="00AD0107">
      <w:pPr>
        <w:rPr>
          <w:b/>
          <w:bCs/>
        </w:rPr>
      </w:pPr>
      <w:r w:rsidRPr="00C2098E">
        <w:rPr>
          <w:b/>
          <w:bCs/>
        </w:rPr>
        <w:br w:type="page"/>
      </w:r>
    </w:p>
    <w:p w14:paraId="3CF57C75" w14:textId="191C97F1" w:rsidR="006C678C" w:rsidRPr="00C2098E" w:rsidRDefault="005D44CF" w:rsidP="00443511">
      <w:pPr>
        <w:pStyle w:val="Heading1"/>
        <w:rPr>
          <w:sz w:val="36"/>
        </w:rPr>
      </w:pPr>
      <w:bookmarkStart w:id="126" w:name="_Toc238675555"/>
      <w:r>
        <w:lastRenderedPageBreak/>
        <w:t>7</w:t>
      </w:r>
      <w:r w:rsidR="00F56B5F" w:rsidRPr="00C2098E">
        <w:t xml:space="preserve">. </w:t>
      </w:r>
      <w:r w:rsidR="006C678C" w:rsidRPr="00C2098E">
        <w:t>References</w:t>
      </w:r>
      <w:bookmarkEnd w:id="126"/>
    </w:p>
    <w:p w14:paraId="6E2E854A" w14:textId="77777777" w:rsidR="000101CC" w:rsidRPr="000101CC" w:rsidRDefault="000101CC" w:rsidP="000101CC">
      <w:pPr>
        <w:ind w:left="720" w:hanging="720"/>
        <w:rPr>
          <w:lang w:val="en-US"/>
        </w:rPr>
      </w:pPr>
      <w:r w:rsidRPr="000101CC">
        <w:rPr>
          <w:lang w:val="en-US"/>
        </w:rPr>
        <w:t xml:space="preserve">Aichner, T. (2014) 'Country of origin marketing: A list of typical strategies with examples', </w:t>
      </w:r>
      <w:r w:rsidRPr="000101CC">
        <w:rPr>
          <w:i/>
          <w:iCs/>
          <w:lang w:val="en-US"/>
        </w:rPr>
        <w:t>Journal of Brand Management</w:t>
      </w:r>
      <w:r w:rsidRPr="000101CC">
        <w:rPr>
          <w:lang w:val="en-US"/>
        </w:rPr>
        <w:t>, 21(1), pp. 81–93.</w:t>
      </w:r>
    </w:p>
    <w:p w14:paraId="09BC6984" w14:textId="77777777" w:rsidR="000101CC" w:rsidRPr="000101CC" w:rsidRDefault="000101CC" w:rsidP="000101CC">
      <w:pPr>
        <w:ind w:left="720" w:hanging="720"/>
        <w:rPr>
          <w:lang w:val="en-US"/>
        </w:rPr>
      </w:pPr>
      <w:r w:rsidRPr="000101CC">
        <w:rPr>
          <w:lang w:val="en-US"/>
        </w:rPr>
        <w:t xml:space="preserve">Alpen Capital (2025) </w:t>
      </w:r>
      <w:r w:rsidRPr="000101CC">
        <w:rPr>
          <w:i/>
          <w:iCs/>
          <w:lang w:val="en-US"/>
        </w:rPr>
        <w:t>GCC Food Industry Report 2025</w:t>
      </w:r>
      <w:r w:rsidRPr="000101CC">
        <w:rPr>
          <w:lang w:val="en-US"/>
        </w:rPr>
        <w:t>. Dubai: Alpen Capital.</w:t>
      </w:r>
    </w:p>
    <w:p w14:paraId="1C289A4A" w14:textId="77777777" w:rsidR="000101CC" w:rsidRPr="000101CC" w:rsidRDefault="000101CC" w:rsidP="000101CC">
      <w:pPr>
        <w:ind w:left="720" w:hanging="720"/>
        <w:rPr>
          <w:lang w:val="en-US"/>
        </w:rPr>
      </w:pPr>
      <w:r w:rsidRPr="000101CC">
        <w:rPr>
          <w:lang w:val="en-US"/>
        </w:rPr>
        <w:t xml:space="preserve">Ansoff, H.I. (1957) 'Strategies for diversification', </w:t>
      </w:r>
      <w:r w:rsidRPr="000101CC">
        <w:rPr>
          <w:i/>
          <w:iCs/>
          <w:lang w:val="en-US"/>
        </w:rPr>
        <w:t>Harvard Business Review</w:t>
      </w:r>
      <w:r w:rsidRPr="000101CC">
        <w:rPr>
          <w:lang w:val="en-US"/>
        </w:rPr>
        <w:t>, 35(5), pp. 113–124.</w:t>
      </w:r>
    </w:p>
    <w:p w14:paraId="5CB3B83C" w14:textId="77777777" w:rsidR="000101CC" w:rsidRPr="000101CC" w:rsidRDefault="000101CC" w:rsidP="000101CC">
      <w:pPr>
        <w:ind w:left="720" w:hanging="720"/>
        <w:rPr>
          <w:lang w:val="en-US"/>
        </w:rPr>
      </w:pPr>
      <w:r w:rsidRPr="000101CC">
        <w:rPr>
          <w:lang w:val="en-US"/>
        </w:rPr>
        <w:t xml:space="preserve">Ansoff, H.I. (1989) </w:t>
      </w:r>
      <w:r w:rsidRPr="000101CC">
        <w:rPr>
          <w:i/>
          <w:iCs/>
          <w:lang w:val="en-US"/>
        </w:rPr>
        <w:t>Implanting Strategic Management</w:t>
      </w:r>
      <w:r w:rsidRPr="000101CC">
        <w:rPr>
          <w:lang w:val="en-US"/>
        </w:rPr>
        <w:t>. 2nd edn. Englewood Cliffs, NJ: Prentice Hall.</w:t>
      </w:r>
    </w:p>
    <w:p w14:paraId="75AFCE34" w14:textId="77777777" w:rsidR="000101CC" w:rsidRPr="000101CC" w:rsidRDefault="000101CC" w:rsidP="000101CC">
      <w:pPr>
        <w:ind w:left="720" w:hanging="720"/>
        <w:rPr>
          <w:lang w:val="en-US"/>
        </w:rPr>
      </w:pPr>
      <w:r w:rsidRPr="000101CC">
        <w:rPr>
          <w:lang w:val="en-US"/>
        </w:rPr>
        <w:t xml:space="preserve">Arabian Business (2024) 'Almarai, Dettol rank highest in Saudi Arabia's YouGov 2024 FMCG rankings', </w:t>
      </w:r>
      <w:r w:rsidRPr="000101CC">
        <w:rPr>
          <w:i/>
          <w:iCs/>
          <w:lang w:val="en-US"/>
        </w:rPr>
        <w:t>Arabian Business</w:t>
      </w:r>
      <w:r w:rsidRPr="000101CC">
        <w:rPr>
          <w:lang w:val="en-US"/>
        </w:rPr>
        <w:t xml:space="preserve">, 7 June. Available at: </w:t>
      </w:r>
      <w:hyperlink r:id="rId29" w:tgtFrame="_blank" w:history="1">
        <w:r w:rsidRPr="000101CC">
          <w:rPr>
            <w:rStyle w:val="Hyperlink"/>
            <w:lang w:val="en-US"/>
          </w:rPr>
          <w:t>https://www.arabianbusiness.com/gcc/saudi-arabia/almarai-dettol-rank-highest-in-saudi-arabias-yougov-2024-fmcg-rankings</w:t>
        </w:r>
      </w:hyperlink>
    </w:p>
    <w:p w14:paraId="74869D1E" w14:textId="77777777" w:rsidR="000101CC" w:rsidRPr="000101CC" w:rsidRDefault="000101CC" w:rsidP="000101CC">
      <w:pPr>
        <w:ind w:left="720" w:hanging="720"/>
        <w:rPr>
          <w:lang w:val="en-US"/>
        </w:rPr>
      </w:pPr>
      <w:r w:rsidRPr="000101CC">
        <w:rPr>
          <w:lang w:val="en-US"/>
        </w:rPr>
        <w:t xml:space="preserve">Bain &amp; Company (2022) ‘How to drive profitable growth in the Middle East in the new normal’, </w:t>
      </w:r>
      <w:r w:rsidRPr="000101CC">
        <w:rPr>
          <w:i/>
          <w:iCs/>
          <w:lang w:val="en-US"/>
        </w:rPr>
        <w:t>Bain Insights Brief</w:t>
      </w:r>
      <w:r w:rsidRPr="000101CC">
        <w:rPr>
          <w:lang w:val="en-US"/>
        </w:rPr>
        <w:t xml:space="preserve">, 24 February. Available at: </w:t>
      </w:r>
      <w:hyperlink r:id="rId30" w:tgtFrame="_blank" w:history="1">
        <w:r w:rsidRPr="000101CC">
          <w:rPr>
            <w:rStyle w:val="Hyperlink"/>
            <w:lang w:val="en-US"/>
          </w:rPr>
          <w:t>https://www.bain.com/insights/how-to-drive-profitable-growth-in-the-middle-east-in-the-new-normal/</w:t>
        </w:r>
      </w:hyperlink>
      <w:r w:rsidRPr="000101CC">
        <w:rPr>
          <w:lang w:val="en-US"/>
        </w:rPr>
        <w:t xml:space="preserve"> (Accessed: 5th July 2026).</w:t>
      </w:r>
    </w:p>
    <w:p w14:paraId="6B468E64" w14:textId="77777777" w:rsidR="000101CC" w:rsidRPr="000101CC" w:rsidRDefault="000101CC" w:rsidP="000101CC">
      <w:pPr>
        <w:ind w:left="720" w:hanging="720"/>
        <w:rPr>
          <w:lang w:val="en-US"/>
        </w:rPr>
      </w:pPr>
      <w:r w:rsidRPr="000101CC">
        <w:rPr>
          <w:lang w:val="en-US"/>
        </w:rPr>
        <w:t xml:space="preserve">Burt, S. and Sparks, L. (2002) 'Corporate branding, retailing, and retail internationalization', </w:t>
      </w:r>
      <w:r w:rsidRPr="000101CC">
        <w:rPr>
          <w:i/>
          <w:iCs/>
          <w:lang w:val="en-US"/>
        </w:rPr>
        <w:t>Corporate Reputation Review</w:t>
      </w:r>
      <w:r w:rsidRPr="000101CC">
        <w:rPr>
          <w:lang w:val="en-US"/>
        </w:rPr>
        <w:t>, 5(2–3), pp. 194–212.</w:t>
      </w:r>
    </w:p>
    <w:p w14:paraId="0CD19455" w14:textId="77777777" w:rsidR="000101CC" w:rsidRPr="000101CC" w:rsidRDefault="000101CC" w:rsidP="000101CC">
      <w:pPr>
        <w:ind w:left="720" w:hanging="720"/>
        <w:rPr>
          <w:lang w:val="en-US"/>
        </w:rPr>
      </w:pPr>
      <w:r w:rsidRPr="000101CC">
        <w:rPr>
          <w:lang w:val="en-US"/>
        </w:rPr>
        <w:t xml:space="preserve">Cornelius, P., Van de Putte, A. and Romani, M. (2005) 'Three decades of scenario planning in Shell', </w:t>
      </w:r>
      <w:r w:rsidRPr="000101CC">
        <w:rPr>
          <w:i/>
          <w:iCs/>
          <w:lang w:val="en-US"/>
        </w:rPr>
        <w:t>California Management Review</w:t>
      </w:r>
      <w:r w:rsidRPr="000101CC">
        <w:rPr>
          <w:lang w:val="en-US"/>
        </w:rPr>
        <w:t>, 48(1), pp. 92–109.</w:t>
      </w:r>
    </w:p>
    <w:p w14:paraId="5F343A0C" w14:textId="77777777" w:rsidR="000101CC" w:rsidRPr="000101CC" w:rsidRDefault="000101CC" w:rsidP="000101CC">
      <w:pPr>
        <w:ind w:left="720" w:hanging="720"/>
        <w:rPr>
          <w:lang w:val="en-US"/>
        </w:rPr>
      </w:pPr>
      <w:r w:rsidRPr="000101CC">
        <w:rPr>
          <w:lang w:val="en-US"/>
        </w:rPr>
        <w:t xml:space="preserve">Damodaran, A. (2012) </w:t>
      </w:r>
      <w:r w:rsidRPr="000101CC">
        <w:rPr>
          <w:i/>
          <w:iCs/>
          <w:lang w:val="en-US"/>
        </w:rPr>
        <w:t>Investment Valuation: Tools and Techniques for Determining the Value of Any Asset</w:t>
      </w:r>
      <w:r w:rsidRPr="000101CC">
        <w:rPr>
          <w:lang w:val="en-US"/>
        </w:rPr>
        <w:t>. 3rd edn. Hoboken, NJ: Wiley.</w:t>
      </w:r>
    </w:p>
    <w:p w14:paraId="71A3CEE6" w14:textId="77777777" w:rsidR="000101CC" w:rsidRPr="000101CC" w:rsidRDefault="000101CC" w:rsidP="000101CC">
      <w:pPr>
        <w:ind w:left="720" w:hanging="720"/>
        <w:rPr>
          <w:lang w:val="en-US"/>
        </w:rPr>
      </w:pPr>
      <w:r w:rsidRPr="000101CC">
        <w:rPr>
          <w:lang w:val="en-US"/>
        </w:rPr>
        <w:t xml:space="preserve">Food Export USA (2025) ‘Middle East market assessment – GCC packaged food’, Food Export Association of the Midwest USA and Food Export USA–Northeast, 7 November. Available at: </w:t>
      </w:r>
      <w:hyperlink r:id="rId31" w:tgtFrame="_blank" w:history="1">
        <w:r w:rsidRPr="000101CC">
          <w:rPr>
            <w:rStyle w:val="Hyperlink"/>
            <w:lang w:val="en-US"/>
          </w:rPr>
          <w:t>https://www.foodexport.org/article/2025-middle-east-market-assessment-gcc-packaged-food</w:t>
        </w:r>
      </w:hyperlink>
      <w:r w:rsidRPr="000101CC">
        <w:rPr>
          <w:lang w:val="en-US"/>
        </w:rPr>
        <w:t xml:space="preserve"> (Accessed: 5th July 2026).</w:t>
      </w:r>
    </w:p>
    <w:p w14:paraId="34454704" w14:textId="77777777" w:rsidR="000101CC" w:rsidRPr="000101CC" w:rsidRDefault="000101CC" w:rsidP="000101CC">
      <w:pPr>
        <w:ind w:left="720" w:hanging="720"/>
        <w:rPr>
          <w:lang w:val="en-US"/>
        </w:rPr>
      </w:pPr>
      <w:r w:rsidRPr="000101CC">
        <w:rPr>
          <w:lang w:val="en-US"/>
        </w:rPr>
        <w:t xml:space="preserve">GCC Confectionery Market Report (2026) </w:t>
      </w:r>
      <w:r w:rsidRPr="000101CC">
        <w:rPr>
          <w:i/>
          <w:iCs/>
          <w:lang w:val="en-US"/>
        </w:rPr>
        <w:t>GCC confectionery market report 2026: Prices, size, forecast and trends</w:t>
      </w:r>
      <w:r w:rsidRPr="000101CC">
        <w:rPr>
          <w:lang w:val="en-US"/>
        </w:rPr>
        <w:t xml:space="preserve">. IndexBox Market Research, 28 February. Available at: </w:t>
      </w:r>
      <w:hyperlink r:id="rId32" w:tgtFrame="_blank" w:history="1">
        <w:r w:rsidRPr="000101CC">
          <w:rPr>
            <w:rStyle w:val="Hyperlink"/>
            <w:lang w:val="en-US"/>
          </w:rPr>
          <w:t>https://www.indexbox.io/store/gcc-confectionery-market-report-analysis-and-forecast-to-2025/</w:t>
        </w:r>
      </w:hyperlink>
      <w:r w:rsidRPr="000101CC">
        <w:rPr>
          <w:lang w:val="en-US"/>
        </w:rPr>
        <w:t xml:space="preserve"> (Accessed: 5th July 2026).</w:t>
      </w:r>
    </w:p>
    <w:p w14:paraId="50468F0C" w14:textId="0A6A94AA" w:rsidR="000F4D02" w:rsidRDefault="000F4D02" w:rsidP="000101CC">
      <w:pPr>
        <w:ind w:left="720" w:hanging="720"/>
        <w:rPr>
          <w:lang w:val="en-US"/>
        </w:rPr>
      </w:pPr>
      <w:r w:rsidRPr="000F4D02">
        <w:rPr>
          <w:lang w:val="en-US"/>
        </w:rPr>
        <w:t>GCC Food Market Report (2026). GCC Food Market Report 2026: Consumption in the Fragmented and Competitive Market is Projected to Grow at a CAGR of 2.98% Between 2025-2030. [online] GlobeNewswire News Room.</w:t>
      </w:r>
    </w:p>
    <w:p w14:paraId="13A679E8" w14:textId="463A93D8" w:rsidR="000101CC" w:rsidRPr="000101CC" w:rsidRDefault="000101CC" w:rsidP="000101CC">
      <w:pPr>
        <w:ind w:left="720" w:hanging="720"/>
        <w:rPr>
          <w:lang w:val="en-US"/>
        </w:rPr>
      </w:pPr>
      <w:r w:rsidRPr="000101CC">
        <w:rPr>
          <w:lang w:val="en-US"/>
        </w:rPr>
        <w:t xml:space="preserve">GCC Sweet Biscuit Market Report (2025) </w:t>
      </w:r>
      <w:r w:rsidRPr="000101CC">
        <w:rPr>
          <w:i/>
          <w:iCs/>
          <w:lang w:val="en-US"/>
        </w:rPr>
        <w:t>GCC sweet biscuit market forecasts 2024–2035</w:t>
      </w:r>
      <w:r w:rsidRPr="000101CC">
        <w:rPr>
          <w:lang w:val="en-US"/>
        </w:rPr>
        <w:t xml:space="preserve">. IndexBox Market Research, 28 December. Available at: </w:t>
      </w:r>
      <w:hyperlink r:id="rId33" w:tgtFrame="_blank" w:history="1">
        <w:r w:rsidRPr="000101CC">
          <w:rPr>
            <w:rStyle w:val="Hyperlink"/>
            <w:lang w:val="en-US"/>
          </w:rPr>
          <w:t>https://www.indexbox.io/store/gcc-sweet-biscuit-market-analysis-forecast-size-trends-and-insights/</w:t>
        </w:r>
      </w:hyperlink>
      <w:r w:rsidRPr="000101CC">
        <w:rPr>
          <w:lang w:val="en-US"/>
        </w:rPr>
        <w:t xml:space="preserve"> (Accessed: 5th July 2026).</w:t>
      </w:r>
    </w:p>
    <w:p w14:paraId="749F8807" w14:textId="77777777" w:rsidR="000101CC" w:rsidRPr="000101CC" w:rsidRDefault="000101CC" w:rsidP="000101CC">
      <w:pPr>
        <w:ind w:left="720" w:hanging="720"/>
        <w:rPr>
          <w:lang w:val="en-US"/>
        </w:rPr>
      </w:pPr>
      <w:r w:rsidRPr="000101CC">
        <w:rPr>
          <w:lang w:val="en-US"/>
        </w:rPr>
        <w:t xml:space="preserve">GourmetPro (2024) ‘A deep dive into the GCC confectionery market’, </w:t>
      </w:r>
      <w:r w:rsidRPr="000101CC">
        <w:rPr>
          <w:i/>
          <w:iCs/>
          <w:lang w:val="en-US"/>
        </w:rPr>
        <w:t>GourmetPro Market Study</w:t>
      </w:r>
      <w:r w:rsidRPr="000101CC">
        <w:rPr>
          <w:lang w:val="en-US"/>
        </w:rPr>
        <w:t xml:space="preserve">, 7 December. Available at: </w:t>
      </w:r>
      <w:hyperlink r:id="rId34" w:tgtFrame="_blank" w:history="1">
        <w:r w:rsidRPr="000101CC">
          <w:rPr>
            <w:rStyle w:val="Hyperlink"/>
            <w:lang w:val="en-US"/>
          </w:rPr>
          <w:t>https://www.gourmetpro.co/blog/gcc-confectionery-market</w:t>
        </w:r>
      </w:hyperlink>
      <w:r w:rsidRPr="000101CC">
        <w:rPr>
          <w:lang w:val="en-US"/>
        </w:rPr>
        <w:t xml:space="preserve"> (Accessed: 5th July 2026).</w:t>
      </w:r>
    </w:p>
    <w:p w14:paraId="27327113" w14:textId="77777777" w:rsidR="000101CC" w:rsidRPr="000101CC" w:rsidRDefault="000101CC" w:rsidP="000101CC">
      <w:pPr>
        <w:ind w:left="720" w:hanging="720"/>
        <w:rPr>
          <w:lang w:val="en-US"/>
        </w:rPr>
      </w:pPr>
      <w:r w:rsidRPr="000101CC">
        <w:rPr>
          <w:lang w:val="en-US"/>
        </w:rPr>
        <w:t xml:space="preserve">Gulf Business (2024) 'From healthcare to food: Which were the most preferred brands in the UAE?', </w:t>
      </w:r>
      <w:r w:rsidRPr="000101CC">
        <w:rPr>
          <w:i/>
          <w:iCs/>
          <w:lang w:val="en-US"/>
        </w:rPr>
        <w:t>Gulf Business</w:t>
      </w:r>
      <w:r w:rsidRPr="000101CC">
        <w:rPr>
          <w:lang w:val="en-US"/>
        </w:rPr>
        <w:t xml:space="preserve">, 6 June. Available at: </w:t>
      </w:r>
      <w:hyperlink r:id="rId35" w:tgtFrame="_blank" w:history="1">
        <w:r w:rsidRPr="000101CC">
          <w:rPr>
            <w:rStyle w:val="Hyperlink"/>
            <w:lang w:val="en-US"/>
          </w:rPr>
          <w:t>https://gulfbusiness.com/from-healthcare-to-food-which-were-the-most-preferred-brands-in-the-uae/</w:t>
        </w:r>
      </w:hyperlink>
    </w:p>
    <w:p w14:paraId="5528BB8B" w14:textId="77777777" w:rsidR="000101CC" w:rsidRPr="000101CC" w:rsidRDefault="000101CC" w:rsidP="000101CC">
      <w:pPr>
        <w:ind w:left="720" w:hanging="720"/>
        <w:rPr>
          <w:lang w:val="en-US"/>
        </w:rPr>
      </w:pPr>
      <w:r w:rsidRPr="000101CC">
        <w:rPr>
          <w:lang w:val="en-US"/>
        </w:rPr>
        <w:t xml:space="preserve">Gulf Today (2025) ‘UK–GCC free trade deal will provide big boost to UK exporters’, </w:t>
      </w:r>
      <w:r w:rsidRPr="000101CC">
        <w:rPr>
          <w:i/>
          <w:iCs/>
          <w:lang w:val="en-US"/>
        </w:rPr>
        <w:t>Gulf Today</w:t>
      </w:r>
      <w:r w:rsidRPr="000101CC">
        <w:rPr>
          <w:lang w:val="en-US"/>
        </w:rPr>
        <w:t xml:space="preserve">, 4 March. Available at: </w:t>
      </w:r>
      <w:hyperlink r:id="rId36" w:tgtFrame="_blank" w:history="1">
        <w:r w:rsidRPr="000101CC">
          <w:rPr>
            <w:rStyle w:val="Hyperlink"/>
            <w:lang w:val="en-US"/>
          </w:rPr>
          <w:t>https://www.gulftoday.ae/business/2025/03/04/uk-gcc-free-trade-deal-will-provide-big-boost-to-uk-exporters</w:t>
        </w:r>
      </w:hyperlink>
      <w:r w:rsidRPr="000101CC">
        <w:rPr>
          <w:lang w:val="en-US"/>
        </w:rPr>
        <w:t xml:space="preserve"> (Accessed: 5th July 2026).</w:t>
      </w:r>
    </w:p>
    <w:p w14:paraId="16AFB4F1" w14:textId="77777777" w:rsidR="000101CC" w:rsidRPr="000101CC" w:rsidRDefault="000101CC" w:rsidP="000101CC">
      <w:pPr>
        <w:ind w:left="720" w:hanging="720"/>
        <w:rPr>
          <w:lang w:val="en-US"/>
        </w:rPr>
      </w:pPr>
      <w:r w:rsidRPr="000101CC">
        <w:rPr>
          <w:lang w:val="en-US"/>
        </w:rPr>
        <w:t xml:space="preserve">Hill, C.W.L., Hwang, P. and Kim, W.C. (1990) 'An eclectic theory of the choice of international entry mode', </w:t>
      </w:r>
      <w:r w:rsidRPr="000101CC">
        <w:rPr>
          <w:i/>
          <w:iCs/>
          <w:lang w:val="en-US"/>
        </w:rPr>
        <w:t>Strategic Management Journal</w:t>
      </w:r>
      <w:r w:rsidRPr="000101CC">
        <w:rPr>
          <w:lang w:val="en-US"/>
        </w:rPr>
        <w:t>, 11(2), pp. 117–128.</w:t>
      </w:r>
    </w:p>
    <w:p w14:paraId="6DBD352D" w14:textId="77777777" w:rsidR="000101CC" w:rsidRPr="000101CC" w:rsidRDefault="000101CC" w:rsidP="000101CC">
      <w:pPr>
        <w:ind w:left="720" w:hanging="720"/>
        <w:rPr>
          <w:lang w:val="en-US"/>
        </w:rPr>
      </w:pPr>
      <w:r w:rsidRPr="000101CC">
        <w:rPr>
          <w:lang w:val="en-US"/>
        </w:rPr>
        <w:t xml:space="preserve">Johanson, J. and Vahlne, J.-E. (1977) 'The internationalization process of the firm: A model of knowledge development and increasing foreign market commitments', </w:t>
      </w:r>
      <w:r w:rsidRPr="000101CC">
        <w:rPr>
          <w:i/>
          <w:iCs/>
          <w:lang w:val="en-US"/>
        </w:rPr>
        <w:t>Journal of International Business Studies</w:t>
      </w:r>
      <w:r w:rsidRPr="000101CC">
        <w:rPr>
          <w:lang w:val="en-US"/>
        </w:rPr>
        <w:t>, 8(1), pp. 23–32.</w:t>
      </w:r>
    </w:p>
    <w:p w14:paraId="0EADDEF6" w14:textId="77777777" w:rsidR="000101CC" w:rsidRPr="000101CC" w:rsidRDefault="000101CC" w:rsidP="000101CC">
      <w:pPr>
        <w:ind w:left="720" w:hanging="720"/>
        <w:rPr>
          <w:lang w:val="en-US"/>
        </w:rPr>
      </w:pPr>
      <w:r w:rsidRPr="000101CC">
        <w:rPr>
          <w:lang w:val="en-US"/>
        </w:rPr>
        <w:t xml:space="preserve">Johanson, J. and Vahlne, J.-E. (2009) 'The Uppsala internationalization process model revisited: From liability of foreignness to liability of outsidership', </w:t>
      </w:r>
      <w:r w:rsidRPr="000101CC">
        <w:rPr>
          <w:i/>
          <w:iCs/>
          <w:lang w:val="en-US"/>
        </w:rPr>
        <w:t>Journal of International Business Studies</w:t>
      </w:r>
      <w:r w:rsidRPr="000101CC">
        <w:rPr>
          <w:lang w:val="en-US"/>
        </w:rPr>
        <w:t>, 40(9), pp. 1411–1431.</w:t>
      </w:r>
    </w:p>
    <w:p w14:paraId="3F4F2E27" w14:textId="77777777" w:rsidR="000101CC" w:rsidRPr="000101CC" w:rsidRDefault="000101CC" w:rsidP="000101CC">
      <w:pPr>
        <w:ind w:left="720" w:hanging="720"/>
        <w:rPr>
          <w:lang w:val="en-US"/>
        </w:rPr>
      </w:pPr>
      <w:r w:rsidRPr="000101CC">
        <w:rPr>
          <w:lang w:val="en-US"/>
        </w:rPr>
        <w:t xml:space="preserve">Keller, K.L. (2013) </w:t>
      </w:r>
      <w:r w:rsidRPr="000101CC">
        <w:rPr>
          <w:i/>
          <w:iCs/>
          <w:lang w:val="en-US"/>
        </w:rPr>
        <w:t>Strategic Brand Management: Building, Measuring, and Managing Brand Equity</w:t>
      </w:r>
      <w:r w:rsidRPr="000101CC">
        <w:rPr>
          <w:lang w:val="en-US"/>
        </w:rPr>
        <w:t>. 4th edn. Harlow: Pearson.</w:t>
      </w:r>
    </w:p>
    <w:p w14:paraId="5BAA5D24" w14:textId="618858B5" w:rsidR="000101CC" w:rsidRPr="000101CC" w:rsidRDefault="000101CC" w:rsidP="000101CC">
      <w:pPr>
        <w:ind w:left="720" w:hanging="720"/>
        <w:rPr>
          <w:lang w:val="en-US"/>
        </w:rPr>
      </w:pPr>
      <w:r w:rsidRPr="000101CC">
        <w:rPr>
          <w:lang w:val="en-US"/>
        </w:rPr>
        <w:t>Kibsons (2026</w:t>
      </w:r>
      <w:r w:rsidR="00A56C5D">
        <w:rPr>
          <w:lang w:val="en-US"/>
        </w:rPr>
        <w:t>a</w:t>
      </w:r>
      <w:r w:rsidRPr="000101CC">
        <w:rPr>
          <w:lang w:val="en-US"/>
        </w:rPr>
        <w:t xml:space="preserve">) 'Buy Morrisons online in Dubai &amp; UAE', </w:t>
      </w:r>
      <w:r w:rsidRPr="000101CC">
        <w:rPr>
          <w:i/>
          <w:iCs/>
          <w:lang w:val="en-US"/>
        </w:rPr>
        <w:t>Kibsons</w:t>
      </w:r>
      <w:r w:rsidRPr="000101CC">
        <w:rPr>
          <w:lang w:val="en-US"/>
        </w:rPr>
        <w:t xml:space="preserve">, 13 January. Available at: </w:t>
      </w:r>
      <w:hyperlink r:id="rId37" w:tgtFrame="_blank" w:history="1">
        <w:r w:rsidRPr="000101CC">
          <w:rPr>
            <w:rStyle w:val="Hyperlink"/>
            <w:lang w:val="en-US"/>
          </w:rPr>
          <w:t>https://www.kibsons.com/en/morrisons</w:t>
        </w:r>
      </w:hyperlink>
    </w:p>
    <w:p w14:paraId="31C41927" w14:textId="46C00320" w:rsidR="000101CC" w:rsidRPr="000101CC" w:rsidRDefault="000101CC" w:rsidP="000101CC">
      <w:pPr>
        <w:ind w:left="720" w:hanging="720"/>
        <w:rPr>
          <w:lang w:val="en-US"/>
        </w:rPr>
      </w:pPr>
      <w:r w:rsidRPr="000101CC">
        <w:rPr>
          <w:lang w:val="en-US"/>
        </w:rPr>
        <w:lastRenderedPageBreak/>
        <w:t>Kibsons (2026</w:t>
      </w:r>
      <w:r w:rsidR="00A56C5D">
        <w:rPr>
          <w:lang w:val="en-US"/>
        </w:rPr>
        <w:t>b</w:t>
      </w:r>
      <w:r w:rsidRPr="000101CC">
        <w:rPr>
          <w:lang w:val="en-US"/>
        </w:rPr>
        <w:t xml:space="preserve">) ‘Kibsons brings global flavours to the UAE with RedMart, Morrisons and Iceland launch’, </w:t>
      </w:r>
      <w:r w:rsidRPr="000101CC">
        <w:rPr>
          <w:i/>
          <w:iCs/>
          <w:lang w:val="en-US"/>
        </w:rPr>
        <w:t>Mid</w:t>
      </w:r>
      <w:r w:rsidRPr="000101CC">
        <w:rPr>
          <w:i/>
          <w:iCs/>
          <w:lang w:val="en-US"/>
        </w:rPr>
        <w:noBreakHyphen/>
        <w:t>East Info</w:t>
      </w:r>
      <w:r w:rsidRPr="000101CC">
        <w:rPr>
          <w:lang w:val="en-US"/>
        </w:rPr>
        <w:t xml:space="preserve">, 13 January. Available at: </w:t>
      </w:r>
      <w:hyperlink r:id="rId38" w:tgtFrame="_blank" w:history="1">
        <w:r w:rsidRPr="000101CC">
          <w:rPr>
            <w:rStyle w:val="Hyperlink"/>
            <w:lang w:val="en-US"/>
          </w:rPr>
          <w:t>https://mid-east.info/kibsons-brings-global-flavours-to-the-uae-with-redmart-morrisons-and-iceland-launch/</w:t>
        </w:r>
      </w:hyperlink>
      <w:r w:rsidRPr="000101CC">
        <w:rPr>
          <w:lang w:val="en-US"/>
        </w:rPr>
        <w:t xml:space="preserve"> (Accessed: 5th July 2026).</w:t>
      </w:r>
    </w:p>
    <w:p w14:paraId="4B05B64C" w14:textId="77777777" w:rsidR="000101CC" w:rsidRPr="000101CC" w:rsidRDefault="000101CC" w:rsidP="000101CC">
      <w:pPr>
        <w:ind w:left="720" w:hanging="720"/>
        <w:rPr>
          <w:lang w:val="en-US"/>
        </w:rPr>
      </w:pPr>
      <w:r w:rsidRPr="000101CC">
        <w:rPr>
          <w:lang w:val="en-US"/>
        </w:rPr>
        <w:t xml:space="preserve">Kumar, N. and Steenkamp, J.-B.E.M. (2007) </w:t>
      </w:r>
      <w:r w:rsidRPr="000101CC">
        <w:rPr>
          <w:i/>
          <w:iCs/>
          <w:lang w:val="en-US"/>
        </w:rPr>
        <w:t>Private Label Strategy: How to Meet the Store Brand Challenge</w:t>
      </w:r>
      <w:r w:rsidRPr="000101CC">
        <w:rPr>
          <w:lang w:val="en-US"/>
        </w:rPr>
        <w:t>. Boston, MA: Harvard Business School Press.</w:t>
      </w:r>
    </w:p>
    <w:p w14:paraId="352F663D" w14:textId="68139506" w:rsidR="000101CC" w:rsidRPr="000101CC" w:rsidRDefault="000101CC" w:rsidP="000101CC">
      <w:pPr>
        <w:ind w:left="720" w:hanging="720"/>
        <w:rPr>
          <w:lang w:val="en-US"/>
        </w:rPr>
      </w:pPr>
      <w:r w:rsidRPr="000101CC">
        <w:rPr>
          <w:lang w:val="en-US"/>
        </w:rPr>
        <w:t>Leverbrook Export (2022</w:t>
      </w:r>
      <w:r w:rsidR="009A47F9">
        <w:rPr>
          <w:lang w:val="en-US"/>
        </w:rPr>
        <w:t>a</w:t>
      </w:r>
      <w:r w:rsidRPr="000101CC">
        <w:rPr>
          <w:lang w:val="en-US"/>
        </w:rPr>
        <w:t xml:space="preserve">) 'Importing British food &amp; drink to UAE, Dubai and Abu Dhabi', </w:t>
      </w:r>
      <w:r w:rsidRPr="000101CC">
        <w:rPr>
          <w:i/>
          <w:iCs/>
          <w:lang w:val="en-US"/>
        </w:rPr>
        <w:t>Leverbrook Export</w:t>
      </w:r>
      <w:r w:rsidRPr="000101CC">
        <w:rPr>
          <w:lang w:val="en-US"/>
        </w:rPr>
        <w:t>, 27 July.</w:t>
      </w:r>
    </w:p>
    <w:p w14:paraId="767209D3" w14:textId="5248F420" w:rsidR="000101CC" w:rsidRPr="000101CC" w:rsidRDefault="000101CC" w:rsidP="000101CC">
      <w:pPr>
        <w:ind w:left="720" w:hanging="720"/>
        <w:rPr>
          <w:lang w:val="en-US"/>
        </w:rPr>
      </w:pPr>
      <w:r w:rsidRPr="000101CC">
        <w:rPr>
          <w:lang w:val="en-US"/>
        </w:rPr>
        <w:t>Leverbrook Export (2022</w:t>
      </w:r>
      <w:r w:rsidR="009A47F9">
        <w:rPr>
          <w:lang w:val="en-US"/>
        </w:rPr>
        <w:t>b</w:t>
      </w:r>
      <w:r w:rsidRPr="000101CC">
        <w:rPr>
          <w:lang w:val="en-US"/>
        </w:rPr>
        <w:t xml:space="preserve">) 'What are the top UK food &amp; drink exports to the Middle East?', </w:t>
      </w:r>
      <w:r w:rsidRPr="000101CC">
        <w:rPr>
          <w:i/>
          <w:iCs/>
          <w:lang w:val="en-US"/>
        </w:rPr>
        <w:t>Leverbrook Export</w:t>
      </w:r>
      <w:r w:rsidRPr="000101CC">
        <w:rPr>
          <w:lang w:val="en-US"/>
        </w:rPr>
        <w:t xml:space="preserve">, 18 April. Available at: </w:t>
      </w:r>
      <w:hyperlink r:id="rId39" w:tgtFrame="_blank" w:history="1">
        <w:r w:rsidRPr="000101CC">
          <w:rPr>
            <w:rStyle w:val="Hyperlink"/>
            <w:lang w:val="en-US"/>
          </w:rPr>
          <w:t>https://leverbrookexport.com/exporting-british-food-uae-dubai-abu-dhabi/</w:t>
        </w:r>
      </w:hyperlink>
    </w:p>
    <w:p w14:paraId="0FEFD16D" w14:textId="1D59B82F" w:rsidR="000101CC" w:rsidRPr="000101CC" w:rsidRDefault="000101CC" w:rsidP="000101CC">
      <w:pPr>
        <w:ind w:left="720" w:hanging="720"/>
        <w:rPr>
          <w:lang w:val="en-US"/>
        </w:rPr>
      </w:pPr>
      <w:r w:rsidRPr="000101CC">
        <w:rPr>
          <w:lang w:val="en-US"/>
        </w:rPr>
        <w:t>MarkNtel Advisors (2024</w:t>
      </w:r>
      <w:r w:rsidR="00A56C5D">
        <w:rPr>
          <w:lang w:val="en-US"/>
        </w:rPr>
        <w:t>a</w:t>
      </w:r>
      <w:r w:rsidRPr="000101CC">
        <w:rPr>
          <w:lang w:val="en-US"/>
        </w:rPr>
        <w:t xml:space="preserve">) ‘GCC snacks market size, share, demand, latest trends, and investment opportunity 2024–2030’, </w:t>
      </w:r>
      <w:r w:rsidRPr="000101CC">
        <w:rPr>
          <w:i/>
          <w:iCs/>
          <w:lang w:val="en-US"/>
        </w:rPr>
        <w:t>MarkNtel Advisors</w:t>
      </w:r>
      <w:r w:rsidRPr="000101CC">
        <w:rPr>
          <w:lang w:val="en-US"/>
        </w:rPr>
        <w:t xml:space="preserve">. Available at: </w:t>
      </w:r>
      <w:hyperlink r:id="rId40" w:tgtFrame="_blank" w:history="1">
        <w:r w:rsidRPr="000101CC">
          <w:rPr>
            <w:rStyle w:val="Hyperlink"/>
            <w:lang w:val="en-US"/>
          </w:rPr>
          <w:t>https://www.marknteladvisors.com/research-library/gcc-snacks-market.html</w:t>
        </w:r>
      </w:hyperlink>
      <w:r w:rsidRPr="000101CC">
        <w:rPr>
          <w:lang w:val="en-US"/>
        </w:rPr>
        <w:t xml:space="preserve"> (Accessed: 15 August 2026).</w:t>
      </w:r>
    </w:p>
    <w:p w14:paraId="7E41FA1E" w14:textId="15FBB2A7" w:rsidR="000101CC" w:rsidRPr="000101CC" w:rsidRDefault="000101CC" w:rsidP="000101CC">
      <w:pPr>
        <w:ind w:left="720" w:hanging="720"/>
        <w:rPr>
          <w:lang w:val="en-US"/>
        </w:rPr>
      </w:pPr>
      <w:r w:rsidRPr="000101CC">
        <w:rPr>
          <w:lang w:val="en-US"/>
        </w:rPr>
        <w:t>MarkNtel Advisors (2024</w:t>
      </w:r>
      <w:r w:rsidR="00A56C5D">
        <w:rPr>
          <w:lang w:val="en-US"/>
        </w:rPr>
        <w:t>b</w:t>
      </w:r>
      <w:r w:rsidRPr="000101CC">
        <w:rPr>
          <w:lang w:val="en-US"/>
        </w:rPr>
        <w:t xml:space="preserve">) ‘GCC snacks market valued at USD 12.87 billion by 2030’, </w:t>
      </w:r>
      <w:r w:rsidRPr="000101CC">
        <w:rPr>
          <w:i/>
          <w:iCs/>
          <w:lang w:val="en-US"/>
        </w:rPr>
        <w:t>MarkNtel Advisors</w:t>
      </w:r>
      <w:r w:rsidRPr="000101CC">
        <w:rPr>
          <w:lang w:val="en-US"/>
        </w:rPr>
        <w:t xml:space="preserve"> (press release), 31 December. Available at: </w:t>
      </w:r>
      <w:hyperlink r:id="rId41" w:tgtFrame="_blank" w:history="1">
        <w:r w:rsidRPr="000101CC">
          <w:rPr>
            <w:rStyle w:val="Hyperlink"/>
            <w:lang w:val="en-US"/>
          </w:rPr>
          <w:t>https://www.marknteladvisors.com/press-release/gcc-snacks-market-growth</w:t>
        </w:r>
      </w:hyperlink>
      <w:r w:rsidRPr="000101CC">
        <w:rPr>
          <w:lang w:val="en-US"/>
        </w:rPr>
        <w:t xml:space="preserve"> (Accessed: 5th July 2026).</w:t>
      </w:r>
    </w:p>
    <w:p w14:paraId="44254197" w14:textId="74016065" w:rsidR="000101CC" w:rsidRPr="000101CC" w:rsidRDefault="000101CC" w:rsidP="000101CC">
      <w:pPr>
        <w:ind w:left="720" w:hanging="720"/>
        <w:rPr>
          <w:lang w:val="en-US"/>
        </w:rPr>
      </w:pPr>
      <w:r w:rsidRPr="000101CC">
        <w:rPr>
          <w:lang w:val="en-US"/>
        </w:rPr>
        <w:t>MarkNtel Advisors (2024</w:t>
      </w:r>
      <w:r w:rsidR="00A56C5D">
        <w:rPr>
          <w:lang w:val="en-US"/>
        </w:rPr>
        <w:t>c</w:t>
      </w:r>
      <w:r w:rsidRPr="000101CC">
        <w:rPr>
          <w:lang w:val="en-US"/>
        </w:rPr>
        <w:t xml:space="preserve">) ‘Infographics: GCC snacks market size, share &amp; product trends’, </w:t>
      </w:r>
      <w:r w:rsidRPr="000101CC">
        <w:rPr>
          <w:i/>
          <w:iCs/>
          <w:lang w:val="en-US"/>
        </w:rPr>
        <w:t>MarkNtel Advisors</w:t>
      </w:r>
      <w:r w:rsidRPr="000101CC">
        <w:rPr>
          <w:lang w:val="en-US"/>
        </w:rPr>
        <w:t xml:space="preserve">, 31 December. Available at: </w:t>
      </w:r>
      <w:hyperlink r:id="rId42" w:tgtFrame="_blank" w:history="1">
        <w:r w:rsidRPr="000101CC">
          <w:rPr>
            <w:rStyle w:val="Hyperlink"/>
            <w:lang w:val="en-US"/>
          </w:rPr>
          <w:t>https://www.marknteladvisors.com/infographics/gcc-snacks-market.html</w:t>
        </w:r>
      </w:hyperlink>
      <w:r w:rsidRPr="000101CC">
        <w:rPr>
          <w:lang w:val="en-US"/>
        </w:rPr>
        <w:t xml:space="preserve"> (Accessed: 5th July 2026).</w:t>
      </w:r>
    </w:p>
    <w:p w14:paraId="64521EE3" w14:textId="77777777" w:rsidR="000101CC" w:rsidRPr="000101CC" w:rsidRDefault="000101CC" w:rsidP="000101CC">
      <w:pPr>
        <w:ind w:left="720" w:hanging="720"/>
        <w:rPr>
          <w:lang w:val="en-US"/>
        </w:rPr>
      </w:pPr>
      <w:r w:rsidRPr="000101CC">
        <w:rPr>
          <w:lang w:val="en-US"/>
        </w:rPr>
        <w:t xml:space="preserve">Meydan Free Zone (2026) 'Top niche British products to export to Dubai in 2026', </w:t>
      </w:r>
      <w:r w:rsidRPr="000101CC">
        <w:rPr>
          <w:i/>
          <w:iCs/>
          <w:lang w:val="en-US"/>
        </w:rPr>
        <w:t>Meydan Free Zone</w:t>
      </w:r>
      <w:r w:rsidRPr="000101CC">
        <w:rPr>
          <w:lang w:val="en-US"/>
        </w:rPr>
        <w:t xml:space="preserve">, 17 February. Available at: </w:t>
      </w:r>
      <w:hyperlink r:id="rId43" w:tgtFrame="_blank" w:history="1">
        <w:r w:rsidRPr="000101CC">
          <w:rPr>
            <w:rStyle w:val="Hyperlink"/>
            <w:lang w:val="en-US"/>
          </w:rPr>
          <w:t>https://www.meydanfz.ae/relocation-dubai-uk/british-products-to-export-to-dubai</w:t>
        </w:r>
      </w:hyperlink>
    </w:p>
    <w:p w14:paraId="3D77CCEC" w14:textId="77777777" w:rsidR="000101CC" w:rsidRPr="000101CC" w:rsidRDefault="000101CC" w:rsidP="000101CC">
      <w:pPr>
        <w:ind w:left="720" w:hanging="720"/>
        <w:rPr>
          <w:lang w:val="en-US"/>
        </w:rPr>
      </w:pPr>
      <w:r w:rsidRPr="000101CC">
        <w:rPr>
          <w:lang w:val="en-US"/>
        </w:rPr>
        <w:t xml:space="preserve">Morrisons (2022) ‘Morrisons expands global trade with new exporter partnership’, </w:t>
      </w:r>
      <w:r w:rsidRPr="000101CC">
        <w:rPr>
          <w:i/>
          <w:iCs/>
          <w:lang w:val="en-US"/>
        </w:rPr>
        <w:t>The Grocer</w:t>
      </w:r>
      <w:r w:rsidRPr="000101CC">
        <w:rPr>
          <w:lang w:val="en-US"/>
        </w:rPr>
        <w:t xml:space="preserve">, 24 July. Available at: </w:t>
      </w:r>
      <w:hyperlink r:id="rId44" w:tgtFrame="_blank" w:history="1">
        <w:r w:rsidRPr="000101CC">
          <w:rPr>
            <w:rStyle w:val="Hyperlink"/>
            <w:lang w:val="en-US"/>
          </w:rPr>
          <w:t>https://www.thegrocer.co.uk/morrisons/morrisons-expands-global-trade-with-new-exporter-partnership/669311.article</w:t>
        </w:r>
      </w:hyperlink>
      <w:r w:rsidRPr="000101CC">
        <w:rPr>
          <w:lang w:val="en-US"/>
        </w:rPr>
        <w:t xml:space="preserve"> (Accessed: 5th July 2026).</w:t>
      </w:r>
    </w:p>
    <w:p w14:paraId="37FD4723" w14:textId="08DC317E" w:rsidR="000101CC" w:rsidRPr="000101CC" w:rsidRDefault="000101CC" w:rsidP="000101CC">
      <w:pPr>
        <w:ind w:left="720" w:hanging="720"/>
        <w:rPr>
          <w:lang w:val="en-US"/>
        </w:rPr>
      </w:pPr>
      <w:r w:rsidRPr="000101CC">
        <w:rPr>
          <w:lang w:val="en-US"/>
        </w:rPr>
        <w:lastRenderedPageBreak/>
        <w:t xml:space="preserve">Morrisons (2024) </w:t>
      </w:r>
      <w:r w:rsidRPr="000101CC">
        <w:rPr>
          <w:i/>
          <w:iCs/>
          <w:lang w:val="en-US"/>
        </w:rPr>
        <w:t>Wm Morrison Supermarkets Limited Annual Report and Financial Statements for the 52 weeks ended 27 October 2024</w:t>
      </w:r>
      <w:r w:rsidRPr="000101CC">
        <w:rPr>
          <w:lang w:val="en-US"/>
        </w:rPr>
        <w:t>. Bradford: Wm Morrison Supermarkets Ltd.</w:t>
      </w:r>
    </w:p>
    <w:p w14:paraId="0A9ED58C" w14:textId="77777777" w:rsidR="000101CC" w:rsidRPr="000101CC" w:rsidRDefault="000101CC" w:rsidP="000101CC">
      <w:pPr>
        <w:ind w:left="720" w:hanging="720"/>
        <w:rPr>
          <w:lang w:val="en-US"/>
        </w:rPr>
      </w:pPr>
      <w:r w:rsidRPr="000101CC">
        <w:rPr>
          <w:lang w:val="en-US"/>
        </w:rPr>
        <w:t xml:space="preserve">Morrisons (2025) ‘Morrisons business update’, </w:t>
      </w:r>
      <w:r w:rsidRPr="000101CC">
        <w:rPr>
          <w:i/>
          <w:iCs/>
          <w:lang w:val="en-US"/>
        </w:rPr>
        <w:t>IGD Retail Analysis</w:t>
      </w:r>
      <w:r w:rsidRPr="000101CC">
        <w:rPr>
          <w:lang w:val="en-US"/>
        </w:rPr>
        <w:t xml:space="preserve">, 27 January. Available at: </w:t>
      </w:r>
      <w:hyperlink r:id="rId45" w:tgtFrame="_blank" w:history="1">
        <w:r w:rsidRPr="000101CC">
          <w:rPr>
            <w:rStyle w:val="Hyperlink"/>
            <w:lang w:val="en-US"/>
          </w:rPr>
          <w:t>https://retailanalysis.igd.com/news/news-article/t/morrisons-business-update/</w:t>
        </w:r>
      </w:hyperlink>
      <w:r w:rsidRPr="000101CC">
        <w:rPr>
          <w:lang w:val="en-US"/>
        </w:rPr>
        <w:t xml:space="preserve"> (Accessed: 5th July 2026).</w:t>
      </w:r>
    </w:p>
    <w:p w14:paraId="0A730872" w14:textId="77777777" w:rsidR="000101CC" w:rsidRPr="000101CC" w:rsidRDefault="000101CC" w:rsidP="000101CC">
      <w:pPr>
        <w:ind w:left="720" w:hanging="720"/>
        <w:rPr>
          <w:lang w:val="en-US"/>
        </w:rPr>
      </w:pPr>
      <w:r w:rsidRPr="000101CC">
        <w:rPr>
          <w:lang w:val="en-US"/>
        </w:rPr>
        <w:t xml:space="preserve">Morrisons (2025) 'Morrisons celebrates growing its presence in the Gulf with Lulu Retail at British Food Festival in Qatar', </w:t>
      </w:r>
      <w:r w:rsidRPr="000101CC">
        <w:rPr>
          <w:i/>
          <w:iCs/>
          <w:lang w:val="en-US"/>
        </w:rPr>
        <w:t>Wm Morrison Supermarkets Ltd, Corporate News</w:t>
      </w:r>
      <w:r w:rsidRPr="000101CC">
        <w:rPr>
          <w:lang w:val="en-US"/>
        </w:rPr>
        <w:t xml:space="preserve">, 9 June. Available at: </w:t>
      </w:r>
      <w:hyperlink r:id="rId46" w:tgtFrame="_blank" w:history="1">
        <w:r w:rsidRPr="000101CC">
          <w:rPr>
            <w:rStyle w:val="Hyperlink"/>
            <w:lang w:val="en-US"/>
          </w:rPr>
          <w:t>https://www.morrisons-corporate.com/media-centre/corporate-news/morrisons-celebrates-growing-its-presence-in-the-gulf-with-lulu-retail-at-british-food-festival-in-qatar</w:t>
        </w:r>
      </w:hyperlink>
    </w:p>
    <w:p w14:paraId="7A17B3CF" w14:textId="77777777" w:rsidR="000101CC" w:rsidRPr="000101CC" w:rsidRDefault="000101CC" w:rsidP="000101CC">
      <w:pPr>
        <w:ind w:left="720" w:hanging="720"/>
        <w:rPr>
          <w:lang w:val="en-US"/>
        </w:rPr>
      </w:pPr>
      <w:r w:rsidRPr="000101CC">
        <w:rPr>
          <w:lang w:val="en-US"/>
        </w:rPr>
        <w:t xml:space="preserve">Morrisons (2025) 'Morrisons trading update for Q4 and full year 2023/24', </w:t>
      </w:r>
      <w:r w:rsidRPr="000101CC">
        <w:rPr>
          <w:i/>
          <w:iCs/>
          <w:lang w:val="en-US"/>
        </w:rPr>
        <w:t>Wm Morrison Supermarkets Ltd</w:t>
      </w:r>
      <w:r w:rsidRPr="000101CC">
        <w:rPr>
          <w:lang w:val="en-US"/>
        </w:rPr>
        <w:t xml:space="preserve">, 31 January. Available at: </w:t>
      </w:r>
      <w:hyperlink r:id="rId47" w:tgtFrame="_blank" w:history="1">
        <w:r w:rsidRPr="000101CC">
          <w:rPr>
            <w:rStyle w:val="Hyperlink"/>
            <w:lang w:val="en-US"/>
          </w:rPr>
          <w:t>https://www.morrisons-corporate.com/media-centre/corporate-news/morrisons-trading-update-for-q4-and-full-year-202324</w:t>
        </w:r>
      </w:hyperlink>
    </w:p>
    <w:p w14:paraId="7A5A0774" w14:textId="77777777" w:rsidR="000101CC" w:rsidRPr="000101CC" w:rsidRDefault="000101CC" w:rsidP="000101CC">
      <w:pPr>
        <w:ind w:left="720" w:hanging="720"/>
        <w:rPr>
          <w:lang w:val="en-US"/>
        </w:rPr>
      </w:pPr>
      <w:r w:rsidRPr="000101CC">
        <w:rPr>
          <w:lang w:val="en-US"/>
        </w:rPr>
        <w:t xml:space="preserve">Morrisons (2026) ‘Morrisons is committing over £1.6bn to British agriculture and food production in 2026’, </w:t>
      </w:r>
      <w:r w:rsidRPr="000101CC">
        <w:rPr>
          <w:i/>
          <w:iCs/>
          <w:lang w:val="en-US"/>
        </w:rPr>
        <w:t>Morrisons News</w:t>
      </w:r>
      <w:r w:rsidRPr="000101CC">
        <w:rPr>
          <w:lang w:val="en-US"/>
        </w:rPr>
        <w:t xml:space="preserve">, 7 May. Available at: </w:t>
      </w:r>
      <w:hyperlink r:id="rId48" w:tgtFrame="_blank" w:history="1">
        <w:r w:rsidRPr="000101CC">
          <w:rPr>
            <w:rStyle w:val="Hyperlink"/>
            <w:lang w:val="en-US"/>
          </w:rPr>
          <w:t>https://corporate.morrisons.com/media-centre/corporate-news/morrisons-commits-16bn-to-british-agriculture-and-food-production</w:t>
        </w:r>
      </w:hyperlink>
      <w:r w:rsidRPr="000101CC">
        <w:rPr>
          <w:lang w:val="en-US"/>
        </w:rPr>
        <w:t xml:space="preserve"> (Accessed: 5th July 2026).</w:t>
      </w:r>
    </w:p>
    <w:p w14:paraId="6ADCE5B3" w14:textId="77777777" w:rsidR="000101CC" w:rsidRPr="000101CC" w:rsidRDefault="000101CC" w:rsidP="000101CC">
      <w:pPr>
        <w:ind w:left="720" w:hanging="720"/>
        <w:rPr>
          <w:lang w:val="en-US"/>
        </w:rPr>
      </w:pPr>
      <w:r w:rsidRPr="000101CC">
        <w:rPr>
          <w:lang w:val="en-US"/>
        </w:rPr>
        <w:t xml:space="preserve">Myton Food Group (2024) </w:t>
      </w:r>
      <w:r w:rsidRPr="000101CC">
        <w:rPr>
          <w:i/>
          <w:iCs/>
          <w:lang w:val="en-US"/>
        </w:rPr>
        <w:t>Sustainability Report 2023–2024</w:t>
      </w:r>
      <w:r w:rsidRPr="000101CC">
        <w:rPr>
          <w:lang w:val="en-US"/>
        </w:rPr>
        <w:t>. Bradford: Myton Food Group.</w:t>
      </w:r>
    </w:p>
    <w:p w14:paraId="3764E7E8" w14:textId="77777777" w:rsidR="000101CC" w:rsidRPr="000101CC" w:rsidRDefault="000101CC" w:rsidP="000101CC">
      <w:pPr>
        <w:ind w:left="720" w:hanging="720"/>
        <w:rPr>
          <w:lang w:val="en-US"/>
        </w:rPr>
      </w:pPr>
      <w:r w:rsidRPr="000101CC">
        <w:rPr>
          <w:lang w:val="en-US"/>
        </w:rPr>
        <w:t xml:space="preserve">Noon (2025) 'Morrisons UAE store | Best price offers', </w:t>
      </w:r>
      <w:r w:rsidRPr="000101CC">
        <w:rPr>
          <w:i/>
          <w:iCs/>
          <w:lang w:val="en-US"/>
        </w:rPr>
        <w:t>Noon.com</w:t>
      </w:r>
      <w:r w:rsidRPr="000101CC">
        <w:rPr>
          <w:lang w:val="en-US"/>
        </w:rPr>
        <w:t xml:space="preserve">, 22 July. Available at: </w:t>
      </w:r>
      <w:hyperlink r:id="rId49" w:tgtFrame="_blank" w:history="1">
        <w:r w:rsidRPr="000101CC">
          <w:rPr>
            <w:rStyle w:val="Hyperlink"/>
            <w:lang w:val="en-US"/>
          </w:rPr>
          <w:t>https://www.noon.com/uae-en/morrisons/</w:t>
        </w:r>
      </w:hyperlink>
    </w:p>
    <w:p w14:paraId="35218E11" w14:textId="77777777" w:rsidR="000101CC" w:rsidRPr="000101CC" w:rsidRDefault="000101CC" w:rsidP="000101CC">
      <w:pPr>
        <w:ind w:left="720" w:hanging="720"/>
        <w:rPr>
          <w:lang w:val="en-US"/>
        </w:rPr>
      </w:pPr>
      <w:r w:rsidRPr="000101CC">
        <w:rPr>
          <w:lang w:val="en-US"/>
        </w:rPr>
        <w:t xml:space="preserve">Parnell, J.A. (2010) 'Strategic clarity, business strategy and performance', </w:t>
      </w:r>
      <w:r w:rsidRPr="000101CC">
        <w:rPr>
          <w:i/>
          <w:iCs/>
          <w:lang w:val="en-US"/>
        </w:rPr>
        <w:t>Journal of Strategy and Management</w:t>
      </w:r>
      <w:r w:rsidRPr="000101CC">
        <w:rPr>
          <w:lang w:val="en-US"/>
        </w:rPr>
        <w:t>, 3(4), pp. 304–324.</w:t>
      </w:r>
    </w:p>
    <w:p w14:paraId="6353F365" w14:textId="77777777" w:rsidR="000101CC" w:rsidRPr="000101CC" w:rsidRDefault="000101CC" w:rsidP="000101CC">
      <w:pPr>
        <w:ind w:left="720" w:hanging="720"/>
        <w:rPr>
          <w:lang w:val="en-US"/>
        </w:rPr>
      </w:pPr>
      <w:r w:rsidRPr="000101CC">
        <w:rPr>
          <w:lang w:val="en-US"/>
        </w:rPr>
        <w:t xml:space="preserve">Porter, M.E. (1985) </w:t>
      </w:r>
      <w:r w:rsidRPr="000101CC">
        <w:rPr>
          <w:i/>
          <w:iCs/>
          <w:lang w:val="en-US"/>
        </w:rPr>
        <w:t>Competitive Advantage: Creating and Sustaining Superior Performance</w:t>
      </w:r>
      <w:r w:rsidRPr="000101CC">
        <w:rPr>
          <w:lang w:val="en-US"/>
        </w:rPr>
        <w:t>. New York: Free Press.</w:t>
      </w:r>
    </w:p>
    <w:p w14:paraId="26AD6600" w14:textId="77777777" w:rsidR="000101CC" w:rsidRPr="000101CC" w:rsidRDefault="000101CC" w:rsidP="000101CC">
      <w:pPr>
        <w:ind w:left="720" w:hanging="720"/>
        <w:rPr>
          <w:lang w:val="en-US"/>
        </w:rPr>
      </w:pPr>
      <w:r w:rsidRPr="000101CC">
        <w:rPr>
          <w:lang w:val="en-US"/>
        </w:rPr>
        <w:t xml:space="preserve">Root, F.R. (1994) </w:t>
      </w:r>
      <w:r w:rsidRPr="000101CC">
        <w:rPr>
          <w:i/>
          <w:iCs/>
          <w:lang w:val="en-US"/>
        </w:rPr>
        <w:t>Entry Strategies for International Markets</w:t>
      </w:r>
      <w:r w:rsidRPr="000101CC">
        <w:rPr>
          <w:lang w:val="en-US"/>
        </w:rPr>
        <w:t>. Lexington, MA: Lexington Books.</w:t>
      </w:r>
    </w:p>
    <w:p w14:paraId="652ECE96" w14:textId="77777777" w:rsidR="000101CC" w:rsidRPr="000101CC" w:rsidRDefault="000101CC" w:rsidP="000101CC">
      <w:pPr>
        <w:ind w:left="720" w:hanging="720"/>
        <w:rPr>
          <w:lang w:val="en-US"/>
        </w:rPr>
      </w:pPr>
      <w:r w:rsidRPr="000101CC">
        <w:rPr>
          <w:lang w:val="en-US"/>
        </w:rPr>
        <w:lastRenderedPageBreak/>
        <w:t xml:space="preserve">Source International FZCO (2026) 'Market entry food brands GCC solutions', </w:t>
      </w:r>
      <w:r w:rsidRPr="000101CC">
        <w:rPr>
          <w:i/>
          <w:iCs/>
          <w:lang w:val="en-US"/>
        </w:rPr>
        <w:t>Source International</w:t>
      </w:r>
      <w:r w:rsidRPr="000101CC">
        <w:rPr>
          <w:lang w:val="en-US"/>
        </w:rPr>
        <w:t xml:space="preserve">, 2 February. Available at: </w:t>
      </w:r>
      <w:hyperlink r:id="rId50" w:tgtFrame="_blank" w:history="1">
        <w:r w:rsidRPr="000101CC">
          <w:rPr>
            <w:rStyle w:val="Hyperlink"/>
            <w:lang w:val="en-US"/>
          </w:rPr>
          <w:t>https://sourceinternational.ae/market-entry-food-brands-gcc-solutions/</w:t>
        </w:r>
      </w:hyperlink>
    </w:p>
    <w:p w14:paraId="4FB8405C" w14:textId="77777777" w:rsidR="000101CC" w:rsidRPr="000101CC" w:rsidRDefault="000101CC" w:rsidP="000101CC">
      <w:pPr>
        <w:ind w:left="720" w:hanging="720"/>
        <w:rPr>
          <w:lang w:val="en-US"/>
        </w:rPr>
      </w:pPr>
      <w:r w:rsidRPr="000101CC">
        <w:rPr>
          <w:lang w:val="en-US"/>
        </w:rPr>
        <w:t xml:space="preserve">Strategy&amp;/PwC (2024) </w:t>
      </w:r>
      <w:r w:rsidRPr="000101CC">
        <w:rPr>
          <w:i/>
          <w:iCs/>
          <w:lang w:val="en-US"/>
        </w:rPr>
        <w:t>Opportunities in the GCC Food Landscape: Strategies for Growth</w:t>
      </w:r>
      <w:r w:rsidRPr="000101CC">
        <w:rPr>
          <w:lang w:val="en-US"/>
        </w:rPr>
        <w:t>. Dubai: Strategy&amp; (PwC network).</w:t>
      </w:r>
    </w:p>
    <w:p w14:paraId="6A89EA87" w14:textId="77777777" w:rsidR="000101CC" w:rsidRPr="000101CC" w:rsidRDefault="000101CC" w:rsidP="000101CC">
      <w:pPr>
        <w:ind w:left="720" w:hanging="720"/>
        <w:rPr>
          <w:lang w:val="en-US"/>
        </w:rPr>
      </w:pPr>
      <w:r w:rsidRPr="000101CC">
        <w:rPr>
          <w:lang w:val="en-US"/>
        </w:rPr>
        <w:t xml:space="preserve">Stratrich Consulting (2024) </w:t>
      </w:r>
      <w:r w:rsidRPr="000101CC">
        <w:rPr>
          <w:i/>
          <w:iCs/>
          <w:lang w:val="en-US"/>
        </w:rPr>
        <w:t>UAE E-Commerce Outlook 2024</w:t>
      </w:r>
      <w:r w:rsidRPr="000101CC">
        <w:rPr>
          <w:lang w:val="en-US"/>
        </w:rPr>
        <w:t>. Dubai: Stratrich Consulting.</w:t>
      </w:r>
    </w:p>
    <w:p w14:paraId="47F72678" w14:textId="77777777" w:rsidR="000101CC" w:rsidRPr="000101CC" w:rsidRDefault="000101CC" w:rsidP="000101CC">
      <w:pPr>
        <w:ind w:left="720" w:hanging="720"/>
        <w:rPr>
          <w:lang w:val="en-US"/>
        </w:rPr>
      </w:pPr>
      <w:r w:rsidRPr="000101CC">
        <w:rPr>
          <w:lang w:val="en-US"/>
        </w:rPr>
        <w:t xml:space="preserve">Supermarket News (2025) ‘Morrisons celebrates Gulf growth with Lulu Retail’, </w:t>
      </w:r>
      <w:r w:rsidRPr="000101CC">
        <w:rPr>
          <w:i/>
          <w:iCs/>
          <w:lang w:val="en-US"/>
        </w:rPr>
        <w:t>Supermarket News</w:t>
      </w:r>
      <w:r w:rsidRPr="000101CC">
        <w:rPr>
          <w:lang w:val="en-US"/>
        </w:rPr>
        <w:t xml:space="preserve">, 12 June. Available at: </w:t>
      </w:r>
      <w:hyperlink r:id="rId51" w:tgtFrame="_blank" w:history="1">
        <w:r w:rsidRPr="000101CC">
          <w:rPr>
            <w:rStyle w:val="Hyperlink"/>
            <w:lang w:val="en-US"/>
          </w:rPr>
          <w:t>https://www.supermarketnews.co.uk/morrisons-celebrates-gulf-growth-with-lulu-retail</w:t>
        </w:r>
      </w:hyperlink>
      <w:r w:rsidRPr="000101CC">
        <w:rPr>
          <w:lang w:val="en-US"/>
        </w:rPr>
        <w:t xml:space="preserve"> (Accessed: 5th July 2026).</w:t>
      </w:r>
    </w:p>
    <w:p w14:paraId="6F8B92DF" w14:textId="77777777" w:rsidR="000101CC" w:rsidRPr="000101CC" w:rsidRDefault="000101CC" w:rsidP="000101CC">
      <w:pPr>
        <w:ind w:left="720" w:hanging="720"/>
        <w:rPr>
          <w:lang w:val="en-US"/>
        </w:rPr>
      </w:pPr>
      <w:r w:rsidRPr="000101CC">
        <w:rPr>
          <w:lang w:val="en-US"/>
        </w:rPr>
        <w:t xml:space="preserve">Trigeorgis, L. (1996) </w:t>
      </w:r>
      <w:r w:rsidRPr="000101CC">
        <w:rPr>
          <w:i/>
          <w:iCs/>
          <w:lang w:val="en-US"/>
        </w:rPr>
        <w:t>Real Options: Managerial Flexibility and Strategy in Resource Allocation</w:t>
      </w:r>
      <w:r w:rsidRPr="000101CC">
        <w:rPr>
          <w:lang w:val="en-US"/>
        </w:rPr>
        <w:t>. Cambridge, MA: MIT Press.</w:t>
      </w:r>
    </w:p>
    <w:p w14:paraId="588E6793" w14:textId="77777777" w:rsidR="000101CC" w:rsidRPr="000101CC" w:rsidRDefault="000101CC" w:rsidP="000101CC">
      <w:pPr>
        <w:ind w:left="720" w:hanging="720"/>
        <w:rPr>
          <w:lang w:val="en-US"/>
        </w:rPr>
      </w:pPr>
      <w:r w:rsidRPr="000101CC">
        <w:rPr>
          <w:lang w:val="en-US"/>
        </w:rPr>
        <w:t xml:space="preserve">UK Government (2017) ‘UK food takes centre stage at world’s largest annual trade show’, </w:t>
      </w:r>
      <w:r w:rsidRPr="000101CC">
        <w:rPr>
          <w:i/>
          <w:iCs/>
          <w:lang w:val="en-US"/>
        </w:rPr>
        <w:t>Department for Environment, Food &amp; Rural Affairs</w:t>
      </w:r>
      <w:r w:rsidRPr="000101CC">
        <w:rPr>
          <w:lang w:val="en-US"/>
        </w:rPr>
        <w:t xml:space="preserve">, 26 February. Available at: </w:t>
      </w:r>
      <w:hyperlink r:id="rId52" w:tgtFrame="_blank" w:history="1">
        <w:r w:rsidRPr="000101CC">
          <w:rPr>
            <w:rStyle w:val="Hyperlink"/>
            <w:lang w:val="en-US"/>
          </w:rPr>
          <w:t>https://www.gov.uk/government/news/uk-food-takes-centre-stage-at-worlds-largest-annual-trade-show</w:t>
        </w:r>
      </w:hyperlink>
      <w:r w:rsidRPr="000101CC">
        <w:rPr>
          <w:lang w:val="en-US"/>
        </w:rPr>
        <w:t xml:space="preserve"> (Accessed: 5th July 2026).</w:t>
      </w:r>
    </w:p>
    <w:p w14:paraId="6A286843" w14:textId="77777777" w:rsidR="000101CC" w:rsidRPr="000101CC" w:rsidRDefault="000101CC" w:rsidP="000101CC">
      <w:pPr>
        <w:ind w:left="720" w:hanging="720"/>
        <w:rPr>
          <w:lang w:val="en-US"/>
        </w:rPr>
      </w:pPr>
      <w:r w:rsidRPr="000101CC">
        <w:rPr>
          <w:lang w:val="en-US"/>
        </w:rPr>
        <w:t xml:space="preserve">UK Government (2026a) 'UK–Gulf Cooperation Council (GCC) trade deal: conclusion summary', </w:t>
      </w:r>
      <w:r w:rsidRPr="000101CC">
        <w:rPr>
          <w:i/>
          <w:iCs/>
          <w:lang w:val="en-US"/>
        </w:rPr>
        <w:t>Department for Business and Trade</w:t>
      </w:r>
      <w:r w:rsidRPr="000101CC">
        <w:rPr>
          <w:lang w:val="en-US"/>
        </w:rPr>
        <w:t xml:space="preserve">, 19 May. Available at: </w:t>
      </w:r>
      <w:hyperlink r:id="rId53" w:tgtFrame="_blank" w:history="1">
        <w:r w:rsidRPr="000101CC">
          <w:rPr>
            <w:rStyle w:val="Hyperlink"/>
            <w:lang w:val="en-US"/>
          </w:rPr>
          <w:t>https://www.gov.uk/government/publications/uk-gulf-cooperation-council-gcc-trade-deal-conclusion-summary</w:t>
        </w:r>
      </w:hyperlink>
    </w:p>
    <w:p w14:paraId="2B34C7D4" w14:textId="77777777" w:rsidR="000101CC" w:rsidRPr="000101CC" w:rsidRDefault="000101CC" w:rsidP="000101CC">
      <w:pPr>
        <w:ind w:left="720" w:hanging="720"/>
        <w:rPr>
          <w:lang w:val="en-US"/>
        </w:rPr>
      </w:pPr>
      <w:r w:rsidRPr="000101CC">
        <w:rPr>
          <w:lang w:val="en-US"/>
        </w:rPr>
        <w:t xml:space="preserve">UK Government (2026b) 'Top benefits of the UK–Gulf Cooperation Council (GCC) FTA', </w:t>
      </w:r>
      <w:r w:rsidRPr="000101CC">
        <w:rPr>
          <w:i/>
          <w:iCs/>
          <w:lang w:val="en-US"/>
        </w:rPr>
        <w:t>Department for Business and Trade</w:t>
      </w:r>
      <w:r w:rsidRPr="000101CC">
        <w:rPr>
          <w:lang w:val="en-US"/>
        </w:rPr>
        <w:t xml:space="preserve">, 19 May. Available at: </w:t>
      </w:r>
      <w:hyperlink r:id="rId54" w:tgtFrame="_blank" w:history="1">
        <w:r w:rsidRPr="000101CC">
          <w:rPr>
            <w:rStyle w:val="Hyperlink"/>
            <w:lang w:val="en-US"/>
          </w:rPr>
          <w:t>https://www.gov.uk/government/news/top-benefits-of-the-uk-gulf-cooperation-council-gcc-fta</w:t>
        </w:r>
      </w:hyperlink>
    </w:p>
    <w:p w14:paraId="22E2E2AA" w14:textId="77777777" w:rsidR="000101CC" w:rsidRPr="000101CC" w:rsidRDefault="000101CC" w:rsidP="000101CC">
      <w:pPr>
        <w:ind w:left="720" w:hanging="720"/>
        <w:rPr>
          <w:lang w:val="en-US"/>
        </w:rPr>
      </w:pPr>
      <w:r w:rsidRPr="000101CC">
        <w:rPr>
          <w:lang w:val="en-US"/>
        </w:rPr>
        <w:t xml:space="preserve">Westo Direct International (2026) ‘British grocery export to GCC countries’, </w:t>
      </w:r>
      <w:r w:rsidRPr="000101CC">
        <w:rPr>
          <w:i/>
          <w:iCs/>
          <w:lang w:val="en-US"/>
        </w:rPr>
        <w:t>LinkedIn</w:t>
      </w:r>
      <w:r w:rsidRPr="000101CC">
        <w:rPr>
          <w:lang w:val="en-US"/>
        </w:rPr>
        <w:t xml:space="preserve">, 16 February. Available at: </w:t>
      </w:r>
      <w:hyperlink r:id="rId55" w:tgtFrame="_blank" w:history="1">
        <w:r w:rsidRPr="000101CC">
          <w:rPr>
            <w:rStyle w:val="Hyperlink"/>
            <w:lang w:val="en-US"/>
          </w:rPr>
          <w:t>https://www.linkedin.com/pulse/british-grocery-export-gcc-countries-westo-direct-international/</w:t>
        </w:r>
      </w:hyperlink>
      <w:r w:rsidRPr="000101CC">
        <w:rPr>
          <w:lang w:val="en-US"/>
        </w:rPr>
        <w:t xml:space="preserve"> (Accessed: 5th July 2026).</w:t>
      </w:r>
    </w:p>
    <w:p w14:paraId="751E54A5" w14:textId="77777777" w:rsidR="000101CC" w:rsidRPr="000101CC" w:rsidRDefault="000101CC" w:rsidP="000101CC">
      <w:pPr>
        <w:ind w:left="720" w:hanging="720"/>
        <w:rPr>
          <w:lang w:val="en-US"/>
        </w:rPr>
      </w:pPr>
      <w:r w:rsidRPr="000101CC">
        <w:rPr>
          <w:lang w:val="en-US"/>
        </w:rPr>
        <w:t xml:space="preserve">WTA Group (2025) 'Opportunities exporting food and drink to the Middle East', </w:t>
      </w:r>
      <w:r w:rsidRPr="000101CC">
        <w:rPr>
          <w:i/>
          <w:iCs/>
          <w:lang w:val="en-US"/>
        </w:rPr>
        <w:t>WTA Group</w:t>
      </w:r>
      <w:r w:rsidRPr="000101CC">
        <w:rPr>
          <w:lang w:val="en-US"/>
        </w:rPr>
        <w:t xml:space="preserve">, 17 February. Available at: </w:t>
      </w:r>
      <w:hyperlink r:id="rId56" w:tgtFrame="_blank" w:history="1">
        <w:r w:rsidRPr="000101CC">
          <w:rPr>
            <w:rStyle w:val="Hyperlink"/>
            <w:lang w:val="en-US"/>
          </w:rPr>
          <w:t>https://www.wtagroup.com/resources-and-insights/blogs/the-unique-opportunities-when-exporting-food-and-drink-to-the-middle-east</w:t>
        </w:r>
      </w:hyperlink>
    </w:p>
    <w:p w14:paraId="27A22352" w14:textId="77777777" w:rsidR="000101CC" w:rsidRPr="000101CC" w:rsidRDefault="000101CC" w:rsidP="000101CC">
      <w:pPr>
        <w:ind w:left="720" w:hanging="720"/>
        <w:rPr>
          <w:lang w:val="en-US"/>
        </w:rPr>
      </w:pPr>
      <w:r w:rsidRPr="000101CC">
        <w:rPr>
          <w:lang w:val="en-US"/>
        </w:rPr>
        <w:lastRenderedPageBreak/>
        <w:t xml:space="preserve">YouGov (2024) </w:t>
      </w:r>
      <w:r w:rsidRPr="000101CC">
        <w:rPr>
          <w:i/>
          <w:iCs/>
          <w:lang w:val="en-US"/>
        </w:rPr>
        <w:t>FMCG Rankings 2024: UAE &amp; KSA</w:t>
      </w:r>
      <w:r w:rsidRPr="000101CC">
        <w:rPr>
          <w:lang w:val="en-US"/>
        </w:rPr>
        <w:t xml:space="preserve">. Dubai: YouGov MENA. Available at: </w:t>
      </w:r>
      <w:hyperlink r:id="rId57" w:tgtFrame="_blank" w:history="1">
        <w:r w:rsidRPr="000101CC">
          <w:rPr>
            <w:rStyle w:val="Hyperlink"/>
            <w:lang w:val="en-US"/>
          </w:rPr>
          <w:t>https://commercial.yougov.com/rs/464-VHH-988/images/YouGov-Global-FMCG-Ranking-2024_1.pdf</w:t>
        </w:r>
      </w:hyperlink>
    </w:p>
    <w:p w14:paraId="21004F14" w14:textId="77777777" w:rsidR="00E12B67" w:rsidRPr="00C2098E" w:rsidRDefault="00E12B67" w:rsidP="00CA47C8">
      <w:pPr>
        <w:ind w:left="720" w:hanging="720"/>
      </w:pPr>
    </w:p>
    <w:sectPr w:rsidR="00E12B67" w:rsidRPr="00C2098E" w:rsidSect="00351735">
      <w:footerReference w:type="default" r:id="rId5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264AD" w14:textId="77777777" w:rsidR="00C14F49" w:rsidRDefault="00C14F49" w:rsidP="00CA62E7">
      <w:pPr>
        <w:spacing w:before="0" w:after="0" w:line="240" w:lineRule="auto"/>
      </w:pPr>
      <w:r>
        <w:separator/>
      </w:r>
    </w:p>
  </w:endnote>
  <w:endnote w:type="continuationSeparator" w:id="0">
    <w:p w14:paraId="63D8220E" w14:textId="77777777" w:rsidR="00C14F49" w:rsidRDefault="00C14F49" w:rsidP="00CA62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7B80E" w14:textId="1B405632" w:rsidR="00351735" w:rsidRDefault="00351735">
    <w:pPr>
      <w:pStyle w:val="Footer"/>
      <w:pBdr>
        <w:top w:val="single" w:sz="4" w:space="1" w:color="D9D9D9" w:themeColor="background1" w:themeShade="D9"/>
      </w:pBdr>
      <w:jc w:val="right"/>
    </w:pPr>
  </w:p>
  <w:p w14:paraId="4AD280D8" w14:textId="77777777" w:rsidR="00351735" w:rsidRDefault="003517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132025"/>
      <w:docPartObj>
        <w:docPartGallery w:val="Page Numbers (Bottom of Page)"/>
        <w:docPartUnique/>
      </w:docPartObj>
    </w:sdtPr>
    <w:sdtEndPr>
      <w:rPr>
        <w:color w:val="7F7F7F" w:themeColor="background1" w:themeShade="7F"/>
        <w:spacing w:val="60"/>
      </w:rPr>
    </w:sdtEndPr>
    <w:sdtContent>
      <w:p w14:paraId="7EBD2D8C" w14:textId="3FAD2F88" w:rsidR="00351735" w:rsidRDefault="003517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427CC2" w14:textId="77777777" w:rsidR="00351735" w:rsidRDefault="00351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A9731" w14:textId="77777777" w:rsidR="00C14F49" w:rsidRDefault="00C14F49" w:rsidP="00CA62E7">
      <w:pPr>
        <w:spacing w:before="0" w:after="0" w:line="240" w:lineRule="auto"/>
      </w:pPr>
      <w:r>
        <w:separator/>
      </w:r>
    </w:p>
  </w:footnote>
  <w:footnote w:type="continuationSeparator" w:id="0">
    <w:p w14:paraId="1BBF4407" w14:textId="77777777" w:rsidR="00C14F49" w:rsidRDefault="00C14F49" w:rsidP="00CA62E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7399"/>
    <w:multiLevelType w:val="hybridMultilevel"/>
    <w:tmpl w:val="2DEE48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4F730C"/>
    <w:multiLevelType w:val="hybridMultilevel"/>
    <w:tmpl w:val="B24CC1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C033ED"/>
    <w:multiLevelType w:val="multilevel"/>
    <w:tmpl w:val="A70E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8F48DA"/>
    <w:multiLevelType w:val="hybridMultilevel"/>
    <w:tmpl w:val="4720FE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0AA0999"/>
    <w:multiLevelType w:val="multilevel"/>
    <w:tmpl w:val="4C9C92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53D7E91"/>
    <w:multiLevelType w:val="hybridMultilevel"/>
    <w:tmpl w:val="A6A449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7E137F5"/>
    <w:multiLevelType w:val="hybridMultilevel"/>
    <w:tmpl w:val="B08C5908"/>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B5F3BAC"/>
    <w:multiLevelType w:val="hybridMultilevel"/>
    <w:tmpl w:val="C57E1D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B635B42"/>
    <w:multiLevelType w:val="multilevel"/>
    <w:tmpl w:val="8F62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FB1FF8"/>
    <w:multiLevelType w:val="hybridMultilevel"/>
    <w:tmpl w:val="284094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EEF622B"/>
    <w:multiLevelType w:val="multilevel"/>
    <w:tmpl w:val="4C9C92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223C0A25"/>
    <w:multiLevelType w:val="hybridMultilevel"/>
    <w:tmpl w:val="C554A8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50160D7"/>
    <w:multiLevelType w:val="hybridMultilevel"/>
    <w:tmpl w:val="E1DAFB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B39634B"/>
    <w:multiLevelType w:val="hybridMultilevel"/>
    <w:tmpl w:val="E23EEF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537388C"/>
    <w:multiLevelType w:val="hybridMultilevel"/>
    <w:tmpl w:val="2DAA45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3DB32DCD"/>
    <w:multiLevelType w:val="multilevel"/>
    <w:tmpl w:val="4C9C92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1BB771D"/>
    <w:multiLevelType w:val="hybridMultilevel"/>
    <w:tmpl w:val="E5F0C6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2DF17A4"/>
    <w:multiLevelType w:val="hybridMultilevel"/>
    <w:tmpl w:val="251604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460572BB"/>
    <w:multiLevelType w:val="hybridMultilevel"/>
    <w:tmpl w:val="7C400518"/>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71D6BC7"/>
    <w:multiLevelType w:val="multilevel"/>
    <w:tmpl w:val="4C9C92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476D69C3"/>
    <w:multiLevelType w:val="hybridMultilevel"/>
    <w:tmpl w:val="61A677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95B6D6B"/>
    <w:multiLevelType w:val="hybridMultilevel"/>
    <w:tmpl w:val="F85C9E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C924507"/>
    <w:multiLevelType w:val="multilevel"/>
    <w:tmpl w:val="4C9C92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4EE72E1E"/>
    <w:multiLevelType w:val="hybridMultilevel"/>
    <w:tmpl w:val="EAD69D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5641483D"/>
    <w:multiLevelType w:val="multilevel"/>
    <w:tmpl w:val="A7723938"/>
    <w:lvl w:ilvl="0">
      <w:start w:val="1"/>
      <w:numFmt w:val="decimal"/>
      <w:lvlText w:val="%1."/>
      <w:lvlJc w:val="left"/>
      <w:pPr>
        <w:ind w:left="360" w:hanging="360"/>
      </w:pPr>
    </w:lvl>
    <w:lvl w:ilvl="1">
      <w:start w:val="6"/>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5AF657B4"/>
    <w:multiLevelType w:val="hybridMultilevel"/>
    <w:tmpl w:val="9474AE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5426FD3"/>
    <w:multiLevelType w:val="hybridMultilevel"/>
    <w:tmpl w:val="7DC6B6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89C02EC"/>
    <w:multiLevelType w:val="hybridMultilevel"/>
    <w:tmpl w:val="95D6C0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6A870539"/>
    <w:multiLevelType w:val="hybridMultilevel"/>
    <w:tmpl w:val="2B22FB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43864A2"/>
    <w:multiLevelType w:val="hybridMultilevel"/>
    <w:tmpl w:val="B2A84A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DDC4558"/>
    <w:multiLevelType w:val="hybridMultilevel"/>
    <w:tmpl w:val="23CA71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F7447FB"/>
    <w:multiLevelType w:val="multilevel"/>
    <w:tmpl w:val="4C9C92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16"/>
  </w:num>
  <w:num w:numId="2">
    <w:abstractNumId w:val="14"/>
  </w:num>
  <w:num w:numId="3">
    <w:abstractNumId w:val="30"/>
  </w:num>
  <w:num w:numId="4">
    <w:abstractNumId w:val="17"/>
  </w:num>
  <w:num w:numId="5">
    <w:abstractNumId w:val="29"/>
  </w:num>
  <w:num w:numId="6">
    <w:abstractNumId w:val="7"/>
  </w:num>
  <w:num w:numId="7">
    <w:abstractNumId w:val="26"/>
  </w:num>
  <w:num w:numId="8">
    <w:abstractNumId w:val="6"/>
  </w:num>
  <w:num w:numId="9">
    <w:abstractNumId w:val="18"/>
  </w:num>
  <w:num w:numId="10">
    <w:abstractNumId w:val="24"/>
  </w:num>
  <w:num w:numId="11">
    <w:abstractNumId w:val="3"/>
  </w:num>
  <w:num w:numId="12">
    <w:abstractNumId w:val="1"/>
  </w:num>
  <w:num w:numId="13">
    <w:abstractNumId w:val="5"/>
  </w:num>
  <w:num w:numId="14">
    <w:abstractNumId w:val="8"/>
  </w:num>
  <w:num w:numId="15">
    <w:abstractNumId w:val="19"/>
  </w:num>
  <w:num w:numId="16">
    <w:abstractNumId w:val="10"/>
  </w:num>
  <w:num w:numId="17">
    <w:abstractNumId w:val="4"/>
  </w:num>
  <w:num w:numId="18">
    <w:abstractNumId w:val="31"/>
  </w:num>
  <w:num w:numId="19">
    <w:abstractNumId w:val="22"/>
  </w:num>
  <w:num w:numId="20">
    <w:abstractNumId w:val="15"/>
  </w:num>
  <w:num w:numId="21">
    <w:abstractNumId w:val="13"/>
  </w:num>
  <w:num w:numId="22">
    <w:abstractNumId w:val="11"/>
  </w:num>
  <w:num w:numId="23">
    <w:abstractNumId w:val="27"/>
  </w:num>
  <w:num w:numId="24">
    <w:abstractNumId w:val="12"/>
  </w:num>
  <w:num w:numId="25">
    <w:abstractNumId w:val="20"/>
  </w:num>
  <w:num w:numId="26">
    <w:abstractNumId w:val="23"/>
  </w:num>
  <w:num w:numId="27">
    <w:abstractNumId w:val="25"/>
  </w:num>
  <w:num w:numId="28">
    <w:abstractNumId w:val="9"/>
  </w:num>
  <w:num w:numId="29">
    <w:abstractNumId w:val="28"/>
  </w:num>
  <w:num w:numId="30">
    <w:abstractNumId w:val="21"/>
  </w:num>
  <w:num w:numId="31">
    <w:abstractNumId w:val="2"/>
  </w:num>
  <w:num w:numId="32">
    <w:abstractNumId w:val="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BB"/>
    <w:rsid w:val="000013CA"/>
    <w:rsid w:val="000101CC"/>
    <w:rsid w:val="00011605"/>
    <w:rsid w:val="0001332B"/>
    <w:rsid w:val="000144E0"/>
    <w:rsid w:val="00017D56"/>
    <w:rsid w:val="000278B7"/>
    <w:rsid w:val="00027CF4"/>
    <w:rsid w:val="0003077C"/>
    <w:rsid w:val="00034BAF"/>
    <w:rsid w:val="00060081"/>
    <w:rsid w:val="00062668"/>
    <w:rsid w:val="00064C05"/>
    <w:rsid w:val="00073BF2"/>
    <w:rsid w:val="00080292"/>
    <w:rsid w:val="000845AD"/>
    <w:rsid w:val="00092E83"/>
    <w:rsid w:val="00096B9C"/>
    <w:rsid w:val="000A15A2"/>
    <w:rsid w:val="000A238C"/>
    <w:rsid w:val="000A53DC"/>
    <w:rsid w:val="000A6D81"/>
    <w:rsid w:val="000A6FCA"/>
    <w:rsid w:val="000B1BC2"/>
    <w:rsid w:val="000C0F8B"/>
    <w:rsid w:val="000C151E"/>
    <w:rsid w:val="000C16AB"/>
    <w:rsid w:val="000C1B95"/>
    <w:rsid w:val="000C6079"/>
    <w:rsid w:val="000D22C4"/>
    <w:rsid w:val="000D3C64"/>
    <w:rsid w:val="000D73C8"/>
    <w:rsid w:val="000E6296"/>
    <w:rsid w:val="000F4D02"/>
    <w:rsid w:val="0010072F"/>
    <w:rsid w:val="00100AC3"/>
    <w:rsid w:val="00102F3C"/>
    <w:rsid w:val="001045BB"/>
    <w:rsid w:val="00110F97"/>
    <w:rsid w:val="00113F50"/>
    <w:rsid w:val="001148FA"/>
    <w:rsid w:val="0012032C"/>
    <w:rsid w:val="00120861"/>
    <w:rsid w:val="001212E0"/>
    <w:rsid w:val="00121FE4"/>
    <w:rsid w:val="00122BDA"/>
    <w:rsid w:val="00124C09"/>
    <w:rsid w:val="00124F15"/>
    <w:rsid w:val="0012519E"/>
    <w:rsid w:val="00131E80"/>
    <w:rsid w:val="00131EA9"/>
    <w:rsid w:val="001320CD"/>
    <w:rsid w:val="00152D6B"/>
    <w:rsid w:val="00153ABA"/>
    <w:rsid w:val="00153CC6"/>
    <w:rsid w:val="0015461C"/>
    <w:rsid w:val="0015536E"/>
    <w:rsid w:val="00155C12"/>
    <w:rsid w:val="00155FA0"/>
    <w:rsid w:val="00156126"/>
    <w:rsid w:val="0016092C"/>
    <w:rsid w:val="00163915"/>
    <w:rsid w:val="0016395B"/>
    <w:rsid w:val="001679F1"/>
    <w:rsid w:val="001708D6"/>
    <w:rsid w:val="001742CF"/>
    <w:rsid w:val="0018318E"/>
    <w:rsid w:val="00185AAE"/>
    <w:rsid w:val="00185D19"/>
    <w:rsid w:val="00186ABF"/>
    <w:rsid w:val="00187AC5"/>
    <w:rsid w:val="001927D7"/>
    <w:rsid w:val="00193394"/>
    <w:rsid w:val="0019625E"/>
    <w:rsid w:val="0019643B"/>
    <w:rsid w:val="00197D62"/>
    <w:rsid w:val="001B08EC"/>
    <w:rsid w:val="001B1D96"/>
    <w:rsid w:val="001C4CB8"/>
    <w:rsid w:val="001C57B0"/>
    <w:rsid w:val="001D383B"/>
    <w:rsid w:val="001D46E1"/>
    <w:rsid w:val="001E323F"/>
    <w:rsid w:val="001E7519"/>
    <w:rsid w:val="001F3CC7"/>
    <w:rsid w:val="00202910"/>
    <w:rsid w:val="00203548"/>
    <w:rsid w:val="00210B35"/>
    <w:rsid w:val="0022256E"/>
    <w:rsid w:val="002251EA"/>
    <w:rsid w:val="0022524B"/>
    <w:rsid w:val="00227DB5"/>
    <w:rsid w:val="00231C0F"/>
    <w:rsid w:val="00232806"/>
    <w:rsid w:val="00236322"/>
    <w:rsid w:val="00236EB0"/>
    <w:rsid w:val="00242F78"/>
    <w:rsid w:val="00252C04"/>
    <w:rsid w:val="00252D7F"/>
    <w:rsid w:val="00252EF1"/>
    <w:rsid w:val="00270196"/>
    <w:rsid w:val="00271333"/>
    <w:rsid w:val="002720C6"/>
    <w:rsid w:val="002734C9"/>
    <w:rsid w:val="0028436B"/>
    <w:rsid w:val="00293325"/>
    <w:rsid w:val="00294CAF"/>
    <w:rsid w:val="00295ED8"/>
    <w:rsid w:val="002B45EF"/>
    <w:rsid w:val="002B7827"/>
    <w:rsid w:val="002C0B55"/>
    <w:rsid w:val="002C60B1"/>
    <w:rsid w:val="002C7FFA"/>
    <w:rsid w:val="002D20FA"/>
    <w:rsid w:val="002D73E0"/>
    <w:rsid w:val="002E1B18"/>
    <w:rsid w:val="002E5F84"/>
    <w:rsid w:val="002F5645"/>
    <w:rsid w:val="002F5983"/>
    <w:rsid w:val="002F5BAE"/>
    <w:rsid w:val="00306829"/>
    <w:rsid w:val="00306E78"/>
    <w:rsid w:val="003155DB"/>
    <w:rsid w:val="0032015F"/>
    <w:rsid w:val="003209CC"/>
    <w:rsid w:val="00321993"/>
    <w:rsid w:val="003304F1"/>
    <w:rsid w:val="00337210"/>
    <w:rsid w:val="003412A2"/>
    <w:rsid w:val="003437EB"/>
    <w:rsid w:val="00347863"/>
    <w:rsid w:val="00351735"/>
    <w:rsid w:val="00352BE3"/>
    <w:rsid w:val="0036286C"/>
    <w:rsid w:val="00372E67"/>
    <w:rsid w:val="003736B1"/>
    <w:rsid w:val="00374EF3"/>
    <w:rsid w:val="00377AC3"/>
    <w:rsid w:val="003854F5"/>
    <w:rsid w:val="00390E25"/>
    <w:rsid w:val="003919DE"/>
    <w:rsid w:val="00395088"/>
    <w:rsid w:val="003A3707"/>
    <w:rsid w:val="003A3E6A"/>
    <w:rsid w:val="003A4799"/>
    <w:rsid w:val="003A7C39"/>
    <w:rsid w:val="003B1600"/>
    <w:rsid w:val="003B579E"/>
    <w:rsid w:val="003B75AD"/>
    <w:rsid w:val="003C29B6"/>
    <w:rsid w:val="003C5D8E"/>
    <w:rsid w:val="003E42B2"/>
    <w:rsid w:val="003E540A"/>
    <w:rsid w:val="003E7740"/>
    <w:rsid w:val="003F5820"/>
    <w:rsid w:val="003F5E57"/>
    <w:rsid w:val="003F60DD"/>
    <w:rsid w:val="0040124F"/>
    <w:rsid w:val="0040167F"/>
    <w:rsid w:val="004044A2"/>
    <w:rsid w:val="004240F6"/>
    <w:rsid w:val="004315E1"/>
    <w:rsid w:val="0043250B"/>
    <w:rsid w:val="004329C4"/>
    <w:rsid w:val="00433719"/>
    <w:rsid w:val="004355EB"/>
    <w:rsid w:val="00436DF1"/>
    <w:rsid w:val="00442C3C"/>
    <w:rsid w:val="00443511"/>
    <w:rsid w:val="004503CD"/>
    <w:rsid w:val="004516CB"/>
    <w:rsid w:val="00457AA8"/>
    <w:rsid w:val="00463F0F"/>
    <w:rsid w:val="00465084"/>
    <w:rsid w:val="004654CD"/>
    <w:rsid w:val="004730AD"/>
    <w:rsid w:val="00473A72"/>
    <w:rsid w:val="00484220"/>
    <w:rsid w:val="00490CBA"/>
    <w:rsid w:val="00492D16"/>
    <w:rsid w:val="00493D00"/>
    <w:rsid w:val="004B6933"/>
    <w:rsid w:val="004B6ABB"/>
    <w:rsid w:val="004C21D6"/>
    <w:rsid w:val="004C4090"/>
    <w:rsid w:val="004C7E58"/>
    <w:rsid w:val="004D2578"/>
    <w:rsid w:val="004D4986"/>
    <w:rsid w:val="004D6194"/>
    <w:rsid w:val="004D6ED1"/>
    <w:rsid w:val="004E68AC"/>
    <w:rsid w:val="00503B67"/>
    <w:rsid w:val="00507FBC"/>
    <w:rsid w:val="00511705"/>
    <w:rsid w:val="00541764"/>
    <w:rsid w:val="005429BC"/>
    <w:rsid w:val="005437CE"/>
    <w:rsid w:val="00544961"/>
    <w:rsid w:val="00552499"/>
    <w:rsid w:val="005525D2"/>
    <w:rsid w:val="0056141A"/>
    <w:rsid w:val="00566AB7"/>
    <w:rsid w:val="005730D0"/>
    <w:rsid w:val="005766C7"/>
    <w:rsid w:val="00576DF5"/>
    <w:rsid w:val="00580CB7"/>
    <w:rsid w:val="00590EC6"/>
    <w:rsid w:val="00591AA4"/>
    <w:rsid w:val="005923CB"/>
    <w:rsid w:val="00593651"/>
    <w:rsid w:val="005944B7"/>
    <w:rsid w:val="00594F08"/>
    <w:rsid w:val="00597BAF"/>
    <w:rsid w:val="005B1D53"/>
    <w:rsid w:val="005B20F9"/>
    <w:rsid w:val="005B5BFF"/>
    <w:rsid w:val="005C0494"/>
    <w:rsid w:val="005C53AA"/>
    <w:rsid w:val="005C570F"/>
    <w:rsid w:val="005C6899"/>
    <w:rsid w:val="005D3B69"/>
    <w:rsid w:val="005D44B3"/>
    <w:rsid w:val="005D44CF"/>
    <w:rsid w:val="005D5381"/>
    <w:rsid w:val="005D59F2"/>
    <w:rsid w:val="005E5823"/>
    <w:rsid w:val="005F1B0A"/>
    <w:rsid w:val="005F43F2"/>
    <w:rsid w:val="005F6FC5"/>
    <w:rsid w:val="006022E5"/>
    <w:rsid w:val="00604CAD"/>
    <w:rsid w:val="006065B4"/>
    <w:rsid w:val="0060710C"/>
    <w:rsid w:val="00607E77"/>
    <w:rsid w:val="00611E80"/>
    <w:rsid w:val="006156A0"/>
    <w:rsid w:val="0061577E"/>
    <w:rsid w:val="00621407"/>
    <w:rsid w:val="00622494"/>
    <w:rsid w:val="00634E68"/>
    <w:rsid w:val="00637CCE"/>
    <w:rsid w:val="0064409C"/>
    <w:rsid w:val="00646C4E"/>
    <w:rsid w:val="00647421"/>
    <w:rsid w:val="00651E7B"/>
    <w:rsid w:val="00654649"/>
    <w:rsid w:val="00654A84"/>
    <w:rsid w:val="0066032C"/>
    <w:rsid w:val="00660698"/>
    <w:rsid w:val="00665988"/>
    <w:rsid w:val="00667F6F"/>
    <w:rsid w:val="00671805"/>
    <w:rsid w:val="006828A2"/>
    <w:rsid w:val="00693972"/>
    <w:rsid w:val="006A03D6"/>
    <w:rsid w:val="006A25EB"/>
    <w:rsid w:val="006A354B"/>
    <w:rsid w:val="006A3F14"/>
    <w:rsid w:val="006A469A"/>
    <w:rsid w:val="006B79A6"/>
    <w:rsid w:val="006C0FF7"/>
    <w:rsid w:val="006C32EE"/>
    <w:rsid w:val="006C3BD4"/>
    <w:rsid w:val="006C57CA"/>
    <w:rsid w:val="006C678C"/>
    <w:rsid w:val="006D719F"/>
    <w:rsid w:val="006E0CA8"/>
    <w:rsid w:val="006E267B"/>
    <w:rsid w:val="006E2DAD"/>
    <w:rsid w:val="006F63F1"/>
    <w:rsid w:val="006F7419"/>
    <w:rsid w:val="007006A2"/>
    <w:rsid w:val="00701F4E"/>
    <w:rsid w:val="007030B3"/>
    <w:rsid w:val="0070478C"/>
    <w:rsid w:val="0072526F"/>
    <w:rsid w:val="00727A9E"/>
    <w:rsid w:val="007369EB"/>
    <w:rsid w:val="0073774A"/>
    <w:rsid w:val="00743025"/>
    <w:rsid w:val="007473C0"/>
    <w:rsid w:val="00750EB5"/>
    <w:rsid w:val="00755C3F"/>
    <w:rsid w:val="00761FA6"/>
    <w:rsid w:val="00772B29"/>
    <w:rsid w:val="00777ABA"/>
    <w:rsid w:val="00780ABA"/>
    <w:rsid w:val="00791FC1"/>
    <w:rsid w:val="00792FE3"/>
    <w:rsid w:val="007957D6"/>
    <w:rsid w:val="007A0568"/>
    <w:rsid w:val="007B23EE"/>
    <w:rsid w:val="007B72D5"/>
    <w:rsid w:val="007C6801"/>
    <w:rsid w:val="007D25F4"/>
    <w:rsid w:val="007D5E1A"/>
    <w:rsid w:val="007E41D8"/>
    <w:rsid w:val="007E5A5A"/>
    <w:rsid w:val="007F2130"/>
    <w:rsid w:val="00802BB3"/>
    <w:rsid w:val="008035FA"/>
    <w:rsid w:val="00803830"/>
    <w:rsid w:val="00805FEA"/>
    <w:rsid w:val="00823067"/>
    <w:rsid w:val="00841A7F"/>
    <w:rsid w:val="00842630"/>
    <w:rsid w:val="00850575"/>
    <w:rsid w:val="00854465"/>
    <w:rsid w:val="0086662F"/>
    <w:rsid w:val="0086719F"/>
    <w:rsid w:val="00875664"/>
    <w:rsid w:val="00875D0E"/>
    <w:rsid w:val="00880F51"/>
    <w:rsid w:val="00881F1E"/>
    <w:rsid w:val="0088348C"/>
    <w:rsid w:val="0089206F"/>
    <w:rsid w:val="00892129"/>
    <w:rsid w:val="0089463E"/>
    <w:rsid w:val="008A2248"/>
    <w:rsid w:val="008A3BAA"/>
    <w:rsid w:val="008A4B03"/>
    <w:rsid w:val="008B0C16"/>
    <w:rsid w:val="008B23B6"/>
    <w:rsid w:val="008D08DF"/>
    <w:rsid w:val="008D394F"/>
    <w:rsid w:val="008D77E8"/>
    <w:rsid w:val="008E7088"/>
    <w:rsid w:val="008F193E"/>
    <w:rsid w:val="008F2F4A"/>
    <w:rsid w:val="008F720E"/>
    <w:rsid w:val="00901BC9"/>
    <w:rsid w:val="00906326"/>
    <w:rsid w:val="00911239"/>
    <w:rsid w:val="009172C3"/>
    <w:rsid w:val="00926A9C"/>
    <w:rsid w:val="00926F12"/>
    <w:rsid w:val="00927409"/>
    <w:rsid w:val="00934AA6"/>
    <w:rsid w:val="00936493"/>
    <w:rsid w:val="0093649B"/>
    <w:rsid w:val="009420EF"/>
    <w:rsid w:val="009454A1"/>
    <w:rsid w:val="009503AE"/>
    <w:rsid w:val="00963387"/>
    <w:rsid w:val="00963766"/>
    <w:rsid w:val="00966CBE"/>
    <w:rsid w:val="00976324"/>
    <w:rsid w:val="0098070F"/>
    <w:rsid w:val="00981207"/>
    <w:rsid w:val="00984CE1"/>
    <w:rsid w:val="0098799D"/>
    <w:rsid w:val="00987C45"/>
    <w:rsid w:val="00990082"/>
    <w:rsid w:val="00994A1A"/>
    <w:rsid w:val="009A171E"/>
    <w:rsid w:val="009A47F9"/>
    <w:rsid w:val="009B2B8C"/>
    <w:rsid w:val="009B379A"/>
    <w:rsid w:val="009B7CE7"/>
    <w:rsid w:val="009D213F"/>
    <w:rsid w:val="009D4145"/>
    <w:rsid w:val="009E1BDA"/>
    <w:rsid w:val="009E3E90"/>
    <w:rsid w:val="009E5214"/>
    <w:rsid w:val="009E6F2A"/>
    <w:rsid w:val="009F3A06"/>
    <w:rsid w:val="009F4701"/>
    <w:rsid w:val="009F6C60"/>
    <w:rsid w:val="009F7661"/>
    <w:rsid w:val="009F773D"/>
    <w:rsid w:val="00A06331"/>
    <w:rsid w:val="00A12B0D"/>
    <w:rsid w:val="00A161CC"/>
    <w:rsid w:val="00A20A2B"/>
    <w:rsid w:val="00A235DB"/>
    <w:rsid w:val="00A261D3"/>
    <w:rsid w:val="00A34BA4"/>
    <w:rsid w:val="00A35F1A"/>
    <w:rsid w:val="00A520CE"/>
    <w:rsid w:val="00A54D94"/>
    <w:rsid w:val="00A56C5D"/>
    <w:rsid w:val="00A57C93"/>
    <w:rsid w:val="00A62348"/>
    <w:rsid w:val="00A72083"/>
    <w:rsid w:val="00A734E2"/>
    <w:rsid w:val="00A76410"/>
    <w:rsid w:val="00A769AE"/>
    <w:rsid w:val="00A77157"/>
    <w:rsid w:val="00A838FB"/>
    <w:rsid w:val="00A85E47"/>
    <w:rsid w:val="00A86A95"/>
    <w:rsid w:val="00A942E6"/>
    <w:rsid w:val="00A9649F"/>
    <w:rsid w:val="00A9723C"/>
    <w:rsid w:val="00AA00BC"/>
    <w:rsid w:val="00AA0295"/>
    <w:rsid w:val="00AA085B"/>
    <w:rsid w:val="00AB044E"/>
    <w:rsid w:val="00AB3520"/>
    <w:rsid w:val="00AB4947"/>
    <w:rsid w:val="00AC0FFA"/>
    <w:rsid w:val="00AC1458"/>
    <w:rsid w:val="00AC27C4"/>
    <w:rsid w:val="00AC4191"/>
    <w:rsid w:val="00AC6DDC"/>
    <w:rsid w:val="00AC7E62"/>
    <w:rsid w:val="00AD0107"/>
    <w:rsid w:val="00AD734B"/>
    <w:rsid w:val="00AF2B3B"/>
    <w:rsid w:val="00AF5AF4"/>
    <w:rsid w:val="00AF663D"/>
    <w:rsid w:val="00AF760D"/>
    <w:rsid w:val="00B15414"/>
    <w:rsid w:val="00B159CA"/>
    <w:rsid w:val="00B25B09"/>
    <w:rsid w:val="00B2680B"/>
    <w:rsid w:val="00B37613"/>
    <w:rsid w:val="00B404BC"/>
    <w:rsid w:val="00B41FF1"/>
    <w:rsid w:val="00B42C7F"/>
    <w:rsid w:val="00B440EA"/>
    <w:rsid w:val="00B459EC"/>
    <w:rsid w:val="00B50B16"/>
    <w:rsid w:val="00B63429"/>
    <w:rsid w:val="00B676CD"/>
    <w:rsid w:val="00B70A6B"/>
    <w:rsid w:val="00B75437"/>
    <w:rsid w:val="00B7687C"/>
    <w:rsid w:val="00B77771"/>
    <w:rsid w:val="00B8640F"/>
    <w:rsid w:val="00B900CD"/>
    <w:rsid w:val="00B90D78"/>
    <w:rsid w:val="00B94C9A"/>
    <w:rsid w:val="00BB3B26"/>
    <w:rsid w:val="00BC41DC"/>
    <w:rsid w:val="00BC7DBA"/>
    <w:rsid w:val="00BD2454"/>
    <w:rsid w:val="00BD3A8D"/>
    <w:rsid w:val="00BD7C27"/>
    <w:rsid w:val="00BE2BD6"/>
    <w:rsid w:val="00BE3277"/>
    <w:rsid w:val="00BF611B"/>
    <w:rsid w:val="00C111DC"/>
    <w:rsid w:val="00C115DF"/>
    <w:rsid w:val="00C11FCA"/>
    <w:rsid w:val="00C12726"/>
    <w:rsid w:val="00C147F6"/>
    <w:rsid w:val="00C14F49"/>
    <w:rsid w:val="00C150F0"/>
    <w:rsid w:val="00C2098E"/>
    <w:rsid w:val="00C33A01"/>
    <w:rsid w:val="00C3441E"/>
    <w:rsid w:val="00C37173"/>
    <w:rsid w:val="00C4553F"/>
    <w:rsid w:val="00C45DC6"/>
    <w:rsid w:val="00C4684E"/>
    <w:rsid w:val="00C51968"/>
    <w:rsid w:val="00C558B5"/>
    <w:rsid w:val="00C60626"/>
    <w:rsid w:val="00C61477"/>
    <w:rsid w:val="00C66DCF"/>
    <w:rsid w:val="00C677E0"/>
    <w:rsid w:val="00C764E6"/>
    <w:rsid w:val="00C83350"/>
    <w:rsid w:val="00C839E1"/>
    <w:rsid w:val="00C86192"/>
    <w:rsid w:val="00C868EA"/>
    <w:rsid w:val="00C91911"/>
    <w:rsid w:val="00C948FB"/>
    <w:rsid w:val="00CA2D2B"/>
    <w:rsid w:val="00CA3873"/>
    <w:rsid w:val="00CA47C8"/>
    <w:rsid w:val="00CA616E"/>
    <w:rsid w:val="00CA62E7"/>
    <w:rsid w:val="00CB28A7"/>
    <w:rsid w:val="00CB74A6"/>
    <w:rsid w:val="00CC4EF1"/>
    <w:rsid w:val="00CE1375"/>
    <w:rsid w:val="00CE2353"/>
    <w:rsid w:val="00CE29FC"/>
    <w:rsid w:val="00CE4773"/>
    <w:rsid w:val="00CE54A6"/>
    <w:rsid w:val="00CF02AE"/>
    <w:rsid w:val="00CF48DD"/>
    <w:rsid w:val="00CF566E"/>
    <w:rsid w:val="00D0146F"/>
    <w:rsid w:val="00D017FC"/>
    <w:rsid w:val="00D12910"/>
    <w:rsid w:val="00D12CE5"/>
    <w:rsid w:val="00D1400A"/>
    <w:rsid w:val="00D17C97"/>
    <w:rsid w:val="00D21868"/>
    <w:rsid w:val="00D234A3"/>
    <w:rsid w:val="00D26D3A"/>
    <w:rsid w:val="00D322F0"/>
    <w:rsid w:val="00D338CC"/>
    <w:rsid w:val="00D3627D"/>
    <w:rsid w:val="00D41ABC"/>
    <w:rsid w:val="00D41ED6"/>
    <w:rsid w:val="00D4500C"/>
    <w:rsid w:val="00D45720"/>
    <w:rsid w:val="00D47682"/>
    <w:rsid w:val="00D47733"/>
    <w:rsid w:val="00D47784"/>
    <w:rsid w:val="00D5083B"/>
    <w:rsid w:val="00D563E7"/>
    <w:rsid w:val="00D570A7"/>
    <w:rsid w:val="00D63442"/>
    <w:rsid w:val="00D66A8A"/>
    <w:rsid w:val="00D66E2E"/>
    <w:rsid w:val="00D7181A"/>
    <w:rsid w:val="00D82BF8"/>
    <w:rsid w:val="00D83877"/>
    <w:rsid w:val="00D84DE0"/>
    <w:rsid w:val="00D92601"/>
    <w:rsid w:val="00D931F2"/>
    <w:rsid w:val="00DA2106"/>
    <w:rsid w:val="00DA27AC"/>
    <w:rsid w:val="00DA2A06"/>
    <w:rsid w:val="00DA4C94"/>
    <w:rsid w:val="00DA6197"/>
    <w:rsid w:val="00DB4FF4"/>
    <w:rsid w:val="00DB7BD2"/>
    <w:rsid w:val="00DC1D0E"/>
    <w:rsid w:val="00DC2964"/>
    <w:rsid w:val="00DC2AEB"/>
    <w:rsid w:val="00DC5B67"/>
    <w:rsid w:val="00DD1D6C"/>
    <w:rsid w:val="00DD3F3F"/>
    <w:rsid w:val="00DD45F6"/>
    <w:rsid w:val="00DD525E"/>
    <w:rsid w:val="00DD644A"/>
    <w:rsid w:val="00DE12C1"/>
    <w:rsid w:val="00DE5C01"/>
    <w:rsid w:val="00DE6859"/>
    <w:rsid w:val="00DE6F02"/>
    <w:rsid w:val="00DF2720"/>
    <w:rsid w:val="00DF3E9A"/>
    <w:rsid w:val="00DF4814"/>
    <w:rsid w:val="00DF548D"/>
    <w:rsid w:val="00E03C04"/>
    <w:rsid w:val="00E11D48"/>
    <w:rsid w:val="00E12B67"/>
    <w:rsid w:val="00E22692"/>
    <w:rsid w:val="00E24968"/>
    <w:rsid w:val="00E62CD1"/>
    <w:rsid w:val="00E6430A"/>
    <w:rsid w:val="00E7027D"/>
    <w:rsid w:val="00E838E2"/>
    <w:rsid w:val="00E840BD"/>
    <w:rsid w:val="00E8590E"/>
    <w:rsid w:val="00E86BE9"/>
    <w:rsid w:val="00E939D5"/>
    <w:rsid w:val="00E96CE6"/>
    <w:rsid w:val="00E96D55"/>
    <w:rsid w:val="00E972CA"/>
    <w:rsid w:val="00E97572"/>
    <w:rsid w:val="00EA18A5"/>
    <w:rsid w:val="00EA2DF2"/>
    <w:rsid w:val="00EB3075"/>
    <w:rsid w:val="00EB4A4C"/>
    <w:rsid w:val="00EB6667"/>
    <w:rsid w:val="00EC1608"/>
    <w:rsid w:val="00EC65E5"/>
    <w:rsid w:val="00ED2446"/>
    <w:rsid w:val="00EE3B76"/>
    <w:rsid w:val="00EE6330"/>
    <w:rsid w:val="00EE7255"/>
    <w:rsid w:val="00EE748C"/>
    <w:rsid w:val="00EE7B8A"/>
    <w:rsid w:val="00EE7FF9"/>
    <w:rsid w:val="00EF0D6A"/>
    <w:rsid w:val="00EF2577"/>
    <w:rsid w:val="00EF269A"/>
    <w:rsid w:val="00F00C9B"/>
    <w:rsid w:val="00F020DA"/>
    <w:rsid w:val="00F0211C"/>
    <w:rsid w:val="00F032C2"/>
    <w:rsid w:val="00F07EEE"/>
    <w:rsid w:val="00F17AFA"/>
    <w:rsid w:val="00F225CB"/>
    <w:rsid w:val="00F22AEF"/>
    <w:rsid w:val="00F246CA"/>
    <w:rsid w:val="00F44328"/>
    <w:rsid w:val="00F545F6"/>
    <w:rsid w:val="00F55D1E"/>
    <w:rsid w:val="00F56B5F"/>
    <w:rsid w:val="00F6139C"/>
    <w:rsid w:val="00F62833"/>
    <w:rsid w:val="00F629F5"/>
    <w:rsid w:val="00F63AD2"/>
    <w:rsid w:val="00F70113"/>
    <w:rsid w:val="00F73E32"/>
    <w:rsid w:val="00F75CEC"/>
    <w:rsid w:val="00F76898"/>
    <w:rsid w:val="00F816AC"/>
    <w:rsid w:val="00F9083A"/>
    <w:rsid w:val="00F93493"/>
    <w:rsid w:val="00F96A12"/>
    <w:rsid w:val="00FA5CD3"/>
    <w:rsid w:val="00FA6DC8"/>
    <w:rsid w:val="00FB3840"/>
    <w:rsid w:val="00FB43DA"/>
    <w:rsid w:val="00FD1D68"/>
    <w:rsid w:val="00FD7BEA"/>
    <w:rsid w:val="00FE1BAA"/>
    <w:rsid w:val="00FE3555"/>
    <w:rsid w:val="00FE7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89D9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A1A"/>
    <w:rPr>
      <w:rFonts w:ascii="Times New Roman" w:hAnsi="Times New Roman"/>
      <w:sz w:val="24"/>
    </w:rPr>
  </w:style>
  <w:style w:type="paragraph" w:styleId="Heading1">
    <w:name w:val="heading 1"/>
    <w:basedOn w:val="Normal"/>
    <w:next w:val="Normal"/>
    <w:link w:val="Heading1Char"/>
    <w:autoRedefine/>
    <w:uiPriority w:val="9"/>
    <w:qFormat/>
    <w:rsid w:val="00C558B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590EC6"/>
    <w:pPr>
      <w:keepNext/>
      <w:keepLines/>
      <w:spacing w:before="160" w:after="80"/>
      <w:outlineLvl w:val="1"/>
    </w:pPr>
    <w:rPr>
      <w:rFonts w:eastAsiaTheme="majorEastAsia" w:cstheme="majorBidi"/>
      <w:b/>
      <w:bCs/>
      <w:sz w:val="28"/>
      <w:szCs w:val="32"/>
    </w:rPr>
  </w:style>
  <w:style w:type="paragraph" w:styleId="Heading3">
    <w:name w:val="heading 3"/>
    <w:basedOn w:val="Normal"/>
    <w:next w:val="Normal"/>
    <w:link w:val="Heading3Char"/>
    <w:autoRedefine/>
    <w:uiPriority w:val="9"/>
    <w:unhideWhenUsed/>
    <w:qFormat/>
    <w:rsid w:val="00963766"/>
    <w:pPr>
      <w:keepNext/>
      <w:keepLines/>
      <w:spacing w:before="40" w:after="2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F816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53AB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0EC6"/>
    <w:rPr>
      <w:rFonts w:ascii="Times New Roman" w:eastAsiaTheme="majorEastAsia" w:hAnsi="Times New Roman" w:cstheme="majorBidi"/>
      <w:b/>
      <w:bCs/>
      <w:sz w:val="28"/>
      <w:szCs w:val="32"/>
    </w:rPr>
  </w:style>
  <w:style w:type="character" w:customStyle="1" w:styleId="Heading1Char">
    <w:name w:val="Heading 1 Char"/>
    <w:basedOn w:val="DefaultParagraphFont"/>
    <w:link w:val="Heading1"/>
    <w:uiPriority w:val="9"/>
    <w:rsid w:val="00C558B5"/>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963766"/>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1045BB"/>
    <w:rPr>
      <w:color w:val="0563C1" w:themeColor="hyperlink"/>
      <w:u w:val="single"/>
    </w:rPr>
  </w:style>
  <w:style w:type="character" w:styleId="UnresolvedMention">
    <w:name w:val="Unresolved Mention"/>
    <w:basedOn w:val="DefaultParagraphFont"/>
    <w:uiPriority w:val="99"/>
    <w:semiHidden/>
    <w:unhideWhenUsed/>
    <w:rsid w:val="001045BB"/>
    <w:rPr>
      <w:color w:val="605E5C"/>
      <w:shd w:val="clear" w:color="auto" w:fill="E1DFDD"/>
    </w:rPr>
  </w:style>
  <w:style w:type="paragraph" w:customStyle="1" w:styleId="my-2">
    <w:name w:val="my-2"/>
    <w:basedOn w:val="Normal"/>
    <w:rsid w:val="006C678C"/>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6C678C"/>
    <w:rPr>
      <w:i/>
      <w:iCs/>
    </w:rPr>
  </w:style>
  <w:style w:type="character" w:customStyle="1" w:styleId="citation">
    <w:name w:val="citation"/>
    <w:basedOn w:val="DefaultParagraphFont"/>
    <w:rsid w:val="006C678C"/>
  </w:style>
  <w:style w:type="character" w:customStyle="1" w:styleId="inline-block">
    <w:name w:val="inline-block"/>
    <w:basedOn w:val="DefaultParagraphFont"/>
    <w:rsid w:val="006C678C"/>
  </w:style>
  <w:style w:type="character" w:customStyle="1" w:styleId="opacity-50">
    <w:name w:val="opacity-50"/>
    <w:basedOn w:val="DefaultParagraphFont"/>
    <w:rsid w:val="006C678C"/>
  </w:style>
  <w:style w:type="paragraph" w:styleId="ListParagraph">
    <w:name w:val="List Paragraph"/>
    <w:basedOn w:val="Normal"/>
    <w:uiPriority w:val="34"/>
    <w:qFormat/>
    <w:rsid w:val="00F96A12"/>
    <w:pPr>
      <w:ind w:left="720"/>
      <w:contextualSpacing/>
    </w:pPr>
  </w:style>
  <w:style w:type="paragraph" w:styleId="Caption">
    <w:name w:val="caption"/>
    <w:basedOn w:val="Normal"/>
    <w:next w:val="Normal"/>
    <w:uiPriority w:val="35"/>
    <w:unhideWhenUsed/>
    <w:qFormat/>
    <w:rsid w:val="00F00C9B"/>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CA62E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A62E7"/>
    <w:rPr>
      <w:rFonts w:ascii="Times New Roman" w:hAnsi="Times New Roman"/>
      <w:sz w:val="24"/>
    </w:rPr>
  </w:style>
  <w:style w:type="paragraph" w:styleId="Footer">
    <w:name w:val="footer"/>
    <w:basedOn w:val="Normal"/>
    <w:link w:val="FooterChar"/>
    <w:uiPriority w:val="99"/>
    <w:unhideWhenUsed/>
    <w:rsid w:val="00CA62E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A62E7"/>
    <w:rPr>
      <w:rFonts w:ascii="Times New Roman" w:hAnsi="Times New Roman"/>
      <w:sz w:val="24"/>
    </w:rPr>
  </w:style>
  <w:style w:type="character" w:customStyle="1" w:styleId="Heading4Char">
    <w:name w:val="Heading 4 Char"/>
    <w:basedOn w:val="DefaultParagraphFont"/>
    <w:link w:val="Heading4"/>
    <w:uiPriority w:val="9"/>
    <w:rsid w:val="00F816AC"/>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CF02A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F02AE"/>
    <w:pPr>
      <w:spacing w:after="100"/>
    </w:pPr>
  </w:style>
  <w:style w:type="paragraph" w:styleId="TOC2">
    <w:name w:val="toc 2"/>
    <w:basedOn w:val="Normal"/>
    <w:next w:val="Normal"/>
    <w:autoRedefine/>
    <w:uiPriority w:val="39"/>
    <w:unhideWhenUsed/>
    <w:rsid w:val="00CF02AE"/>
    <w:pPr>
      <w:spacing w:after="100"/>
      <w:ind w:left="240"/>
    </w:pPr>
  </w:style>
  <w:style w:type="paragraph" w:styleId="TOC3">
    <w:name w:val="toc 3"/>
    <w:basedOn w:val="Normal"/>
    <w:next w:val="Normal"/>
    <w:autoRedefine/>
    <w:uiPriority w:val="39"/>
    <w:unhideWhenUsed/>
    <w:rsid w:val="00CF02AE"/>
    <w:pPr>
      <w:spacing w:after="100"/>
      <w:ind w:left="480"/>
    </w:pPr>
  </w:style>
  <w:style w:type="paragraph" w:styleId="TOC4">
    <w:name w:val="toc 4"/>
    <w:basedOn w:val="Normal"/>
    <w:next w:val="Normal"/>
    <w:autoRedefine/>
    <w:uiPriority w:val="39"/>
    <w:unhideWhenUsed/>
    <w:rsid w:val="009E1BDA"/>
    <w:pPr>
      <w:spacing w:before="0" w:after="100" w:line="259" w:lineRule="auto"/>
      <w:ind w:left="660"/>
      <w:jc w:val="left"/>
    </w:pPr>
    <w:rPr>
      <w:rFonts w:asciiTheme="minorHAnsi" w:eastAsiaTheme="minorEastAsia" w:hAnsiTheme="minorHAnsi"/>
      <w:sz w:val="22"/>
      <w:lang w:val="en-US"/>
    </w:rPr>
  </w:style>
  <w:style w:type="paragraph" w:styleId="TOC5">
    <w:name w:val="toc 5"/>
    <w:basedOn w:val="Normal"/>
    <w:next w:val="Normal"/>
    <w:autoRedefine/>
    <w:uiPriority w:val="39"/>
    <w:unhideWhenUsed/>
    <w:rsid w:val="009E1BDA"/>
    <w:pPr>
      <w:spacing w:before="0" w:after="100" w:line="259" w:lineRule="auto"/>
      <w:ind w:left="880"/>
      <w:jc w:val="left"/>
    </w:pPr>
    <w:rPr>
      <w:rFonts w:asciiTheme="minorHAnsi" w:eastAsiaTheme="minorEastAsia" w:hAnsiTheme="minorHAnsi"/>
      <w:sz w:val="22"/>
      <w:lang w:val="en-US"/>
    </w:rPr>
  </w:style>
  <w:style w:type="paragraph" w:styleId="TOC6">
    <w:name w:val="toc 6"/>
    <w:basedOn w:val="Normal"/>
    <w:next w:val="Normal"/>
    <w:autoRedefine/>
    <w:uiPriority w:val="39"/>
    <w:unhideWhenUsed/>
    <w:rsid w:val="009E1BDA"/>
    <w:pPr>
      <w:spacing w:before="0" w:after="100" w:line="259" w:lineRule="auto"/>
      <w:ind w:left="1100"/>
      <w:jc w:val="left"/>
    </w:pPr>
    <w:rPr>
      <w:rFonts w:asciiTheme="minorHAnsi" w:eastAsiaTheme="minorEastAsia" w:hAnsiTheme="minorHAnsi"/>
      <w:sz w:val="22"/>
      <w:lang w:val="en-US"/>
    </w:rPr>
  </w:style>
  <w:style w:type="paragraph" w:styleId="TOC7">
    <w:name w:val="toc 7"/>
    <w:basedOn w:val="Normal"/>
    <w:next w:val="Normal"/>
    <w:autoRedefine/>
    <w:uiPriority w:val="39"/>
    <w:unhideWhenUsed/>
    <w:rsid w:val="009E1BDA"/>
    <w:pPr>
      <w:spacing w:before="0" w:after="100" w:line="259" w:lineRule="auto"/>
      <w:ind w:left="1320"/>
      <w:jc w:val="left"/>
    </w:pPr>
    <w:rPr>
      <w:rFonts w:asciiTheme="minorHAnsi" w:eastAsiaTheme="minorEastAsia" w:hAnsiTheme="minorHAnsi"/>
      <w:sz w:val="22"/>
      <w:lang w:val="en-US"/>
    </w:rPr>
  </w:style>
  <w:style w:type="paragraph" w:styleId="TOC8">
    <w:name w:val="toc 8"/>
    <w:basedOn w:val="Normal"/>
    <w:next w:val="Normal"/>
    <w:autoRedefine/>
    <w:uiPriority w:val="39"/>
    <w:unhideWhenUsed/>
    <w:rsid w:val="009E1BDA"/>
    <w:pPr>
      <w:spacing w:before="0" w:after="100" w:line="259" w:lineRule="auto"/>
      <w:ind w:left="1540"/>
      <w:jc w:val="left"/>
    </w:pPr>
    <w:rPr>
      <w:rFonts w:asciiTheme="minorHAnsi" w:eastAsiaTheme="minorEastAsia" w:hAnsiTheme="minorHAnsi"/>
      <w:sz w:val="22"/>
      <w:lang w:val="en-US"/>
    </w:rPr>
  </w:style>
  <w:style w:type="paragraph" w:styleId="TOC9">
    <w:name w:val="toc 9"/>
    <w:basedOn w:val="Normal"/>
    <w:next w:val="Normal"/>
    <w:autoRedefine/>
    <w:uiPriority w:val="39"/>
    <w:unhideWhenUsed/>
    <w:rsid w:val="009E1BDA"/>
    <w:pPr>
      <w:spacing w:before="0" w:after="100" w:line="259" w:lineRule="auto"/>
      <w:ind w:left="1760"/>
      <w:jc w:val="left"/>
    </w:pPr>
    <w:rPr>
      <w:rFonts w:asciiTheme="minorHAnsi" w:eastAsiaTheme="minorEastAsia" w:hAnsiTheme="minorHAnsi"/>
      <w:sz w:val="22"/>
      <w:lang w:val="en-US"/>
    </w:rPr>
  </w:style>
  <w:style w:type="table" w:styleId="TableGrid">
    <w:name w:val="Table Grid"/>
    <w:basedOn w:val="TableNormal"/>
    <w:uiPriority w:val="39"/>
    <w:rsid w:val="00433719"/>
    <w:pPr>
      <w:spacing w:before="0" w:after="0" w:line="240" w:lineRule="auto"/>
      <w:jc w:val="left"/>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claude-response-body">
    <w:name w:val="font-claude-response-body"/>
    <w:basedOn w:val="Normal"/>
    <w:rsid w:val="00DB7BD2"/>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DB7BD2"/>
    <w:rPr>
      <w:b/>
      <w:bCs/>
    </w:rPr>
  </w:style>
  <w:style w:type="table" w:styleId="TableGridLight">
    <w:name w:val="Grid Table Light"/>
    <w:basedOn w:val="TableNormal"/>
    <w:uiPriority w:val="40"/>
    <w:rsid w:val="00AA02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A029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5Char">
    <w:name w:val="Heading 5 Char"/>
    <w:basedOn w:val="DefaultParagraphFont"/>
    <w:link w:val="Heading5"/>
    <w:uiPriority w:val="9"/>
    <w:rsid w:val="00153ABA"/>
    <w:rPr>
      <w:rFonts w:asciiTheme="majorHAnsi" w:eastAsiaTheme="majorEastAsia" w:hAnsiTheme="majorHAnsi" w:cstheme="majorBidi"/>
      <w:color w:val="2F5496" w:themeColor="accent1" w:themeShade="BF"/>
      <w:sz w:val="24"/>
    </w:rPr>
  </w:style>
  <w:style w:type="paragraph" w:styleId="TableofFigures">
    <w:name w:val="table of figures"/>
    <w:basedOn w:val="Normal"/>
    <w:next w:val="Normal"/>
    <w:uiPriority w:val="99"/>
    <w:unhideWhenUsed/>
    <w:rsid w:val="0019625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7359">
      <w:bodyDiv w:val="1"/>
      <w:marLeft w:val="0"/>
      <w:marRight w:val="0"/>
      <w:marTop w:val="0"/>
      <w:marBottom w:val="0"/>
      <w:divBdr>
        <w:top w:val="none" w:sz="0" w:space="0" w:color="auto"/>
        <w:left w:val="none" w:sz="0" w:space="0" w:color="auto"/>
        <w:bottom w:val="none" w:sz="0" w:space="0" w:color="auto"/>
        <w:right w:val="none" w:sz="0" w:space="0" w:color="auto"/>
      </w:divBdr>
    </w:div>
    <w:div w:id="37054830">
      <w:bodyDiv w:val="1"/>
      <w:marLeft w:val="0"/>
      <w:marRight w:val="0"/>
      <w:marTop w:val="0"/>
      <w:marBottom w:val="0"/>
      <w:divBdr>
        <w:top w:val="none" w:sz="0" w:space="0" w:color="auto"/>
        <w:left w:val="none" w:sz="0" w:space="0" w:color="auto"/>
        <w:bottom w:val="none" w:sz="0" w:space="0" w:color="auto"/>
        <w:right w:val="none" w:sz="0" w:space="0" w:color="auto"/>
      </w:divBdr>
    </w:div>
    <w:div w:id="46799794">
      <w:bodyDiv w:val="1"/>
      <w:marLeft w:val="0"/>
      <w:marRight w:val="0"/>
      <w:marTop w:val="0"/>
      <w:marBottom w:val="0"/>
      <w:divBdr>
        <w:top w:val="none" w:sz="0" w:space="0" w:color="auto"/>
        <w:left w:val="none" w:sz="0" w:space="0" w:color="auto"/>
        <w:bottom w:val="none" w:sz="0" w:space="0" w:color="auto"/>
        <w:right w:val="none" w:sz="0" w:space="0" w:color="auto"/>
      </w:divBdr>
    </w:div>
    <w:div w:id="83696708">
      <w:bodyDiv w:val="1"/>
      <w:marLeft w:val="0"/>
      <w:marRight w:val="0"/>
      <w:marTop w:val="0"/>
      <w:marBottom w:val="0"/>
      <w:divBdr>
        <w:top w:val="none" w:sz="0" w:space="0" w:color="auto"/>
        <w:left w:val="none" w:sz="0" w:space="0" w:color="auto"/>
        <w:bottom w:val="none" w:sz="0" w:space="0" w:color="auto"/>
        <w:right w:val="none" w:sz="0" w:space="0" w:color="auto"/>
      </w:divBdr>
    </w:div>
    <w:div w:id="99030577">
      <w:bodyDiv w:val="1"/>
      <w:marLeft w:val="0"/>
      <w:marRight w:val="0"/>
      <w:marTop w:val="0"/>
      <w:marBottom w:val="0"/>
      <w:divBdr>
        <w:top w:val="none" w:sz="0" w:space="0" w:color="auto"/>
        <w:left w:val="none" w:sz="0" w:space="0" w:color="auto"/>
        <w:bottom w:val="none" w:sz="0" w:space="0" w:color="auto"/>
        <w:right w:val="none" w:sz="0" w:space="0" w:color="auto"/>
      </w:divBdr>
      <w:divsChild>
        <w:div w:id="1295791618">
          <w:marLeft w:val="0"/>
          <w:marRight w:val="0"/>
          <w:marTop w:val="0"/>
          <w:marBottom w:val="0"/>
          <w:divBdr>
            <w:top w:val="none" w:sz="0" w:space="0" w:color="auto"/>
            <w:left w:val="none" w:sz="0" w:space="0" w:color="auto"/>
            <w:bottom w:val="none" w:sz="0" w:space="0" w:color="auto"/>
            <w:right w:val="none" w:sz="0" w:space="0" w:color="auto"/>
          </w:divBdr>
          <w:divsChild>
            <w:div w:id="111544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12745">
      <w:bodyDiv w:val="1"/>
      <w:marLeft w:val="0"/>
      <w:marRight w:val="0"/>
      <w:marTop w:val="0"/>
      <w:marBottom w:val="0"/>
      <w:divBdr>
        <w:top w:val="none" w:sz="0" w:space="0" w:color="auto"/>
        <w:left w:val="none" w:sz="0" w:space="0" w:color="auto"/>
        <w:bottom w:val="none" w:sz="0" w:space="0" w:color="auto"/>
        <w:right w:val="none" w:sz="0" w:space="0" w:color="auto"/>
      </w:divBdr>
    </w:div>
    <w:div w:id="338241894">
      <w:bodyDiv w:val="1"/>
      <w:marLeft w:val="0"/>
      <w:marRight w:val="0"/>
      <w:marTop w:val="0"/>
      <w:marBottom w:val="0"/>
      <w:divBdr>
        <w:top w:val="none" w:sz="0" w:space="0" w:color="auto"/>
        <w:left w:val="none" w:sz="0" w:space="0" w:color="auto"/>
        <w:bottom w:val="none" w:sz="0" w:space="0" w:color="auto"/>
        <w:right w:val="none" w:sz="0" w:space="0" w:color="auto"/>
      </w:divBdr>
    </w:div>
    <w:div w:id="360858245">
      <w:bodyDiv w:val="1"/>
      <w:marLeft w:val="0"/>
      <w:marRight w:val="0"/>
      <w:marTop w:val="0"/>
      <w:marBottom w:val="0"/>
      <w:divBdr>
        <w:top w:val="none" w:sz="0" w:space="0" w:color="auto"/>
        <w:left w:val="none" w:sz="0" w:space="0" w:color="auto"/>
        <w:bottom w:val="none" w:sz="0" w:space="0" w:color="auto"/>
        <w:right w:val="none" w:sz="0" w:space="0" w:color="auto"/>
      </w:divBdr>
    </w:div>
    <w:div w:id="376126947">
      <w:bodyDiv w:val="1"/>
      <w:marLeft w:val="0"/>
      <w:marRight w:val="0"/>
      <w:marTop w:val="0"/>
      <w:marBottom w:val="0"/>
      <w:divBdr>
        <w:top w:val="none" w:sz="0" w:space="0" w:color="auto"/>
        <w:left w:val="none" w:sz="0" w:space="0" w:color="auto"/>
        <w:bottom w:val="none" w:sz="0" w:space="0" w:color="auto"/>
        <w:right w:val="none" w:sz="0" w:space="0" w:color="auto"/>
      </w:divBdr>
    </w:div>
    <w:div w:id="421534580">
      <w:bodyDiv w:val="1"/>
      <w:marLeft w:val="0"/>
      <w:marRight w:val="0"/>
      <w:marTop w:val="0"/>
      <w:marBottom w:val="0"/>
      <w:divBdr>
        <w:top w:val="none" w:sz="0" w:space="0" w:color="auto"/>
        <w:left w:val="none" w:sz="0" w:space="0" w:color="auto"/>
        <w:bottom w:val="none" w:sz="0" w:space="0" w:color="auto"/>
        <w:right w:val="none" w:sz="0" w:space="0" w:color="auto"/>
      </w:divBdr>
    </w:div>
    <w:div w:id="423647591">
      <w:bodyDiv w:val="1"/>
      <w:marLeft w:val="0"/>
      <w:marRight w:val="0"/>
      <w:marTop w:val="0"/>
      <w:marBottom w:val="0"/>
      <w:divBdr>
        <w:top w:val="none" w:sz="0" w:space="0" w:color="auto"/>
        <w:left w:val="none" w:sz="0" w:space="0" w:color="auto"/>
        <w:bottom w:val="none" w:sz="0" w:space="0" w:color="auto"/>
        <w:right w:val="none" w:sz="0" w:space="0" w:color="auto"/>
      </w:divBdr>
    </w:div>
    <w:div w:id="433017534">
      <w:bodyDiv w:val="1"/>
      <w:marLeft w:val="0"/>
      <w:marRight w:val="0"/>
      <w:marTop w:val="0"/>
      <w:marBottom w:val="0"/>
      <w:divBdr>
        <w:top w:val="none" w:sz="0" w:space="0" w:color="auto"/>
        <w:left w:val="none" w:sz="0" w:space="0" w:color="auto"/>
        <w:bottom w:val="none" w:sz="0" w:space="0" w:color="auto"/>
        <w:right w:val="none" w:sz="0" w:space="0" w:color="auto"/>
      </w:divBdr>
    </w:div>
    <w:div w:id="438572929">
      <w:bodyDiv w:val="1"/>
      <w:marLeft w:val="0"/>
      <w:marRight w:val="0"/>
      <w:marTop w:val="0"/>
      <w:marBottom w:val="0"/>
      <w:divBdr>
        <w:top w:val="none" w:sz="0" w:space="0" w:color="auto"/>
        <w:left w:val="none" w:sz="0" w:space="0" w:color="auto"/>
        <w:bottom w:val="none" w:sz="0" w:space="0" w:color="auto"/>
        <w:right w:val="none" w:sz="0" w:space="0" w:color="auto"/>
      </w:divBdr>
    </w:div>
    <w:div w:id="446200144">
      <w:bodyDiv w:val="1"/>
      <w:marLeft w:val="0"/>
      <w:marRight w:val="0"/>
      <w:marTop w:val="0"/>
      <w:marBottom w:val="0"/>
      <w:divBdr>
        <w:top w:val="none" w:sz="0" w:space="0" w:color="auto"/>
        <w:left w:val="none" w:sz="0" w:space="0" w:color="auto"/>
        <w:bottom w:val="none" w:sz="0" w:space="0" w:color="auto"/>
        <w:right w:val="none" w:sz="0" w:space="0" w:color="auto"/>
      </w:divBdr>
    </w:div>
    <w:div w:id="458303264">
      <w:bodyDiv w:val="1"/>
      <w:marLeft w:val="0"/>
      <w:marRight w:val="0"/>
      <w:marTop w:val="0"/>
      <w:marBottom w:val="0"/>
      <w:divBdr>
        <w:top w:val="none" w:sz="0" w:space="0" w:color="auto"/>
        <w:left w:val="none" w:sz="0" w:space="0" w:color="auto"/>
        <w:bottom w:val="none" w:sz="0" w:space="0" w:color="auto"/>
        <w:right w:val="none" w:sz="0" w:space="0" w:color="auto"/>
      </w:divBdr>
    </w:div>
    <w:div w:id="480929645">
      <w:bodyDiv w:val="1"/>
      <w:marLeft w:val="0"/>
      <w:marRight w:val="0"/>
      <w:marTop w:val="0"/>
      <w:marBottom w:val="0"/>
      <w:divBdr>
        <w:top w:val="none" w:sz="0" w:space="0" w:color="auto"/>
        <w:left w:val="none" w:sz="0" w:space="0" w:color="auto"/>
        <w:bottom w:val="none" w:sz="0" w:space="0" w:color="auto"/>
        <w:right w:val="none" w:sz="0" w:space="0" w:color="auto"/>
      </w:divBdr>
    </w:div>
    <w:div w:id="539054683">
      <w:bodyDiv w:val="1"/>
      <w:marLeft w:val="0"/>
      <w:marRight w:val="0"/>
      <w:marTop w:val="0"/>
      <w:marBottom w:val="0"/>
      <w:divBdr>
        <w:top w:val="none" w:sz="0" w:space="0" w:color="auto"/>
        <w:left w:val="none" w:sz="0" w:space="0" w:color="auto"/>
        <w:bottom w:val="none" w:sz="0" w:space="0" w:color="auto"/>
        <w:right w:val="none" w:sz="0" w:space="0" w:color="auto"/>
      </w:divBdr>
    </w:div>
    <w:div w:id="672102908">
      <w:bodyDiv w:val="1"/>
      <w:marLeft w:val="0"/>
      <w:marRight w:val="0"/>
      <w:marTop w:val="0"/>
      <w:marBottom w:val="0"/>
      <w:divBdr>
        <w:top w:val="none" w:sz="0" w:space="0" w:color="auto"/>
        <w:left w:val="none" w:sz="0" w:space="0" w:color="auto"/>
        <w:bottom w:val="none" w:sz="0" w:space="0" w:color="auto"/>
        <w:right w:val="none" w:sz="0" w:space="0" w:color="auto"/>
      </w:divBdr>
    </w:div>
    <w:div w:id="708148745">
      <w:bodyDiv w:val="1"/>
      <w:marLeft w:val="0"/>
      <w:marRight w:val="0"/>
      <w:marTop w:val="0"/>
      <w:marBottom w:val="0"/>
      <w:divBdr>
        <w:top w:val="none" w:sz="0" w:space="0" w:color="auto"/>
        <w:left w:val="none" w:sz="0" w:space="0" w:color="auto"/>
        <w:bottom w:val="none" w:sz="0" w:space="0" w:color="auto"/>
        <w:right w:val="none" w:sz="0" w:space="0" w:color="auto"/>
      </w:divBdr>
    </w:div>
    <w:div w:id="823548661">
      <w:bodyDiv w:val="1"/>
      <w:marLeft w:val="0"/>
      <w:marRight w:val="0"/>
      <w:marTop w:val="0"/>
      <w:marBottom w:val="0"/>
      <w:divBdr>
        <w:top w:val="none" w:sz="0" w:space="0" w:color="auto"/>
        <w:left w:val="none" w:sz="0" w:space="0" w:color="auto"/>
        <w:bottom w:val="none" w:sz="0" w:space="0" w:color="auto"/>
        <w:right w:val="none" w:sz="0" w:space="0" w:color="auto"/>
      </w:divBdr>
    </w:div>
    <w:div w:id="842432056">
      <w:bodyDiv w:val="1"/>
      <w:marLeft w:val="0"/>
      <w:marRight w:val="0"/>
      <w:marTop w:val="0"/>
      <w:marBottom w:val="0"/>
      <w:divBdr>
        <w:top w:val="none" w:sz="0" w:space="0" w:color="auto"/>
        <w:left w:val="none" w:sz="0" w:space="0" w:color="auto"/>
        <w:bottom w:val="none" w:sz="0" w:space="0" w:color="auto"/>
        <w:right w:val="none" w:sz="0" w:space="0" w:color="auto"/>
      </w:divBdr>
    </w:div>
    <w:div w:id="893545669">
      <w:bodyDiv w:val="1"/>
      <w:marLeft w:val="0"/>
      <w:marRight w:val="0"/>
      <w:marTop w:val="0"/>
      <w:marBottom w:val="0"/>
      <w:divBdr>
        <w:top w:val="none" w:sz="0" w:space="0" w:color="auto"/>
        <w:left w:val="none" w:sz="0" w:space="0" w:color="auto"/>
        <w:bottom w:val="none" w:sz="0" w:space="0" w:color="auto"/>
        <w:right w:val="none" w:sz="0" w:space="0" w:color="auto"/>
      </w:divBdr>
    </w:div>
    <w:div w:id="898590788">
      <w:bodyDiv w:val="1"/>
      <w:marLeft w:val="0"/>
      <w:marRight w:val="0"/>
      <w:marTop w:val="0"/>
      <w:marBottom w:val="0"/>
      <w:divBdr>
        <w:top w:val="none" w:sz="0" w:space="0" w:color="auto"/>
        <w:left w:val="none" w:sz="0" w:space="0" w:color="auto"/>
        <w:bottom w:val="none" w:sz="0" w:space="0" w:color="auto"/>
        <w:right w:val="none" w:sz="0" w:space="0" w:color="auto"/>
      </w:divBdr>
    </w:div>
    <w:div w:id="1114858971">
      <w:bodyDiv w:val="1"/>
      <w:marLeft w:val="0"/>
      <w:marRight w:val="0"/>
      <w:marTop w:val="0"/>
      <w:marBottom w:val="0"/>
      <w:divBdr>
        <w:top w:val="none" w:sz="0" w:space="0" w:color="auto"/>
        <w:left w:val="none" w:sz="0" w:space="0" w:color="auto"/>
        <w:bottom w:val="none" w:sz="0" w:space="0" w:color="auto"/>
        <w:right w:val="none" w:sz="0" w:space="0" w:color="auto"/>
      </w:divBdr>
    </w:div>
    <w:div w:id="1145388259">
      <w:bodyDiv w:val="1"/>
      <w:marLeft w:val="0"/>
      <w:marRight w:val="0"/>
      <w:marTop w:val="0"/>
      <w:marBottom w:val="0"/>
      <w:divBdr>
        <w:top w:val="none" w:sz="0" w:space="0" w:color="auto"/>
        <w:left w:val="none" w:sz="0" w:space="0" w:color="auto"/>
        <w:bottom w:val="none" w:sz="0" w:space="0" w:color="auto"/>
        <w:right w:val="none" w:sz="0" w:space="0" w:color="auto"/>
      </w:divBdr>
      <w:divsChild>
        <w:div w:id="75441630">
          <w:marLeft w:val="0"/>
          <w:marRight w:val="0"/>
          <w:marTop w:val="0"/>
          <w:marBottom w:val="0"/>
          <w:divBdr>
            <w:top w:val="none" w:sz="0" w:space="0" w:color="auto"/>
            <w:left w:val="none" w:sz="0" w:space="0" w:color="auto"/>
            <w:bottom w:val="none" w:sz="0" w:space="0" w:color="auto"/>
            <w:right w:val="none" w:sz="0" w:space="0" w:color="auto"/>
          </w:divBdr>
          <w:divsChild>
            <w:div w:id="1169637721">
              <w:marLeft w:val="0"/>
              <w:marRight w:val="0"/>
              <w:marTop w:val="0"/>
              <w:marBottom w:val="0"/>
              <w:divBdr>
                <w:top w:val="none" w:sz="0" w:space="0" w:color="auto"/>
                <w:left w:val="none" w:sz="0" w:space="0" w:color="auto"/>
                <w:bottom w:val="none" w:sz="0" w:space="0" w:color="auto"/>
                <w:right w:val="none" w:sz="0" w:space="0" w:color="auto"/>
              </w:divBdr>
            </w:div>
          </w:divsChild>
        </w:div>
        <w:div w:id="1986738760">
          <w:marLeft w:val="0"/>
          <w:marRight w:val="0"/>
          <w:marTop w:val="0"/>
          <w:marBottom w:val="0"/>
          <w:divBdr>
            <w:top w:val="none" w:sz="0" w:space="0" w:color="auto"/>
            <w:left w:val="none" w:sz="0" w:space="0" w:color="auto"/>
            <w:bottom w:val="none" w:sz="0" w:space="0" w:color="auto"/>
            <w:right w:val="none" w:sz="0" w:space="0" w:color="auto"/>
          </w:divBdr>
          <w:divsChild>
            <w:div w:id="1195194368">
              <w:marLeft w:val="0"/>
              <w:marRight w:val="0"/>
              <w:marTop w:val="0"/>
              <w:marBottom w:val="0"/>
              <w:divBdr>
                <w:top w:val="none" w:sz="0" w:space="0" w:color="auto"/>
                <w:left w:val="none" w:sz="0" w:space="0" w:color="auto"/>
                <w:bottom w:val="none" w:sz="0" w:space="0" w:color="auto"/>
                <w:right w:val="none" w:sz="0" w:space="0" w:color="auto"/>
              </w:divBdr>
            </w:div>
          </w:divsChild>
        </w:div>
        <w:div w:id="1017390101">
          <w:marLeft w:val="0"/>
          <w:marRight w:val="0"/>
          <w:marTop w:val="0"/>
          <w:marBottom w:val="0"/>
          <w:divBdr>
            <w:top w:val="none" w:sz="0" w:space="0" w:color="auto"/>
            <w:left w:val="none" w:sz="0" w:space="0" w:color="auto"/>
            <w:bottom w:val="none" w:sz="0" w:space="0" w:color="auto"/>
            <w:right w:val="none" w:sz="0" w:space="0" w:color="auto"/>
          </w:divBdr>
          <w:divsChild>
            <w:div w:id="1097673722">
              <w:marLeft w:val="0"/>
              <w:marRight w:val="0"/>
              <w:marTop w:val="0"/>
              <w:marBottom w:val="0"/>
              <w:divBdr>
                <w:top w:val="none" w:sz="0" w:space="0" w:color="auto"/>
                <w:left w:val="none" w:sz="0" w:space="0" w:color="auto"/>
                <w:bottom w:val="none" w:sz="0" w:space="0" w:color="auto"/>
                <w:right w:val="none" w:sz="0" w:space="0" w:color="auto"/>
              </w:divBdr>
            </w:div>
          </w:divsChild>
        </w:div>
        <w:div w:id="40131318">
          <w:marLeft w:val="0"/>
          <w:marRight w:val="0"/>
          <w:marTop w:val="0"/>
          <w:marBottom w:val="0"/>
          <w:divBdr>
            <w:top w:val="none" w:sz="0" w:space="0" w:color="auto"/>
            <w:left w:val="none" w:sz="0" w:space="0" w:color="auto"/>
            <w:bottom w:val="none" w:sz="0" w:space="0" w:color="auto"/>
            <w:right w:val="none" w:sz="0" w:space="0" w:color="auto"/>
          </w:divBdr>
          <w:divsChild>
            <w:div w:id="697706325">
              <w:marLeft w:val="0"/>
              <w:marRight w:val="0"/>
              <w:marTop w:val="0"/>
              <w:marBottom w:val="0"/>
              <w:divBdr>
                <w:top w:val="none" w:sz="0" w:space="0" w:color="auto"/>
                <w:left w:val="none" w:sz="0" w:space="0" w:color="auto"/>
                <w:bottom w:val="none" w:sz="0" w:space="0" w:color="auto"/>
                <w:right w:val="none" w:sz="0" w:space="0" w:color="auto"/>
              </w:divBdr>
            </w:div>
          </w:divsChild>
        </w:div>
        <w:div w:id="538247994">
          <w:marLeft w:val="0"/>
          <w:marRight w:val="0"/>
          <w:marTop w:val="0"/>
          <w:marBottom w:val="0"/>
          <w:divBdr>
            <w:top w:val="none" w:sz="0" w:space="0" w:color="auto"/>
            <w:left w:val="none" w:sz="0" w:space="0" w:color="auto"/>
            <w:bottom w:val="none" w:sz="0" w:space="0" w:color="auto"/>
            <w:right w:val="none" w:sz="0" w:space="0" w:color="auto"/>
          </w:divBdr>
          <w:divsChild>
            <w:div w:id="2074697932">
              <w:marLeft w:val="0"/>
              <w:marRight w:val="0"/>
              <w:marTop w:val="0"/>
              <w:marBottom w:val="0"/>
              <w:divBdr>
                <w:top w:val="none" w:sz="0" w:space="0" w:color="auto"/>
                <w:left w:val="none" w:sz="0" w:space="0" w:color="auto"/>
                <w:bottom w:val="none" w:sz="0" w:space="0" w:color="auto"/>
                <w:right w:val="none" w:sz="0" w:space="0" w:color="auto"/>
              </w:divBdr>
            </w:div>
          </w:divsChild>
        </w:div>
        <w:div w:id="93717332">
          <w:marLeft w:val="0"/>
          <w:marRight w:val="0"/>
          <w:marTop w:val="0"/>
          <w:marBottom w:val="0"/>
          <w:divBdr>
            <w:top w:val="none" w:sz="0" w:space="0" w:color="auto"/>
            <w:left w:val="none" w:sz="0" w:space="0" w:color="auto"/>
            <w:bottom w:val="none" w:sz="0" w:space="0" w:color="auto"/>
            <w:right w:val="none" w:sz="0" w:space="0" w:color="auto"/>
          </w:divBdr>
          <w:divsChild>
            <w:div w:id="1219244593">
              <w:marLeft w:val="0"/>
              <w:marRight w:val="0"/>
              <w:marTop w:val="0"/>
              <w:marBottom w:val="0"/>
              <w:divBdr>
                <w:top w:val="none" w:sz="0" w:space="0" w:color="auto"/>
                <w:left w:val="none" w:sz="0" w:space="0" w:color="auto"/>
                <w:bottom w:val="none" w:sz="0" w:space="0" w:color="auto"/>
                <w:right w:val="none" w:sz="0" w:space="0" w:color="auto"/>
              </w:divBdr>
            </w:div>
          </w:divsChild>
        </w:div>
        <w:div w:id="314452166">
          <w:marLeft w:val="0"/>
          <w:marRight w:val="0"/>
          <w:marTop w:val="0"/>
          <w:marBottom w:val="0"/>
          <w:divBdr>
            <w:top w:val="none" w:sz="0" w:space="0" w:color="auto"/>
            <w:left w:val="none" w:sz="0" w:space="0" w:color="auto"/>
            <w:bottom w:val="none" w:sz="0" w:space="0" w:color="auto"/>
            <w:right w:val="none" w:sz="0" w:space="0" w:color="auto"/>
          </w:divBdr>
          <w:divsChild>
            <w:div w:id="129899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803467">
      <w:bodyDiv w:val="1"/>
      <w:marLeft w:val="0"/>
      <w:marRight w:val="0"/>
      <w:marTop w:val="0"/>
      <w:marBottom w:val="0"/>
      <w:divBdr>
        <w:top w:val="none" w:sz="0" w:space="0" w:color="auto"/>
        <w:left w:val="none" w:sz="0" w:space="0" w:color="auto"/>
        <w:bottom w:val="none" w:sz="0" w:space="0" w:color="auto"/>
        <w:right w:val="none" w:sz="0" w:space="0" w:color="auto"/>
      </w:divBdr>
    </w:div>
    <w:div w:id="1173030742">
      <w:bodyDiv w:val="1"/>
      <w:marLeft w:val="0"/>
      <w:marRight w:val="0"/>
      <w:marTop w:val="0"/>
      <w:marBottom w:val="0"/>
      <w:divBdr>
        <w:top w:val="none" w:sz="0" w:space="0" w:color="auto"/>
        <w:left w:val="none" w:sz="0" w:space="0" w:color="auto"/>
        <w:bottom w:val="none" w:sz="0" w:space="0" w:color="auto"/>
        <w:right w:val="none" w:sz="0" w:space="0" w:color="auto"/>
      </w:divBdr>
    </w:div>
    <w:div w:id="1250962393">
      <w:bodyDiv w:val="1"/>
      <w:marLeft w:val="0"/>
      <w:marRight w:val="0"/>
      <w:marTop w:val="0"/>
      <w:marBottom w:val="0"/>
      <w:divBdr>
        <w:top w:val="none" w:sz="0" w:space="0" w:color="auto"/>
        <w:left w:val="none" w:sz="0" w:space="0" w:color="auto"/>
        <w:bottom w:val="none" w:sz="0" w:space="0" w:color="auto"/>
        <w:right w:val="none" w:sz="0" w:space="0" w:color="auto"/>
      </w:divBdr>
    </w:div>
    <w:div w:id="1312098642">
      <w:bodyDiv w:val="1"/>
      <w:marLeft w:val="0"/>
      <w:marRight w:val="0"/>
      <w:marTop w:val="0"/>
      <w:marBottom w:val="0"/>
      <w:divBdr>
        <w:top w:val="none" w:sz="0" w:space="0" w:color="auto"/>
        <w:left w:val="none" w:sz="0" w:space="0" w:color="auto"/>
        <w:bottom w:val="none" w:sz="0" w:space="0" w:color="auto"/>
        <w:right w:val="none" w:sz="0" w:space="0" w:color="auto"/>
      </w:divBdr>
    </w:div>
    <w:div w:id="1457064121">
      <w:bodyDiv w:val="1"/>
      <w:marLeft w:val="0"/>
      <w:marRight w:val="0"/>
      <w:marTop w:val="0"/>
      <w:marBottom w:val="0"/>
      <w:divBdr>
        <w:top w:val="none" w:sz="0" w:space="0" w:color="auto"/>
        <w:left w:val="none" w:sz="0" w:space="0" w:color="auto"/>
        <w:bottom w:val="none" w:sz="0" w:space="0" w:color="auto"/>
        <w:right w:val="none" w:sz="0" w:space="0" w:color="auto"/>
      </w:divBdr>
    </w:div>
    <w:div w:id="1566796969">
      <w:bodyDiv w:val="1"/>
      <w:marLeft w:val="0"/>
      <w:marRight w:val="0"/>
      <w:marTop w:val="0"/>
      <w:marBottom w:val="0"/>
      <w:divBdr>
        <w:top w:val="none" w:sz="0" w:space="0" w:color="auto"/>
        <w:left w:val="none" w:sz="0" w:space="0" w:color="auto"/>
        <w:bottom w:val="none" w:sz="0" w:space="0" w:color="auto"/>
        <w:right w:val="none" w:sz="0" w:space="0" w:color="auto"/>
      </w:divBdr>
    </w:div>
    <w:div w:id="1584490571">
      <w:bodyDiv w:val="1"/>
      <w:marLeft w:val="0"/>
      <w:marRight w:val="0"/>
      <w:marTop w:val="0"/>
      <w:marBottom w:val="0"/>
      <w:divBdr>
        <w:top w:val="none" w:sz="0" w:space="0" w:color="auto"/>
        <w:left w:val="none" w:sz="0" w:space="0" w:color="auto"/>
        <w:bottom w:val="none" w:sz="0" w:space="0" w:color="auto"/>
        <w:right w:val="none" w:sz="0" w:space="0" w:color="auto"/>
      </w:divBdr>
    </w:div>
    <w:div w:id="1651179782">
      <w:bodyDiv w:val="1"/>
      <w:marLeft w:val="0"/>
      <w:marRight w:val="0"/>
      <w:marTop w:val="0"/>
      <w:marBottom w:val="0"/>
      <w:divBdr>
        <w:top w:val="none" w:sz="0" w:space="0" w:color="auto"/>
        <w:left w:val="none" w:sz="0" w:space="0" w:color="auto"/>
        <w:bottom w:val="none" w:sz="0" w:space="0" w:color="auto"/>
        <w:right w:val="none" w:sz="0" w:space="0" w:color="auto"/>
      </w:divBdr>
    </w:div>
    <w:div w:id="1671787268">
      <w:bodyDiv w:val="1"/>
      <w:marLeft w:val="0"/>
      <w:marRight w:val="0"/>
      <w:marTop w:val="0"/>
      <w:marBottom w:val="0"/>
      <w:divBdr>
        <w:top w:val="none" w:sz="0" w:space="0" w:color="auto"/>
        <w:left w:val="none" w:sz="0" w:space="0" w:color="auto"/>
        <w:bottom w:val="none" w:sz="0" w:space="0" w:color="auto"/>
        <w:right w:val="none" w:sz="0" w:space="0" w:color="auto"/>
      </w:divBdr>
    </w:div>
    <w:div w:id="1721704595">
      <w:bodyDiv w:val="1"/>
      <w:marLeft w:val="0"/>
      <w:marRight w:val="0"/>
      <w:marTop w:val="0"/>
      <w:marBottom w:val="0"/>
      <w:divBdr>
        <w:top w:val="none" w:sz="0" w:space="0" w:color="auto"/>
        <w:left w:val="none" w:sz="0" w:space="0" w:color="auto"/>
        <w:bottom w:val="none" w:sz="0" w:space="0" w:color="auto"/>
        <w:right w:val="none" w:sz="0" w:space="0" w:color="auto"/>
      </w:divBdr>
    </w:div>
    <w:div w:id="1745564360">
      <w:bodyDiv w:val="1"/>
      <w:marLeft w:val="0"/>
      <w:marRight w:val="0"/>
      <w:marTop w:val="0"/>
      <w:marBottom w:val="0"/>
      <w:divBdr>
        <w:top w:val="none" w:sz="0" w:space="0" w:color="auto"/>
        <w:left w:val="none" w:sz="0" w:space="0" w:color="auto"/>
        <w:bottom w:val="none" w:sz="0" w:space="0" w:color="auto"/>
        <w:right w:val="none" w:sz="0" w:space="0" w:color="auto"/>
      </w:divBdr>
    </w:div>
    <w:div w:id="1747990260">
      <w:bodyDiv w:val="1"/>
      <w:marLeft w:val="0"/>
      <w:marRight w:val="0"/>
      <w:marTop w:val="0"/>
      <w:marBottom w:val="0"/>
      <w:divBdr>
        <w:top w:val="none" w:sz="0" w:space="0" w:color="auto"/>
        <w:left w:val="none" w:sz="0" w:space="0" w:color="auto"/>
        <w:bottom w:val="none" w:sz="0" w:space="0" w:color="auto"/>
        <w:right w:val="none" w:sz="0" w:space="0" w:color="auto"/>
      </w:divBdr>
    </w:div>
    <w:div w:id="1748380960">
      <w:bodyDiv w:val="1"/>
      <w:marLeft w:val="0"/>
      <w:marRight w:val="0"/>
      <w:marTop w:val="0"/>
      <w:marBottom w:val="0"/>
      <w:divBdr>
        <w:top w:val="none" w:sz="0" w:space="0" w:color="auto"/>
        <w:left w:val="none" w:sz="0" w:space="0" w:color="auto"/>
        <w:bottom w:val="none" w:sz="0" w:space="0" w:color="auto"/>
        <w:right w:val="none" w:sz="0" w:space="0" w:color="auto"/>
      </w:divBdr>
      <w:divsChild>
        <w:div w:id="575559156">
          <w:marLeft w:val="0"/>
          <w:marRight w:val="0"/>
          <w:marTop w:val="0"/>
          <w:marBottom w:val="0"/>
          <w:divBdr>
            <w:top w:val="none" w:sz="0" w:space="0" w:color="auto"/>
            <w:left w:val="none" w:sz="0" w:space="0" w:color="auto"/>
            <w:bottom w:val="none" w:sz="0" w:space="0" w:color="auto"/>
            <w:right w:val="none" w:sz="0" w:space="0" w:color="auto"/>
          </w:divBdr>
          <w:divsChild>
            <w:div w:id="1614093632">
              <w:marLeft w:val="0"/>
              <w:marRight w:val="0"/>
              <w:marTop w:val="0"/>
              <w:marBottom w:val="0"/>
              <w:divBdr>
                <w:top w:val="none" w:sz="0" w:space="0" w:color="auto"/>
                <w:left w:val="none" w:sz="0" w:space="0" w:color="auto"/>
                <w:bottom w:val="none" w:sz="0" w:space="0" w:color="auto"/>
                <w:right w:val="none" w:sz="0" w:space="0" w:color="auto"/>
              </w:divBdr>
            </w:div>
          </w:divsChild>
        </w:div>
        <w:div w:id="501626574">
          <w:marLeft w:val="0"/>
          <w:marRight w:val="0"/>
          <w:marTop w:val="0"/>
          <w:marBottom w:val="0"/>
          <w:divBdr>
            <w:top w:val="none" w:sz="0" w:space="0" w:color="auto"/>
            <w:left w:val="none" w:sz="0" w:space="0" w:color="auto"/>
            <w:bottom w:val="none" w:sz="0" w:space="0" w:color="auto"/>
            <w:right w:val="none" w:sz="0" w:space="0" w:color="auto"/>
          </w:divBdr>
          <w:divsChild>
            <w:div w:id="2018536443">
              <w:marLeft w:val="0"/>
              <w:marRight w:val="0"/>
              <w:marTop w:val="0"/>
              <w:marBottom w:val="0"/>
              <w:divBdr>
                <w:top w:val="none" w:sz="0" w:space="0" w:color="auto"/>
                <w:left w:val="none" w:sz="0" w:space="0" w:color="auto"/>
                <w:bottom w:val="none" w:sz="0" w:space="0" w:color="auto"/>
                <w:right w:val="none" w:sz="0" w:space="0" w:color="auto"/>
              </w:divBdr>
            </w:div>
          </w:divsChild>
        </w:div>
        <w:div w:id="990133788">
          <w:marLeft w:val="0"/>
          <w:marRight w:val="0"/>
          <w:marTop w:val="0"/>
          <w:marBottom w:val="0"/>
          <w:divBdr>
            <w:top w:val="none" w:sz="0" w:space="0" w:color="auto"/>
            <w:left w:val="none" w:sz="0" w:space="0" w:color="auto"/>
            <w:bottom w:val="none" w:sz="0" w:space="0" w:color="auto"/>
            <w:right w:val="none" w:sz="0" w:space="0" w:color="auto"/>
          </w:divBdr>
          <w:divsChild>
            <w:div w:id="1619754908">
              <w:marLeft w:val="0"/>
              <w:marRight w:val="0"/>
              <w:marTop w:val="0"/>
              <w:marBottom w:val="0"/>
              <w:divBdr>
                <w:top w:val="none" w:sz="0" w:space="0" w:color="auto"/>
                <w:left w:val="none" w:sz="0" w:space="0" w:color="auto"/>
                <w:bottom w:val="none" w:sz="0" w:space="0" w:color="auto"/>
                <w:right w:val="none" w:sz="0" w:space="0" w:color="auto"/>
              </w:divBdr>
            </w:div>
          </w:divsChild>
        </w:div>
        <w:div w:id="2117014325">
          <w:marLeft w:val="0"/>
          <w:marRight w:val="0"/>
          <w:marTop w:val="0"/>
          <w:marBottom w:val="0"/>
          <w:divBdr>
            <w:top w:val="none" w:sz="0" w:space="0" w:color="auto"/>
            <w:left w:val="none" w:sz="0" w:space="0" w:color="auto"/>
            <w:bottom w:val="none" w:sz="0" w:space="0" w:color="auto"/>
            <w:right w:val="none" w:sz="0" w:space="0" w:color="auto"/>
          </w:divBdr>
          <w:divsChild>
            <w:div w:id="425882358">
              <w:marLeft w:val="0"/>
              <w:marRight w:val="0"/>
              <w:marTop w:val="0"/>
              <w:marBottom w:val="0"/>
              <w:divBdr>
                <w:top w:val="none" w:sz="0" w:space="0" w:color="auto"/>
                <w:left w:val="none" w:sz="0" w:space="0" w:color="auto"/>
                <w:bottom w:val="none" w:sz="0" w:space="0" w:color="auto"/>
                <w:right w:val="none" w:sz="0" w:space="0" w:color="auto"/>
              </w:divBdr>
            </w:div>
          </w:divsChild>
        </w:div>
        <w:div w:id="1405568082">
          <w:marLeft w:val="0"/>
          <w:marRight w:val="0"/>
          <w:marTop w:val="0"/>
          <w:marBottom w:val="0"/>
          <w:divBdr>
            <w:top w:val="none" w:sz="0" w:space="0" w:color="auto"/>
            <w:left w:val="none" w:sz="0" w:space="0" w:color="auto"/>
            <w:bottom w:val="none" w:sz="0" w:space="0" w:color="auto"/>
            <w:right w:val="none" w:sz="0" w:space="0" w:color="auto"/>
          </w:divBdr>
          <w:divsChild>
            <w:div w:id="2014989009">
              <w:marLeft w:val="0"/>
              <w:marRight w:val="0"/>
              <w:marTop w:val="0"/>
              <w:marBottom w:val="0"/>
              <w:divBdr>
                <w:top w:val="none" w:sz="0" w:space="0" w:color="auto"/>
                <w:left w:val="none" w:sz="0" w:space="0" w:color="auto"/>
                <w:bottom w:val="none" w:sz="0" w:space="0" w:color="auto"/>
                <w:right w:val="none" w:sz="0" w:space="0" w:color="auto"/>
              </w:divBdr>
            </w:div>
          </w:divsChild>
        </w:div>
        <w:div w:id="1357198796">
          <w:marLeft w:val="0"/>
          <w:marRight w:val="0"/>
          <w:marTop w:val="0"/>
          <w:marBottom w:val="0"/>
          <w:divBdr>
            <w:top w:val="none" w:sz="0" w:space="0" w:color="auto"/>
            <w:left w:val="none" w:sz="0" w:space="0" w:color="auto"/>
            <w:bottom w:val="none" w:sz="0" w:space="0" w:color="auto"/>
            <w:right w:val="none" w:sz="0" w:space="0" w:color="auto"/>
          </w:divBdr>
          <w:divsChild>
            <w:div w:id="1178083512">
              <w:marLeft w:val="0"/>
              <w:marRight w:val="0"/>
              <w:marTop w:val="0"/>
              <w:marBottom w:val="0"/>
              <w:divBdr>
                <w:top w:val="none" w:sz="0" w:space="0" w:color="auto"/>
                <w:left w:val="none" w:sz="0" w:space="0" w:color="auto"/>
                <w:bottom w:val="none" w:sz="0" w:space="0" w:color="auto"/>
                <w:right w:val="none" w:sz="0" w:space="0" w:color="auto"/>
              </w:divBdr>
            </w:div>
          </w:divsChild>
        </w:div>
        <w:div w:id="250163536">
          <w:marLeft w:val="0"/>
          <w:marRight w:val="0"/>
          <w:marTop w:val="0"/>
          <w:marBottom w:val="0"/>
          <w:divBdr>
            <w:top w:val="none" w:sz="0" w:space="0" w:color="auto"/>
            <w:left w:val="none" w:sz="0" w:space="0" w:color="auto"/>
            <w:bottom w:val="none" w:sz="0" w:space="0" w:color="auto"/>
            <w:right w:val="none" w:sz="0" w:space="0" w:color="auto"/>
          </w:divBdr>
          <w:divsChild>
            <w:div w:id="174568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405674">
      <w:bodyDiv w:val="1"/>
      <w:marLeft w:val="0"/>
      <w:marRight w:val="0"/>
      <w:marTop w:val="0"/>
      <w:marBottom w:val="0"/>
      <w:divBdr>
        <w:top w:val="none" w:sz="0" w:space="0" w:color="auto"/>
        <w:left w:val="none" w:sz="0" w:space="0" w:color="auto"/>
        <w:bottom w:val="none" w:sz="0" w:space="0" w:color="auto"/>
        <w:right w:val="none" w:sz="0" w:space="0" w:color="auto"/>
      </w:divBdr>
    </w:div>
    <w:div w:id="1902709610">
      <w:bodyDiv w:val="1"/>
      <w:marLeft w:val="0"/>
      <w:marRight w:val="0"/>
      <w:marTop w:val="0"/>
      <w:marBottom w:val="0"/>
      <w:divBdr>
        <w:top w:val="none" w:sz="0" w:space="0" w:color="auto"/>
        <w:left w:val="none" w:sz="0" w:space="0" w:color="auto"/>
        <w:bottom w:val="none" w:sz="0" w:space="0" w:color="auto"/>
        <w:right w:val="none" w:sz="0" w:space="0" w:color="auto"/>
      </w:divBdr>
    </w:div>
    <w:div w:id="1966958878">
      <w:bodyDiv w:val="1"/>
      <w:marLeft w:val="0"/>
      <w:marRight w:val="0"/>
      <w:marTop w:val="0"/>
      <w:marBottom w:val="0"/>
      <w:divBdr>
        <w:top w:val="none" w:sz="0" w:space="0" w:color="auto"/>
        <w:left w:val="none" w:sz="0" w:space="0" w:color="auto"/>
        <w:bottom w:val="none" w:sz="0" w:space="0" w:color="auto"/>
        <w:right w:val="none" w:sz="0" w:space="0" w:color="auto"/>
      </w:divBdr>
    </w:div>
    <w:div w:id="2024474831">
      <w:bodyDiv w:val="1"/>
      <w:marLeft w:val="0"/>
      <w:marRight w:val="0"/>
      <w:marTop w:val="0"/>
      <w:marBottom w:val="0"/>
      <w:divBdr>
        <w:top w:val="none" w:sz="0" w:space="0" w:color="auto"/>
        <w:left w:val="none" w:sz="0" w:space="0" w:color="auto"/>
        <w:bottom w:val="none" w:sz="0" w:space="0" w:color="auto"/>
        <w:right w:val="none" w:sz="0" w:space="0" w:color="auto"/>
      </w:divBdr>
    </w:div>
    <w:div w:id="2130583339">
      <w:bodyDiv w:val="1"/>
      <w:marLeft w:val="0"/>
      <w:marRight w:val="0"/>
      <w:marTop w:val="0"/>
      <w:marBottom w:val="0"/>
      <w:divBdr>
        <w:top w:val="none" w:sz="0" w:space="0" w:color="auto"/>
        <w:left w:val="none" w:sz="0" w:space="0" w:color="auto"/>
        <w:bottom w:val="none" w:sz="0" w:space="0" w:color="auto"/>
        <w:right w:val="none" w:sz="0" w:space="0" w:color="auto"/>
      </w:divBdr>
    </w:div>
    <w:div w:id="2137940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Data" Target="diagrams/data2.xml"/><Relationship Id="rId26" Type="http://schemas.openxmlformats.org/officeDocument/2006/relationships/image" Target="media/image8.png"/><Relationship Id="rId39" Type="http://schemas.openxmlformats.org/officeDocument/2006/relationships/hyperlink" Target="https://leverbrookexport.com/exporting-british-food-uae-dubai-abu-dhabi/" TargetMode="External"/><Relationship Id="rId21" Type="http://schemas.openxmlformats.org/officeDocument/2006/relationships/diagramColors" Target="diagrams/colors2.xml"/><Relationship Id="rId34" Type="http://schemas.openxmlformats.org/officeDocument/2006/relationships/hyperlink" Target="https://www.gourmetpro.co/blog/gcc-confectionery-market" TargetMode="External"/><Relationship Id="rId42" Type="http://schemas.openxmlformats.org/officeDocument/2006/relationships/hyperlink" Target="https://www.marknteladvisors.com/infographics/gcc-snacks-market.html" TargetMode="External"/><Relationship Id="rId47" Type="http://schemas.openxmlformats.org/officeDocument/2006/relationships/hyperlink" Target="https://www.morrisons-corporate.com/media-centre/corporate-news/morrisons-trading-update-for-q4-and-full-year-202324" TargetMode="External"/><Relationship Id="rId50" Type="http://schemas.openxmlformats.org/officeDocument/2006/relationships/hyperlink" Target="https://sourceinternational.ae/market-entry-food-brands-gcc-solutions/" TargetMode="External"/><Relationship Id="rId55" Type="http://schemas.openxmlformats.org/officeDocument/2006/relationships/hyperlink" Target="https://www.linkedin.com/pulse/british-grocery-export-gcc-countries-westo-direct-internationa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ww.arabianbusiness.com/gcc/saudi-arabia/almarai-dettol-rank-highest-in-saudi-arabias-yougov-2024-fmcg-rankings" TargetMode="External"/><Relationship Id="rId11" Type="http://schemas.openxmlformats.org/officeDocument/2006/relationships/diagramLayout" Target="diagrams/layout1.xml"/><Relationship Id="rId24" Type="http://schemas.openxmlformats.org/officeDocument/2006/relationships/image" Target="media/image6.png"/><Relationship Id="rId32" Type="http://schemas.openxmlformats.org/officeDocument/2006/relationships/hyperlink" Target="https://www.indexbox.io/store/gcc-confectionery-market-report-analysis-and-forecast-to-2025/" TargetMode="External"/><Relationship Id="rId37" Type="http://schemas.openxmlformats.org/officeDocument/2006/relationships/hyperlink" Target="https://www.kibsons.com/en/morrisons" TargetMode="External"/><Relationship Id="rId40" Type="http://schemas.openxmlformats.org/officeDocument/2006/relationships/hyperlink" Target="https://www.marknteladvisors.com/research-library/gcc-snacks-market.html" TargetMode="External"/><Relationship Id="rId45" Type="http://schemas.openxmlformats.org/officeDocument/2006/relationships/hyperlink" Target="https://retailanalysis.igd.com/news/news-article/t/morrisons-business-update/" TargetMode="External"/><Relationship Id="rId53" Type="http://schemas.openxmlformats.org/officeDocument/2006/relationships/hyperlink" Target="https://www.gov.uk/government/publications/uk-gulf-cooperation-council-gcc-trade-deal-conclusion-summary" TargetMode="External"/><Relationship Id="rId58"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microsoft.com/office/2007/relationships/diagramDrawing" Target="diagrams/drawing2.xml"/><Relationship Id="rId27" Type="http://schemas.openxmlformats.org/officeDocument/2006/relationships/image" Target="media/image9.png"/><Relationship Id="rId30" Type="http://schemas.openxmlformats.org/officeDocument/2006/relationships/hyperlink" Target="https://www.bain.com/insights/how-to-drive-profitable-growth-in-the-middle-east-in-the-new-normal/" TargetMode="External"/><Relationship Id="rId35" Type="http://schemas.openxmlformats.org/officeDocument/2006/relationships/hyperlink" Target="https://gulfbusiness.com/from-healthcare-to-food-which-were-the-most-preferred-brands-in-the-uae/" TargetMode="External"/><Relationship Id="rId43" Type="http://schemas.openxmlformats.org/officeDocument/2006/relationships/hyperlink" Target="https://www.meydanfz.ae/relocation-dubai-uk/british-products-to-export-to-dubai" TargetMode="External"/><Relationship Id="rId48" Type="http://schemas.openxmlformats.org/officeDocument/2006/relationships/hyperlink" Target="https://corporate.morrisons.com/media-centre/corporate-news/morrisons-commits-16bn-to-british-agriculture-and-food-production" TargetMode="External"/><Relationship Id="rId56" Type="http://schemas.openxmlformats.org/officeDocument/2006/relationships/hyperlink" Target="https://www.wtagroup.com/resources-and-insights/blogs/the-unique-opportunities-when-exporting-food-and-drink-to-the-middle-east" TargetMode="External"/><Relationship Id="rId8" Type="http://schemas.openxmlformats.org/officeDocument/2006/relationships/image" Target="media/image1.png"/><Relationship Id="rId51" Type="http://schemas.openxmlformats.org/officeDocument/2006/relationships/hyperlink" Target="https://www.supermarketnews.co.uk/morrisons-celebrates-gulf-growth-with-lulu-retail"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image" Target="media/image7.png"/><Relationship Id="rId33" Type="http://schemas.openxmlformats.org/officeDocument/2006/relationships/hyperlink" Target="https://www.indexbox.io/store/gcc-sweet-biscuit-market-analysis-forecast-size-trends-and-insights/" TargetMode="External"/><Relationship Id="rId38" Type="http://schemas.openxmlformats.org/officeDocument/2006/relationships/hyperlink" Target="https://mid-east.info/kibsons-brings-global-flavours-to-the-uae-with-redmart-morrisons-and-iceland-launch/" TargetMode="External"/><Relationship Id="rId46" Type="http://schemas.openxmlformats.org/officeDocument/2006/relationships/hyperlink" Target="https://www.morrisons-corporate.com/media-centre/corporate-news/morrisons-celebrates-growing-its-presence-in-the-gulf-with-lulu-retail-at-british-food-festival-in-qatar" TargetMode="External"/><Relationship Id="rId59" Type="http://schemas.openxmlformats.org/officeDocument/2006/relationships/fontTable" Target="fontTable.xml"/><Relationship Id="rId20" Type="http://schemas.openxmlformats.org/officeDocument/2006/relationships/diagramQuickStyle" Target="diagrams/quickStyle2.xml"/><Relationship Id="rId41" Type="http://schemas.openxmlformats.org/officeDocument/2006/relationships/hyperlink" Target="https://www.marknteladvisors.com/press-release/gcc-snacks-market-growth" TargetMode="External"/><Relationship Id="rId54" Type="http://schemas.openxmlformats.org/officeDocument/2006/relationships/hyperlink" Target="https://www.gov.uk/government/news/top-benefits-of-the-uk-gulf-cooperation-council-gcc-ft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www.gulftoday.ae/business/2025/03/04/uk-gcc-free-trade-deal-will-provide-big-boost-to-uk-exporters" TargetMode="External"/><Relationship Id="rId49" Type="http://schemas.openxmlformats.org/officeDocument/2006/relationships/hyperlink" Target="https://www.noon.com/uae-en/morrisons/" TargetMode="External"/><Relationship Id="rId57" Type="http://schemas.openxmlformats.org/officeDocument/2006/relationships/hyperlink" Target="https://commercial.yougov.com/rs/464-VHH-988/images/YouGov-Global-FMCG-Ranking-2024_1.pdf" TargetMode="External"/><Relationship Id="rId10" Type="http://schemas.openxmlformats.org/officeDocument/2006/relationships/diagramData" Target="diagrams/data1.xml"/><Relationship Id="rId31" Type="http://schemas.openxmlformats.org/officeDocument/2006/relationships/hyperlink" Target="https://www.foodexport.org/article/2025-middle-east-market-assessment-gcc-packaged-food" TargetMode="External"/><Relationship Id="rId44" Type="http://schemas.openxmlformats.org/officeDocument/2006/relationships/hyperlink" Target="https://www.thegrocer.co.uk/morrisons/morrisons-expands-global-trade-with-new-exporter-partnership/669311.article" TargetMode="External"/><Relationship Id="rId52" Type="http://schemas.openxmlformats.org/officeDocument/2006/relationships/hyperlink" Target="https://www.gov.uk/government/news/uk-food-takes-centre-stage-at-worlds-largest-annual-trade-show" TargetMode="External"/><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EC3FD7-F8DD-49F5-8E32-3C3E542DFA7F}" type="doc">
      <dgm:prSet loTypeId="urn:microsoft.com/office/officeart/2009/3/layout/IncreasingArrowsProcess" loCatId="process" qsTypeId="urn:microsoft.com/office/officeart/2005/8/quickstyle/simple4" qsCatId="simple" csTypeId="urn:microsoft.com/office/officeart/2005/8/colors/accent1_3" csCatId="accent1" phldr="1"/>
      <dgm:spPr/>
      <dgm:t>
        <a:bodyPr/>
        <a:lstStyle/>
        <a:p>
          <a:endParaRPr lang="en-US"/>
        </a:p>
      </dgm:t>
    </dgm:pt>
    <dgm:pt modelId="{6371167F-30BE-403C-873B-4CB311BE909E}">
      <dgm:prSet phldrT="[Text]"/>
      <dgm:spPr/>
      <dgm:t>
        <a:bodyPr/>
        <a:lstStyle/>
        <a:p>
          <a:r>
            <a:rPr lang="en-GB">
              <a:latin typeface="Times New Roman" panose="02020603050405020304" pitchFamily="18" charset="0"/>
              <a:cs typeface="Times New Roman" panose="02020603050405020304" pitchFamily="18" charset="0"/>
            </a:rPr>
            <a:t>Positioning</a:t>
          </a:r>
          <a:endParaRPr lang="en-US">
            <a:latin typeface="Times New Roman" panose="02020603050405020304" pitchFamily="18" charset="0"/>
            <a:cs typeface="Times New Roman" panose="02020603050405020304" pitchFamily="18" charset="0"/>
          </a:endParaRPr>
        </a:p>
      </dgm:t>
    </dgm:pt>
    <dgm:pt modelId="{4B9B4353-F2E9-4A96-B329-5DB9125D133C}" type="parTrans" cxnId="{1637D387-34CC-4C94-B7B8-7885811AB81A}">
      <dgm:prSet/>
      <dgm:spPr/>
      <dgm:t>
        <a:bodyPr/>
        <a:lstStyle/>
        <a:p>
          <a:endParaRPr lang="en-US">
            <a:latin typeface="Times New Roman" panose="02020603050405020304" pitchFamily="18" charset="0"/>
            <a:cs typeface="Times New Roman" panose="02020603050405020304" pitchFamily="18" charset="0"/>
          </a:endParaRPr>
        </a:p>
      </dgm:t>
    </dgm:pt>
    <dgm:pt modelId="{A71E4A50-34A9-4021-9D85-37244C79A95F}" type="sibTrans" cxnId="{1637D387-34CC-4C94-B7B8-7885811AB81A}">
      <dgm:prSet/>
      <dgm:spPr/>
      <dgm:t>
        <a:bodyPr/>
        <a:lstStyle/>
        <a:p>
          <a:endParaRPr lang="en-US">
            <a:latin typeface="Times New Roman" panose="02020603050405020304" pitchFamily="18" charset="0"/>
            <a:cs typeface="Times New Roman" panose="02020603050405020304" pitchFamily="18" charset="0"/>
          </a:endParaRPr>
        </a:p>
      </dgm:t>
    </dgm:pt>
    <dgm:pt modelId="{CF128639-1803-433B-AA00-6B8002DE229C}">
      <dgm:prSet phldrT="[Text]"/>
      <dgm:spPr/>
      <dgm:t>
        <a:bodyPr/>
        <a:lstStyle/>
        <a:p>
          <a:r>
            <a:rPr lang="en-GB">
              <a:latin typeface="Times New Roman" panose="02020603050405020304" pitchFamily="18" charset="0"/>
              <a:cs typeface="Times New Roman" panose="02020603050405020304" pitchFamily="18" charset="0"/>
            </a:rPr>
            <a:t>Premium British Supermarket Quality at Accessible Prices</a:t>
          </a:r>
          <a:endParaRPr lang="en-US">
            <a:latin typeface="Times New Roman" panose="02020603050405020304" pitchFamily="18" charset="0"/>
            <a:cs typeface="Times New Roman" panose="02020603050405020304" pitchFamily="18" charset="0"/>
          </a:endParaRPr>
        </a:p>
      </dgm:t>
    </dgm:pt>
    <dgm:pt modelId="{5F93634F-BA06-40A4-9F7B-470E68EECD8C}" type="parTrans" cxnId="{AB0226C8-3DE4-4175-AC6B-14CB163B1479}">
      <dgm:prSet/>
      <dgm:spPr/>
      <dgm:t>
        <a:bodyPr/>
        <a:lstStyle/>
        <a:p>
          <a:endParaRPr lang="en-US">
            <a:latin typeface="Times New Roman" panose="02020603050405020304" pitchFamily="18" charset="0"/>
            <a:cs typeface="Times New Roman" panose="02020603050405020304" pitchFamily="18" charset="0"/>
          </a:endParaRPr>
        </a:p>
      </dgm:t>
    </dgm:pt>
    <dgm:pt modelId="{2FB41E8C-EA5D-49E8-A9B7-7CAA36E57EC0}" type="sibTrans" cxnId="{AB0226C8-3DE4-4175-AC6B-14CB163B1479}">
      <dgm:prSet/>
      <dgm:spPr/>
      <dgm:t>
        <a:bodyPr/>
        <a:lstStyle/>
        <a:p>
          <a:endParaRPr lang="en-US">
            <a:latin typeface="Times New Roman" panose="02020603050405020304" pitchFamily="18" charset="0"/>
            <a:cs typeface="Times New Roman" panose="02020603050405020304" pitchFamily="18" charset="0"/>
          </a:endParaRPr>
        </a:p>
      </dgm:t>
    </dgm:pt>
    <dgm:pt modelId="{1EB4DEF2-D9AF-4E5E-8F91-BB4A7704F8A8}">
      <dgm:prSet phldrT="[Text]"/>
      <dgm:spPr/>
      <dgm:t>
        <a:bodyPr/>
        <a:lstStyle/>
        <a:p>
          <a:r>
            <a:rPr lang="en-GB">
              <a:latin typeface="Times New Roman" panose="02020603050405020304" pitchFamily="18" charset="0"/>
              <a:cs typeface="Times New Roman" panose="02020603050405020304" pitchFamily="18" charset="0"/>
            </a:rPr>
            <a:t>Pricing and Portfolio Strategy</a:t>
          </a:r>
          <a:endParaRPr lang="en-US">
            <a:latin typeface="Times New Roman" panose="02020603050405020304" pitchFamily="18" charset="0"/>
            <a:cs typeface="Times New Roman" panose="02020603050405020304" pitchFamily="18" charset="0"/>
          </a:endParaRPr>
        </a:p>
      </dgm:t>
    </dgm:pt>
    <dgm:pt modelId="{FE2C2023-765D-4176-8F2E-D54B9BFD7CBA}" type="parTrans" cxnId="{4B688CB8-BD93-4530-81E9-E3068205934F}">
      <dgm:prSet/>
      <dgm:spPr/>
      <dgm:t>
        <a:bodyPr/>
        <a:lstStyle/>
        <a:p>
          <a:endParaRPr lang="en-US">
            <a:latin typeface="Times New Roman" panose="02020603050405020304" pitchFamily="18" charset="0"/>
            <a:cs typeface="Times New Roman" panose="02020603050405020304" pitchFamily="18" charset="0"/>
          </a:endParaRPr>
        </a:p>
      </dgm:t>
    </dgm:pt>
    <dgm:pt modelId="{2EA07862-0ACC-4D7D-AC2D-D38B702B1E66}" type="sibTrans" cxnId="{4B688CB8-BD93-4530-81E9-E3068205934F}">
      <dgm:prSet/>
      <dgm:spPr/>
      <dgm:t>
        <a:bodyPr/>
        <a:lstStyle/>
        <a:p>
          <a:endParaRPr lang="en-US">
            <a:latin typeface="Times New Roman" panose="02020603050405020304" pitchFamily="18" charset="0"/>
            <a:cs typeface="Times New Roman" panose="02020603050405020304" pitchFamily="18" charset="0"/>
          </a:endParaRPr>
        </a:p>
      </dgm:t>
    </dgm:pt>
    <dgm:pt modelId="{D8EC84FE-3DD9-461D-A2C9-226EBF3BF1AD}">
      <dgm:prSet phldrT="[Text]"/>
      <dgm:spPr/>
      <dgm:t>
        <a:bodyPr/>
        <a:lstStyle/>
        <a:p>
          <a:r>
            <a:rPr lang="en-GB">
              <a:latin typeface="Times New Roman" panose="02020603050405020304" pitchFamily="18" charset="0"/>
              <a:cs typeface="Times New Roman" panose="02020603050405020304" pitchFamily="18" charset="0"/>
            </a:rPr>
            <a:t>Affordable indulgence</a:t>
          </a:r>
          <a:endParaRPr lang="en-US">
            <a:latin typeface="Times New Roman" panose="02020603050405020304" pitchFamily="18" charset="0"/>
            <a:cs typeface="Times New Roman" panose="02020603050405020304" pitchFamily="18" charset="0"/>
          </a:endParaRPr>
        </a:p>
      </dgm:t>
    </dgm:pt>
    <dgm:pt modelId="{06888D19-7026-4B27-B452-C5712C65D6E3}" type="parTrans" cxnId="{F59A71A7-3B08-4D7B-9E0E-B6BAD7FE0F35}">
      <dgm:prSet/>
      <dgm:spPr/>
      <dgm:t>
        <a:bodyPr/>
        <a:lstStyle/>
        <a:p>
          <a:endParaRPr lang="en-US">
            <a:latin typeface="Times New Roman" panose="02020603050405020304" pitchFamily="18" charset="0"/>
            <a:cs typeface="Times New Roman" panose="02020603050405020304" pitchFamily="18" charset="0"/>
          </a:endParaRPr>
        </a:p>
      </dgm:t>
    </dgm:pt>
    <dgm:pt modelId="{3F32A04A-DEA7-4B0D-AAAD-AF56FCD25D18}" type="sibTrans" cxnId="{F59A71A7-3B08-4D7B-9E0E-B6BAD7FE0F35}">
      <dgm:prSet/>
      <dgm:spPr/>
      <dgm:t>
        <a:bodyPr/>
        <a:lstStyle/>
        <a:p>
          <a:endParaRPr lang="en-US">
            <a:latin typeface="Times New Roman" panose="02020603050405020304" pitchFamily="18" charset="0"/>
            <a:cs typeface="Times New Roman" panose="02020603050405020304" pitchFamily="18" charset="0"/>
          </a:endParaRPr>
        </a:p>
      </dgm:t>
    </dgm:pt>
    <dgm:pt modelId="{4F50138C-5A7F-4E22-8FEF-7DA4F4575E4F}">
      <dgm:prSet phldrT="[Text]"/>
      <dgm:spPr/>
      <dgm:t>
        <a:bodyPr/>
        <a:lstStyle/>
        <a:p>
          <a:r>
            <a:rPr lang="en-GB">
              <a:latin typeface="Times New Roman" panose="02020603050405020304" pitchFamily="18" charset="0"/>
              <a:cs typeface="Times New Roman" panose="02020603050405020304" pitchFamily="18" charset="0"/>
            </a:rPr>
            <a:t>Branding and Promotion</a:t>
          </a:r>
          <a:endParaRPr lang="en-US">
            <a:latin typeface="Times New Roman" panose="02020603050405020304" pitchFamily="18" charset="0"/>
            <a:cs typeface="Times New Roman" panose="02020603050405020304" pitchFamily="18" charset="0"/>
          </a:endParaRPr>
        </a:p>
      </dgm:t>
    </dgm:pt>
    <dgm:pt modelId="{1FC8C42B-4AD8-4E3A-BACC-24FFE5E3F921}" type="parTrans" cxnId="{3A473B7F-CABC-4750-B01F-908660DACD5C}">
      <dgm:prSet/>
      <dgm:spPr/>
      <dgm:t>
        <a:bodyPr/>
        <a:lstStyle/>
        <a:p>
          <a:endParaRPr lang="en-US">
            <a:latin typeface="Times New Roman" panose="02020603050405020304" pitchFamily="18" charset="0"/>
            <a:cs typeface="Times New Roman" panose="02020603050405020304" pitchFamily="18" charset="0"/>
          </a:endParaRPr>
        </a:p>
      </dgm:t>
    </dgm:pt>
    <dgm:pt modelId="{FEE815F6-1A96-40C6-9A73-D3636D6700DA}" type="sibTrans" cxnId="{3A473B7F-CABC-4750-B01F-908660DACD5C}">
      <dgm:prSet/>
      <dgm:spPr/>
      <dgm:t>
        <a:bodyPr/>
        <a:lstStyle/>
        <a:p>
          <a:endParaRPr lang="en-US">
            <a:latin typeface="Times New Roman" panose="02020603050405020304" pitchFamily="18" charset="0"/>
            <a:cs typeface="Times New Roman" panose="02020603050405020304" pitchFamily="18" charset="0"/>
          </a:endParaRPr>
        </a:p>
      </dgm:t>
    </dgm:pt>
    <dgm:pt modelId="{FD168B2B-7892-48DA-A8EF-C87404ABDB4F}">
      <dgm:prSet phldrT="[Text]"/>
      <dgm:spPr/>
      <dgm:t>
        <a:bodyPr/>
        <a:lstStyle/>
        <a:p>
          <a:r>
            <a:rPr lang="en-GB">
              <a:latin typeface="Times New Roman" panose="02020603050405020304" pitchFamily="18" charset="0"/>
              <a:cs typeface="Times New Roman" panose="02020603050405020304" pitchFamily="18" charset="0"/>
            </a:rPr>
            <a:t>Strengthening the British premium message</a:t>
          </a:r>
          <a:endParaRPr lang="en-US">
            <a:latin typeface="Times New Roman" panose="02020603050405020304" pitchFamily="18" charset="0"/>
            <a:cs typeface="Times New Roman" panose="02020603050405020304" pitchFamily="18" charset="0"/>
          </a:endParaRPr>
        </a:p>
      </dgm:t>
    </dgm:pt>
    <dgm:pt modelId="{27D48B25-90E8-44D7-B89D-FCFE4CCC2455}" type="parTrans" cxnId="{B0E7093A-5145-4BA8-8894-39720E88D3B4}">
      <dgm:prSet/>
      <dgm:spPr/>
      <dgm:t>
        <a:bodyPr/>
        <a:lstStyle/>
        <a:p>
          <a:endParaRPr lang="en-US">
            <a:latin typeface="Times New Roman" panose="02020603050405020304" pitchFamily="18" charset="0"/>
            <a:cs typeface="Times New Roman" panose="02020603050405020304" pitchFamily="18" charset="0"/>
          </a:endParaRPr>
        </a:p>
      </dgm:t>
    </dgm:pt>
    <dgm:pt modelId="{B262211B-8F25-48BA-8E4E-C0D2C26F51DC}" type="sibTrans" cxnId="{B0E7093A-5145-4BA8-8894-39720E88D3B4}">
      <dgm:prSet/>
      <dgm:spPr/>
      <dgm:t>
        <a:bodyPr/>
        <a:lstStyle/>
        <a:p>
          <a:endParaRPr lang="en-US">
            <a:latin typeface="Times New Roman" panose="02020603050405020304" pitchFamily="18" charset="0"/>
            <a:cs typeface="Times New Roman" panose="02020603050405020304" pitchFamily="18" charset="0"/>
          </a:endParaRPr>
        </a:p>
      </dgm:t>
    </dgm:pt>
    <dgm:pt modelId="{38610968-3806-4292-965A-E5BF49D9BDE8}">
      <dgm:prSet phldrT="[Text]"/>
      <dgm:spPr/>
      <dgm:t>
        <a:bodyPr/>
        <a:lstStyle/>
        <a:p>
          <a:r>
            <a:rPr lang="en-GB">
              <a:latin typeface="Times New Roman" panose="02020603050405020304" pitchFamily="18" charset="0"/>
              <a:cs typeface="Times New Roman" panose="02020603050405020304" pitchFamily="18" charset="0"/>
            </a:rPr>
            <a:t>Distribution &amp; Advertising </a:t>
          </a:r>
          <a:endParaRPr lang="en-US">
            <a:latin typeface="Times New Roman" panose="02020603050405020304" pitchFamily="18" charset="0"/>
            <a:cs typeface="Times New Roman" panose="02020603050405020304" pitchFamily="18" charset="0"/>
          </a:endParaRPr>
        </a:p>
      </dgm:t>
    </dgm:pt>
    <dgm:pt modelId="{374927E8-E9CC-4BE4-8539-20D4B5CBDB19}" type="parTrans" cxnId="{FD76F424-5A92-4C99-A87C-CEE96DD6F81F}">
      <dgm:prSet/>
      <dgm:spPr/>
      <dgm:t>
        <a:bodyPr/>
        <a:lstStyle/>
        <a:p>
          <a:endParaRPr lang="en-US">
            <a:latin typeface="Times New Roman" panose="02020603050405020304" pitchFamily="18" charset="0"/>
            <a:cs typeface="Times New Roman" panose="02020603050405020304" pitchFamily="18" charset="0"/>
          </a:endParaRPr>
        </a:p>
      </dgm:t>
    </dgm:pt>
    <dgm:pt modelId="{FB39ED7D-1F95-40CD-952E-2DA75B5DD111}" type="sibTrans" cxnId="{FD76F424-5A92-4C99-A87C-CEE96DD6F81F}">
      <dgm:prSet/>
      <dgm:spPr/>
      <dgm:t>
        <a:bodyPr/>
        <a:lstStyle/>
        <a:p>
          <a:endParaRPr lang="en-US">
            <a:latin typeface="Times New Roman" panose="02020603050405020304" pitchFamily="18" charset="0"/>
            <a:cs typeface="Times New Roman" panose="02020603050405020304" pitchFamily="18" charset="0"/>
          </a:endParaRPr>
        </a:p>
      </dgm:t>
    </dgm:pt>
    <dgm:pt modelId="{DF006FA2-7A7F-4E05-92C6-4C8B6D95D1C7}">
      <dgm:prSet phldrT="[Text]"/>
      <dgm:spPr/>
      <dgm:t>
        <a:bodyPr/>
        <a:lstStyle/>
        <a:p>
          <a:r>
            <a:rPr lang="en-GB">
              <a:latin typeface="Times New Roman" panose="02020603050405020304" pitchFamily="18" charset="0"/>
              <a:cs typeface="Times New Roman" panose="02020603050405020304" pitchFamily="18" charset="0"/>
            </a:rPr>
            <a:t>1. Enhance and deepen supply chain </a:t>
          </a:r>
        </a:p>
        <a:p>
          <a:r>
            <a:rPr lang="en-US">
              <a:latin typeface="Times New Roman" panose="02020603050405020304" pitchFamily="18" charset="0"/>
              <a:cs typeface="Times New Roman" panose="02020603050405020304" pitchFamily="18" charset="0"/>
            </a:rPr>
            <a:t>2. Improved social media marketing</a:t>
          </a:r>
        </a:p>
      </dgm:t>
    </dgm:pt>
    <dgm:pt modelId="{43B5B63C-3BF6-45AE-9945-03B51DC47651}" type="parTrans" cxnId="{76209C2F-16F7-4665-938E-4746C6B8CC85}">
      <dgm:prSet/>
      <dgm:spPr/>
      <dgm:t>
        <a:bodyPr/>
        <a:lstStyle/>
        <a:p>
          <a:endParaRPr lang="en-US">
            <a:latin typeface="Times New Roman" panose="02020603050405020304" pitchFamily="18" charset="0"/>
            <a:cs typeface="Times New Roman" panose="02020603050405020304" pitchFamily="18" charset="0"/>
          </a:endParaRPr>
        </a:p>
      </dgm:t>
    </dgm:pt>
    <dgm:pt modelId="{A202437D-EC92-4C44-B5EF-C3A906C5BE72}" type="sibTrans" cxnId="{76209C2F-16F7-4665-938E-4746C6B8CC85}">
      <dgm:prSet/>
      <dgm:spPr/>
      <dgm:t>
        <a:bodyPr/>
        <a:lstStyle/>
        <a:p>
          <a:endParaRPr lang="en-US">
            <a:latin typeface="Times New Roman" panose="02020603050405020304" pitchFamily="18" charset="0"/>
            <a:cs typeface="Times New Roman" panose="02020603050405020304" pitchFamily="18" charset="0"/>
          </a:endParaRPr>
        </a:p>
      </dgm:t>
    </dgm:pt>
    <dgm:pt modelId="{3CF99AA0-25A9-4232-9977-76F9C9C011CE}">
      <dgm:prSet phldrT="[Text]" custT="1"/>
      <dgm:spPr/>
      <dgm:t>
        <a:bodyPr/>
        <a:lstStyle/>
        <a:p>
          <a:r>
            <a:rPr lang="en-GB" sz="1050">
              <a:latin typeface="Times New Roman" panose="02020603050405020304" pitchFamily="18" charset="0"/>
              <a:cs typeface="Times New Roman" panose="02020603050405020304" pitchFamily="18" charset="0"/>
            </a:rPr>
            <a:t>Customer Retention </a:t>
          </a:r>
          <a:endParaRPr lang="en-US" sz="1050">
            <a:latin typeface="Times New Roman" panose="02020603050405020304" pitchFamily="18" charset="0"/>
            <a:cs typeface="Times New Roman" panose="02020603050405020304" pitchFamily="18" charset="0"/>
          </a:endParaRPr>
        </a:p>
      </dgm:t>
    </dgm:pt>
    <dgm:pt modelId="{86B0E996-30ED-4F5F-A921-B2BBEE661C94}" type="parTrans" cxnId="{0FF32146-C90C-4821-B86F-4DA9986BB7B7}">
      <dgm:prSet/>
      <dgm:spPr/>
      <dgm:t>
        <a:bodyPr/>
        <a:lstStyle/>
        <a:p>
          <a:endParaRPr lang="en-US">
            <a:latin typeface="Times New Roman" panose="02020603050405020304" pitchFamily="18" charset="0"/>
            <a:cs typeface="Times New Roman" panose="02020603050405020304" pitchFamily="18" charset="0"/>
          </a:endParaRPr>
        </a:p>
      </dgm:t>
    </dgm:pt>
    <dgm:pt modelId="{488A5FB7-C0CA-4192-AE87-38A20ED1A5AB}" type="sibTrans" cxnId="{0FF32146-C90C-4821-B86F-4DA9986BB7B7}">
      <dgm:prSet/>
      <dgm:spPr/>
      <dgm:t>
        <a:bodyPr/>
        <a:lstStyle/>
        <a:p>
          <a:endParaRPr lang="en-US">
            <a:latin typeface="Times New Roman" panose="02020603050405020304" pitchFamily="18" charset="0"/>
            <a:cs typeface="Times New Roman" panose="02020603050405020304" pitchFamily="18" charset="0"/>
          </a:endParaRPr>
        </a:p>
      </dgm:t>
    </dgm:pt>
    <dgm:pt modelId="{6EF91F63-7BF8-4A87-B589-DA163F15505D}">
      <dgm:prSet phldrT="[Text]"/>
      <dgm:spPr/>
      <dgm:t>
        <a:bodyPr/>
        <a:lstStyle/>
        <a:p>
          <a:r>
            <a:rPr lang="en-US">
              <a:latin typeface="Times New Roman" panose="02020603050405020304" pitchFamily="18" charset="0"/>
              <a:cs typeface="Times New Roman" panose="02020603050405020304" pitchFamily="18" charset="0"/>
            </a:rPr>
            <a:t>Customer activity tracking and data analytics</a:t>
          </a:r>
        </a:p>
      </dgm:t>
    </dgm:pt>
    <dgm:pt modelId="{43220CA2-F740-47E0-8A79-45E9FA2EF394}" type="parTrans" cxnId="{C6F15627-B46A-44F1-B773-B319E4C05CF3}">
      <dgm:prSet/>
      <dgm:spPr/>
      <dgm:t>
        <a:bodyPr/>
        <a:lstStyle/>
        <a:p>
          <a:endParaRPr lang="en-US">
            <a:latin typeface="Times New Roman" panose="02020603050405020304" pitchFamily="18" charset="0"/>
            <a:cs typeface="Times New Roman" panose="02020603050405020304" pitchFamily="18" charset="0"/>
          </a:endParaRPr>
        </a:p>
      </dgm:t>
    </dgm:pt>
    <dgm:pt modelId="{043C0D01-24BC-4BB8-B0E5-FC8A02E78495}" type="sibTrans" cxnId="{C6F15627-B46A-44F1-B773-B319E4C05CF3}">
      <dgm:prSet/>
      <dgm:spPr/>
      <dgm:t>
        <a:bodyPr/>
        <a:lstStyle/>
        <a:p>
          <a:endParaRPr lang="en-US">
            <a:latin typeface="Times New Roman" panose="02020603050405020304" pitchFamily="18" charset="0"/>
            <a:cs typeface="Times New Roman" panose="02020603050405020304" pitchFamily="18" charset="0"/>
          </a:endParaRPr>
        </a:p>
      </dgm:t>
    </dgm:pt>
    <dgm:pt modelId="{994D68C5-059E-40C5-97B6-D04F76F538E1}">
      <dgm:prSet phldrT="[Text]" phldr="1"/>
      <dgm:spPr/>
      <dgm:t>
        <a:bodyPr/>
        <a:lstStyle/>
        <a:p>
          <a:endParaRPr lang="en-US">
            <a:latin typeface="Times New Roman" panose="02020603050405020304" pitchFamily="18" charset="0"/>
            <a:cs typeface="Times New Roman" panose="02020603050405020304" pitchFamily="18" charset="0"/>
          </a:endParaRPr>
        </a:p>
      </dgm:t>
    </dgm:pt>
    <dgm:pt modelId="{46201D6F-7DA9-45EF-BDD6-09BA1BD99D67}" type="parTrans" cxnId="{6E80207D-3297-4C47-B849-1AF792F6434C}">
      <dgm:prSet/>
      <dgm:spPr/>
      <dgm:t>
        <a:bodyPr/>
        <a:lstStyle/>
        <a:p>
          <a:endParaRPr lang="en-US">
            <a:latin typeface="Times New Roman" panose="02020603050405020304" pitchFamily="18" charset="0"/>
            <a:cs typeface="Times New Roman" panose="02020603050405020304" pitchFamily="18" charset="0"/>
          </a:endParaRPr>
        </a:p>
      </dgm:t>
    </dgm:pt>
    <dgm:pt modelId="{51CA434F-7189-4E2D-A8B5-453E19BFC0E0}" type="sibTrans" cxnId="{6E80207D-3297-4C47-B849-1AF792F6434C}">
      <dgm:prSet/>
      <dgm:spPr/>
      <dgm:t>
        <a:bodyPr/>
        <a:lstStyle/>
        <a:p>
          <a:endParaRPr lang="en-US">
            <a:latin typeface="Times New Roman" panose="02020603050405020304" pitchFamily="18" charset="0"/>
            <a:cs typeface="Times New Roman" panose="02020603050405020304" pitchFamily="18" charset="0"/>
          </a:endParaRPr>
        </a:p>
      </dgm:t>
    </dgm:pt>
    <dgm:pt modelId="{E10CBDF1-856E-44A1-9F0A-7EA771AABB86}">
      <dgm:prSet phldrT="[Text]" phldr="1"/>
      <dgm:spPr/>
      <dgm:t>
        <a:bodyPr/>
        <a:lstStyle/>
        <a:p>
          <a:endParaRPr lang="en-US">
            <a:latin typeface="Times New Roman" panose="02020603050405020304" pitchFamily="18" charset="0"/>
            <a:cs typeface="Times New Roman" panose="02020603050405020304" pitchFamily="18" charset="0"/>
          </a:endParaRPr>
        </a:p>
      </dgm:t>
    </dgm:pt>
    <dgm:pt modelId="{783DC086-EB09-42FD-8282-D23ECC297F44}" type="parTrans" cxnId="{883278E8-2801-47EB-A2CD-E26B1035A5EB}">
      <dgm:prSet/>
      <dgm:spPr/>
      <dgm:t>
        <a:bodyPr/>
        <a:lstStyle/>
        <a:p>
          <a:endParaRPr lang="en-US">
            <a:latin typeface="Times New Roman" panose="02020603050405020304" pitchFamily="18" charset="0"/>
            <a:cs typeface="Times New Roman" panose="02020603050405020304" pitchFamily="18" charset="0"/>
          </a:endParaRPr>
        </a:p>
      </dgm:t>
    </dgm:pt>
    <dgm:pt modelId="{910A09B9-C654-4178-93BE-2D70E069D736}" type="sibTrans" cxnId="{883278E8-2801-47EB-A2CD-E26B1035A5EB}">
      <dgm:prSet/>
      <dgm:spPr/>
      <dgm:t>
        <a:bodyPr/>
        <a:lstStyle/>
        <a:p>
          <a:endParaRPr lang="en-US">
            <a:latin typeface="Times New Roman" panose="02020603050405020304" pitchFamily="18" charset="0"/>
            <a:cs typeface="Times New Roman" panose="02020603050405020304" pitchFamily="18" charset="0"/>
          </a:endParaRPr>
        </a:p>
      </dgm:t>
    </dgm:pt>
    <dgm:pt modelId="{06241DFB-B188-421D-8926-D715F60742C7}" type="pres">
      <dgm:prSet presAssocID="{67EC3FD7-F8DD-49F5-8E32-3C3E542DFA7F}" presName="Name0" presStyleCnt="0">
        <dgm:presLayoutVars>
          <dgm:chMax val="5"/>
          <dgm:chPref val="5"/>
          <dgm:dir/>
          <dgm:animLvl val="lvl"/>
        </dgm:presLayoutVars>
      </dgm:prSet>
      <dgm:spPr/>
    </dgm:pt>
    <dgm:pt modelId="{D212BEDB-B10F-4E9C-ADA6-D2EB1B7FA332}" type="pres">
      <dgm:prSet presAssocID="{6371167F-30BE-403C-873B-4CB311BE909E}" presName="parentText1" presStyleLbl="node1" presStyleIdx="0" presStyleCnt="5">
        <dgm:presLayoutVars>
          <dgm:chMax/>
          <dgm:chPref val="3"/>
          <dgm:bulletEnabled val="1"/>
        </dgm:presLayoutVars>
      </dgm:prSet>
      <dgm:spPr/>
    </dgm:pt>
    <dgm:pt modelId="{D8B9D25B-4624-4CD1-9DC9-C6B4F3C36AB6}" type="pres">
      <dgm:prSet presAssocID="{6371167F-30BE-403C-873B-4CB311BE909E}" presName="childText1" presStyleLbl="solidAlignAcc1" presStyleIdx="0" presStyleCnt="5">
        <dgm:presLayoutVars>
          <dgm:chMax val="0"/>
          <dgm:chPref val="0"/>
          <dgm:bulletEnabled val="1"/>
        </dgm:presLayoutVars>
      </dgm:prSet>
      <dgm:spPr/>
    </dgm:pt>
    <dgm:pt modelId="{39CBB1A8-073B-45D1-9506-485B146789B7}" type="pres">
      <dgm:prSet presAssocID="{1EB4DEF2-D9AF-4E5E-8F91-BB4A7704F8A8}" presName="parentText2" presStyleLbl="node1" presStyleIdx="1" presStyleCnt="5">
        <dgm:presLayoutVars>
          <dgm:chMax/>
          <dgm:chPref val="3"/>
          <dgm:bulletEnabled val="1"/>
        </dgm:presLayoutVars>
      </dgm:prSet>
      <dgm:spPr/>
    </dgm:pt>
    <dgm:pt modelId="{ED1B5CF0-B9E1-46E7-B3BF-A42C7799C6A6}" type="pres">
      <dgm:prSet presAssocID="{1EB4DEF2-D9AF-4E5E-8F91-BB4A7704F8A8}" presName="childText2" presStyleLbl="solidAlignAcc1" presStyleIdx="1" presStyleCnt="5">
        <dgm:presLayoutVars>
          <dgm:chMax val="0"/>
          <dgm:chPref val="0"/>
          <dgm:bulletEnabled val="1"/>
        </dgm:presLayoutVars>
      </dgm:prSet>
      <dgm:spPr/>
    </dgm:pt>
    <dgm:pt modelId="{BE3BC374-D83E-4CEF-89FA-D02E80334F15}" type="pres">
      <dgm:prSet presAssocID="{4F50138C-5A7F-4E22-8FEF-7DA4F4575E4F}" presName="parentText3" presStyleLbl="node1" presStyleIdx="2" presStyleCnt="5">
        <dgm:presLayoutVars>
          <dgm:chMax/>
          <dgm:chPref val="3"/>
          <dgm:bulletEnabled val="1"/>
        </dgm:presLayoutVars>
      </dgm:prSet>
      <dgm:spPr/>
    </dgm:pt>
    <dgm:pt modelId="{46317A9F-297C-44BA-939D-7EA0779DF3EA}" type="pres">
      <dgm:prSet presAssocID="{4F50138C-5A7F-4E22-8FEF-7DA4F4575E4F}" presName="childText3" presStyleLbl="solidAlignAcc1" presStyleIdx="2" presStyleCnt="5">
        <dgm:presLayoutVars>
          <dgm:chMax val="0"/>
          <dgm:chPref val="0"/>
          <dgm:bulletEnabled val="1"/>
        </dgm:presLayoutVars>
      </dgm:prSet>
      <dgm:spPr/>
    </dgm:pt>
    <dgm:pt modelId="{950115AF-4652-450A-904E-4A1CFFC02FE3}" type="pres">
      <dgm:prSet presAssocID="{38610968-3806-4292-965A-E5BF49D9BDE8}" presName="parentText4" presStyleLbl="node1" presStyleIdx="3" presStyleCnt="5" custLinFactNeighborX="0">
        <dgm:presLayoutVars>
          <dgm:chMax/>
          <dgm:chPref val="3"/>
          <dgm:bulletEnabled val="1"/>
        </dgm:presLayoutVars>
      </dgm:prSet>
      <dgm:spPr/>
    </dgm:pt>
    <dgm:pt modelId="{D282DC03-4908-43FE-92E7-434617A1451B}" type="pres">
      <dgm:prSet presAssocID="{38610968-3806-4292-965A-E5BF49D9BDE8}" presName="childText4" presStyleLbl="solidAlignAcc1" presStyleIdx="3" presStyleCnt="5" custLinFactNeighborY="2601">
        <dgm:presLayoutVars>
          <dgm:chMax val="0"/>
          <dgm:chPref val="0"/>
          <dgm:bulletEnabled val="1"/>
        </dgm:presLayoutVars>
      </dgm:prSet>
      <dgm:spPr/>
    </dgm:pt>
    <dgm:pt modelId="{9CFCB2F3-AF73-474D-B92D-107C07EDA15A}" type="pres">
      <dgm:prSet presAssocID="{3CF99AA0-25A9-4232-9977-76F9C9C011CE}" presName="parentText5" presStyleLbl="node1" presStyleIdx="4" presStyleCnt="5">
        <dgm:presLayoutVars>
          <dgm:chMax/>
          <dgm:chPref val="3"/>
          <dgm:bulletEnabled val="1"/>
        </dgm:presLayoutVars>
      </dgm:prSet>
      <dgm:spPr/>
    </dgm:pt>
    <dgm:pt modelId="{9B65A3B0-764D-4856-9AA4-86BC9D477E51}" type="pres">
      <dgm:prSet presAssocID="{3CF99AA0-25A9-4232-9977-76F9C9C011CE}" presName="childText5" presStyleLbl="solidAlignAcc1" presStyleIdx="4" presStyleCnt="5">
        <dgm:presLayoutVars>
          <dgm:chMax val="0"/>
          <dgm:chPref val="0"/>
          <dgm:bulletEnabled val="1"/>
        </dgm:presLayoutVars>
      </dgm:prSet>
      <dgm:spPr/>
    </dgm:pt>
  </dgm:ptLst>
  <dgm:cxnLst>
    <dgm:cxn modelId="{B4F16E0C-B4C8-4376-A5FD-8A5064A2E6C8}" type="presOf" srcId="{FD168B2B-7892-48DA-A8EF-C87404ABDB4F}" destId="{46317A9F-297C-44BA-939D-7EA0779DF3EA}" srcOrd="0" destOrd="0" presId="urn:microsoft.com/office/officeart/2009/3/layout/IncreasingArrowsProcess"/>
    <dgm:cxn modelId="{FD76F424-5A92-4C99-A87C-CEE96DD6F81F}" srcId="{67EC3FD7-F8DD-49F5-8E32-3C3E542DFA7F}" destId="{38610968-3806-4292-965A-E5BF49D9BDE8}" srcOrd="3" destOrd="0" parTransId="{374927E8-E9CC-4BE4-8539-20D4B5CBDB19}" sibTransId="{FB39ED7D-1F95-40CD-952E-2DA75B5DD111}"/>
    <dgm:cxn modelId="{E8B65825-7BAF-4FBA-A439-AF8DB0F652B2}" type="presOf" srcId="{D8EC84FE-3DD9-461D-A2C9-226EBF3BF1AD}" destId="{ED1B5CF0-B9E1-46E7-B3BF-A42C7799C6A6}" srcOrd="0" destOrd="0" presId="urn:microsoft.com/office/officeart/2009/3/layout/IncreasingArrowsProcess"/>
    <dgm:cxn modelId="{C6F15627-B46A-44F1-B773-B319E4C05CF3}" srcId="{3CF99AA0-25A9-4232-9977-76F9C9C011CE}" destId="{6EF91F63-7BF8-4A87-B589-DA163F15505D}" srcOrd="0" destOrd="0" parTransId="{43220CA2-F740-47E0-8A79-45E9FA2EF394}" sibTransId="{043C0D01-24BC-4BB8-B0E5-FC8A02E78495}"/>
    <dgm:cxn modelId="{604C942B-2766-4D0E-8B59-6D486A4A7FD5}" type="presOf" srcId="{67EC3FD7-F8DD-49F5-8E32-3C3E542DFA7F}" destId="{06241DFB-B188-421D-8926-D715F60742C7}" srcOrd="0" destOrd="0" presId="urn:microsoft.com/office/officeart/2009/3/layout/IncreasingArrowsProcess"/>
    <dgm:cxn modelId="{76209C2F-16F7-4665-938E-4746C6B8CC85}" srcId="{38610968-3806-4292-965A-E5BF49D9BDE8}" destId="{DF006FA2-7A7F-4E05-92C6-4C8B6D95D1C7}" srcOrd="0" destOrd="0" parTransId="{43B5B63C-3BF6-45AE-9945-03B51DC47651}" sibTransId="{A202437D-EC92-4C44-B5EF-C3A906C5BE72}"/>
    <dgm:cxn modelId="{4B452631-7AAD-491B-A341-F2B2C4C809C1}" type="presOf" srcId="{6371167F-30BE-403C-873B-4CB311BE909E}" destId="{D212BEDB-B10F-4E9C-ADA6-D2EB1B7FA332}" srcOrd="0" destOrd="0" presId="urn:microsoft.com/office/officeart/2009/3/layout/IncreasingArrowsProcess"/>
    <dgm:cxn modelId="{B0E7093A-5145-4BA8-8894-39720E88D3B4}" srcId="{4F50138C-5A7F-4E22-8FEF-7DA4F4575E4F}" destId="{FD168B2B-7892-48DA-A8EF-C87404ABDB4F}" srcOrd="0" destOrd="0" parTransId="{27D48B25-90E8-44D7-B89D-FCFE4CCC2455}" sibTransId="{B262211B-8F25-48BA-8E4E-C0D2C26F51DC}"/>
    <dgm:cxn modelId="{0FF32146-C90C-4821-B86F-4DA9986BB7B7}" srcId="{67EC3FD7-F8DD-49F5-8E32-3C3E542DFA7F}" destId="{3CF99AA0-25A9-4232-9977-76F9C9C011CE}" srcOrd="4" destOrd="0" parTransId="{86B0E996-30ED-4F5F-A921-B2BBEE661C94}" sibTransId="{488A5FB7-C0CA-4192-AE87-38A20ED1A5AB}"/>
    <dgm:cxn modelId="{E68CC855-71B7-4814-9592-60E64EEE3EAD}" type="presOf" srcId="{DF006FA2-7A7F-4E05-92C6-4C8B6D95D1C7}" destId="{D282DC03-4908-43FE-92E7-434617A1451B}" srcOrd="0" destOrd="0" presId="urn:microsoft.com/office/officeart/2009/3/layout/IncreasingArrowsProcess"/>
    <dgm:cxn modelId="{6E80207D-3297-4C47-B849-1AF792F6434C}" srcId="{67EC3FD7-F8DD-49F5-8E32-3C3E542DFA7F}" destId="{994D68C5-059E-40C5-97B6-D04F76F538E1}" srcOrd="5" destOrd="0" parTransId="{46201D6F-7DA9-45EF-BDD6-09BA1BD99D67}" sibTransId="{51CA434F-7189-4E2D-A8B5-453E19BFC0E0}"/>
    <dgm:cxn modelId="{3A473B7F-CABC-4750-B01F-908660DACD5C}" srcId="{67EC3FD7-F8DD-49F5-8E32-3C3E542DFA7F}" destId="{4F50138C-5A7F-4E22-8FEF-7DA4F4575E4F}" srcOrd="2" destOrd="0" parTransId="{1FC8C42B-4AD8-4E3A-BACC-24FFE5E3F921}" sibTransId="{FEE815F6-1A96-40C6-9A73-D3636D6700DA}"/>
    <dgm:cxn modelId="{1637D387-34CC-4C94-B7B8-7885811AB81A}" srcId="{67EC3FD7-F8DD-49F5-8E32-3C3E542DFA7F}" destId="{6371167F-30BE-403C-873B-4CB311BE909E}" srcOrd="0" destOrd="0" parTransId="{4B9B4353-F2E9-4A96-B329-5DB9125D133C}" sibTransId="{A71E4A50-34A9-4021-9D85-37244C79A95F}"/>
    <dgm:cxn modelId="{10376EA4-6F96-4F2E-8250-9951B7E5FAEC}" type="presOf" srcId="{1EB4DEF2-D9AF-4E5E-8F91-BB4A7704F8A8}" destId="{39CBB1A8-073B-45D1-9506-485B146789B7}" srcOrd="0" destOrd="0" presId="urn:microsoft.com/office/officeart/2009/3/layout/IncreasingArrowsProcess"/>
    <dgm:cxn modelId="{F59A71A7-3B08-4D7B-9E0E-B6BAD7FE0F35}" srcId="{1EB4DEF2-D9AF-4E5E-8F91-BB4A7704F8A8}" destId="{D8EC84FE-3DD9-461D-A2C9-226EBF3BF1AD}" srcOrd="0" destOrd="0" parTransId="{06888D19-7026-4B27-B452-C5712C65D6E3}" sibTransId="{3F32A04A-DEA7-4B0D-AAAD-AF56FCD25D18}"/>
    <dgm:cxn modelId="{D273DDA7-DFC7-4890-BA8E-8E154F7C6425}" type="presOf" srcId="{38610968-3806-4292-965A-E5BF49D9BDE8}" destId="{950115AF-4652-450A-904E-4A1CFFC02FE3}" srcOrd="0" destOrd="0" presId="urn:microsoft.com/office/officeart/2009/3/layout/IncreasingArrowsProcess"/>
    <dgm:cxn modelId="{4B688CB8-BD93-4530-81E9-E3068205934F}" srcId="{67EC3FD7-F8DD-49F5-8E32-3C3E542DFA7F}" destId="{1EB4DEF2-D9AF-4E5E-8F91-BB4A7704F8A8}" srcOrd="1" destOrd="0" parTransId="{FE2C2023-765D-4176-8F2E-D54B9BFD7CBA}" sibTransId="{2EA07862-0ACC-4D7D-AC2D-D38B702B1E66}"/>
    <dgm:cxn modelId="{AB0226C8-3DE4-4175-AC6B-14CB163B1479}" srcId="{6371167F-30BE-403C-873B-4CB311BE909E}" destId="{CF128639-1803-433B-AA00-6B8002DE229C}" srcOrd="0" destOrd="0" parTransId="{5F93634F-BA06-40A4-9F7B-470E68EECD8C}" sibTransId="{2FB41E8C-EA5D-49E8-A9B7-7CAA36E57EC0}"/>
    <dgm:cxn modelId="{796D24CA-6DE7-4D1F-80F0-AE9F3C9C9C23}" type="presOf" srcId="{CF128639-1803-433B-AA00-6B8002DE229C}" destId="{D8B9D25B-4624-4CD1-9DC9-C6B4F3C36AB6}" srcOrd="0" destOrd="0" presId="urn:microsoft.com/office/officeart/2009/3/layout/IncreasingArrowsProcess"/>
    <dgm:cxn modelId="{5BC94AD8-8C17-4050-9B43-7BFF89C193E7}" type="presOf" srcId="{3CF99AA0-25A9-4232-9977-76F9C9C011CE}" destId="{9CFCB2F3-AF73-474D-B92D-107C07EDA15A}" srcOrd="0" destOrd="0" presId="urn:microsoft.com/office/officeart/2009/3/layout/IncreasingArrowsProcess"/>
    <dgm:cxn modelId="{6B55F3DA-9809-4DD9-98FF-6504992C1E6F}" type="presOf" srcId="{6EF91F63-7BF8-4A87-B589-DA163F15505D}" destId="{9B65A3B0-764D-4856-9AA4-86BC9D477E51}" srcOrd="0" destOrd="0" presId="urn:microsoft.com/office/officeart/2009/3/layout/IncreasingArrowsProcess"/>
    <dgm:cxn modelId="{A352C3DE-48A8-4216-B6F8-415F2492936B}" type="presOf" srcId="{4F50138C-5A7F-4E22-8FEF-7DA4F4575E4F}" destId="{BE3BC374-D83E-4CEF-89FA-D02E80334F15}" srcOrd="0" destOrd="0" presId="urn:microsoft.com/office/officeart/2009/3/layout/IncreasingArrowsProcess"/>
    <dgm:cxn modelId="{883278E8-2801-47EB-A2CD-E26B1035A5EB}" srcId="{994D68C5-059E-40C5-97B6-D04F76F538E1}" destId="{E10CBDF1-856E-44A1-9F0A-7EA771AABB86}" srcOrd="0" destOrd="0" parTransId="{783DC086-EB09-42FD-8282-D23ECC297F44}" sibTransId="{910A09B9-C654-4178-93BE-2D70E069D736}"/>
    <dgm:cxn modelId="{7D662849-C671-4C6C-91BA-67753D6BE4B4}" type="presParOf" srcId="{06241DFB-B188-421D-8926-D715F60742C7}" destId="{D212BEDB-B10F-4E9C-ADA6-D2EB1B7FA332}" srcOrd="0" destOrd="0" presId="urn:microsoft.com/office/officeart/2009/3/layout/IncreasingArrowsProcess"/>
    <dgm:cxn modelId="{D5E0875D-6279-4825-94E7-899338C148CD}" type="presParOf" srcId="{06241DFB-B188-421D-8926-D715F60742C7}" destId="{D8B9D25B-4624-4CD1-9DC9-C6B4F3C36AB6}" srcOrd="1" destOrd="0" presId="urn:microsoft.com/office/officeart/2009/3/layout/IncreasingArrowsProcess"/>
    <dgm:cxn modelId="{68E47764-BBA2-4648-8CA5-FC829B05813F}" type="presParOf" srcId="{06241DFB-B188-421D-8926-D715F60742C7}" destId="{39CBB1A8-073B-45D1-9506-485B146789B7}" srcOrd="2" destOrd="0" presId="urn:microsoft.com/office/officeart/2009/3/layout/IncreasingArrowsProcess"/>
    <dgm:cxn modelId="{592FF5E3-72DF-46BD-900E-4D1348BB7B6A}" type="presParOf" srcId="{06241DFB-B188-421D-8926-D715F60742C7}" destId="{ED1B5CF0-B9E1-46E7-B3BF-A42C7799C6A6}" srcOrd="3" destOrd="0" presId="urn:microsoft.com/office/officeart/2009/3/layout/IncreasingArrowsProcess"/>
    <dgm:cxn modelId="{85CA40CE-3180-43DB-B6A6-812E5F38C8BA}" type="presParOf" srcId="{06241DFB-B188-421D-8926-D715F60742C7}" destId="{BE3BC374-D83E-4CEF-89FA-D02E80334F15}" srcOrd="4" destOrd="0" presId="urn:microsoft.com/office/officeart/2009/3/layout/IncreasingArrowsProcess"/>
    <dgm:cxn modelId="{031A2B16-6BDD-40D4-B971-27E4C6D9F00B}" type="presParOf" srcId="{06241DFB-B188-421D-8926-D715F60742C7}" destId="{46317A9F-297C-44BA-939D-7EA0779DF3EA}" srcOrd="5" destOrd="0" presId="urn:microsoft.com/office/officeart/2009/3/layout/IncreasingArrowsProcess"/>
    <dgm:cxn modelId="{1847A428-0B2C-4611-A838-B66043CC00C4}" type="presParOf" srcId="{06241DFB-B188-421D-8926-D715F60742C7}" destId="{950115AF-4652-450A-904E-4A1CFFC02FE3}" srcOrd="6" destOrd="0" presId="urn:microsoft.com/office/officeart/2009/3/layout/IncreasingArrowsProcess"/>
    <dgm:cxn modelId="{65B63FD9-07FB-43DC-9C67-317E435DF1CB}" type="presParOf" srcId="{06241DFB-B188-421D-8926-D715F60742C7}" destId="{D282DC03-4908-43FE-92E7-434617A1451B}" srcOrd="7" destOrd="0" presId="urn:microsoft.com/office/officeart/2009/3/layout/IncreasingArrowsProcess"/>
    <dgm:cxn modelId="{DAD780BF-C66C-4EB3-ADE7-2F6028CAAFAF}" type="presParOf" srcId="{06241DFB-B188-421D-8926-D715F60742C7}" destId="{9CFCB2F3-AF73-474D-B92D-107C07EDA15A}" srcOrd="8" destOrd="0" presId="urn:microsoft.com/office/officeart/2009/3/layout/IncreasingArrowsProcess"/>
    <dgm:cxn modelId="{430BB445-F476-4BFE-9A42-1DD9D088027A}" type="presParOf" srcId="{06241DFB-B188-421D-8926-D715F60742C7}" destId="{9B65A3B0-764D-4856-9AA4-86BC9D477E51}" srcOrd="9" destOrd="0" presId="urn:microsoft.com/office/officeart/2009/3/layout/IncreasingArrows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6A64E06-E0CB-43D4-82D5-92CE0C3E3A6D}" type="doc">
      <dgm:prSet loTypeId="urn:microsoft.com/office/officeart/2005/8/layout/radial3" loCatId="cycle" qsTypeId="urn:microsoft.com/office/officeart/2005/8/quickstyle/simple2" qsCatId="simple" csTypeId="urn:microsoft.com/office/officeart/2005/8/colors/accent3_3" csCatId="accent3" phldr="1"/>
      <dgm:spPr/>
      <dgm:t>
        <a:bodyPr/>
        <a:lstStyle/>
        <a:p>
          <a:endParaRPr lang="en-US"/>
        </a:p>
      </dgm:t>
    </dgm:pt>
    <dgm:pt modelId="{A67FD61D-D7F0-4429-95DD-A22764D4BFF7}">
      <dgm:prSet phldrT="[Text]" custT="1"/>
      <dgm:spPr/>
      <dgm:t>
        <a:bodyPr/>
        <a:lstStyle/>
        <a:p>
          <a:r>
            <a:rPr lang="en-US" sz="2400" b="1">
              <a:latin typeface="Times New Roman" panose="02020603050405020304" pitchFamily="18" charset="0"/>
              <a:cs typeface="Times New Roman" panose="02020603050405020304" pitchFamily="18" charset="0"/>
            </a:rPr>
            <a:t>Industry rivalry</a:t>
          </a:r>
        </a:p>
        <a:p>
          <a:r>
            <a:rPr lang="en-US" sz="2400" b="0">
              <a:latin typeface="Times New Roman" panose="02020603050405020304" pitchFamily="18" charset="0"/>
              <a:cs typeface="Times New Roman" panose="02020603050405020304" pitchFamily="18" charset="0"/>
            </a:rPr>
            <a:t>High</a:t>
          </a:r>
        </a:p>
      </dgm:t>
    </dgm:pt>
    <dgm:pt modelId="{2ACC6A31-0C7C-47A1-864D-F9A8CEC9DC24}" type="parTrans" cxnId="{7DBCDEE2-3A67-4BD0-A17B-7F721BA29CAF}">
      <dgm:prSet/>
      <dgm:spPr/>
      <dgm:t>
        <a:bodyPr/>
        <a:lstStyle/>
        <a:p>
          <a:endParaRPr lang="en-US" sz="2000">
            <a:latin typeface="Times New Roman" panose="02020603050405020304" pitchFamily="18" charset="0"/>
            <a:cs typeface="Times New Roman" panose="02020603050405020304" pitchFamily="18" charset="0"/>
          </a:endParaRPr>
        </a:p>
      </dgm:t>
    </dgm:pt>
    <dgm:pt modelId="{B91F493D-50D6-4880-8779-C3431C5F7CDB}" type="sibTrans" cxnId="{7DBCDEE2-3A67-4BD0-A17B-7F721BA29CAF}">
      <dgm:prSet/>
      <dgm:spPr/>
      <dgm:t>
        <a:bodyPr/>
        <a:lstStyle/>
        <a:p>
          <a:endParaRPr lang="en-US" sz="2000">
            <a:latin typeface="Times New Roman" panose="02020603050405020304" pitchFamily="18" charset="0"/>
            <a:cs typeface="Times New Roman" panose="02020603050405020304" pitchFamily="18" charset="0"/>
          </a:endParaRPr>
        </a:p>
      </dgm:t>
    </dgm:pt>
    <dgm:pt modelId="{8B849EBF-23F6-4A17-8A49-D330A063530C}">
      <dgm:prSet phldrT="[Text]" custT="1"/>
      <dgm:spPr/>
      <dgm:t>
        <a:bodyPr/>
        <a:lstStyle/>
        <a:p>
          <a:r>
            <a:rPr lang="en-US" sz="900" b="1">
              <a:latin typeface="Times New Roman" panose="02020603050405020304" pitchFamily="18" charset="0"/>
              <a:cs typeface="Times New Roman" panose="02020603050405020304" pitchFamily="18" charset="0"/>
            </a:rPr>
            <a:t>Bargaining Power of Buyers </a:t>
          </a:r>
        </a:p>
        <a:p>
          <a:r>
            <a:rPr lang="en-US" sz="900">
              <a:latin typeface="Times New Roman" panose="02020603050405020304" pitchFamily="18" charset="0"/>
              <a:cs typeface="Times New Roman" panose="02020603050405020304" pitchFamily="18" charset="0"/>
            </a:rPr>
            <a:t>High</a:t>
          </a:r>
        </a:p>
      </dgm:t>
    </dgm:pt>
    <dgm:pt modelId="{0B307A27-D575-43B5-9A08-2F07C3CB4C19}" type="parTrans" cxnId="{1146F9A5-AE7F-4AC8-B381-B7CEB6BD7408}">
      <dgm:prSet/>
      <dgm:spPr/>
      <dgm:t>
        <a:bodyPr/>
        <a:lstStyle/>
        <a:p>
          <a:endParaRPr lang="en-US" sz="2000">
            <a:latin typeface="Times New Roman" panose="02020603050405020304" pitchFamily="18" charset="0"/>
            <a:cs typeface="Times New Roman" panose="02020603050405020304" pitchFamily="18" charset="0"/>
          </a:endParaRPr>
        </a:p>
      </dgm:t>
    </dgm:pt>
    <dgm:pt modelId="{31CC422E-E5F8-4731-A618-441DC8ED1C81}" type="sibTrans" cxnId="{1146F9A5-AE7F-4AC8-B381-B7CEB6BD7408}">
      <dgm:prSet/>
      <dgm:spPr/>
      <dgm:t>
        <a:bodyPr/>
        <a:lstStyle/>
        <a:p>
          <a:endParaRPr lang="en-US" sz="2000">
            <a:latin typeface="Times New Roman" panose="02020603050405020304" pitchFamily="18" charset="0"/>
            <a:cs typeface="Times New Roman" panose="02020603050405020304" pitchFamily="18" charset="0"/>
          </a:endParaRPr>
        </a:p>
      </dgm:t>
    </dgm:pt>
    <dgm:pt modelId="{E1651A95-DAFE-4CE2-93D8-E6A1AF7D66FF}">
      <dgm:prSet phldrT="[Text]" custT="1"/>
      <dgm:spPr/>
      <dgm:t>
        <a:bodyPr/>
        <a:lstStyle/>
        <a:p>
          <a:r>
            <a:rPr lang="en-US" sz="900" b="1">
              <a:latin typeface="Times New Roman" panose="02020603050405020304" pitchFamily="18" charset="0"/>
              <a:cs typeface="Times New Roman" panose="02020603050405020304" pitchFamily="18" charset="0"/>
            </a:rPr>
            <a:t>Bargaining Power of Buyers </a:t>
          </a:r>
        </a:p>
        <a:p>
          <a:r>
            <a:rPr lang="en-US" sz="900">
              <a:latin typeface="Times New Roman" panose="02020603050405020304" pitchFamily="18" charset="0"/>
              <a:cs typeface="Times New Roman" panose="02020603050405020304" pitchFamily="18" charset="0"/>
            </a:rPr>
            <a:t>Moderate to Low</a:t>
          </a:r>
        </a:p>
      </dgm:t>
    </dgm:pt>
    <dgm:pt modelId="{B0A13B8D-23E1-4ABB-B1A7-E8DE3719E2BD}" type="parTrans" cxnId="{8DD82A1A-3173-4AB0-97B6-3143661D0C2E}">
      <dgm:prSet/>
      <dgm:spPr/>
      <dgm:t>
        <a:bodyPr/>
        <a:lstStyle/>
        <a:p>
          <a:endParaRPr lang="en-US" sz="2000">
            <a:latin typeface="Times New Roman" panose="02020603050405020304" pitchFamily="18" charset="0"/>
            <a:cs typeface="Times New Roman" panose="02020603050405020304" pitchFamily="18" charset="0"/>
          </a:endParaRPr>
        </a:p>
      </dgm:t>
    </dgm:pt>
    <dgm:pt modelId="{1A915A5D-19D4-4ECF-8480-9EBCD25D27F1}" type="sibTrans" cxnId="{8DD82A1A-3173-4AB0-97B6-3143661D0C2E}">
      <dgm:prSet/>
      <dgm:spPr/>
      <dgm:t>
        <a:bodyPr/>
        <a:lstStyle/>
        <a:p>
          <a:endParaRPr lang="en-US" sz="2000">
            <a:latin typeface="Times New Roman" panose="02020603050405020304" pitchFamily="18" charset="0"/>
            <a:cs typeface="Times New Roman" panose="02020603050405020304" pitchFamily="18" charset="0"/>
          </a:endParaRPr>
        </a:p>
      </dgm:t>
    </dgm:pt>
    <dgm:pt modelId="{23717B46-C08E-44D6-87C8-B3489A176367}">
      <dgm:prSet phldrT="[Text]" custT="1"/>
      <dgm:spPr/>
      <dgm:t>
        <a:bodyPr/>
        <a:lstStyle/>
        <a:p>
          <a:r>
            <a:rPr lang="en-US" sz="900" b="1">
              <a:latin typeface="Times New Roman" panose="02020603050405020304" pitchFamily="18" charset="0"/>
              <a:cs typeface="Times New Roman" panose="02020603050405020304" pitchFamily="18" charset="0"/>
            </a:rPr>
            <a:t>Threat of Substitute</a:t>
          </a:r>
        </a:p>
        <a:p>
          <a:r>
            <a:rPr lang="en-US" sz="900">
              <a:latin typeface="Times New Roman" panose="02020603050405020304" pitchFamily="18" charset="0"/>
              <a:cs typeface="Times New Roman" panose="02020603050405020304" pitchFamily="18" charset="0"/>
            </a:rPr>
            <a:t>High</a:t>
          </a:r>
        </a:p>
      </dgm:t>
    </dgm:pt>
    <dgm:pt modelId="{D398DAF0-E849-42FB-9A34-3E65F76CB483}" type="parTrans" cxnId="{1A5705F9-A012-40E1-9109-71DD38D28254}">
      <dgm:prSet/>
      <dgm:spPr/>
      <dgm:t>
        <a:bodyPr/>
        <a:lstStyle/>
        <a:p>
          <a:endParaRPr lang="en-US" sz="2000">
            <a:latin typeface="Times New Roman" panose="02020603050405020304" pitchFamily="18" charset="0"/>
            <a:cs typeface="Times New Roman" panose="02020603050405020304" pitchFamily="18" charset="0"/>
          </a:endParaRPr>
        </a:p>
      </dgm:t>
    </dgm:pt>
    <dgm:pt modelId="{0D9D3386-F7B5-48B8-B1B5-F5E044B5C8B5}" type="sibTrans" cxnId="{1A5705F9-A012-40E1-9109-71DD38D28254}">
      <dgm:prSet/>
      <dgm:spPr/>
      <dgm:t>
        <a:bodyPr/>
        <a:lstStyle/>
        <a:p>
          <a:endParaRPr lang="en-US" sz="2000">
            <a:latin typeface="Times New Roman" panose="02020603050405020304" pitchFamily="18" charset="0"/>
            <a:cs typeface="Times New Roman" panose="02020603050405020304" pitchFamily="18" charset="0"/>
          </a:endParaRPr>
        </a:p>
      </dgm:t>
    </dgm:pt>
    <dgm:pt modelId="{EF1FCAB8-5428-481B-A9B9-C5B93858C64B}">
      <dgm:prSet phldrT="[Text]" custT="1"/>
      <dgm:spPr/>
      <dgm:t>
        <a:bodyPr/>
        <a:lstStyle/>
        <a:p>
          <a:r>
            <a:rPr lang="en-US" sz="900" b="1">
              <a:latin typeface="Times New Roman" panose="02020603050405020304" pitchFamily="18" charset="0"/>
              <a:cs typeface="Times New Roman" panose="02020603050405020304" pitchFamily="18" charset="0"/>
            </a:rPr>
            <a:t>Threat of New Entrants</a:t>
          </a:r>
        </a:p>
        <a:p>
          <a:r>
            <a:rPr lang="en-US" sz="900">
              <a:latin typeface="Times New Roman" panose="02020603050405020304" pitchFamily="18" charset="0"/>
              <a:cs typeface="Times New Roman" panose="02020603050405020304" pitchFamily="18" charset="0"/>
            </a:rPr>
            <a:t>Low to Moderate</a:t>
          </a:r>
        </a:p>
      </dgm:t>
    </dgm:pt>
    <dgm:pt modelId="{8E0F1B5E-4C52-4B1C-8AF3-4A22DCD03B50}" type="parTrans" cxnId="{26D56F49-52CB-4434-BAAF-2CAC69C0029C}">
      <dgm:prSet/>
      <dgm:spPr/>
      <dgm:t>
        <a:bodyPr/>
        <a:lstStyle/>
        <a:p>
          <a:endParaRPr lang="en-US" sz="2000">
            <a:latin typeface="Times New Roman" panose="02020603050405020304" pitchFamily="18" charset="0"/>
            <a:cs typeface="Times New Roman" panose="02020603050405020304" pitchFamily="18" charset="0"/>
          </a:endParaRPr>
        </a:p>
      </dgm:t>
    </dgm:pt>
    <dgm:pt modelId="{38213067-09A8-4B9C-9492-99D447220B23}" type="sibTrans" cxnId="{26D56F49-52CB-4434-BAAF-2CAC69C0029C}">
      <dgm:prSet/>
      <dgm:spPr/>
      <dgm:t>
        <a:bodyPr/>
        <a:lstStyle/>
        <a:p>
          <a:endParaRPr lang="en-US" sz="2000">
            <a:latin typeface="Times New Roman" panose="02020603050405020304" pitchFamily="18" charset="0"/>
            <a:cs typeface="Times New Roman" panose="02020603050405020304" pitchFamily="18" charset="0"/>
          </a:endParaRPr>
        </a:p>
      </dgm:t>
    </dgm:pt>
    <dgm:pt modelId="{6908AF5E-57F9-483B-A01C-E13B2355D4D9}" type="pres">
      <dgm:prSet presAssocID="{16A64E06-E0CB-43D4-82D5-92CE0C3E3A6D}" presName="composite" presStyleCnt="0">
        <dgm:presLayoutVars>
          <dgm:chMax val="1"/>
          <dgm:dir/>
          <dgm:resizeHandles val="exact"/>
        </dgm:presLayoutVars>
      </dgm:prSet>
      <dgm:spPr/>
    </dgm:pt>
    <dgm:pt modelId="{0D248846-0157-4642-B9D2-385DE1F3AE0D}" type="pres">
      <dgm:prSet presAssocID="{16A64E06-E0CB-43D4-82D5-92CE0C3E3A6D}" presName="radial" presStyleCnt="0">
        <dgm:presLayoutVars>
          <dgm:animLvl val="ctr"/>
        </dgm:presLayoutVars>
      </dgm:prSet>
      <dgm:spPr/>
    </dgm:pt>
    <dgm:pt modelId="{8162BF72-248A-4D81-A57C-220A13BF83DA}" type="pres">
      <dgm:prSet presAssocID="{A67FD61D-D7F0-4429-95DD-A22764D4BFF7}" presName="centerShape" presStyleLbl="vennNode1" presStyleIdx="0" presStyleCnt="5"/>
      <dgm:spPr/>
    </dgm:pt>
    <dgm:pt modelId="{CA1717CB-2C12-4EEF-8FAD-D316978172B7}" type="pres">
      <dgm:prSet presAssocID="{8B849EBF-23F6-4A17-8A49-D330A063530C}" presName="node" presStyleLbl="vennNode1" presStyleIdx="1" presStyleCnt="5">
        <dgm:presLayoutVars>
          <dgm:bulletEnabled val="1"/>
        </dgm:presLayoutVars>
      </dgm:prSet>
      <dgm:spPr/>
    </dgm:pt>
    <dgm:pt modelId="{97C9CF80-AD6E-42D6-B23C-70C195CCBE98}" type="pres">
      <dgm:prSet presAssocID="{E1651A95-DAFE-4CE2-93D8-E6A1AF7D66FF}" presName="node" presStyleLbl="vennNode1" presStyleIdx="2" presStyleCnt="5">
        <dgm:presLayoutVars>
          <dgm:bulletEnabled val="1"/>
        </dgm:presLayoutVars>
      </dgm:prSet>
      <dgm:spPr/>
    </dgm:pt>
    <dgm:pt modelId="{8E42D082-C76F-4562-BF43-40125B2EA3A1}" type="pres">
      <dgm:prSet presAssocID="{23717B46-C08E-44D6-87C8-B3489A176367}" presName="node" presStyleLbl="vennNode1" presStyleIdx="3" presStyleCnt="5">
        <dgm:presLayoutVars>
          <dgm:bulletEnabled val="1"/>
        </dgm:presLayoutVars>
      </dgm:prSet>
      <dgm:spPr/>
    </dgm:pt>
    <dgm:pt modelId="{6E8AC148-E715-4485-90D1-C181F9E1BD5F}" type="pres">
      <dgm:prSet presAssocID="{EF1FCAB8-5428-481B-A9B9-C5B93858C64B}" presName="node" presStyleLbl="vennNode1" presStyleIdx="4" presStyleCnt="5">
        <dgm:presLayoutVars>
          <dgm:bulletEnabled val="1"/>
        </dgm:presLayoutVars>
      </dgm:prSet>
      <dgm:spPr/>
    </dgm:pt>
  </dgm:ptLst>
  <dgm:cxnLst>
    <dgm:cxn modelId="{8DD82A1A-3173-4AB0-97B6-3143661D0C2E}" srcId="{A67FD61D-D7F0-4429-95DD-A22764D4BFF7}" destId="{E1651A95-DAFE-4CE2-93D8-E6A1AF7D66FF}" srcOrd="1" destOrd="0" parTransId="{B0A13B8D-23E1-4ABB-B1A7-E8DE3719E2BD}" sibTransId="{1A915A5D-19D4-4ECF-8480-9EBCD25D27F1}"/>
    <dgm:cxn modelId="{6F49822A-3E9C-47A6-853E-BD742609069B}" type="presOf" srcId="{23717B46-C08E-44D6-87C8-B3489A176367}" destId="{8E42D082-C76F-4562-BF43-40125B2EA3A1}" srcOrd="0" destOrd="0" presId="urn:microsoft.com/office/officeart/2005/8/layout/radial3"/>
    <dgm:cxn modelId="{26424134-CA0D-4809-80FC-195AEE1FEF1B}" type="presOf" srcId="{A67FD61D-D7F0-4429-95DD-A22764D4BFF7}" destId="{8162BF72-248A-4D81-A57C-220A13BF83DA}" srcOrd="0" destOrd="0" presId="urn:microsoft.com/office/officeart/2005/8/layout/radial3"/>
    <dgm:cxn modelId="{84B24346-C768-48CB-B0F7-E2AE9B1763A8}" type="presOf" srcId="{16A64E06-E0CB-43D4-82D5-92CE0C3E3A6D}" destId="{6908AF5E-57F9-483B-A01C-E13B2355D4D9}" srcOrd="0" destOrd="0" presId="urn:microsoft.com/office/officeart/2005/8/layout/radial3"/>
    <dgm:cxn modelId="{26D56F49-52CB-4434-BAAF-2CAC69C0029C}" srcId="{A67FD61D-D7F0-4429-95DD-A22764D4BFF7}" destId="{EF1FCAB8-5428-481B-A9B9-C5B93858C64B}" srcOrd="3" destOrd="0" parTransId="{8E0F1B5E-4C52-4B1C-8AF3-4A22DCD03B50}" sibTransId="{38213067-09A8-4B9C-9492-99D447220B23}"/>
    <dgm:cxn modelId="{04FC899D-F6AD-46A0-B85D-82C49A24B598}" type="presOf" srcId="{8B849EBF-23F6-4A17-8A49-D330A063530C}" destId="{CA1717CB-2C12-4EEF-8FAD-D316978172B7}" srcOrd="0" destOrd="0" presId="urn:microsoft.com/office/officeart/2005/8/layout/radial3"/>
    <dgm:cxn modelId="{1146F9A5-AE7F-4AC8-B381-B7CEB6BD7408}" srcId="{A67FD61D-D7F0-4429-95DD-A22764D4BFF7}" destId="{8B849EBF-23F6-4A17-8A49-D330A063530C}" srcOrd="0" destOrd="0" parTransId="{0B307A27-D575-43B5-9A08-2F07C3CB4C19}" sibTransId="{31CC422E-E5F8-4731-A618-441DC8ED1C81}"/>
    <dgm:cxn modelId="{ACB9A9AD-55CE-45C4-9C71-3A53CEFDEBD2}" type="presOf" srcId="{EF1FCAB8-5428-481B-A9B9-C5B93858C64B}" destId="{6E8AC148-E715-4485-90D1-C181F9E1BD5F}" srcOrd="0" destOrd="0" presId="urn:microsoft.com/office/officeart/2005/8/layout/radial3"/>
    <dgm:cxn modelId="{7DBCDEE2-3A67-4BD0-A17B-7F721BA29CAF}" srcId="{16A64E06-E0CB-43D4-82D5-92CE0C3E3A6D}" destId="{A67FD61D-D7F0-4429-95DD-A22764D4BFF7}" srcOrd="0" destOrd="0" parTransId="{2ACC6A31-0C7C-47A1-864D-F9A8CEC9DC24}" sibTransId="{B91F493D-50D6-4880-8779-C3431C5F7CDB}"/>
    <dgm:cxn modelId="{14740DF0-0800-46C9-BFBC-0E168D8DBF6A}" type="presOf" srcId="{E1651A95-DAFE-4CE2-93D8-E6A1AF7D66FF}" destId="{97C9CF80-AD6E-42D6-B23C-70C195CCBE98}" srcOrd="0" destOrd="0" presId="urn:microsoft.com/office/officeart/2005/8/layout/radial3"/>
    <dgm:cxn modelId="{1A5705F9-A012-40E1-9109-71DD38D28254}" srcId="{A67FD61D-D7F0-4429-95DD-A22764D4BFF7}" destId="{23717B46-C08E-44D6-87C8-B3489A176367}" srcOrd="2" destOrd="0" parTransId="{D398DAF0-E849-42FB-9A34-3E65F76CB483}" sibTransId="{0D9D3386-F7B5-48B8-B1B5-F5E044B5C8B5}"/>
    <dgm:cxn modelId="{3E32BA61-0E6F-4BE6-9B19-9E99CE5AA642}" type="presParOf" srcId="{6908AF5E-57F9-483B-A01C-E13B2355D4D9}" destId="{0D248846-0157-4642-B9D2-385DE1F3AE0D}" srcOrd="0" destOrd="0" presId="urn:microsoft.com/office/officeart/2005/8/layout/radial3"/>
    <dgm:cxn modelId="{28BFF642-6F0E-4A7E-8B14-8AD61B2637F5}" type="presParOf" srcId="{0D248846-0157-4642-B9D2-385DE1F3AE0D}" destId="{8162BF72-248A-4D81-A57C-220A13BF83DA}" srcOrd="0" destOrd="0" presId="urn:microsoft.com/office/officeart/2005/8/layout/radial3"/>
    <dgm:cxn modelId="{EF8E5B6F-F844-43E6-B313-2177B164B921}" type="presParOf" srcId="{0D248846-0157-4642-B9D2-385DE1F3AE0D}" destId="{CA1717CB-2C12-4EEF-8FAD-D316978172B7}" srcOrd="1" destOrd="0" presId="urn:microsoft.com/office/officeart/2005/8/layout/radial3"/>
    <dgm:cxn modelId="{EE556CA2-B575-438D-8E31-EF0F4DB5AA7D}" type="presParOf" srcId="{0D248846-0157-4642-B9D2-385DE1F3AE0D}" destId="{97C9CF80-AD6E-42D6-B23C-70C195CCBE98}" srcOrd="2" destOrd="0" presId="urn:microsoft.com/office/officeart/2005/8/layout/radial3"/>
    <dgm:cxn modelId="{D8D4DB11-C0EB-4C5B-B832-DE8CD32C3DCE}" type="presParOf" srcId="{0D248846-0157-4642-B9D2-385DE1F3AE0D}" destId="{8E42D082-C76F-4562-BF43-40125B2EA3A1}" srcOrd="3" destOrd="0" presId="urn:microsoft.com/office/officeart/2005/8/layout/radial3"/>
    <dgm:cxn modelId="{B69DD204-AE90-4A29-B9FB-D3A8585083AD}" type="presParOf" srcId="{0D248846-0157-4642-B9D2-385DE1F3AE0D}" destId="{6E8AC148-E715-4485-90D1-C181F9E1BD5F}" srcOrd="4" destOrd="0" presId="urn:microsoft.com/office/officeart/2005/8/layout/radial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12BEDB-B10F-4E9C-ADA6-D2EB1B7FA332}">
      <dsp:nvSpPr>
        <dsp:cNvPr id="0" name=""/>
        <dsp:cNvSpPr/>
      </dsp:nvSpPr>
      <dsp:spPr>
        <a:xfrm>
          <a:off x="59051" y="62273"/>
          <a:ext cx="5368297" cy="780700"/>
        </a:xfrm>
        <a:prstGeom prst="rightArrow">
          <a:avLst>
            <a:gd name="adj1" fmla="val 50000"/>
            <a:gd name="adj2" fmla="val 50000"/>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254000" bIns="123936"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Positioning</a:t>
          </a:r>
          <a:endParaRPr lang="en-US" sz="1300" kern="1200">
            <a:latin typeface="Times New Roman" panose="02020603050405020304" pitchFamily="18" charset="0"/>
            <a:cs typeface="Times New Roman" panose="02020603050405020304" pitchFamily="18" charset="0"/>
          </a:endParaRPr>
        </a:p>
      </dsp:txBody>
      <dsp:txXfrm>
        <a:off x="59051" y="257448"/>
        <a:ext cx="5173122" cy="390350"/>
      </dsp:txXfrm>
    </dsp:sp>
    <dsp:sp modelId="{D8B9D25B-4624-4CD1-9DC9-C6B4F3C36AB6}">
      <dsp:nvSpPr>
        <dsp:cNvPr id="0" name=""/>
        <dsp:cNvSpPr/>
      </dsp:nvSpPr>
      <dsp:spPr>
        <a:xfrm>
          <a:off x="59051" y="663298"/>
          <a:ext cx="992168" cy="1433492"/>
        </a:xfrm>
        <a:prstGeom prst="re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Premium British Supermarket Quality at Accessible Prices</a:t>
          </a:r>
          <a:endParaRPr lang="en-US" sz="1200" kern="1200">
            <a:latin typeface="Times New Roman" panose="02020603050405020304" pitchFamily="18" charset="0"/>
            <a:cs typeface="Times New Roman" panose="02020603050405020304" pitchFamily="18" charset="0"/>
          </a:endParaRPr>
        </a:p>
      </dsp:txBody>
      <dsp:txXfrm>
        <a:off x="59051" y="663298"/>
        <a:ext cx="992168" cy="1433492"/>
      </dsp:txXfrm>
    </dsp:sp>
    <dsp:sp modelId="{39CBB1A8-073B-45D1-9506-485B146789B7}">
      <dsp:nvSpPr>
        <dsp:cNvPr id="0" name=""/>
        <dsp:cNvSpPr/>
      </dsp:nvSpPr>
      <dsp:spPr>
        <a:xfrm>
          <a:off x="1051112" y="322607"/>
          <a:ext cx="4376236" cy="780700"/>
        </a:xfrm>
        <a:prstGeom prst="rightArrow">
          <a:avLst>
            <a:gd name="adj1" fmla="val 50000"/>
            <a:gd name="adj2" fmla="val 50000"/>
          </a:avLst>
        </a:prstGeom>
        <a:gradFill rotWithShape="0">
          <a:gsLst>
            <a:gs pos="0">
              <a:schemeClr val="accent1">
                <a:shade val="80000"/>
                <a:hueOff val="87321"/>
                <a:satOff val="-1564"/>
                <a:lumOff val="6646"/>
                <a:alphaOff val="0"/>
                <a:satMod val="103000"/>
                <a:lumMod val="102000"/>
                <a:tint val="94000"/>
              </a:schemeClr>
            </a:gs>
            <a:gs pos="50000">
              <a:schemeClr val="accent1">
                <a:shade val="80000"/>
                <a:hueOff val="87321"/>
                <a:satOff val="-1564"/>
                <a:lumOff val="6646"/>
                <a:alphaOff val="0"/>
                <a:satMod val="110000"/>
                <a:lumMod val="100000"/>
                <a:shade val="100000"/>
              </a:schemeClr>
            </a:gs>
            <a:gs pos="100000">
              <a:schemeClr val="accent1">
                <a:shade val="80000"/>
                <a:hueOff val="87321"/>
                <a:satOff val="-1564"/>
                <a:lumOff val="664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254000" bIns="123936"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Pricing and Portfolio Strategy</a:t>
          </a:r>
          <a:endParaRPr lang="en-US" sz="1300" kern="1200">
            <a:latin typeface="Times New Roman" panose="02020603050405020304" pitchFamily="18" charset="0"/>
            <a:cs typeface="Times New Roman" panose="02020603050405020304" pitchFamily="18" charset="0"/>
          </a:endParaRPr>
        </a:p>
      </dsp:txBody>
      <dsp:txXfrm>
        <a:off x="1051112" y="517782"/>
        <a:ext cx="4181061" cy="390350"/>
      </dsp:txXfrm>
    </dsp:sp>
    <dsp:sp modelId="{ED1B5CF0-B9E1-46E7-B3BF-A42C7799C6A6}">
      <dsp:nvSpPr>
        <dsp:cNvPr id="0" name=""/>
        <dsp:cNvSpPr/>
      </dsp:nvSpPr>
      <dsp:spPr>
        <a:xfrm>
          <a:off x="1051112" y="923632"/>
          <a:ext cx="992168" cy="1433492"/>
        </a:xfrm>
        <a:prstGeom prst="re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Affordable indulgence</a:t>
          </a:r>
          <a:endParaRPr lang="en-US" sz="1200" kern="1200">
            <a:latin typeface="Times New Roman" panose="02020603050405020304" pitchFamily="18" charset="0"/>
            <a:cs typeface="Times New Roman" panose="02020603050405020304" pitchFamily="18" charset="0"/>
          </a:endParaRPr>
        </a:p>
      </dsp:txBody>
      <dsp:txXfrm>
        <a:off x="1051112" y="923632"/>
        <a:ext cx="992168" cy="1433492"/>
      </dsp:txXfrm>
    </dsp:sp>
    <dsp:sp modelId="{BE3BC374-D83E-4CEF-89FA-D02E80334F15}">
      <dsp:nvSpPr>
        <dsp:cNvPr id="0" name=""/>
        <dsp:cNvSpPr/>
      </dsp:nvSpPr>
      <dsp:spPr>
        <a:xfrm>
          <a:off x="2043174" y="582941"/>
          <a:ext cx="3384174" cy="780700"/>
        </a:xfrm>
        <a:prstGeom prst="rightArrow">
          <a:avLst>
            <a:gd name="adj1" fmla="val 50000"/>
            <a:gd name="adj2" fmla="val 50000"/>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254000" bIns="123936"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Branding and Promotion</a:t>
          </a:r>
          <a:endParaRPr lang="en-US" sz="1300" kern="1200">
            <a:latin typeface="Times New Roman" panose="02020603050405020304" pitchFamily="18" charset="0"/>
            <a:cs typeface="Times New Roman" panose="02020603050405020304" pitchFamily="18" charset="0"/>
          </a:endParaRPr>
        </a:p>
      </dsp:txBody>
      <dsp:txXfrm>
        <a:off x="2043174" y="778116"/>
        <a:ext cx="3188999" cy="390350"/>
      </dsp:txXfrm>
    </dsp:sp>
    <dsp:sp modelId="{46317A9F-297C-44BA-939D-7EA0779DF3EA}">
      <dsp:nvSpPr>
        <dsp:cNvPr id="0" name=""/>
        <dsp:cNvSpPr/>
      </dsp:nvSpPr>
      <dsp:spPr>
        <a:xfrm>
          <a:off x="2043174" y="1183966"/>
          <a:ext cx="992168" cy="1433492"/>
        </a:xfrm>
        <a:prstGeom prst="re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Strengthening the British premium message</a:t>
          </a:r>
          <a:endParaRPr lang="en-US" sz="1200" kern="1200">
            <a:latin typeface="Times New Roman" panose="02020603050405020304" pitchFamily="18" charset="0"/>
            <a:cs typeface="Times New Roman" panose="02020603050405020304" pitchFamily="18" charset="0"/>
          </a:endParaRPr>
        </a:p>
      </dsp:txBody>
      <dsp:txXfrm>
        <a:off x="2043174" y="1183966"/>
        <a:ext cx="992168" cy="1433492"/>
      </dsp:txXfrm>
    </dsp:sp>
    <dsp:sp modelId="{950115AF-4652-450A-904E-4A1CFFC02FE3}">
      <dsp:nvSpPr>
        <dsp:cNvPr id="0" name=""/>
        <dsp:cNvSpPr/>
      </dsp:nvSpPr>
      <dsp:spPr>
        <a:xfrm>
          <a:off x="3035772" y="843275"/>
          <a:ext cx="2391576" cy="780700"/>
        </a:xfrm>
        <a:prstGeom prst="rightArrow">
          <a:avLst>
            <a:gd name="adj1" fmla="val 50000"/>
            <a:gd name="adj2" fmla="val 50000"/>
          </a:avLst>
        </a:prstGeom>
        <a:gradFill rotWithShape="0">
          <a:gsLst>
            <a:gs pos="0">
              <a:schemeClr val="accent1">
                <a:shade val="80000"/>
                <a:hueOff val="261962"/>
                <a:satOff val="-4692"/>
                <a:lumOff val="19939"/>
                <a:alphaOff val="0"/>
                <a:satMod val="103000"/>
                <a:lumMod val="102000"/>
                <a:tint val="94000"/>
              </a:schemeClr>
            </a:gs>
            <a:gs pos="50000">
              <a:schemeClr val="accent1">
                <a:shade val="80000"/>
                <a:hueOff val="261962"/>
                <a:satOff val="-4692"/>
                <a:lumOff val="19939"/>
                <a:alphaOff val="0"/>
                <a:satMod val="110000"/>
                <a:lumMod val="100000"/>
                <a:shade val="100000"/>
              </a:schemeClr>
            </a:gs>
            <a:gs pos="100000">
              <a:schemeClr val="accent1">
                <a:shade val="80000"/>
                <a:hueOff val="261962"/>
                <a:satOff val="-4692"/>
                <a:lumOff val="19939"/>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530" tIns="49530" rIns="254000" bIns="123936"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Distribution &amp; Advertising </a:t>
          </a:r>
          <a:endParaRPr lang="en-US" sz="1300" kern="1200">
            <a:latin typeface="Times New Roman" panose="02020603050405020304" pitchFamily="18" charset="0"/>
            <a:cs typeface="Times New Roman" panose="02020603050405020304" pitchFamily="18" charset="0"/>
          </a:endParaRPr>
        </a:p>
      </dsp:txBody>
      <dsp:txXfrm>
        <a:off x="3035772" y="1038450"/>
        <a:ext cx="2196401" cy="390350"/>
      </dsp:txXfrm>
    </dsp:sp>
    <dsp:sp modelId="{D282DC03-4908-43FE-92E7-434617A1451B}">
      <dsp:nvSpPr>
        <dsp:cNvPr id="0" name=""/>
        <dsp:cNvSpPr/>
      </dsp:nvSpPr>
      <dsp:spPr>
        <a:xfrm>
          <a:off x="3035772" y="1481585"/>
          <a:ext cx="992168" cy="1433492"/>
        </a:xfrm>
        <a:prstGeom prst="re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1. Enhance and deepen supply chain </a:t>
          </a:r>
        </a:p>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2. Improved social media marketing</a:t>
          </a:r>
        </a:p>
      </dsp:txBody>
      <dsp:txXfrm>
        <a:off x="3035772" y="1481585"/>
        <a:ext cx="992168" cy="1433492"/>
      </dsp:txXfrm>
    </dsp:sp>
    <dsp:sp modelId="{9CFCB2F3-AF73-474D-B92D-107C07EDA15A}">
      <dsp:nvSpPr>
        <dsp:cNvPr id="0" name=""/>
        <dsp:cNvSpPr/>
      </dsp:nvSpPr>
      <dsp:spPr>
        <a:xfrm>
          <a:off x="4027833" y="1103609"/>
          <a:ext cx="1399515" cy="780700"/>
        </a:xfrm>
        <a:prstGeom prst="rightArrow">
          <a:avLst>
            <a:gd name="adj1" fmla="val 50000"/>
            <a:gd name="adj2" fmla="val 50000"/>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254000" bIns="123936" numCol="1" spcCol="1270" anchor="ctr" anchorCtr="0">
          <a:noAutofit/>
        </a:bodyPr>
        <a:lstStyle/>
        <a:p>
          <a:pPr marL="0" lvl="0" indent="0" algn="l"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Customer Retention </a:t>
          </a:r>
          <a:endParaRPr lang="en-US" sz="1050" kern="1200">
            <a:latin typeface="Times New Roman" panose="02020603050405020304" pitchFamily="18" charset="0"/>
            <a:cs typeface="Times New Roman" panose="02020603050405020304" pitchFamily="18" charset="0"/>
          </a:endParaRPr>
        </a:p>
      </dsp:txBody>
      <dsp:txXfrm>
        <a:off x="4027833" y="1298784"/>
        <a:ext cx="1204340" cy="390350"/>
      </dsp:txXfrm>
    </dsp:sp>
    <dsp:sp modelId="{9B65A3B0-764D-4856-9AA4-86BC9D477E51}">
      <dsp:nvSpPr>
        <dsp:cNvPr id="0" name=""/>
        <dsp:cNvSpPr/>
      </dsp:nvSpPr>
      <dsp:spPr>
        <a:xfrm>
          <a:off x="4027833" y="1704634"/>
          <a:ext cx="992168" cy="1433492"/>
        </a:xfrm>
        <a:prstGeom prst="rect">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Customer activity tracking and data analytics</a:t>
          </a:r>
        </a:p>
      </dsp:txBody>
      <dsp:txXfrm>
        <a:off x="4027833" y="1704634"/>
        <a:ext cx="992168" cy="14334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62BF72-248A-4D81-A57C-220A13BF83DA}">
      <dsp:nvSpPr>
        <dsp:cNvPr id="0" name=""/>
        <dsp:cNvSpPr/>
      </dsp:nvSpPr>
      <dsp:spPr>
        <a:xfrm>
          <a:off x="1855589" y="712589"/>
          <a:ext cx="1775221" cy="1775221"/>
        </a:xfrm>
        <a:prstGeom prst="ellipse">
          <a:avLst/>
        </a:prstGeom>
        <a:solidFill>
          <a:schemeClr val="accent3">
            <a:shade val="80000"/>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US" sz="2400" b="1" kern="1200">
              <a:latin typeface="Times New Roman" panose="02020603050405020304" pitchFamily="18" charset="0"/>
              <a:cs typeface="Times New Roman" panose="02020603050405020304" pitchFamily="18" charset="0"/>
            </a:rPr>
            <a:t>Industry rivalry</a:t>
          </a:r>
        </a:p>
        <a:p>
          <a:pPr marL="0" lvl="0" indent="0" algn="ctr" defTabSz="1066800">
            <a:lnSpc>
              <a:spcPct val="90000"/>
            </a:lnSpc>
            <a:spcBef>
              <a:spcPct val="0"/>
            </a:spcBef>
            <a:spcAft>
              <a:spcPct val="35000"/>
            </a:spcAft>
            <a:buNone/>
          </a:pPr>
          <a:r>
            <a:rPr lang="en-US" sz="2400" b="0" kern="1200">
              <a:latin typeface="Times New Roman" panose="02020603050405020304" pitchFamily="18" charset="0"/>
              <a:cs typeface="Times New Roman" panose="02020603050405020304" pitchFamily="18" charset="0"/>
            </a:rPr>
            <a:t>High</a:t>
          </a:r>
        </a:p>
      </dsp:txBody>
      <dsp:txXfrm>
        <a:off x="2115564" y="972564"/>
        <a:ext cx="1255271" cy="1255271"/>
      </dsp:txXfrm>
    </dsp:sp>
    <dsp:sp modelId="{CA1717CB-2C12-4EEF-8FAD-D316978172B7}">
      <dsp:nvSpPr>
        <dsp:cNvPr id="0" name=""/>
        <dsp:cNvSpPr/>
      </dsp:nvSpPr>
      <dsp:spPr>
        <a:xfrm>
          <a:off x="2299394" y="316"/>
          <a:ext cx="887610" cy="887610"/>
        </a:xfrm>
        <a:prstGeom prst="ellipse">
          <a:avLst/>
        </a:prstGeom>
        <a:solidFill>
          <a:schemeClr val="accent3">
            <a:shade val="80000"/>
            <a:alpha val="50000"/>
            <a:hueOff val="0"/>
            <a:satOff val="0"/>
            <a:lumOff val="477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Bargaining Power of Buyers </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High</a:t>
          </a:r>
        </a:p>
      </dsp:txBody>
      <dsp:txXfrm>
        <a:off x="2429381" y="130303"/>
        <a:ext cx="627636" cy="627636"/>
      </dsp:txXfrm>
    </dsp:sp>
    <dsp:sp modelId="{97C9CF80-AD6E-42D6-B23C-70C195CCBE98}">
      <dsp:nvSpPr>
        <dsp:cNvPr id="0" name=""/>
        <dsp:cNvSpPr/>
      </dsp:nvSpPr>
      <dsp:spPr>
        <a:xfrm>
          <a:off x="3455472" y="1156394"/>
          <a:ext cx="887610" cy="887610"/>
        </a:xfrm>
        <a:prstGeom prst="ellipse">
          <a:avLst/>
        </a:prstGeom>
        <a:solidFill>
          <a:schemeClr val="accent3">
            <a:shade val="80000"/>
            <a:alpha val="50000"/>
            <a:hueOff val="0"/>
            <a:satOff val="0"/>
            <a:lumOff val="954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Bargaining Power of Buyers </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Moderate to Low</a:t>
          </a:r>
        </a:p>
      </dsp:txBody>
      <dsp:txXfrm>
        <a:off x="3585459" y="1286381"/>
        <a:ext cx="627636" cy="627636"/>
      </dsp:txXfrm>
    </dsp:sp>
    <dsp:sp modelId="{8E42D082-C76F-4562-BF43-40125B2EA3A1}">
      <dsp:nvSpPr>
        <dsp:cNvPr id="0" name=""/>
        <dsp:cNvSpPr/>
      </dsp:nvSpPr>
      <dsp:spPr>
        <a:xfrm>
          <a:off x="2299394" y="2312472"/>
          <a:ext cx="887610" cy="887610"/>
        </a:xfrm>
        <a:prstGeom prst="ellipse">
          <a:avLst/>
        </a:prstGeom>
        <a:solidFill>
          <a:schemeClr val="accent3">
            <a:shade val="80000"/>
            <a:alpha val="50000"/>
            <a:hueOff val="0"/>
            <a:satOff val="0"/>
            <a:lumOff val="14319"/>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Threat of Substitute</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High</a:t>
          </a:r>
        </a:p>
      </dsp:txBody>
      <dsp:txXfrm>
        <a:off x="2429381" y="2442459"/>
        <a:ext cx="627636" cy="627636"/>
      </dsp:txXfrm>
    </dsp:sp>
    <dsp:sp modelId="{6E8AC148-E715-4485-90D1-C181F9E1BD5F}">
      <dsp:nvSpPr>
        <dsp:cNvPr id="0" name=""/>
        <dsp:cNvSpPr/>
      </dsp:nvSpPr>
      <dsp:spPr>
        <a:xfrm>
          <a:off x="1143316" y="1156394"/>
          <a:ext cx="887610" cy="887610"/>
        </a:xfrm>
        <a:prstGeom prst="ellipse">
          <a:avLst/>
        </a:prstGeom>
        <a:solidFill>
          <a:schemeClr val="accent3">
            <a:shade val="80000"/>
            <a:alpha val="50000"/>
            <a:hueOff val="0"/>
            <a:satOff val="0"/>
            <a:lumOff val="1909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Threat of New Entrants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Low to Moderate</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8EAAE-822F-48EF-8BC7-99103996A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68</Pages>
  <Words>20135</Words>
  <Characters>114771</Characters>
  <Application>Microsoft Office Word</Application>
  <DocSecurity>0</DocSecurity>
  <Lines>956</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2026-08-05T12:20:00Z</dcterms:created>
  <dcterms:modified xsi:type="dcterms:W3CDTF">2026-08-26T16:24:00Z</dcterms:modified>
</cp:coreProperties>
</file>