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54919" w14:textId="77777777" w:rsidR="00470985" w:rsidRDefault="002F1642">
      <w:pPr>
        <w:spacing w:line="259" w:lineRule="auto"/>
        <w:jc w:val="center"/>
      </w:pPr>
      <w:r>
        <w:rPr>
          <w:rFonts w:ascii="Arial" w:hAnsi="Arial"/>
          <w:sz w:val="32"/>
          <w:szCs w:val="32"/>
        </w:rPr>
        <w:t>Professional Career Development</w:t>
      </w:r>
      <w:r>
        <w:t xml:space="preserve"> </w:t>
      </w:r>
    </w:p>
    <w:p w14:paraId="0321F949" w14:textId="77777777" w:rsidR="00470985" w:rsidRDefault="00470985">
      <w:pPr>
        <w:spacing w:line="259" w:lineRule="auto"/>
        <w:jc w:val="center"/>
      </w:pPr>
    </w:p>
    <w:p w14:paraId="496517A5" w14:textId="77777777" w:rsidR="00470985" w:rsidRDefault="00470985">
      <w:pPr>
        <w:spacing w:line="259" w:lineRule="auto"/>
        <w:jc w:val="center"/>
      </w:pPr>
    </w:p>
    <w:p w14:paraId="464902A4" w14:textId="77777777" w:rsidR="00470985" w:rsidRDefault="00470985">
      <w:pPr>
        <w:spacing w:line="259" w:lineRule="auto"/>
        <w:jc w:val="center"/>
        <w:rPr>
          <w:sz w:val="28"/>
          <w:szCs w:val="28"/>
        </w:rPr>
      </w:pPr>
    </w:p>
    <w:p w14:paraId="79F7150E" w14:textId="77777777" w:rsidR="00470985" w:rsidRDefault="00470985">
      <w:pPr>
        <w:spacing w:line="259" w:lineRule="auto"/>
        <w:jc w:val="center"/>
        <w:rPr>
          <w:sz w:val="28"/>
          <w:szCs w:val="28"/>
        </w:rPr>
      </w:pPr>
    </w:p>
    <w:p w14:paraId="16EFC53B" w14:textId="6C006675" w:rsidR="00470985" w:rsidRDefault="002F1642">
      <w:pPr>
        <w:spacing w:line="259" w:lineRule="auto"/>
        <w:jc w:val="center"/>
        <w:rPr>
          <w:sz w:val="28"/>
          <w:szCs w:val="28"/>
        </w:rPr>
      </w:pPr>
      <w:r>
        <w:rPr>
          <w:sz w:val="28"/>
          <w:szCs w:val="28"/>
        </w:rPr>
        <w:t>Name:</w:t>
      </w:r>
      <w:r w:rsidR="000368BD">
        <w:rPr>
          <w:sz w:val="28"/>
          <w:szCs w:val="28"/>
        </w:rPr>
        <w:t xml:space="preserve"> Costel-</w:t>
      </w:r>
      <w:proofErr w:type="spellStart"/>
      <w:r w:rsidR="000368BD">
        <w:rPr>
          <w:sz w:val="28"/>
          <w:szCs w:val="28"/>
        </w:rPr>
        <w:t>Alexandru</w:t>
      </w:r>
      <w:proofErr w:type="spellEnd"/>
      <w:r w:rsidR="000368BD">
        <w:rPr>
          <w:sz w:val="28"/>
          <w:szCs w:val="28"/>
        </w:rPr>
        <w:t xml:space="preserve"> Crap</w:t>
      </w:r>
    </w:p>
    <w:p w14:paraId="076E27C0" w14:textId="64CE71B4" w:rsidR="00470985" w:rsidRDefault="002F1642">
      <w:pPr>
        <w:spacing w:line="259" w:lineRule="auto"/>
        <w:jc w:val="center"/>
        <w:rPr>
          <w:sz w:val="28"/>
          <w:szCs w:val="28"/>
        </w:rPr>
      </w:pPr>
      <w:r>
        <w:rPr>
          <w:sz w:val="28"/>
          <w:szCs w:val="28"/>
        </w:rPr>
        <w:t>Student Number:</w:t>
      </w:r>
      <w:r w:rsidR="000368BD">
        <w:rPr>
          <w:sz w:val="28"/>
          <w:szCs w:val="28"/>
        </w:rPr>
        <w:t xml:space="preserve"> 2132995</w:t>
      </w:r>
    </w:p>
    <w:p w14:paraId="27F7B6E2" w14:textId="74D9E4D2" w:rsidR="00470985" w:rsidRDefault="002F1642">
      <w:pPr>
        <w:spacing w:line="259" w:lineRule="auto"/>
        <w:jc w:val="center"/>
        <w:rPr>
          <w:sz w:val="28"/>
          <w:szCs w:val="28"/>
        </w:rPr>
      </w:pPr>
      <w:r>
        <w:rPr>
          <w:sz w:val="28"/>
          <w:szCs w:val="28"/>
        </w:rPr>
        <w:t>The Module Code:</w:t>
      </w:r>
      <w:r w:rsidR="000368BD">
        <w:rPr>
          <w:sz w:val="28"/>
          <w:szCs w:val="28"/>
        </w:rPr>
        <w:t xml:space="preserve"> BMSW4005_LON</w:t>
      </w:r>
    </w:p>
    <w:p w14:paraId="652FD68A" w14:textId="2DA9F652" w:rsidR="00470985" w:rsidRDefault="002F1642">
      <w:pPr>
        <w:spacing w:line="259" w:lineRule="auto"/>
        <w:jc w:val="center"/>
        <w:rPr>
          <w:sz w:val="28"/>
          <w:szCs w:val="28"/>
        </w:rPr>
      </w:pPr>
      <w:r>
        <w:rPr>
          <w:sz w:val="28"/>
          <w:szCs w:val="28"/>
        </w:rPr>
        <w:t>Lecturer’s Name:</w:t>
      </w:r>
      <w:r w:rsidR="000368BD">
        <w:rPr>
          <w:sz w:val="28"/>
          <w:szCs w:val="28"/>
        </w:rPr>
        <w:t xml:space="preserve"> Charles </w:t>
      </w:r>
      <w:proofErr w:type="spellStart"/>
      <w:r w:rsidR="000368BD">
        <w:rPr>
          <w:sz w:val="28"/>
          <w:szCs w:val="28"/>
        </w:rPr>
        <w:t>Nwaogwugwu</w:t>
      </w:r>
      <w:proofErr w:type="spellEnd"/>
    </w:p>
    <w:p w14:paraId="77464F2F" w14:textId="77777777" w:rsidR="00470985" w:rsidRDefault="002F1642">
      <w:pPr>
        <w:spacing w:line="259" w:lineRule="auto"/>
        <w:jc w:val="center"/>
        <w:rPr>
          <w:rFonts w:eastAsia="SimSun" w:cs="Times New Roman"/>
          <w:b/>
          <w:sz w:val="32"/>
          <w:szCs w:val="32"/>
        </w:rPr>
      </w:pPr>
      <w:r>
        <w:t xml:space="preserve"> </w:t>
      </w:r>
      <w:r>
        <w:br w:type="page"/>
      </w:r>
    </w:p>
    <w:p w14:paraId="5F58C338" w14:textId="77777777" w:rsidR="00470985" w:rsidRDefault="002F1642">
      <w:pPr>
        <w:pStyle w:val="TOCHeading"/>
        <w:jc w:val="center"/>
        <w:rPr>
          <w:rFonts w:ascii="Arial" w:hAnsi="Arial" w:cs="Arial"/>
          <w:color w:val="auto"/>
        </w:rPr>
      </w:pPr>
      <w:r>
        <w:rPr>
          <w:rFonts w:ascii="Arial" w:hAnsi="Arial" w:cs="Arial"/>
          <w:color w:val="auto"/>
        </w:rPr>
        <w:lastRenderedPageBreak/>
        <w:t>Table of Contents</w:t>
      </w:r>
    </w:p>
    <w:p w14:paraId="6B463300" w14:textId="77777777" w:rsidR="00470985" w:rsidRDefault="002F1642">
      <w:pPr>
        <w:pStyle w:val="TOC1"/>
        <w:tabs>
          <w:tab w:val="right" w:leader="dot" w:pos="9016"/>
        </w:tabs>
        <w:rPr>
          <w:rFonts w:ascii="Calibri" w:eastAsia="SimSun" w:hAnsi="Calibri"/>
          <w:noProof/>
          <w:kern w:val="0"/>
          <w:sz w:val="22"/>
          <w:lang w:val="en-US"/>
          <w14:ligatures w14:val="none"/>
        </w:rPr>
      </w:pPr>
      <w:r>
        <w:rPr>
          <w:rFonts w:ascii="Arial" w:hAnsi="Arial"/>
          <w:sz w:val="28"/>
          <w:szCs w:val="28"/>
        </w:rPr>
        <w:fldChar w:fldCharType="begin"/>
      </w:r>
      <w:r>
        <w:rPr>
          <w:rFonts w:ascii="Arial" w:hAnsi="Arial"/>
          <w:sz w:val="28"/>
          <w:szCs w:val="28"/>
        </w:rPr>
        <w:instrText xml:space="preserve"> TOC \o "1-3" \h \z \u </w:instrText>
      </w:r>
      <w:r>
        <w:rPr>
          <w:rFonts w:ascii="Arial" w:hAnsi="Arial"/>
          <w:sz w:val="28"/>
          <w:szCs w:val="28"/>
        </w:rPr>
        <w:fldChar w:fldCharType="separate"/>
      </w:r>
      <w:hyperlink w:anchor="_Toc129955800" w:history="1">
        <w:r>
          <w:rPr>
            <w:rStyle w:val="Hyperlink"/>
            <w:noProof/>
          </w:rPr>
          <w:t>Introduction</w:t>
        </w:r>
        <w:r>
          <w:rPr>
            <w:noProof/>
            <w:webHidden/>
          </w:rPr>
          <w:tab/>
        </w:r>
        <w:r>
          <w:rPr>
            <w:noProof/>
            <w:webHidden/>
          </w:rPr>
          <w:fldChar w:fldCharType="begin"/>
        </w:r>
        <w:r>
          <w:rPr>
            <w:noProof/>
            <w:webHidden/>
          </w:rPr>
          <w:instrText xml:space="preserve"> PAGEREF _Toc129955800 \h </w:instrText>
        </w:r>
        <w:r>
          <w:rPr>
            <w:noProof/>
            <w:webHidden/>
          </w:rPr>
        </w:r>
        <w:r>
          <w:rPr>
            <w:noProof/>
            <w:webHidden/>
          </w:rPr>
          <w:fldChar w:fldCharType="separate"/>
        </w:r>
        <w:r>
          <w:rPr>
            <w:noProof/>
            <w:webHidden/>
          </w:rPr>
          <w:t>3</w:t>
        </w:r>
        <w:r>
          <w:rPr>
            <w:noProof/>
            <w:webHidden/>
          </w:rPr>
          <w:fldChar w:fldCharType="end"/>
        </w:r>
      </w:hyperlink>
    </w:p>
    <w:p w14:paraId="7F1F8A45" w14:textId="77777777" w:rsidR="00470985" w:rsidRDefault="00000000">
      <w:pPr>
        <w:pStyle w:val="TOC1"/>
        <w:tabs>
          <w:tab w:val="right" w:leader="dot" w:pos="9016"/>
        </w:tabs>
        <w:rPr>
          <w:rFonts w:ascii="Calibri" w:eastAsia="SimSun" w:hAnsi="Calibri"/>
          <w:noProof/>
          <w:kern w:val="0"/>
          <w:sz w:val="22"/>
          <w:lang w:val="en-US"/>
          <w14:ligatures w14:val="none"/>
        </w:rPr>
      </w:pPr>
      <w:hyperlink w:anchor="_Toc129955801" w:history="1">
        <w:r w:rsidR="002F1642">
          <w:rPr>
            <w:rStyle w:val="Hyperlink"/>
            <w:noProof/>
          </w:rPr>
          <w:t>Concrete Experience</w:t>
        </w:r>
        <w:r w:rsidR="002F1642">
          <w:rPr>
            <w:noProof/>
            <w:webHidden/>
          </w:rPr>
          <w:tab/>
        </w:r>
        <w:r w:rsidR="002F1642">
          <w:rPr>
            <w:noProof/>
            <w:webHidden/>
          </w:rPr>
          <w:fldChar w:fldCharType="begin"/>
        </w:r>
        <w:r w:rsidR="002F1642">
          <w:rPr>
            <w:noProof/>
            <w:webHidden/>
          </w:rPr>
          <w:instrText xml:space="preserve"> PAGEREF _Toc129955801 \h </w:instrText>
        </w:r>
        <w:r w:rsidR="002F1642">
          <w:rPr>
            <w:noProof/>
            <w:webHidden/>
          </w:rPr>
        </w:r>
        <w:r w:rsidR="002F1642">
          <w:rPr>
            <w:noProof/>
            <w:webHidden/>
          </w:rPr>
          <w:fldChar w:fldCharType="separate"/>
        </w:r>
        <w:r w:rsidR="002F1642">
          <w:rPr>
            <w:noProof/>
            <w:webHidden/>
          </w:rPr>
          <w:t>4</w:t>
        </w:r>
        <w:r w:rsidR="002F1642">
          <w:rPr>
            <w:noProof/>
            <w:webHidden/>
          </w:rPr>
          <w:fldChar w:fldCharType="end"/>
        </w:r>
      </w:hyperlink>
    </w:p>
    <w:p w14:paraId="78088242" w14:textId="77777777" w:rsidR="00470985" w:rsidRDefault="00000000">
      <w:pPr>
        <w:pStyle w:val="TOC1"/>
        <w:tabs>
          <w:tab w:val="right" w:leader="dot" w:pos="9016"/>
        </w:tabs>
        <w:rPr>
          <w:rFonts w:ascii="Calibri" w:eastAsia="SimSun" w:hAnsi="Calibri"/>
          <w:noProof/>
          <w:kern w:val="0"/>
          <w:sz w:val="22"/>
          <w:lang w:val="en-US"/>
          <w14:ligatures w14:val="none"/>
        </w:rPr>
      </w:pPr>
      <w:hyperlink w:anchor="_Toc129955802" w:history="1">
        <w:r w:rsidR="002F1642">
          <w:rPr>
            <w:rStyle w:val="Hyperlink"/>
            <w:noProof/>
          </w:rPr>
          <w:t>Reflective Observation</w:t>
        </w:r>
        <w:r w:rsidR="002F1642">
          <w:rPr>
            <w:noProof/>
            <w:webHidden/>
          </w:rPr>
          <w:tab/>
        </w:r>
        <w:r w:rsidR="002F1642">
          <w:rPr>
            <w:noProof/>
            <w:webHidden/>
          </w:rPr>
          <w:fldChar w:fldCharType="begin"/>
        </w:r>
        <w:r w:rsidR="002F1642">
          <w:rPr>
            <w:noProof/>
            <w:webHidden/>
          </w:rPr>
          <w:instrText xml:space="preserve"> PAGEREF _Toc129955802 \h </w:instrText>
        </w:r>
        <w:r w:rsidR="002F1642">
          <w:rPr>
            <w:noProof/>
            <w:webHidden/>
          </w:rPr>
        </w:r>
        <w:r w:rsidR="002F1642">
          <w:rPr>
            <w:noProof/>
            <w:webHidden/>
          </w:rPr>
          <w:fldChar w:fldCharType="separate"/>
        </w:r>
        <w:r w:rsidR="002F1642">
          <w:rPr>
            <w:noProof/>
            <w:webHidden/>
          </w:rPr>
          <w:t>6</w:t>
        </w:r>
        <w:r w:rsidR="002F1642">
          <w:rPr>
            <w:noProof/>
            <w:webHidden/>
          </w:rPr>
          <w:fldChar w:fldCharType="end"/>
        </w:r>
      </w:hyperlink>
    </w:p>
    <w:p w14:paraId="797A0E4A" w14:textId="77777777" w:rsidR="00470985" w:rsidRDefault="00000000">
      <w:pPr>
        <w:pStyle w:val="TOC1"/>
        <w:tabs>
          <w:tab w:val="right" w:leader="dot" w:pos="9016"/>
        </w:tabs>
        <w:rPr>
          <w:rFonts w:ascii="Calibri" w:eastAsia="SimSun" w:hAnsi="Calibri"/>
          <w:noProof/>
          <w:kern w:val="0"/>
          <w:sz w:val="22"/>
          <w:lang w:val="en-US"/>
          <w14:ligatures w14:val="none"/>
        </w:rPr>
      </w:pPr>
      <w:hyperlink w:anchor="_Toc129955803" w:history="1">
        <w:r w:rsidR="002F1642">
          <w:rPr>
            <w:rStyle w:val="Hyperlink"/>
            <w:noProof/>
          </w:rPr>
          <w:t>Abstract Conceptualization</w:t>
        </w:r>
        <w:r w:rsidR="002F1642">
          <w:rPr>
            <w:noProof/>
            <w:webHidden/>
          </w:rPr>
          <w:tab/>
        </w:r>
        <w:r w:rsidR="002F1642">
          <w:rPr>
            <w:noProof/>
            <w:webHidden/>
          </w:rPr>
          <w:fldChar w:fldCharType="begin"/>
        </w:r>
        <w:r w:rsidR="002F1642">
          <w:rPr>
            <w:noProof/>
            <w:webHidden/>
          </w:rPr>
          <w:instrText xml:space="preserve"> PAGEREF _Toc129955803 \h </w:instrText>
        </w:r>
        <w:r w:rsidR="002F1642">
          <w:rPr>
            <w:noProof/>
            <w:webHidden/>
          </w:rPr>
        </w:r>
        <w:r w:rsidR="002F1642">
          <w:rPr>
            <w:noProof/>
            <w:webHidden/>
          </w:rPr>
          <w:fldChar w:fldCharType="separate"/>
        </w:r>
        <w:r w:rsidR="002F1642">
          <w:rPr>
            <w:noProof/>
            <w:webHidden/>
          </w:rPr>
          <w:t>7</w:t>
        </w:r>
        <w:r w:rsidR="002F1642">
          <w:rPr>
            <w:noProof/>
            <w:webHidden/>
          </w:rPr>
          <w:fldChar w:fldCharType="end"/>
        </w:r>
      </w:hyperlink>
    </w:p>
    <w:p w14:paraId="5A8337E0" w14:textId="77777777" w:rsidR="00470985" w:rsidRDefault="00000000">
      <w:pPr>
        <w:pStyle w:val="TOC1"/>
        <w:tabs>
          <w:tab w:val="right" w:leader="dot" w:pos="9016"/>
        </w:tabs>
        <w:rPr>
          <w:rFonts w:ascii="Calibri" w:eastAsia="SimSun" w:hAnsi="Calibri"/>
          <w:noProof/>
          <w:kern w:val="0"/>
          <w:sz w:val="22"/>
          <w:lang w:val="en-US"/>
          <w14:ligatures w14:val="none"/>
        </w:rPr>
      </w:pPr>
      <w:hyperlink w:anchor="_Toc129955804" w:history="1">
        <w:r w:rsidR="002F1642">
          <w:rPr>
            <w:rStyle w:val="Hyperlink"/>
            <w:noProof/>
          </w:rPr>
          <w:t>Active Experimentation</w:t>
        </w:r>
        <w:r w:rsidR="002F1642">
          <w:rPr>
            <w:noProof/>
            <w:webHidden/>
          </w:rPr>
          <w:tab/>
        </w:r>
        <w:r w:rsidR="002F1642">
          <w:rPr>
            <w:noProof/>
            <w:webHidden/>
          </w:rPr>
          <w:fldChar w:fldCharType="begin"/>
        </w:r>
        <w:r w:rsidR="002F1642">
          <w:rPr>
            <w:noProof/>
            <w:webHidden/>
          </w:rPr>
          <w:instrText xml:space="preserve"> PAGEREF _Toc129955804 \h </w:instrText>
        </w:r>
        <w:r w:rsidR="002F1642">
          <w:rPr>
            <w:noProof/>
            <w:webHidden/>
          </w:rPr>
        </w:r>
        <w:r w:rsidR="002F1642">
          <w:rPr>
            <w:noProof/>
            <w:webHidden/>
          </w:rPr>
          <w:fldChar w:fldCharType="separate"/>
        </w:r>
        <w:r w:rsidR="002F1642">
          <w:rPr>
            <w:noProof/>
            <w:webHidden/>
          </w:rPr>
          <w:t>8</w:t>
        </w:r>
        <w:r w:rsidR="002F1642">
          <w:rPr>
            <w:noProof/>
            <w:webHidden/>
          </w:rPr>
          <w:fldChar w:fldCharType="end"/>
        </w:r>
      </w:hyperlink>
    </w:p>
    <w:p w14:paraId="7703641D" w14:textId="77777777" w:rsidR="00470985" w:rsidRDefault="00000000">
      <w:pPr>
        <w:pStyle w:val="TOC1"/>
        <w:tabs>
          <w:tab w:val="right" w:leader="dot" w:pos="9016"/>
        </w:tabs>
        <w:rPr>
          <w:rFonts w:ascii="Calibri" w:eastAsia="SimSun" w:hAnsi="Calibri"/>
          <w:noProof/>
          <w:kern w:val="0"/>
          <w:sz w:val="22"/>
          <w:lang w:val="en-US"/>
          <w14:ligatures w14:val="none"/>
        </w:rPr>
      </w:pPr>
      <w:hyperlink w:anchor="_Toc129955805" w:history="1">
        <w:r w:rsidR="002F1642">
          <w:rPr>
            <w:rStyle w:val="Hyperlink"/>
            <w:noProof/>
          </w:rPr>
          <w:t>Conclusion</w:t>
        </w:r>
        <w:r w:rsidR="002F1642">
          <w:rPr>
            <w:noProof/>
            <w:webHidden/>
          </w:rPr>
          <w:tab/>
        </w:r>
        <w:r w:rsidR="002F1642">
          <w:rPr>
            <w:noProof/>
            <w:webHidden/>
          </w:rPr>
          <w:fldChar w:fldCharType="begin"/>
        </w:r>
        <w:r w:rsidR="002F1642">
          <w:rPr>
            <w:noProof/>
            <w:webHidden/>
          </w:rPr>
          <w:instrText xml:space="preserve"> PAGEREF _Toc129955805 \h </w:instrText>
        </w:r>
        <w:r w:rsidR="002F1642">
          <w:rPr>
            <w:noProof/>
            <w:webHidden/>
          </w:rPr>
        </w:r>
        <w:r w:rsidR="002F1642">
          <w:rPr>
            <w:noProof/>
            <w:webHidden/>
          </w:rPr>
          <w:fldChar w:fldCharType="separate"/>
        </w:r>
        <w:r w:rsidR="002F1642">
          <w:rPr>
            <w:noProof/>
            <w:webHidden/>
          </w:rPr>
          <w:t>10</w:t>
        </w:r>
        <w:r w:rsidR="002F1642">
          <w:rPr>
            <w:noProof/>
            <w:webHidden/>
          </w:rPr>
          <w:fldChar w:fldCharType="end"/>
        </w:r>
      </w:hyperlink>
    </w:p>
    <w:p w14:paraId="5824A146" w14:textId="77777777" w:rsidR="00470985" w:rsidRDefault="00000000">
      <w:pPr>
        <w:pStyle w:val="TOC1"/>
        <w:tabs>
          <w:tab w:val="right" w:leader="dot" w:pos="9016"/>
        </w:tabs>
        <w:rPr>
          <w:rFonts w:ascii="Calibri" w:eastAsia="SimSun" w:hAnsi="Calibri"/>
          <w:noProof/>
          <w:kern w:val="0"/>
          <w:sz w:val="22"/>
          <w:lang w:val="en-US"/>
          <w14:ligatures w14:val="none"/>
        </w:rPr>
      </w:pPr>
      <w:hyperlink w:anchor="_Toc129955806" w:history="1">
        <w:r w:rsidR="002F1642">
          <w:rPr>
            <w:rStyle w:val="Hyperlink"/>
            <w:rFonts w:ascii="Arial" w:hAnsi="Arial"/>
            <w:noProof/>
          </w:rPr>
          <w:t>Reference</w:t>
        </w:r>
        <w:r w:rsidR="002F1642">
          <w:rPr>
            <w:noProof/>
            <w:webHidden/>
          </w:rPr>
          <w:tab/>
        </w:r>
        <w:r w:rsidR="002F1642">
          <w:rPr>
            <w:noProof/>
            <w:webHidden/>
          </w:rPr>
          <w:fldChar w:fldCharType="begin"/>
        </w:r>
        <w:r w:rsidR="002F1642">
          <w:rPr>
            <w:noProof/>
            <w:webHidden/>
          </w:rPr>
          <w:instrText xml:space="preserve"> PAGEREF _Toc129955806 \h </w:instrText>
        </w:r>
        <w:r w:rsidR="002F1642">
          <w:rPr>
            <w:noProof/>
            <w:webHidden/>
          </w:rPr>
        </w:r>
        <w:r w:rsidR="002F1642">
          <w:rPr>
            <w:noProof/>
            <w:webHidden/>
          </w:rPr>
          <w:fldChar w:fldCharType="separate"/>
        </w:r>
        <w:r w:rsidR="002F1642">
          <w:rPr>
            <w:noProof/>
            <w:webHidden/>
          </w:rPr>
          <w:t>11</w:t>
        </w:r>
        <w:r w:rsidR="002F1642">
          <w:rPr>
            <w:noProof/>
            <w:webHidden/>
          </w:rPr>
          <w:fldChar w:fldCharType="end"/>
        </w:r>
      </w:hyperlink>
    </w:p>
    <w:p w14:paraId="104BD446" w14:textId="77777777" w:rsidR="00470985" w:rsidRDefault="002F1642">
      <w:r>
        <w:rPr>
          <w:rFonts w:ascii="Arial" w:hAnsi="Arial"/>
          <w:b/>
          <w:bCs/>
          <w:noProof/>
          <w:sz w:val="28"/>
          <w:szCs w:val="28"/>
        </w:rPr>
        <w:fldChar w:fldCharType="end"/>
      </w:r>
    </w:p>
    <w:p w14:paraId="481B2CBD" w14:textId="77777777" w:rsidR="00470985" w:rsidRDefault="002F1642">
      <w:pPr>
        <w:spacing w:line="259" w:lineRule="auto"/>
        <w:jc w:val="left"/>
        <w:rPr>
          <w:rFonts w:eastAsia="SimSun" w:cs="Times New Roman"/>
          <w:b/>
          <w:sz w:val="32"/>
          <w:szCs w:val="32"/>
        </w:rPr>
      </w:pPr>
      <w:r>
        <w:br w:type="page"/>
      </w:r>
    </w:p>
    <w:p w14:paraId="5590280C" w14:textId="77777777" w:rsidR="00470985" w:rsidRDefault="002F1642">
      <w:pPr>
        <w:pStyle w:val="Heading1"/>
      </w:pPr>
      <w:bookmarkStart w:id="0" w:name="_Toc129955800"/>
      <w:r>
        <w:rPr>
          <w:lang w:val="en-GB"/>
        </w:rPr>
        <w:lastRenderedPageBreak/>
        <w:t>Introduction</w:t>
      </w:r>
      <w:bookmarkEnd w:id="0"/>
    </w:p>
    <w:p w14:paraId="165D48F3" w14:textId="77777777" w:rsidR="00470985" w:rsidRDefault="002F1642">
      <w:pPr>
        <w:rPr>
          <w:rFonts w:ascii="Arial" w:hAnsi="Arial"/>
          <w:szCs w:val="24"/>
        </w:rPr>
      </w:pPr>
      <w:r>
        <w:rPr>
          <w:rFonts w:ascii="Arial" w:hAnsi="Arial"/>
          <w:szCs w:val="24"/>
        </w:rPr>
        <w:t>The construction business is a dynamic and complicated profession that includes the planning, designing, and constructing of buildings, bridges, roads, and other structures (Schleifer and Asmar, 2021). It is an essential industry that contributes to economic growth and development and provides job opportunities for millions of people throughout the globe. In the construction sector, the career path of a demolition supervisor is a crucial position. A Demolition Supervisor supervises the destruction of buildings and other structures, ensuring that the operation is conducted safely, effectively, and by environmental rules (Sadi and Abdullah, 2015). They oversee and organise the work of a team of employees, which may include labourers, equipment operators, and other trained specialists. As a Demolition Supervisor, I must possess various talents, such as project management, technical expertise, leadership, and communication. With the rising need for infrastructure development and restoration, the importance of a Demolition Supervisor in the construction sector is expanding (Perera and Rodrigo, 2017). A successful Demolition Supervisor must be capable of juggling several responsibilities, working under pressure, and adapting to changing conditions, all while ensuring that the demolition process is carried out safely and by regulatory criteria. Using Kolb's model, write this report.</w:t>
      </w:r>
    </w:p>
    <w:p w14:paraId="13C45E08" w14:textId="77777777" w:rsidR="00470985" w:rsidRDefault="002F1642">
      <w:pPr>
        <w:spacing w:line="259" w:lineRule="auto"/>
        <w:jc w:val="left"/>
        <w:rPr>
          <w:rFonts w:eastAsia="SimSun" w:cs="Times New Roman"/>
          <w:b/>
          <w:sz w:val="32"/>
          <w:szCs w:val="32"/>
        </w:rPr>
      </w:pPr>
      <w:r>
        <w:br w:type="page"/>
      </w:r>
    </w:p>
    <w:p w14:paraId="6F5824E2" w14:textId="77777777" w:rsidR="00470985" w:rsidRDefault="002F1642">
      <w:pPr>
        <w:pStyle w:val="Heading1"/>
      </w:pPr>
      <w:bookmarkStart w:id="1" w:name="_Toc129955801"/>
      <w:r>
        <w:rPr>
          <w:lang w:val="en-GB"/>
        </w:rPr>
        <w:lastRenderedPageBreak/>
        <w:t>Concrete Experience</w:t>
      </w:r>
      <w:bookmarkEnd w:id="1"/>
    </w:p>
    <w:p w14:paraId="238BD2FC" w14:textId="77777777" w:rsidR="00470985" w:rsidRDefault="002F1642">
      <w:pPr>
        <w:rPr>
          <w:rFonts w:ascii="Arial" w:hAnsi="Arial"/>
          <w:szCs w:val="24"/>
        </w:rPr>
      </w:pPr>
      <w:r>
        <w:rPr>
          <w:rFonts w:ascii="Arial" w:hAnsi="Arial"/>
          <w:szCs w:val="24"/>
        </w:rPr>
        <w:t xml:space="preserve">I have various abilities applicable to my chosen employment in the construction business as a demolition supervisor. First, I can successfully manage and organise my team’s work, ensurinteam’syone is on the same page and working toward the same objectives, thanks to my strong leadership talents and good communication skills (Peach, 2017). I deliver precise directions and get to the point, assign duties well, and offer helpful criticism to team members. This guarantees that the job is finished quickly and at a high level. Second, in the hectic setting of a demolition site, I must maintain my composure under pressure and act soon. I can work swiftly and decisively in emergencies to ensure worker safety and the project's success. I also have the expertise to foresee future problems and plan to limit risks, thanks to my experience in the area. Moreover, the facility complies with all applicable health and safety laws thanks to my excellent attention to detail and dedication to safety. I take great care to ensure that every employee knows the safety protocols and has the appropriate protective gear (Seemiller, 2017). I frequently do safety checks to ensure the location is secure for employees and tourists. I also have expertise in collaborating with various stakeholders, such as project managers, clients, and employees. I have gained valuable relationship management skills from this experience, and I now see the value of teamwork in attaining project objectives. I may establish rapport with stakeholders to guarantee that everyone knows their position and duties on the project. This promotes a supportive work atmosphere and helps the project succeed (Wallace, 2013). Having taught and encouraged younger team members in past jobs, I also have mentoring abilities. I can mentor and assist new employees, enabling them to further their careers and earn the team's respect. This benefits the project's overall success and aids in creating a solid and efficient team. Digital proficiency is becoming increasingly crucial in the modern world, especially in the construction sector (Waters, 2018). I am skilled in using technological tools like project management software, which helps improve productivity on-site and expedite communication. I can use this to monitor project progress, communicate efficiently with stakeholders, and quickly find any problems. Overall, my talents are a good fit for the demands of the construction business, and I am determined to keep growing and refining them as my career develops. I am confident in my ability to manage and organise demolition projects effectively because of my excellent leadership qualities, attention to detail, and </w:t>
      </w:r>
      <w:r>
        <w:rPr>
          <w:rFonts w:ascii="Arial" w:hAnsi="Arial"/>
          <w:szCs w:val="24"/>
        </w:rPr>
        <w:lastRenderedPageBreak/>
        <w:t>dedication to safety (Collins, 2014). My capacity to contribute to the accomplishment of any construction project is further strengthened by my experience working together with stakeholders, mentoring abilities, and digital proficiency.</w:t>
      </w:r>
    </w:p>
    <w:p w14:paraId="4629E224" w14:textId="77777777" w:rsidR="00470985" w:rsidRDefault="002F1642">
      <w:pPr>
        <w:rPr>
          <w:rFonts w:ascii="Arial" w:hAnsi="Arial"/>
          <w:szCs w:val="24"/>
        </w:rPr>
      </w:pPr>
      <w:r>
        <w:rPr>
          <w:rFonts w:ascii="Arial" w:hAnsi="Arial"/>
          <w:szCs w:val="24"/>
        </w:rPr>
        <w:br w:type="page"/>
      </w:r>
    </w:p>
    <w:p w14:paraId="4FD55BB0" w14:textId="77777777" w:rsidR="00470985" w:rsidRDefault="002F1642">
      <w:pPr>
        <w:pStyle w:val="Heading1"/>
      </w:pPr>
      <w:bookmarkStart w:id="2" w:name="_Toc129955802"/>
      <w:r>
        <w:rPr>
          <w:lang w:val="en-GB"/>
        </w:rPr>
        <w:lastRenderedPageBreak/>
        <w:t>Reflective Observation</w:t>
      </w:r>
      <w:bookmarkEnd w:id="2"/>
    </w:p>
    <w:p w14:paraId="472B5C42" w14:textId="77777777" w:rsidR="00470985" w:rsidRDefault="002F1642">
      <w:pPr>
        <w:rPr>
          <w:rFonts w:ascii="Arial" w:hAnsi="Arial"/>
          <w:szCs w:val="24"/>
        </w:rPr>
      </w:pPr>
      <w:r>
        <w:rPr>
          <w:rFonts w:ascii="Arial" w:hAnsi="Arial"/>
          <w:szCs w:val="24"/>
        </w:rPr>
        <w:t>As a construction sector Demolition Supervisor, I know I must acquire several abilities to further my career. To ensure the practical completion of any construction project, project management skills must be had first (Lister, 2015). As a supervisor, I confirm that projects are completed within the allotted time, budget, and quality parameters. Improving my planning, prioritisation, resource allocation, and project management skills will assist me in reaching my objective. Secondly, creativity is an essential talent that I must cultivate. Sometimes, demolition work necessitates ingenious answers to challenging challenges (Costa, 2022). Using my imagination will enable me to approach problems from various perspectives and create effective solutions. Thirdly, technological expertise is also essential. Staying abreast with the most recent advancements in demolition methods, safety protocols, and environmental laws will enable me to overcome any obstacles on the job. Demolition Supervisors must also possess practical communication skills. To guarantee that all parties are on the same page and working toward the same objectives, I must be able to present vital information to customers, employees, and other stakeholders. This will require me to improve my communication skills and ensure everyone knows their roles and responsibilities within the project (Brown et al., 2017). Developing my leadership abilities is crucial for my construction sector job advancement. A good leader inspires and motivates team members, sets a positive example, and provides direction and assistance as required. Developing my leadership abilities will enable me to lead and manage teams successfully, ensuring that projects are completed on time and to the needed standards. I am devoted to consistently growing my project management, creative, technical, communication, and leadership abilities to fulfil my work requirements as a Demolition Supervisor and further my career in the construction sector.</w:t>
      </w:r>
    </w:p>
    <w:p w14:paraId="657F2A57" w14:textId="77777777" w:rsidR="00470985" w:rsidRDefault="002F1642">
      <w:pPr>
        <w:rPr>
          <w:rFonts w:ascii="Arial" w:hAnsi="Arial"/>
          <w:szCs w:val="24"/>
        </w:rPr>
      </w:pPr>
      <w:r>
        <w:rPr>
          <w:rFonts w:ascii="Arial" w:hAnsi="Arial"/>
          <w:szCs w:val="24"/>
        </w:rPr>
        <w:br w:type="page"/>
      </w:r>
    </w:p>
    <w:p w14:paraId="5A8827B1" w14:textId="77777777" w:rsidR="00470985" w:rsidRDefault="002F1642">
      <w:pPr>
        <w:pStyle w:val="Heading1"/>
      </w:pPr>
      <w:bookmarkStart w:id="3" w:name="_Toc129955803"/>
      <w:r>
        <w:rPr>
          <w:lang w:val="en-GB"/>
        </w:rPr>
        <w:lastRenderedPageBreak/>
        <w:t>Abstract Conceptualization</w:t>
      </w:r>
      <w:bookmarkEnd w:id="3"/>
    </w:p>
    <w:p w14:paraId="34679435" w14:textId="77777777" w:rsidR="00470985" w:rsidRDefault="002F1642">
      <w:pPr>
        <w:rPr>
          <w:rFonts w:ascii="Arial" w:hAnsi="Arial"/>
          <w:szCs w:val="24"/>
        </w:rPr>
      </w:pPr>
      <w:r>
        <w:rPr>
          <w:rFonts w:ascii="Arial" w:hAnsi="Arial"/>
          <w:szCs w:val="24"/>
        </w:rPr>
        <w:t>As a Supervisor of Demolition, I know that I need to build and enhance several talents to grow my career in the construction sector. This is my step-by-step strategy for developing these skills.</w:t>
      </w:r>
    </w:p>
    <w:p w14:paraId="04AD861B" w14:textId="77777777" w:rsidR="00470985" w:rsidRDefault="002F1642">
      <w:pPr>
        <w:rPr>
          <w:rFonts w:ascii="Arial" w:hAnsi="Arial"/>
          <w:szCs w:val="24"/>
        </w:rPr>
      </w:pPr>
      <w:r>
        <w:rPr>
          <w:rFonts w:ascii="Arial" w:hAnsi="Arial"/>
          <w:szCs w:val="24"/>
        </w:rPr>
        <w:t>I want to enrol in appropriate courses and participate in training sessions to strengthen my project management abilities. I will also seek out chances to assume more project planning and management duties, collaborating closely with seasoned project managers to gain their knowledge (Horstmeier, 2017). I will also do smaller tasks to obtain more practical experience.</w:t>
      </w:r>
    </w:p>
    <w:p w14:paraId="0FFE6CEA" w14:textId="77777777" w:rsidR="00470985" w:rsidRDefault="002F1642">
      <w:pPr>
        <w:rPr>
          <w:rFonts w:ascii="Arial" w:hAnsi="Arial"/>
          <w:szCs w:val="24"/>
        </w:rPr>
      </w:pPr>
      <w:r>
        <w:rPr>
          <w:rFonts w:ascii="Arial" w:hAnsi="Arial"/>
          <w:szCs w:val="24"/>
        </w:rPr>
        <w:t>To boost my creativity, I want to examine challenges from various viewpoints and consider alternate solutions. I will attend construct industry innovation and creativity-related seminars and conferences (Gruneberg, 2018). I want to network with professionals in my area who can advise on creating and executing unique ideas.</w:t>
      </w:r>
    </w:p>
    <w:p w14:paraId="2EA4FBD7" w14:textId="77777777" w:rsidR="00470985" w:rsidRDefault="002F1642">
      <w:pPr>
        <w:rPr>
          <w:rFonts w:ascii="Arial" w:hAnsi="Arial"/>
          <w:szCs w:val="24"/>
        </w:rPr>
      </w:pPr>
      <w:r>
        <w:rPr>
          <w:rFonts w:ascii="Arial" w:hAnsi="Arial"/>
          <w:szCs w:val="24"/>
        </w:rPr>
        <w:t>To enhance my technical abilities, I will seek training sessions, courses, and conferences pertinent to my expertise. I will also seek mentors seasoned Demolition Supervisors in the business who can advise me and provide ideas on improving my abilities. I want to keep abreast of industrial and technical trends and utilise this information to enhance my job.</w:t>
      </w:r>
    </w:p>
    <w:p w14:paraId="0A5E2EBE" w14:textId="77777777" w:rsidR="00470985" w:rsidRDefault="002F1642">
      <w:pPr>
        <w:rPr>
          <w:rFonts w:ascii="Arial" w:hAnsi="Arial"/>
          <w:szCs w:val="24"/>
        </w:rPr>
      </w:pPr>
      <w:r>
        <w:rPr>
          <w:rFonts w:ascii="Arial" w:hAnsi="Arial"/>
          <w:szCs w:val="24"/>
        </w:rPr>
        <w:t>To enhance my communication abilities, I want to enrol in classes on effective communication, attend seminars on communication in the construction business, and get feedback from my co-workers and supervisors. I will also actively listen, allowing me to better comprehend my team's and other stakeholders' requirements.</w:t>
      </w:r>
    </w:p>
    <w:p w14:paraId="5A33D503" w14:textId="77777777" w:rsidR="00470985" w:rsidRDefault="002F1642">
      <w:pPr>
        <w:rPr>
          <w:rFonts w:ascii="Arial" w:hAnsi="Arial"/>
          <w:szCs w:val="24"/>
        </w:rPr>
      </w:pPr>
      <w:r>
        <w:rPr>
          <w:rFonts w:ascii="Arial" w:hAnsi="Arial"/>
          <w:szCs w:val="24"/>
        </w:rPr>
        <w:t>To strengthen my leadership abilities, I want to attend leadership seminars and workshops, study books and articles on leadership and seek out mentoring from industry leaders with extensive experience. I will also assume leadership positions in initiatives where I can use my talents and acquire expertise (Collins, 2014). My efforts to develop a sound and encouraging atmosphere will assist my team in reaching its full potential.</w:t>
      </w:r>
    </w:p>
    <w:p w14:paraId="117FB174" w14:textId="77777777" w:rsidR="00470985" w:rsidRDefault="002F1642">
      <w:pPr>
        <w:rPr>
          <w:rFonts w:ascii="Arial" w:hAnsi="Arial"/>
          <w:szCs w:val="24"/>
        </w:rPr>
      </w:pPr>
      <w:r>
        <w:rPr>
          <w:rFonts w:ascii="Arial" w:hAnsi="Arial"/>
          <w:szCs w:val="24"/>
        </w:rPr>
        <w:br w:type="page"/>
      </w:r>
    </w:p>
    <w:p w14:paraId="6AC76F0D" w14:textId="77777777" w:rsidR="00470985" w:rsidRDefault="00470985">
      <w:pPr>
        <w:rPr>
          <w:rFonts w:ascii="Arial" w:hAnsi="Arial"/>
          <w:szCs w:val="24"/>
        </w:rPr>
      </w:pPr>
    </w:p>
    <w:p w14:paraId="7FFC4399" w14:textId="77777777" w:rsidR="00470985" w:rsidRDefault="002F1642">
      <w:pPr>
        <w:pStyle w:val="Heading1"/>
      </w:pPr>
      <w:bookmarkStart w:id="4" w:name="_Toc129955804"/>
      <w:r>
        <w:rPr>
          <w:lang w:val="en-GB"/>
        </w:rPr>
        <w:t>Active Experimentation</w:t>
      </w:r>
      <w:bookmarkEnd w:id="4"/>
    </w:p>
    <w:p w14:paraId="0BBA4AC8" w14:textId="77777777" w:rsidR="00470985" w:rsidRDefault="002F1642">
      <w:pPr>
        <w:rPr>
          <w:rFonts w:ascii="Arial" w:hAnsi="Arial"/>
          <w:szCs w:val="24"/>
        </w:rPr>
      </w:pPr>
      <w:r>
        <w:rPr>
          <w:rFonts w:ascii="Arial" w:hAnsi="Arial"/>
          <w:szCs w:val="24"/>
        </w:rPr>
        <w:t xml:space="preserve">I learned a lot from my job interview role as a Demolition Supervisor. It helped me figure out where I do well and where I need to work on my skills. Even though I was able to show what I knew and had done in the construction industry, there were some things I could have done better. One area where I did well was showing how knowledgeable I was about safety rules and project management (Maylor and Turner, 2022). I could give specific examples of ensuring projects were done on time, on budget, and to the required quality standards. I also discussed what I learned about making and keeping a safe workplace. But I could have done better when talking about my experience mentoring and training younger team members (Waterhouse, 2020). I could explain how I led, but I needed to give specific examples of how I had trained or mentored other people. From this, I learned how important it is to be ready with specific examples that show how I can help others learn and grow. I also realised that I could improve at communicating, especially when organising my thoughts and presenting them in a way that made sense (Brown et al., 2017). Even though I could explain my ideas and answers clearly, I could have been more clearly organised in how I said them. In hindsight, I should have given myself time to get my thoughts together before answering questions. I have made a step-by-step plan that I plan to follow to build on my skills and strengths. First, I want to take leadership, communication, and project management classes. These classes will help me improve my skills and learn more about the best ways to do things in my field. Second, I'll look for ways to get a mentor in the construction industry (Gruneberg, 2018). This will help me learn from professionals with more experience and get tips on being a good mentor and leader. I also want to participate in workshops and training programmes to help me keep up with the latest industry trends and techniques. To get better at talking to people, I'll make it a point to organise my thoughts before I answer questions. I will also collect and explain my ideas in a way that makes sense. Lastly, I plan to ask my co-workers and mentors for feedback to find out where I need to improve and how to build on my strengths (Abdallah and Souverain, 2015). Ultimately, the job interview role-play was an excellent way to learn because it helped me figure out where I needed to improve and where I did well. I can get the skills I need to do well in my job as a Demolition </w:t>
      </w:r>
      <w:r>
        <w:rPr>
          <w:rFonts w:ascii="Arial" w:hAnsi="Arial"/>
          <w:szCs w:val="24"/>
        </w:rPr>
        <w:lastRenderedPageBreak/>
        <w:t>Supervisor in the construction industry if I keep learning, find a mentor, and get feedback.</w:t>
      </w:r>
    </w:p>
    <w:p w14:paraId="04D39A6D" w14:textId="77777777" w:rsidR="00470985" w:rsidRDefault="002F1642">
      <w:pPr>
        <w:rPr>
          <w:rFonts w:ascii="Arial" w:hAnsi="Arial"/>
          <w:szCs w:val="24"/>
        </w:rPr>
      </w:pPr>
      <w:r>
        <w:rPr>
          <w:rFonts w:ascii="Arial" w:hAnsi="Arial"/>
          <w:szCs w:val="24"/>
        </w:rPr>
        <w:br w:type="page"/>
      </w:r>
    </w:p>
    <w:p w14:paraId="44D7EAD0" w14:textId="77777777" w:rsidR="00470985" w:rsidRDefault="00470985">
      <w:pPr>
        <w:rPr>
          <w:rFonts w:ascii="Arial" w:hAnsi="Arial"/>
          <w:szCs w:val="24"/>
        </w:rPr>
      </w:pPr>
    </w:p>
    <w:p w14:paraId="2A5815A4" w14:textId="77777777" w:rsidR="00470985" w:rsidRDefault="002F1642">
      <w:pPr>
        <w:pStyle w:val="Heading1"/>
      </w:pPr>
      <w:bookmarkStart w:id="5" w:name="_Toc129955805"/>
      <w:r>
        <w:rPr>
          <w:lang w:val="en-GB"/>
        </w:rPr>
        <w:t>Conclusion</w:t>
      </w:r>
      <w:bookmarkEnd w:id="5"/>
    </w:p>
    <w:p w14:paraId="1042F385" w14:textId="77777777" w:rsidR="00470985" w:rsidRDefault="002F1642">
      <w:pPr>
        <w:rPr>
          <w:rFonts w:ascii="Arial" w:hAnsi="Arial"/>
          <w:szCs w:val="24"/>
        </w:rPr>
      </w:pPr>
      <w:r>
        <w:rPr>
          <w:rFonts w:ascii="Arial" w:hAnsi="Arial"/>
          <w:szCs w:val="24"/>
        </w:rPr>
        <w:t>The construction sector is essential to boost development and expansion, and a Demolition Supervisor is a critical player in this area. They oversee directing the destruction of buildings and other structures while ensuring that all safety and environmental laws are followed (Hulley, 2021). A broad variety of abilities, including project management, technical understanding, leadership, and communication, are needed for the position. I want to continue developing and improving these talents to further my career as a demolition supervisor (Nilsson and Waldemarson, 2013). I seek more education and training, including earning certifications and attending industry conferences, to keep current with the latest technology, rules, and industry best practices. With my present employer, I also want to look for new tasks and responsibilities and network with other businesspeople in the sector to form connections and learn helpful information. Lastly, I will continue to be receptive to criticism and constructive input to enhance my performance and grow my career as a demolition supervisor (Ghasemi and Abdullah, 2013).</w:t>
      </w:r>
    </w:p>
    <w:p w14:paraId="7384FEF8" w14:textId="77777777" w:rsidR="00470985" w:rsidRDefault="002F1642">
      <w:pPr>
        <w:spacing w:line="259" w:lineRule="auto"/>
        <w:jc w:val="left"/>
        <w:rPr>
          <w:rFonts w:ascii="Arial" w:hAnsi="Arial"/>
          <w:szCs w:val="24"/>
        </w:rPr>
      </w:pPr>
      <w:r>
        <w:rPr>
          <w:rFonts w:ascii="Arial" w:hAnsi="Arial"/>
          <w:szCs w:val="24"/>
        </w:rPr>
        <w:br w:type="page"/>
      </w:r>
    </w:p>
    <w:p w14:paraId="50365F23" w14:textId="77777777" w:rsidR="00470985" w:rsidRDefault="002F1642">
      <w:pPr>
        <w:pStyle w:val="Heading1"/>
        <w:rPr>
          <w:rFonts w:ascii="Arial" w:hAnsi="Arial" w:cs="Arial"/>
          <w:sz w:val="24"/>
          <w:szCs w:val="24"/>
        </w:rPr>
      </w:pPr>
      <w:bookmarkStart w:id="6" w:name="_Toc129955806"/>
      <w:r>
        <w:rPr>
          <w:rFonts w:ascii="Arial" w:hAnsi="Arial" w:cs="Arial"/>
          <w:sz w:val="24"/>
          <w:szCs w:val="24"/>
        </w:rPr>
        <w:lastRenderedPageBreak/>
        <w:t>Reference</w:t>
      </w:r>
      <w:bookmarkEnd w:id="6"/>
    </w:p>
    <w:p w14:paraId="50ECA30C" w14:textId="77777777" w:rsidR="00470985" w:rsidRDefault="002F1642">
      <w:pPr>
        <w:rPr>
          <w:rFonts w:ascii="Arial" w:hAnsi="Arial"/>
          <w:szCs w:val="24"/>
        </w:rPr>
      </w:pPr>
      <w:r>
        <w:rPr>
          <w:rFonts w:ascii="Arial" w:hAnsi="Arial"/>
          <w:szCs w:val="24"/>
        </w:rPr>
        <w:t xml:space="preserve"> Abdallah, A.S. and Souverain, A. (2015) </w:t>
      </w:r>
      <w:r>
        <w:rPr>
          <w:rFonts w:ascii="Arial" w:hAnsi="Arial"/>
          <w:i/>
          <w:iCs/>
          <w:szCs w:val="24"/>
        </w:rPr>
        <w:t>Co-workers: Le réseau comme artiste</w:t>
      </w:r>
      <w:r>
        <w:rPr>
          <w:rFonts w:ascii="Arial" w:hAnsi="Arial"/>
          <w:szCs w:val="24"/>
        </w:rPr>
        <w:t xml:space="preserve">. Paris: Paris Musées. </w:t>
      </w:r>
    </w:p>
    <w:p w14:paraId="2137DB54" w14:textId="77777777" w:rsidR="00470985" w:rsidRDefault="002F1642">
      <w:pPr>
        <w:rPr>
          <w:rFonts w:ascii="Arial" w:hAnsi="Arial"/>
          <w:szCs w:val="24"/>
        </w:rPr>
      </w:pPr>
      <w:r>
        <w:rPr>
          <w:rFonts w:ascii="Arial" w:hAnsi="Arial"/>
          <w:szCs w:val="24"/>
        </w:rPr>
        <w:t xml:space="preserve">Brown, R.F., Wuensch, A. and Bylund, C.L. (2017) “Models of communication skills training and their practical implications,” </w:t>
      </w:r>
      <w:r>
        <w:rPr>
          <w:rFonts w:ascii="Arial" w:hAnsi="Arial"/>
          <w:i/>
          <w:iCs/>
          <w:szCs w:val="24"/>
        </w:rPr>
        <w:t>Oxford Medicine Online</w:t>
      </w:r>
      <w:r>
        <w:rPr>
          <w:rFonts w:ascii="Arial" w:hAnsi="Arial"/>
          <w:szCs w:val="24"/>
        </w:rPr>
        <w:t xml:space="preserve"> [Preprint]. Available at: https://doi.org/10.1093/med/9780198736134.003.0003. </w:t>
      </w:r>
    </w:p>
    <w:p w14:paraId="76E5E26E" w14:textId="77777777" w:rsidR="00470985" w:rsidRDefault="002F1642">
      <w:pPr>
        <w:rPr>
          <w:rFonts w:ascii="Arial" w:hAnsi="Arial"/>
          <w:szCs w:val="24"/>
        </w:rPr>
      </w:pPr>
      <w:r>
        <w:rPr>
          <w:rFonts w:ascii="Arial" w:hAnsi="Arial"/>
          <w:szCs w:val="24"/>
        </w:rPr>
        <w:t xml:space="preserve">Collins, J. (2014) </w:t>
      </w:r>
      <w:r>
        <w:rPr>
          <w:rFonts w:ascii="Arial" w:hAnsi="Arial"/>
          <w:i/>
          <w:iCs/>
          <w:szCs w:val="24"/>
        </w:rPr>
        <w:t>Leadership qualities: Qualities of a good leader</w:t>
      </w:r>
      <w:r>
        <w:rPr>
          <w:rFonts w:ascii="Arial" w:hAnsi="Arial"/>
          <w:szCs w:val="24"/>
        </w:rPr>
        <w:t xml:space="preserve">. Leipzig: Amazon. </w:t>
      </w:r>
    </w:p>
    <w:p w14:paraId="6C2C89A6" w14:textId="77777777" w:rsidR="00470985" w:rsidRDefault="002F1642">
      <w:pPr>
        <w:rPr>
          <w:rFonts w:ascii="Arial" w:hAnsi="Arial"/>
          <w:szCs w:val="24"/>
        </w:rPr>
      </w:pPr>
      <w:r>
        <w:rPr>
          <w:rFonts w:ascii="Arial" w:hAnsi="Arial"/>
          <w:szCs w:val="24"/>
        </w:rPr>
        <w:t xml:space="preserve">Costa, P. (2022) “A work of demolition and reconstruction: David Martin defies the establishment,” </w:t>
      </w:r>
      <w:r>
        <w:rPr>
          <w:rFonts w:ascii="Arial" w:hAnsi="Arial"/>
          <w:i/>
          <w:iCs/>
          <w:szCs w:val="24"/>
        </w:rPr>
        <w:t>The Post-Secular City</w:t>
      </w:r>
      <w:r>
        <w:rPr>
          <w:rFonts w:ascii="Arial" w:hAnsi="Arial"/>
          <w:szCs w:val="24"/>
        </w:rPr>
        <w:t xml:space="preserve">, pp. 15–30. Available at: https://doi.org/10.30965/9783657795260_003. </w:t>
      </w:r>
    </w:p>
    <w:p w14:paraId="03A99088" w14:textId="77777777" w:rsidR="00470985" w:rsidRDefault="002F1642">
      <w:pPr>
        <w:rPr>
          <w:rFonts w:ascii="Arial" w:hAnsi="Arial"/>
          <w:szCs w:val="24"/>
        </w:rPr>
      </w:pPr>
      <w:r>
        <w:rPr>
          <w:rFonts w:ascii="Arial" w:hAnsi="Arial"/>
          <w:szCs w:val="24"/>
        </w:rPr>
        <w:t xml:space="preserve">Ghasemi, A. and Abdullah, A. (2013) </w:t>
      </w:r>
      <w:r>
        <w:rPr>
          <w:rFonts w:ascii="Arial" w:hAnsi="Arial"/>
          <w:i/>
          <w:iCs/>
          <w:szCs w:val="24"/>
        </w:rPr>
        <w:t>Building Information Modeling for Structural Demolition Planning</w:t>
      </w:r>
      <w:r>
        <w:rPr>
          <w:rFonts w:ascii="Arial" w:hAnsi="Arial"/>
          <w:szCs w:val="24"/>
        </w:rPr>
        <w:t xml:space="preserve">. </w:t>
      </w:r>
    </w:p>
    <w:p w14:paraId="1B1A6230" w14:textId="77777777" w:rsidR="00470985" w:rsidRDefault="002F1642">
      <w:pPr>
        <w:rPr>
          <w:rFonts w:ascii="Arial" w:hAnsi="Arial"/>
          <w:szCs w:val="24"/>
        </w:rPr>
      </w:pPr>
      <w:r>
        <w:rPr>
          <w:rFonts w:ascii="Arial" w:hAnsi="Arial"/>
          <w:szCs w:val="24"/>
        </w:rPr>
        <w:t xml:space="preserve">Gruneberg, S. (2018) “Construction industry strategies,” </w:t>
      </w:r>
      <w:r>
        <w:rPr>
          <w:rFonts w:ascii="Arial" w:hAnsi="Arial"/>
          <w:i/>
          <w:iCs/>
          <w:szCs w:val="24"/>
        </w:rPr>
        <w:t>A Strategic Approach to the UK Construction Industry</w:t>
      </w:r>
      <w:r>
        <w:rPr>
          <w:rFonts w:ascii="Arial" w:hAnsi="Arial"/>
          <w:szCs w:val="24"/>
        </w:rPr>
        <w:t xml:space="preserve">, pp. 61–62. Available at: https://doi.org/10.1201/9781315109022-9. </w:t>
      </w:r>
    </w:p>
    <w:p w14:paraId="5E35886D" w14:textId="77777777" w:rsidR="00470985" w:rsidRDefault="002F1642">
      <w:pPr>
        <w:rPr>
          <w:rFonts w:ascii="Arial" w:hAnsi="Arial"/>
          <w:szCs w:val="24"/>
        </w:rPr>
      </w:pPr>
      <w:r>
        <w:rPr>
          <w:rFonts w:ascii="Arial" w:hAnsi="Arial"/>
          <w:szCs w:val="24"/>
        </w:rPr>
        <w:t xml:space="preserve">Horstmeier, G. (2017) “Aufgaben des managers: „duties of management‘,” </w:t>
      </w:r>
      <w:r>
        <w:rPr>
          <w:rFonts w:ascii="Arial" w:hAnsi="Arial"/>
          <w:i/>
          <w:iCs/>
          <w:szCs w:val="24"/>
        </w:rPr>
        <w:t>Management im ständigen Wildwasser</w:t>
      </w:r>
      <w:r>
        <w:rPr>
          <w:rFonts w:ascii="Arial" w:hAnsi="Arial"/>
          <w:szCs w:val="24"/>
        </w:rPr>
        <w:t xml:space="preserve">, pp. 21–24. Available at: https://doi.org/10.1007/978-3-658-13211-8_3. </w:t>
      </w:r>
    </w:p>
    <w:p w14:paraId="46BFB841" w14:textId="77777777" w:rsidR="00470985" w:rsidRDefault="002F1642">
      <w:pPr>
        <w:rPr>
          <w:rFonts w:ascii="Arial" w:hAnsi="Arial"/>
          <w:szCs w:val="24"/>
        </w:rPr>
      </w:pPr>
      <w:r>
        <w:rPr>
          <w:rFonts w:ascii="Arial" w:hAnsi="Arial"/>
          <w:szCs w:val="24"/>
        </w:rPr>
        <w:t xml:space="preserve">Hulley, V. (2021) </w:t>
      </w:r>
      <w:r>
        <w:rPr>
          <w:rFonts w:ascii="Arial" w:hAnsi="Arial"/>
          <w:i/>
          <w:iCs/>
          <w:szCs w:val="24"/>
        </w:rPr>
        <w:t>Environmental laws</w:t>
      </w:r>
      <w:r>
        <w:rPr>
          <w:rFonts w:ascii="Arial" w:hAnsi="Arial"/>
          <w:szCs w:val="24"/>
        </w:rPr>
        <w:t xml:space="preserve">. Burlington, Ontario: Delve Publishing. </w:t>
      </w:r>
    </w:p>
    <w:p w14:paraId="440C7CB7" w14:textId="77777777" w:rsidR="00470985" w:rsidRDefault="002F1642">
      <w:pPr>
        <w:rPr>
          <w:rFonts w:ascii="Arial" w:hAnsi="Arial"/>
          <w:szCs w:val="24"/>
        </w:rPr>
      </w:pPr>
      <w:r>
        <w:rPr>
          <w:rFonts w:ascii="Arial" w:hAnsi="Arial"/>
          <w:szCs w:val="24"/>
        </w:rPr>
        <w:t xml:space="preserve">Lister, G. (2015) </w:t>
      </w:r>
      <w:r>
        <w:rPr>
          <w:rFonts w:ascii="Arial" w:hAnsi="Arial"/>
          <w:i/>
          <w:iCs/>
          <w:szCs w:val="24"/>
        </w:rPr>
        <w:t>Mastering project, program, and portfolio management: Models for structuring and executing the project hierarchy</w:t>
      </w:r>
      <w:r>
        <w:rPr>
          <w:rFonts w:ascii="Arial" w:hAnsi="Arial"/>
          <w:szCs w:val="24"/>
        </w:rPr>
        <w:t xml:space="preserve">. Upper Saddle River, NJ: Pearson Education Ltd. </w:t>
      </w:r>
    </w:p>
    <w:p w14:paraId="2E194FEC" w14:textId="77777777" w:rsidR="00470985" w:rsidRDefault="002F1642">
      <w:pPr>
        <w:rPr>
          <w:rFonts w:ascii="Arial" w:hAnsi="Arial"/>
          <w:szCs w:val="24"/>
        </w:rPr>
      </w:pPr>
      <w:r>
        <w:rPr>
          <w:rFonts w:ascii="Arial" w:hAnsi="Arial"/>
          <w:szCs w:val="24"/>
        </w:rPr>
        <w:t xml:space="preserve">Maylor, H. and Turner, N. (2022) </w:t>
      </w:r>
      <w:r>
        <w:rPr>
          <w:rFonts w:ascii="Arial" w:hAnsi="Arial"/>
          <w:i/>
          <w:iCs/>
          <w:szCs w:val="24"/>
        </w:rPr>
        <w:t>Project Management</w:t>
      </w:r>
      <w:r>
        <w:rPr>
          <w:rFonts w:ascii="Arial" w:hAnsi="Arial"/>
          <w:szCs w:val="24"/>
        </w:rPr>
        <w:t xml:space="preserve">. Harlow, England: Pearson. </w:t>
      </w:r>
    </w:p>
    <w:p w14:paraId="1C1BE99A" w14:textId="77777777" w:rsidR="00470985" w:rsidRDefault="002F1642">
      <w:pPr>
        <w:rPr>
          <w:rFonts w:ascii="Arial" w:hAnsi="Arial"/>
          <w:szCs w:val="24"/>
        </w:rPr>
      </w:pPr>
      <w:r>
        <w:rPr>
          <w:rFonts w:ascii="Arial" w:hAnsi="Arial"/>
          <w:szCs w:val="24"/>
        </w:rPr>
        <w:t xml:space="preserve">Nilsson Björn and Waldemarson, A.-K. (2013) </w:t>
      </w:r>
      <w:r>
        <w:rPr>
          <w:rFonts w:ascii="Arial" w:hAnsi="Arial"/>
          <w:i/>
          <w:iCs/>
          <w:szCs w:val="24"/>
        </w:rPr>
        <w:t>Leadership and communication</w:t>
      </w:r>
      <w:r>
        <w:rPr>
          <w:rFonts w:ascii="Arial" w:hAnsi="Arial"/>
          <w:szCs w:val="24"/>
        </w:rPr>
        <w:t xml:space="preserve">. Lund: Studentlitteratur. </w:t>
      </w:r>
    </w:p>
    <w:p w14:paraId="75DD7CC1" w14:textId="77777777" w:rsidR="00470985" w:rsidRDefault="002F1642">
      <w:pPr>
        <w:rPr>
          <w:rFonts w:ascii="Arial" w:hAnsi="Arial"/>
          <w:szCs w:val="24"/>
        </w:rPr>
      </w:pPr>
      <w:r>
        <w:rPr>
          <w:rFonts w:ascii="Arial" w:hAnsi="Arial"/>
          <w:szCs w:val="24"/>
        </w:rPr>
        <w:t xml:space="preserve">Peach, K. (2017) “Leadership, management and Communication,” </w:t>
      </w:r>
      <w:r>
        <w:rPr>
          <w:rFonts w:ascii="Arial" w:hAnsi="Arial"/>
          <w:i/>
          <w:iCs/>
          <w:szCs w:val="24"/>
        </w:rPr>
        <w:t>Managing Science</w:t>
      </w:r>
      <w:r>
        <w:rPr>
          <w:rFonts w:ascii="Arial" w:hAnsi="Arial"/>
          <w:szCs w:val="24"/>
        </w:rPr>
        <w:t xml:space="preserve">, pp. 27–40. Available at: https://doi.org/10.1093/oso/9780198796077.003.0004. </w:t>
      </w:r>
    </w:p>
    <w:p w14:paraId="4D07E0B6" w14:textId="77777777" w:rsidR="00470985" w:rsidRDefault="002F1642">
      <w:pPr>
        <w:rPr>
          <w:rFonts w:ascii="Arial" w:hAnsi="Arial"/>
          <w:szCs w:val="24"/>
        </w:rPr>
      </w:pPr>
      <w:r>
        <w:rPr>
          <w:rFonts w:ascii="Arial" w:hAnsi="Arial"/>
          <w:szCs w:val="24"/>
        </w:rPr>
        <w:lastRenderedPageBreak/>
        <w:t xml:space="preserve">Perera, S. and Rodrigo, A. (2017) “Capability maturity modelling of construction e-business processes,” </w:t>
      </w:r>
      <w:r>
        <w:rPr>
          <w:rFonts w:ascii="Arial" w:hAnsi="Arial"/>
          <w:i/>
          <w:iCs/>
          <w:szCs w:val="24"/>
        </w:rPr>
        <w:t>Advances in Construction ICT and e-Business</w:t>
      </w:r>
      <w:r>
        <w:rPr>
          <w:rFonts w:ascii="Arial" w:hAnsi="Arial"/>
          <w:szCs w:val="24"/>
        </w:rPr>
        <w:t xml:space="preserve">, pp. 263–295. Available at: https://doi.org/10.4324/9781315690698-12. </w:t>
      </w:r>
    </w:p>
    <w:p w14:paraId="424495D6" w14:textId="77777777" w:rsidR="00470985" w:rsidRDefault="002F1642">
      <w:pPr>
        <w:rPr>
          <w:rFonts w:ascii="Arial" w:hAnsi="Arial"/>
          <w:szCs w:val="24"/>
        </w:rPr>
      </w:pPr>
      <w:r>
        <w:rPr>
          <w:rFonts w:ascii="Arial" w:hAnsi="Arial"/>
          <w:szCs w:val="24"/>
        </w:rPr>
        <w:t xml:space="preserve">Sadi, M.K. and Abdullah, A. (2015) </w:t>
      </w:r>
      <w:r>
        <w:rPr>
          <w:rFonts w:ascii="Arial" w:hAnsi="Arial"/>
          <w:i/>
          <w:iCs/>
          <w:szCs w:val="24"/>
        </w:rPr>
        <w:t>A hybrid model for assessing the quality performance of demolition contractors</w:t>
      </w:r>
      <w:r>
        <w:rPr>
          <w:rFonts w:ascii="Arial" w:hAnsi="Arial"/>
          <w:szCs w:val="24"/>
        </w:rPr>
        <w:t xml:space="preserve">. </w:t>
      </w:r>
    </w:p>
    <w:p w14:paraId="5C3505E9" w14:textId="77777777" w:rsidR="00470985" w:rsidRDefault="002F1642">
      <w:pPr>
        <w:rPr>
          <w:rFonts w:ascii="Arial" w:hAnsi="Arial"/>
          <w:szCs w:val="24"/>
        </w:rPr>
      </w:pPr>
      <w:r>
        <w:rPr>
          <w:rFonts w:ascii="Arial" w:hAnsi="Arial"/>
          <w:szCs w:val="24"/>
        </w:rPr>
        <w:t xml:space="preserve">Schleifer, T.C. and Asmar, M.E. (2021) “The basics of construction business success,” </w:t>
      </w:r>
      <w:r>
        <w:rPr>
          <w:rFonts w:ascii="Arial" w:hAnsi="Arial"/>
          <w:i/>
          <w:iCs/>
          <w:szCs w:val="24"/>
        </w:rPr>
        <w:t>The Secrets to Construction Business Success</w:t>
      </w:r>
      <w:r>
        <w:rPr>
          <w:rFonts w:ascii="Arial" w:hAnsi="Arial"/>
          <w:szCs w:val="24"/>
        </w:rPr>
        <w:t xml:space="preserve">, pp. 3–24. Available at: https://doi.org/10.1201/9781003229599-2. </w:t>
      </w:r>
    </w:p>
    <w:p w14:paraId="7930AD4F" w14:textId="77777777" w:rsidR="00470985" w:rsidRDefault="002F1642">
      <w:pPr>
        <w:rPr>
          <w:rFonts w:ascii="Arial" w:hAnsi="Arial"/>
          <w:szCs w:val="24"/>
        </w:rPr>
      </w:pPr>
      <w:r>
        <w:rPr>
          <w:rFonts w:ascii="Arial" w:hAnsi="Arial"/>
          <w:szCs w:val="24"/>
        </w:rPr>
        <w:t xml:space="preserve">Seemiller, C. (2017) “Using leadership competencies to develop talents into strengths,” </w:t>
      </w:r>
      <w:r>
        <w:rPr>
          <w:rFonts w:ascii="Arial" w:hAnsi="Arial"/>
          <w:i/>
          <w:iCs/>
          <w:szCs w:val="24"/>
        </w:rPr>
        <w:t>New Directions for Student Leadership</w:t>
      </w:r>
      <w:r>
        <w:rPr>
          <w:rFonts w:ascii="Arial" w:hAnsi="Arial"/>
          <w:szCs w:val="24"/>
        </w:rPr>
        <w:t xml:space="preserve">, 2017(156), pp. 31–42. Available at: https://doi.org/10.1002/yd.20269. </w:t>
      </w:r>
    </w:p>
    <w:p w14:paraId="5B759E97" w14:textId="77777777" w:rsidR="00470985" w:rsidRDefault="002F1642">
      <w:pPr>
        <w:rPr>
          <w:rFonts w:ascii="Arial" w:hAnsi="Arial"/>
          <w:szCs w:val="24"/>
        </w:rPr>
      </w:pPr>
      <w:r>
        <w:rPr>
          <w:rFonts w:ascii="Arial" w:hAnsi="Arial"/>
          <w:szCs w:val="24"/>
        </w:rPr>
        <w:t xml:space="preserve">Wallace, J.E. (2013) “Gender and supportive co-worker relations in the medical profession,” </w:t>
      </w:r>
      <w:r>
        <w:rPr>
          <w:rFonts w:ascii="Arial" w:hAnsi="Arial"/>
          <w:i/>
          <w:iCs/>
          <w:szCs w:val="24"/>
        </w:rPr>
        <w:t>Gender, Work &amp; Organization</w:t>
      </w:r>
      <w:r>
        <w:rPr>
          <w:rFonts w:ascii="Arial" w:hAnsi="Arial"/>
          <w:szCs w:val="24"/>
        </w:rPr>
        <w:t xml:space="preserve">, 21(1), pp. 1–17. Available at: https://doi.org/10.1111/gwao.12007. </w:t>
      </w:r>
    </w:p>
    <w:p w14:paraId="4A520077" w14:textId="77777777" w:rsidR="00470985" w:rsidRDefault="002F1642">
      <w:pPr>
        <w:rPr>
          <w:rFonts w:ascii="Arial" w:hAnsi="Arial"/>
          <w:szCs w:val="24"/>
        </w:rPr>
      </w:pPr>
      <w:r>
        <w:rPr>
          <w:rFonts w:ascii="Arial" w:hAnsi="Arial"/>
          <w:szCs w:val="24"/>
        </w:rPr>
        <w:t xml:space="preserve">Waterhouse, P. (2020) “Training agreements for the ice training scheme,” </w:t>
      </w:r>
      <w:r>
        <w:rPr>
          <w:rFonts w:ascii="Arial" w:hAnsi="Arial"/>
          <w:i/>
          <w:iCs/>
          <w:szCs w:val="24"/>
        </w:rPr>
        <w:t>Mentoring for Civil Engineers</w:t>
      </w:r>
      <w:r>
        <w:rPr>
          <w:rFonts w:ascii="Arial" w:hAnsi="Arial"/>
          <w:szCs w:val="24"/>
        </w:rPr>
        <w:t xml:space="preserve">, pp. 55–61. Available at: https://doi.org/10.1680/mce.64300.055. </w:t>
      </w:r>
    </w:p>
    <w:p w14:paraId="46E8A780" w14:textId="77777777" w:rsidR="00470985" w:rsidRDefault="002F1642">
      <w:pPr>
        <w:rPr>
          <w:rFonts w:ascii="Arial" w:hAnsi="Arial"/>
          <w:szCs w:val="24"/>
        </w:rPr>
      </w:pPr>
      <w:r>
        <w:rPr>
          <w:rFonts w:ascii="Arial" w:hAnsi="Arial"/>
          <w:szCs w:val="24"/>
        </w:rPr>
        <w:t xml:space="preserve">Waters, A. (2018) </w:t>
      </w:r>
      <w:r>
        <w:rPr>
          <w:rFonts w:ascii="Arial" w:hAnsi="Arial"/>
          <w:i/>
          <w:iCs/>
          <w:szCs w:val="24"/>
        </w:rPr>
        <w:t>Confident digital content: Master the fundamentals of online video, design, writing and Social Media to Supercharge Your Career</w:t>
      </w:r>
      <w:r>
        <w:rPr>
          <w:rFonts w:ascii="Arial" w:hAnsi="Arial"/>
          <w:szCs w:val="24"/>
        </w:rPr>
        <w:t>. London England: Kogan Page Limited.</w:t>
      </w:r>
    </w:p>
    <w:p w14:paraId="666EC445" w14:textId="77777777" w:rsidR="00470985" w:rsidRDefault="00470985">
      <w:pPr>
        <w:rPr>
          <w:rFonts w:ascii="Arial" w:hAnsi="Arial"/>
          <w:szCs w:val="24"/>
        </w:rPr>
      </w:pPr>
    </w:p>
    <w:p w14:paraId="426C850D" w14:textId="77777777" w:rsidR="00470985" w:rsidRDefault="002F1642">
      <w:pPr>
        <w:spacing w:line="259" w:lineRule="auto"/>
        <w:jc w:val="left"/>
        <w:rPr>
          <w:rFonts w:ascii="Arial" w:hAnsi="Arial"/>
          <w:szCs w:val="24"/>
        </w:rPr>
      </w:pPr>
      <w:r>
        <w:rPr>
          <w:rFonts w:ascii="Arial" w:hAnsi="Arial"/>
          <w:szCs w:val="24"/>
        </w:rPr>
        <w:br w:type="page"/>
      </w:r>
    </w:p>
    <w:p w14:paraId="58391279" w14:textId="77777777" w:rsidR="00470985" w:rsidRDefault="002F1642">
      <w:pPr>
        <w:rPr>
          <w:rFonts w:ascii="Arial" w:hAnsi="Arial"/>
          <w:b/>
          <w:szCs w:val="24"/>
          <w:u w:val="single"/>
        </w:rPr>
      </w:pPr>
      <w:r>
        <w:rPr>
          <w:rFonts w:ascii="Arial" w:hAnsi="Arial"/>
          <w:b/>
          <w:szCs w:val="24"/>
          <w:u w:val="single"/>
        </w:rPr>
        <w:lastRenderedPageBreak/>
        <w:t>Appendix</w:t>
      </w:r>
      <w:r>
        <w:rPr>
          <w:rFonts w:eastAsia="Times New Roman" w:cs="Times New Roman"/>
          <w:b/>
          <w:snapToGrid w:val="0"/>
          <w:color w:val="000000"/>
          <w:w w:val="0"/>
          <w:sz w:val="0"/>
          <w:szCs w:val="0"/>
          <w:u w:val="single" w:color="000000"/>
          <w:bdr w:val="none" w:sz="0" w:space="0" w:color="000000"/>
          <w:shd w:val="clear" w:color="000000" w:fill="000000"/>
        </w:rPr>
        <w:t xml:space="preserve"> </w:t>
      </w:r>
    </w:p>
    <w:p w14:paraId="20868220" w14:textId="77777777" w:rsidR="00470985" w:rsidRDefault="002F1642">
      <w:pPr>
        <w:jc w:val="center"/>
        <w:rPr>
          <w:rFonts w:ascii="Arial" w:hAnsi="Arial"/>
          <w:szCs w:val="24"/>
        </w:rPr>
      </w:pPr>
      <w:r>
        <w:rPr>
          <w:rFonts w:ascii="Arial" w:hAnsi="Arial"/>
          <w:noProof/>
          <w:szCs w:val="24"/>
          <w:lang w:val="en-US"/>
        </w:rPr>
        <w:drawing>
          <wp:inline distT="0" distB="0" distL="0" distR="0" wp14:anchorId="633ADB1E" wp14:editId="63F4F167">
            <wp:extent cx="2657633" cy="4724680"/>
            <wp:effectExtent l="0" t="0" r="9525" b="0"/>
            <wp:docPr id="1026" name="Picture 1" descr="C:\Users\ASUS\AppData\Local\Packages\microsoft.windowscommunicationsapps_8wekyb3d8bbwe\LocalState\Files\S0\653\Attachments\Pro WhatsApp Image 2023-03-15 at 20.51.20[1083].jpe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srcRect/>
                    <a:stretch/>
                  </pic:blipFill>
                  <pic:spPr>
                    <a:xfrm>
                      <a:off x="0" y="0"/>
                      <a:ext cx="2657633" cy="4724680"/>
                    </a:xfrm>
                    <a:prstGeom prst="rect">
                      <a:avLst/>
                    </a:prstGeom>
                    <a:ln>
                      <a:noFill/>
                    </a:ln>
                  </pic:spPr>
                </pic:pic>
              </a:graphicData>
            </a:graphic>
          </wp:inline>
        </w:drawing>
      </w:r>
    </w:p>
    <w:sectPr w:rsidR="0047098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08B42" w14:textId="77777777" w:rsidR="004637C9" w:rsidRDefault="004637C9">
      <w:pPr>
        <w:spacing w:after="0" w:line="240" w:lineRule="auto"/>
      </w:pPr>
      <w:r>
        <w:separator/>
      </w:r>
    </w:p>
  </w:endnote>
  <w:endnote w:type="continuationSeparator" w:id="0">
    <w:p w14:paraId="25B64164" w14:textId="77777777" w:rsidR="004637C9" w:rsidRDefault="004637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EF9D29" w14:textId="77777777" w:rsidR="00470985" w:rsidRDefault="002F1642">
    <w:pPr>
      <w:pStyle w:val="Footer"/>
      <w:jc w:val="center"/>
    </w:pPr>
    <w:r>
      <w:fldChar w:fldCharType="begin"/>
    </w:r>
    <w:r>
      <w:instrText xml:space="preserve"> PAGE   \* MERGEFORMAT </w:instrText>
    </w:r>
    <w:r>
      <w:fldChar w:fldCharType="separate"/>
    </w:r>
    <w:r>
      <w:rPr>
        <w:noProof/>
      </w:rPr>
      <w:t>11</w:t>
    </w:r>
    <w:r>
      <w:rPr>
        <w:noProof/>
      </w:rPr>
      <w:fldChar w:fldCharType="end"/>
    </w:r>
  </w:p>
  <w:p w14:paraId="366D020A" w14:textId="77777777" w:rsidR="00470985" w:rsidRDefault="004709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88AA7" w14:textId="77777777" w:rsidR="004637C9" w:rsidRDefault="004637C9">
      <w:pPr>
        <w:spacing w:after="0" w:line="240" w:lineRule="auto"/>
      </w:pPr>
      <w:r>
        <w:separator/>
      </w:r>
    </w:p>
  </w:footnote>
  <w:footnote w:type="continuationSeparator" w:id="0">
    <w:p w14:paraId="7B507C17" w14:textId="77777777" w:rsidR="004637C9" w:rsidRDefault="004637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28D617D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 w15:restartNumberingAfterBreak="0">
    <w:nsid w:val="5B80197F"/>
    <w:multiLevelType w:val="multilevel"/>
    <w:tmpl w:val="AFB42234"/>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num w:numId="1" w16cid:durableId="90977347">
    <w:abstractNumId w:val="0"/>
  </w:num>
  <w:num w:numId="2" w16cid:durableId="10354700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0985"/>
    <w:rsid w:val="000368BD"/>
    <w:rsid w:val="002F1642"/>
    <w:rsid w:val="004637C9"/>
    <w:rsid w:val="00470985"/>
    <w:rsid w:val="00FE481C"/>
  </w:rsids>
  <m:mathPr>
    <m:mathFont m:val="Cambria Math"/>
    <m:brkBin m:val="before"/>
    <m:brkBinSub m:val="--"/>
    <m:smallFrac m:val="0"/>
    <m:dispDef/>
    <m:lMargin m:val="0"/>
    <m:rMargin m:val="0"/>
    <m:defJc m:val="centerGroup"/>
    <m:wrapIndent m:val="1440"/>
    <m:intLim m:val="subSup"/>
    <m:naryLim m:val="undOvr"/>
  </m:mathPr>
  <w:themeFontLang w:val="en-S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45323"/>
  <w15:docId w15:val="{A9552FDA-6F83-C449-9831-D5B371DFA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before="240" w:after="0"/>
      <w:outlineLvl w:val="0"/>
    </w:pPr>
    <w:rPr>
      <w:rFonts w:eastAsia="SimSun" w:cs="Times New Roman"/>
      <w:b/>
      <w:sz w:val="32"/>
      <w:szCs w:val="32"/>
      <w:lang w:val="en-SG"/>
    </w:rPr>
  </w:style>
  <w:style w:type="paragraph" w:styleId="Heading2">
    <w:name w:val="heading 2"/>
    <w:basedOn w:val="Normal"/>
    <w:next w:val="Normal"/>
    <w:link w:val="Heading2Char"/>
    <w:uiPriority w:val="9"/>
    <w:semiHidden/>
    <w:unhideWhenUsed/>
    <w:qFormat/>
    <w:pPr>
      <w:keepNext/>
      <w:keepLines/>
      <w:spacing w:before="40" w:after="0"/>
      <w:outlineLvl w:val="1"/>
    </w:pPr>
    <w:rPr>
      <w:rFonts w:eastAsia="SimSun" w:cs="Times New Roman"/>
      <w:b/>
      <w:sz w:val="28"/>
      <w:szCs w:val="26"/>
      <w:lang w:val="en-S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Times New Roman"/>
      <w:b/>
      <w:sz w:val="32"/>
      <w:szCs w:val="32"/>
    </w:rPr>
  </w:style>
  <w:style w:type="character" w:customStyle="1" w:styleId="Heading2Char">
    <w:name w:val="Heading 2 Char"/>
    <w:basedOn w:val="DefaultParagraphFont"/>
    <w:link w:val="Heading2"/>
    <w:uiPriority w:val="9"/>
    <w:rPr>
      <w:rFonts w:ascii="Times New Roman" w:eastAsia="SimSun" w:hAnsi="Times New Roman" w:cs="Times New Roman"/>
      <w:b/>
      <w:sz w:val="28"/>
      <w:szCs w:val="26"/>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TOCHeading">
    <w:name w:val="TOC Heading"/>
    <w:basedOn w:val="Heading1"/>
    <w:next w:val="Normal"/>
    <w:uiPriority w:val="39"/>
    <w:qFormat/>
    <w:pPr>
      <w:spacing w:line="259" w:lineRule="auto"/>
      <w:jc w:val="left"/>
      <w:outlineLvl w:val="9"/>
    </w:pPr>
    <w:rPr>
      <w:rFonts w:ascii="Calibri Light" w:hAnsi="Calibri Light"/>
      <w:b w:val="0"/>
      <w:color w:val="2F5496"/>
      <w:kern w:val="0"/>
      <w:lang w:val="en-US"/>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715B99-9C3F-4B47-A696-C29EC3F4A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2378</Words>
  <Characters>13561</Characters>
  <Application>Microsoft Office Word</Application>
  <DocSecurity>0</DocSecurity>
  <Lines>113</Lines>
  <Paragraphs>31</Paragraphs>
  <ScaleCrop>false</ScaleCrop>
  <Company/>
  <LinksUpToDate>false</LinksUpToDate>
  <CharactersWithSpaces>15908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rahuldasecondu@gmail.com</dc:creator>
  <cp:lastModifiedBy>Corina Crap</cp:lastModifiedBy>
  <cp:revision>3</cp:revision>
  <dcterms:created xsi:type="dcterms:W3CDTF">2023-04-15T11:57:00Z</dcterms:created>
  <dcterms:modified xsi:type="dcterms:W3CDTF">2023-04-15T12:06:00Z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644da4b9-348f-4729-bbf5-950c26dcc499</vt:lpwstr>
  </property>
  <property fmtid="{D5CDD505-2E9C-101B-9397-08002B2CF9AE}" pid="3" name="ICV">
    <vt:lpwstr>6d99c0ff2b8e44f093c81b45e0eb1728</vt:lpwstr>
  </property>
</Properties>
</file>