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255C37" w14:textId="77777777" w:rsidR="00FF716C" w:rsidRDefault="00FF716C" w:rsidP="00FF716C">
      <w:pPr>
        <w:jc w:val="center"/>
        <w:rPr>
          <w:rFonts w:ascii="Arial" w:hAnsi="Arial" w:cs="Arial"/>
        </w:rPr>
      </w:pPr>
      <w:bookmarkStart w:id="0" w:name="_Toc212908256"/>
      <w:r w:rsidRPr="00894333">
        <w:rPr>
          <w:rFonts w:ascii="Arial" w:hAnsi="Arial" w:cs="Arial"/>
          <w:noProof/>
        </w:rPr>
        <w:drawing>
          <wp:inline distT="0" distB="0" distL="0" distR="0" wp14:anchorId="77FF457C" wp14:editId="17199B50">
            <wp:extent cx="4738255" cy="1895302"/>
            <wp:effectExtent l="0" t="0" r="571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1468" cy="1900587"/>
                    </a:xfrm>
                    <a:prstGeom prst="rect">
                      <a:avLst/>
                    </a:prstGeom>
                    <a:noFill/>
                  </pic:spPr>
                </pic:pic>
              </a:graphicData>
            </a:graphic>
          </wp:inline>
        </w:drawing>
      </w:r>
    </w:p>
    <w:p w14:paraId="11AB596C" w14:textId="77777777" w:rsidR="00AF2E50" w:rsidRDefault="00AF2E50" w:rsidP="00FF716C">
      <w:pPr>
        <w:jc w:val="center"/>
        <w:rPr>
          <w:rFonts w:ascii="Arial" w:hAnsi="Arial" w:cs="Arial"/>
        </w:rPr>
      </w:pPr>
    </w:p>
    <w:p w14:paraId="066A278B" w14:textId="77777777" w:rsidR="00AF2E50" w:rsidRPr="00894333" w:rsidRDefault="00AF2E50" w:rsidP="00FF716C">
      <w:pPr>
        <w:jc w:val="center"/>
        <w:rPr>
          <w:rFonts w:ascii="Arial" w:hAnsi="Arial" w:cs="Arial"/>
        </w:rPr>
      </w:pPr>
    </w:p>
    <w:p w14:paraId="724F914E" w14:textId="77777777" w:rsidR="00FF716C" w:rsidRPr="00894333" w:rsidRDefault="00FF716C" w:rsidP="00FF716C">
      <w:pPr>
        <w:spacing w:after="0"/>
        <w:jc w:val="center"/>
        <w:rPr>
          <w:rFonts w:ascii="Arial" w:hAnsi="Arial" w:cs="Arial"/>
          <w:b/>
          <w:bCs/>
          <w:sz w:val="40"/>
          <w:szCs w:val="40"/>
        </w:rPr>
      </w:pPr>
      <w:r w:rsidRPr="00894333">
        <w:rPr>
          <w:rFonts w:ascii="Arial" w:hAnsi="Arial" w:cs="Arial"/>
          <w:b/>
          <w:bCs/>
          <w:sz w:val="40"/>
          <w:szCs w:val="40"/>
        </w:rPr>
        <w:t xml:space="preserve">Course Title: </w:t>
      </w:r>
      <w:r w:rsidRPr="00894333">
        <w:rPr>
          <w:rFonts w:ascii="Arial" w:hAnsi="Arial" w:cs="Arial"/>
          <w:sz w:val="40"/>
          <w:szCs w:val="40"/>
        </w:rPr>
        <w:t>MBA - International Business</w:t>
      </w:r>
    </w:p>
    <w:p w14:paraId="718649AE" w14:textId="77777777" w:rsidR="00FF716C" w:rsidRPr="00894333" w:rsidRDefault="00FF716C" w:rsidP="00FF716C">
      <w:pPr>
        <w:spacing w:after="0"/>
        <w:jc w:val="center"/>
        <w:rPr>
          <w:rFonts w:ascii="Arial" w:hAnsi="Arial" w:cs="Arial"/>
          <w:b/>
          <w:bCs/>
          <w:sz w:val="40"/>
          <w:szCs w:val="40"/>
        </w:rPr>
      </w:pPr>
      <w:r w:rsidRPr="00894333">
        <w:rPr>
          <w:rFonts w:ascii="Arial" w:hAnsi="Arial" w:cs="Arial"/>
          <w:b/>
          <w:bCs/>
          <w:sz w:val="40"/>
          <w:szCs w:val="40"/>
        </w:rPr>
        <w:t>Term 1</w:t>
      </w:r>
    </w:p>
    <w:p w14:paraId="47C58B3A" w14:textId="77777777" w:rsidR="00FF716C" w:rsidRPr="00894333" w:rsidRDefault="00FF716C" w:rsidP="00FF716C">
      <w:pPr>
        <w:jc w:val="center"/>
        <w:rPr>
          <w:rFonts w:ascii="Arial" w:hAnsi="Arial" w:cs="Arial"/>
          <w:b/>
          <w:bCs/>
          <w:sz w:val="40"/>
          <w:szCs w:val="40"/>
        </w:rPr>
      </w:pPr>
    </w:p>
    <w:p w14:paraId="007B0305" w14:textId="77777777" w:rsidR="00FF716C" w:rsidRDefault="00FF716C" w:rsidP="00FF716C">
      <w:pPr>
        <w:jc w:val="center"/>
        <w:rPr>
          <w:rFonts w:ascii="Arial" w:hAnsi="Arial" w:cs="Arial"/>
          <w:b/>
          <w:bCs/>
          <w:sz w:val="40"/>
          <w:szCs w:val="40"/>
        </w:rPr>
      </w:pPr>
    </w:p>
    <w:p w14:paraId="6F82A3AA" w14:textId="77777777" w:rsidR="00AF2E50" w:rsidRPr="00894333" w:rsidRDefault="00AF2E50" w:rsidP="00FF716C">
      <w:pPr>
        <w:jc w:val="center"/>
        <w:rPr>
          <w:rFonts w:ascii="Arial" w:hAnsi="Arial" w:cs="Arial"/>
          <w:b/>
          <w:bCs/>
          <w:sz w:val="40"/>
          <w:szCs w:val="40"/>
        </w:rPr>
      </w:pPr>
    </w:p>
    <w:p w14:paraId="0A2F8D38" w14:textId="1BF1EE01" w:rsidR="00FF716C" w:rsidRPr="00894333" w:rsidRDefault="00FF716C" w:rsidP="00FF716C">
      <w:pPr>
        <w:spacing w:after="0"/>
        <w:jc w:val="center"/>
        <w:rPr>
          <w:rFonts w:ascii="Arial" w:hAnsi="Arial" w:cs="Arial"/>
          <w:b/>
          <w:bCs/>
          <w:sz w:val="40"/>
          <w:szCs w:val="40"/>
        </w:rPr>
      </w:pPr>
      <w:r w:rsidRPr="00894333">
        <w:rPr>
          <w:rFonts w:ascii="Arial" w:hAnsi="Arial" w:cs="Arial"/>
          <w:b/>
          <w:bCs/>
          <w:sz w:val="40"/>
          <w:szCs w:val="40"/>
        </w:rPr>
        <w:t xml:space="preserve">Module Name: </w:t>
      </w:r>
      <w:r w:rsidRPr="00894333">
        <w:rPr>
          <w:rFonts w:ascii="Arial" w:hAnsi="Arial" w:cs="Arial"/>
          <w:sz w:val="40"/>
          <w:szCs w:val="40"/>
        </w:rPr>
        <w:t>Financial Management</w:t>
      </w:r>
    </w:p>
    <w:p w14:paraId="5D494BE0" w14:textId="78782899" w:rsidR="00FF716C" w:rsidRPr="00894333" w:rsidRDefault="00FF716C" w:rsidP="00FF716C">
      <w:pPr>
        <w:spacing w:after="0"/>
        <w:jc w:val="center"/>
        <w:rPr>
          <w:rFonts w:ascii="Arial" w:hAnsi="Arial" w:cs="Arial"/>
          <w:sz w:val="40"/>
          <w:szCs w:val="40"/>
        </w:rPr>
      </w:pPr>
      <w:r w:rsidRPr="00894333">
        <w:rPr>
          <w:rFonts w:ascii="Arial" w:hAnsi="Arial" w:cs="Arial"/>
          <w:b/>
          <w:bCs/>
          <w:sz w:val="40"/>
          <w:szCs w:val="40"/>
        </w:rPr>
        <w:t xml:space="preserve">Module Code: </w:t>
      </w:r>
      <w:r w:rsidRPr="00894333">
        <w:rPr>
          <w:rFonts w:ascii="Arial" w:hAnsi="Arial" w:cs="Arial"/>
          <w:sz w:val="40"/>
          <w:szCs w:val="40"/>
        </w:rPr>
        <w:t>LCMB7002</w:t>
      </w:r>
    </w:p>
    <w:p w14:paraId="5FF0ADFF" w14:textId="77777777" w:rsidR="00FF716C" w:rsidRPr="00894333" w:rsidRDefault="00FF716C" w:rsidP="00FF716C">
      <w:pPr>
        <w:jc w:val="center"/>
        <w:rPr>
          <w:rFonts w:ascii="Arial" w:hAnsi="Arial" w:cs="Arial"/>
          <w:sz w:val="40"/>
          <w:szCs w:val="40"/>
        </w:rPr>
      </w:pPr>
    </w:p>
    <w:p w14:paraId="2F4FFB16" w14:textId="77777777" w:rsidR="00FF716C" w:rsidRDefault="00FF716C" w:rsidP="00FF716C">
      <w:pPr>
        <w:jc w:val="center"/>
        <w:rPr>
          <w:rFonts w:ascii="Arial" w:hAnsi="Arial" w:cs="Arial"/>
          <w:sz w:val="40"/>
          <w:szCs w:val="40"/>
        </w:rPr>
      </w:pPr>
    </w:p>
    <w:p w14:paraId="48643DA2" w14:textId="77777777" w:rsidR="00AF2E50" w:rsidRPr="00894333" w:rsidRDefault="00AF2E50" w:rsidP="00FF716C">
      <w:pPr>
        <w:jc w:val="center"/>
        <w:rPr>
          <w:rFonts w:ascii="Arial" w:hAnsi="Arial" w:cs="Arial"/>
          <w:sz w:val="40"/>
          <w:szCs w:val="40"/>
        </w:rPr>
      </w:pPr>
    </w:p>
    <w:p w14:paraId="2A60409A" w14:textId="77777777" w:rsidR="00FF716C" w:rsidRPr="00894333" w:rsidRDefault="00FF716C" w:rsidP="00FF716C">
      <w:pPr>
        <w:spacing w:after="0"/>
        <w:jc w:val="center"/>
        <w:rPr>
          <w:rFonts w:ascii="Arial" w:hAnsi="Arial" w:cs="Arial"/>
          <w:b/>
          <w:bCs/>
          <w:sz w:val="40"/>
          <w:szCs w:val="40"/>
        </w:rPr>
      </w:pPr>
      <w:r w:rsidRPr="00894333">
        <w:rPr>
          <w:rFonts w:ascii="Arial" w:hAnsi="Arial" w:cs="Arial"/>
          <w:b/>
          <w:bCs/>
          <w:sz w:val="40"/>
          <w:szCs w:val="40"/>
        </w:rPr>
        <w:t xml:space="preserve">Student Name: </w:t>
      </w:r>
      <w:r w:rsidRPr="00894333">
        <w:rPr>
          <w:rFonts w:ascii="Arial" w:hAnsi="Arial" w:cs="Arial"/>
          <w:sz w:val="40"/>
          <w:szCs w:val="40"/>
        </w:rPr>
        <w:t>Hitarth</w:t>
      </w:r>
      <w:r w:rsidRPr="00894333">
        <w:rPr>
          <w:rFonts w:ascii="Arial" w:hAnsi="Arial" w:cs="Arial"/>
          <w:b/>
          <w:bCs/>
          <w:sz w:val="40"/>
          <w:szCs w:val="40"/>
        </w:rPr>
        <w:t xml:space="preserve"> </w:t>
      </w:r>
      <w:r w:rsidRPr="00894333">
        <w:rPr>
          <w:rFonts w:ascii="Arial" w:hAnsi="Arial" w:cs="Arial"/>
          <w:sz w:val="40"/>
          <w:szCs w:val="40"/>
        </w:rPr>
        <w:t>Girishbhai</w:t>
      </w:r>
      <w:r w:rsidRPr="00894333">
        <w:rPr>
          <w:rFonts w:ascii="Arial" w:hAnsi="Arial" w:cs="Arial"/>
          <w:b/>
          <w:bCs/>
          <w:sz w:val="40"/>
          <w:szCs w:val="40"/>
        </w:rPr>
        <w:t xml:space="preserve"> </w:t>
      </w:r>
      <w:r w:rsidRPr="00894333">
        <w:rPr>
          <w:rFonts w:ascii="Arial" w:hAnsi="Arial" w:cs="Arial"/>
          <w:sz w:val="40"/>
          <w:szCs w:val="40"/>
        </w:rPr>
        <w:t>Sorathiya</w:t>
      </w:r>
    </w:p>
    <w:p w14:paraId="499B23F8" w14:textId="77777777" w:rsidR="00FF716C" w:rsidRPr="00894333" w:rsidRDefault="00FF716C" w:rsidP="00FF716C">
      <w:pPr>
        <w:spacing w:after="0"/>
        <w:jc w:val="center"/>
        <w:rPr>
          <w:rFonts w:ascii="Arial" w:hAnsi="Arial" w:cs="Arial"/>
          <w:sz w:val="40"/>
          <w:szCs w:val="40"/>
        </w:rPr>
      </w:pPr>
      <w:r w:rsidRPr="00894333">
        <w:rPr>
          <w:rFonts w:ascii="Arial" w:hAnsi="Arial" w:cs="Arial"/>
          <w:b/>
          <w:bCs/>
          <w:sz w:val="40"/>
          <w:szCs w:val="40"/>
        </w:rPr>
        <w:t xml:space="preserve">Student ID: </w:t>
      </w:r>
      <w:r w:rsidRPr="00894333">
        <w:rPr>
          <w:rFonts w:ascii="Arial" w:hAnsi="Arial" w:cs="Arial"/>
          <w:sz w:val="40"/>
          <w:szCs w:val="40"/>
        </w:rPr>
        <w:t>2506577</w:t>
      </w:r>
    </w:p>
    <w:p w14:paraId="5FBFBAA2" w14:textId="77777777" w:rsidR="00FF716C" w:rsidRDefault="00FF716C" w:rsidP="00FF716C">
      <w:pPr>
        <w:jc w:val="center"/>
        <w:rPr>
          <w:rFonts w:ascii="Arial" w:hAnsi="Arial" w:cs="Arial"/>
          <w:sz w:val="40"/>
          <w:szCs w:val="40"/>
        </w:rPr>
      </w:pPr>
    </w:p>
    <w:p w14:paraId="58207172" w14:textId="77777777" w:rsidR="00AF2E50" w:rsidRPr="00894333" w:rsidRDefault="00AF2E50" w:rsidP="00FF716C">
      <w:pPr>
        <w:jc w:val="center"/>
        <w:rPr>
          <w:rFonts w:ascii="Arial" w:hAnsi="Arial" w:cs="Arial"/>
          <w:sz w:val="40"/>
          <w:szCs w:val="40"/>
        </w:rPr>
      </w:pPr>
    </w:p>
    <w:p w14:paraId="5967B503" w14:textId="77777777" w:rsidR="00FF716C" w:rsidRPr="00894333" w:rsidRDefault="00FF716C" w:rsidP="00FF716C">
      <w:pPr>
        <w:jc w:val="center"/>
        <w:rPr>
          <w:rFonts w:ascii="Arial" w:hAnsi="Arial" w:cs="Arial"/>
          <w:sz w:val="40"/>
          <w:szCs w:val="40"/>
        </w:rPr>
      </w:pPr>
    </w:p>
    <w:p w14:paraId="7A981DF6" w14:textId="4FB13FA3" w:rsidR="00FF716C" w:rsidRPr="00894333" w:rsidRDefault="00FF716C" w:rsidP="00FF716C">
      <w:pPr>
        <w:spacing w:after="0"/>
        <w:jc w:val="center"/>
        <w:rPr>
          <w:rFonts w:ascii="Arial" w:hAnsi="Arial" w:cs="Arial"/>
          <w:sz w:val="40"/>
          <w:szCs w:val="40"/>
        </w:rPr>
      </w:pPr>
      <w:r w:rsidRPr="00894333">
        <w:rPr>
          <w:rFonts w:ascii="Arial" w:hAnsi="Arial" w:cs="Arial"/>
          <w:b/>
          <w:bCs/>
          <w:sz w:val="40"/>
          <w:szCs w:val="40"/>
        </w:rPr>
        <w:t xml:space="preserve">Lecturer’s Name: </w:t>
      </w:r>
      <w:r w:rsidRPr="00894333">
        <w:rPr>
          <w:rFonts w:ascii="Arial" w:hAnsi="Arial" w:cs="Arial"/>
          <w:sz w:val="40"/>
          <w:szCs w:val="40"/>
        </w:rPr>
        <w:t>Md Kalam</w:t>
      </w:r>
    </w:p>
    <w:p w14:paraId="38C25975" w14:textId="673CE089" w:rsidR="00FF716C" w:rsidRPr="00894333" w:rsidRDefault="00FF716C" w:rsidP="00FF716C">
      <w:pPr>
        <w:spacing w:after="0"/>
        <w:jc w:val="center"/>
        <w:rPr>
          <w:rFonts w:ascii="Arial" w:hAnsi="Arial" w:cs="Arial"/>
          <w:sz w:val="40"/>
          <w:szCs w:val="40"/>
        </w:rPr>
      </w:pPr>
      <w:r w:rsidRPr="00894333">
        <w:rPr>
          <w:rFonts w:ascii="Arial" w:hAnsi="Arial" w:cs="Arial"/>
          <w:b/>
          <w:bCs/>
          <w:sz w:val="40"/>
          <w:szCs w:val="40"/>
        </w:rPr>
        <w:t xml:space="preserve">Word Count: </w:t>
      </w:r>
      <w:r w:rsidR="00E902D9" w:rsidRPr="00894333">
        <w:rPr>
          <w:rFonts w:ascii="Arial" w:hAnsi="Arial" w:cs="Arial"/>
          <w:sz w:val="40"/>
          <w:szCs w:val="40"/>
        </w:rPr>
        <w:t>5</w:t>
      </w:r>
      <w:r w:rsidR="00DD623C">
        <w:rPr>
          <w:rFonts w:ascii="Arial" w:hAnsi="Arial" w:cs="Arial"/>
          <w:sz w:val="40"/>
          <w:szCs w:val="40"/>
        </w:rPr>
        <w:t>441</w:t>
      </w:r>
      <w:r w:rsidRPr="00894333">
        <w:rPr>
          <w:rFonts w:ascii="Arial" w:hAnsi="Arial" w:cs="Arial"/>
          <w:sz w:val="40"/>
          <w:szCs w:val="40"/>
        </w:rPr>
        <w:t>/5</w:t>
      </w:r>
      <w:r w:rsidR="00C402D4" w:rsidRPr="00894333">
        <w:rPr>
          <w:rFonts w:ascii="Arial" w:hAnsi="Arial" w:cs="Arial"/>
          <w:sz w:val="40"/>
          <w:szCs w:val="40"/>
        </w:rPr>
        <w:t>0</w:t>
      </w:r>
      <w:r w:rsidRPr="00894333">
        <w:rPr>
          <w:rFonts w:ascii="Arial" w:hAnsi="Arial" w:cs="Arial"/>
          <w:sz w:val="40"/>
          <w:szCs w:val="40"/>
        </w:rPr>
        <w:t>00</w:t>
      </w:r>
    </w:p>
    <w:p w14:paraId="12EEB759" w14:textId="77777777" w:rsidR="00FF716C" w:rsidRPr="00894333" w:rsidRDefault="00FF716C" w:rsidP="00FF716C">
      <w:pPr>
        <w:spacing w:after="0"/>
        <w:jc w:val="center"/>
        <w:rPr>
          <w:rFonts w:ascii="Arial" w:hAnsi="Arial" w:cs="Arial"/>
          <w:sz w:val="40"/>
          <w:szCs w:val="40"/>
        </w:rPr>
      </w:pPr>
    </w:p>
    <w:p w14:paraId="6AFC7CA3" w14:textId="77777777" w:rsidR="00FF716C" w:rsidRPr="00894333" w:rsidRDefault="00FF716C" w:rsidP="00FF716C">
      <w:pPr>
        <w:spacing w:after="0"/>
        <w:jc w:val="center"/>
        <w:rPr>
          <w:rFonts w:ascii="Arial" w:hAnsi="Arial" w:cs="Arial"/>
          <w:sz w:val="40"/>
          <w:szCs w:val="40"/>
        </w:rPr>
      </w:pPr>
    </w:p>
    <w:p w14:paraId="25436764" w14:textId="77777777" w:rsidR="009348DE" w:rsidRPr="00894333" w:rsidRDefault="009348DE" w:rsidP="00B27E3A">
      <w:pPr>
        <w:spacing w:before="240" w:line="240" w:lineRule="auto"/>
        <w:jc w:val="center"/>
        <w:rPr>
          <w:rFonts w:ascii="Arial" w:hAnsi="Arial" w:cs="Arial"/>
          <w:b/>
          <w:bCs/>
          <w:sz w:val="40"/>
          <w:szCs w:val="40"/>
        </w:rPr>
      </w:pPr>
    </w:p>
    <w:p w14:paraId="5A5906F7" w14:textId="710C0AB9" w:rsidR="00FF716C" w:rsidRPr="00894333" w:rsidRDefault="00B27E3A" w:rsidP="00B64DFF">
      <w:pPr>
        <w:pStyle w:val="Title"/>
        <w:rPr>
          <w:rFonts w:ascii="Arial" w:hAnsi="Arial" w:cs="Arial"/>
          <w:b/>
          <w:bCs/>
        </w:rPr>
      </w:pPr>
      <w:r w:rsidRPr="00894333">
        <w:rPr>
          <w:rFonts w:ascii="Arial" w:hAnsi="Arial" w:cs="Arial"/>
          <w:b/>
          <w:bCs/>
        </w:rPr>
        <w:t>A Report on the Financial Performance and Management Analysis of General Electronics</w:t>
      </w:r>
    </w:p>
    <w:p w14:paraId="0AB14342" w14:textId="77777777" w:rsidR="003354C1" w:rsidRPr="00894333" w:rsidRDefault="003354C1" w:rsidP="009348DE">
      <w:pPr>
        <w:spacing w:before="240" w:line="240" w:lineRule="auto"/>
        <w:rPr>
          <w:rFonts w:ascii="Arial" w:hAnsi="Arial" w:cs="Arial"/>
          <w:b/>
          <w:bCs/>
          <w:sz w:val="32"/>
          <w:szCs w:val="32"/>
        </w:rPr>
      </w:pPr>
    </w:p>
    <w:p w14:paraId="7A04F58D" w14:textId="246D1636" w:rsidR="00B844CB" w:rsidRPr="00894333" w:rsidRDefault="00B844CB" w:rsidP="003354C1">
      <w:pPr>
        <w:spacing w:before="240" w:after="0" w:line="240" w:lineRule="auto"/>
        <w:jc w:val="both"/>
        <w:rPr>
          <w:rFonts w:ascii="Arial" w:hAnsi="Arial" w:cs="Arial"/>
          <w:b/>
          <w:bCs/>
          <w:sz w:val="32"/>
          <w:szCs w:val="32"/>
        </w:rPr>
      </w:pPr>
      <w:r w:rsidRPr="00894333">
        <w:rPr>
          <w:rFonts w:ascii="Arial" w:hAnsi="Arial" w:cs="Arial"/>
          <w:b/>
          <w:bCs/>
          <w:sz w:val="32"/>
          <w:szCs w:val="32"/>
        </w:rPr>
        <w:t>Executive summary</w:t>
      </w:r>
    </w:p>
    <w:p w14:paraId="72117DE2" w14:textId="77777777" w:rsidR="00E45475" w:rsidRPr="00894333" w:rsidRDefault="00E45475" w:rsidP="003354C1">
      <w:pPr>
        <w:spacing w:before="240" w:after="0" w:line="240" w:lineRule="auto"/>
        <w:jc w:val="both"/>
        <w:rPr>
          <w:rFonts w:ascii="Arial" w:hAnsi="Arial" w:cs="Arial"/>
          <w:b/>
          <w:bCs/>
          <w:sz w:val="32"/>
          <w:szCs w:val="32"/>
        </w:rPr>
      </w:pPr>
    </w:p>
    <w:p w14:paraId="2B4D1AB5" w14:textId="5E3961C5" w:rsidR="00B844CB" w:rsidRPr="00894333" w:rsidRDefault="00B844CB" w:rsidP="003354C1">
      <w:pPr>
        <w:spacing w:after="0" w:line="240" w:lineRule="auto"/>
        <w:jc w:val="both"/>
        <w:rPr>
          <w:rFonts w:ascii="Arial" w:hAnsi="Arial" w:cs="Arial"/>
          <w:sz w:val="28"/>
        </w:rPr>
      </w:pPr>
      <w:r w:rsidRPr="00894333">
        <w:rPr>
          <w:rFonts w:ascii="Arial" w:hAnsi="Arial" w:cs="Arial"/>
          <w:sz w:val="28"/>
        </w:rPr>
        <w:t xml:space="preserve">General Electronics has been in a dire economic condition following five years of </w:t>
      </w:r>
      <w:r w:rsidR="002C3E5A" w:rsidRPr="00894333">
        <w:rPr>
          <w:rFonts w:ascii="Arial" w:hAnsi="Arial" w:cs="Arial"/>
          <w:sz w:val="28"/>
        </w:rPr>
        <w:t>unfavourable</w:t>
      </w:r>
      <w:r w:rsidRPr="00894333">
        <w:rPr>
          <w:rFonts w:ascii="Arial" w:hAnsi="Arial" w:cs="Arial"/>
          <w:sz w:val="28"/>
        </w:rPr>
        <w:t xml:space="preserve"> performance. This report presents the analysis of the financial health of the company in the context of the Chief Financial Officer and </w:t>
      </w:r>
      <w:r w:rsidR="002C3E5A" w:rsidRPr="00894333">
        <w:rPr>
          <w:rFonts w:ascii="Arial" w:hAnsi="Arial" w:cs="Arial"/>
          <w:sz w:val="28"/>
        </w:rPr>
        <w:t>analyses</w:t>
      </w:r>
      <w:r w:rsidRPr="00894333">
        <w:rPr>
          <w:rFonts w:ascii="Arial" w:hAnsi="Arial" w:cs="Arial"/>
          <w:sz w:val="28"/>
        </w:rPr>
        <w:t xml:space="preserve"> the financial statements of the 2020-2024 to propose a working turnaround strategy. In 2023-2024, the net sales had decreased by 35.7 per cent to reach £394,879m but cumulative losses had been over 122,267m in 2024 annihilating shareholder value. The profitability ratios had become catastrophic and net margins fell to -6.08% in 2024 (2020) 6.28%. </w:t>
      </w:r>
    </w:p>
    <w:p w14:paraId="731124FA" w14:textId="77777777" w:rsidR="00330C9A" w:rsidRPr="00894333" w:rsidRDefault="00330C9A" w:rsidP="003354C1">
      <w:pPr>
        <w:spacing w:after="0" w:line="240" w:lineRule="auto"/>
        <w:jc w:val="both"/>
        <w:rPr>
          <w:rFonts w:ascii="Arial" w:hAnsi="Arial" w:cs="Arial"/>
          <w:sz w:val="28"/>
        </w:rPr>
      </w:pPr>
    </w:p>
    <w:p w14:paraId="4D7A4314" w14:textId="77777777" w:rsidR="003E577D" w:rsidRPr="00894333" w:rsidRDefault="00B844CB" w:rsidP="00530AFB">
      <w:pPr>
        <w:jc w:val="both"/>
        <w:rPr>
          <w:rFonts w:ascii="Arial" w:hAnsi="Arial" w:cs="Arial"/>
          <w:sz w:val="28"/>
        </w:rPr>
      </w:pPr>
      <w:r w:rsidRPr="00894333">
        <w:rPr>
          <w:rFonts w:ascii="Arial" w:hAnsi="Arial" w:cs="Arial"/>
          <w:sz w:val="28"/>
        </w:rPr>
        <w:t>The liquidity ratios were aggravated as current ratio declined to 1.53 and there was more reduction in cash reserves by 53.1%. Having an Altman Z-score of 2.82 in 2024, the company is at the grey zone, and this means that within three years to come, they are likely to bankrupt within 35 to 50 percent. The working capital efficiency decreased substantially, and cash operating cycle went to 130 days. Reported suggestions that a complete overhauling of the company will include: the combination of the following: £15,000m of assets divestiture, 40,000m of equity capital and 20,000m of debt-to-equity conversion. The working capital management needs to be enhanced through having better inventory management, quicker receivables turnover, and a more extended payable. Project C, with better NPV of 4.23m, IRR of 12.73 and profitability index of 1.085 should be maximized with a liquidity buffer of 10m in the capital rationing limit, which is 60m.</w:t>
      </w:r>
    </w:p>
    <w:p w14:paraId="61C5D33A" w14:textId="77777777" w:rsidR="003E577D" w:rsidRPr="00894333" w:rsidRDefault="003E577D" w:rsidP="00530AFB">
      <w:pPr>
        <w:jc w:val="both"/>
        <w:rPr>
          <w:rFonts w:ascii="Arial" w:hAnsi="Arial" w:cs="Arial"/>
          <w:sz w:val="28"/>
        </w:rPr>
      </w:pPr>
      <w:r w:rsidRPr="00894333">
        <w:rPr>
          <w:rFonts w:ascii="Arial" w:hAnsi="Arial" w:cs="Arial"/>
          <w:sz w:val="28"/>
        </w:rPr>
        <w:lastRenderedPageBreak/>
        <w:br w:type="page"/>
      </w:r>
    </w:p>
    <w:sdt>
      <w:sdtPr>
        <w:rPr>
          <w:rFonts w:ascii="Arial" w:eastAsiaTheme="minorHAnsi" w:hAnsi="Arial" w:cs="Arial"/>
          <w:color w:val="auto"/>
          <w:kern w:val="2"/>
          <w:sz w:val="22"/>
          <w:szCs w:val="28"/>
          <w:lang w:val="en-GB" w:bidi="th-TH"/>
          <w14:ligatures w14:val="standardContextual"/>
        </w:rPr>
        <w:id w:val="410578958"/>
        <w:docPartObj>
          <w:docPartGallery w:val="Table of Contents"/>
          <w:docPartUnique/>
        </w:docPartObj>
      </w:sdtPr>
      <w:sdtEndPr>
        <w:rPr>
          <w:b/>
          <w:bCs/>
          <w:noProof/>
        </w:rPr>
      </w:sdtEndPr>
      <w:sdtContent>
        <w:p w14:paraId="3E97BEBD" w14:textId="2C7FEB15" w:rsidR="00B75761" w:rsidRPr="00894333" w:rsidRDefault="001447E6">
          <w:pPr>
            <w:pStyle w:val="TOCHeading"/>
            <w:rPr>
              <w:rFonts w:ascii="Arial" w:hAnsi="Arial" w:cs="Arial"/>
            </w:rPr>
          </w:pPr>
          <w:r w:rsidRPr="00894333">
            <w:rPr>
              <w:rFonts w:ascii="Arial" w:hAnsi="Arial" w:cs="Arial"/>
            </w:rPr>
            <w:t>Table of Contents</w:t>
          </w:r>
        </w:p>
        <w:p w14:paraId="1027FFB3" w14:textId="66A2ED65" w:rsidR="004E6B7D" w:rsidRDefault="00B75761">
          <w:pPr>
            <w:pStyle w:val="TOC1"/>
            <w:tabs>
              <w:tab w:val="right" w:leader="dot" w:pos="9016"/>
            </w:tabs>
            <w:rPr>
              <w:rFonts w:eastAsiaTheme="minorEastAsia"/>
              <w:noProof/>
              <w:sz w:val="24"/>
              <w:szCs w:val="24"/>
              <w:lang w:eastAsia="en-GB" w:bidi="ar-SA"/>
            </w:rPr>
          </w:pPr>
          <w:r w:rsidRPr="00894333">
            <w:rPr>
              <w:rFonts w:ascii="Arial" w:hAnsi="Arial" w:cs="Arial"/>
            </w:rPr>
            <w:fldChar w:fldCharType="begin"/>
          </w:r>
          <w:r w:rsidRPr="00894333">
            <w:rPr>
              <w:rFonts w:ascii="Arial" w:hAnsi="Arial" w:cs="Arial"/>
            </w:rPr>
            <w:instrText xml:space="preserve"> TOC \o "1-3" \h \z \u </w:instrText>
          </w:r>
          <w:r w:rsidRPr="00894333">
            <w:rPr>
              <w:rFonts w:ascii="Arial" w:hAnsi="Arial" w:cs="Arial"/>
            </w:rPr>
            <w:fldChar w:fldCharType="separate"/>
          </w:r>
          <w:hyperlink w:anchor="_Toc217038425" w:history="1">
            <w:r w:rsidR="004E6B7D" w:rsidRPr="00583817">
              <w:rPr>
                <w:rStyle w:val="Hyperlink"/>
                <w:rFonts w:ascii="Arial" w:hAnsi="Arial" w:cs="Arial"/>
                <w:b/>
                <w:noProof/>
              </w:rPr>
              <w:t>1. Introduction</w:t>
            </w:r>
            <w:r w:rsidR="004E6B7D">
              <w:rPr>
                <w:noProof/>
                <w:webHidden/>
              </w:rPr>
              <w:tab/>
            </w:r>
            <w:r w:rsidR="004E6B7D">
              <w:rPr>
                <w:noProof/>
                <w:webHidden/>
              </w:rPr>
              <w:fldChar w:fldCharType="begin"/>
            </w:r>
            <w:r w:rsidR="004E6B7D">
              <w:rPr>
                <w:noProof/>
                <w:webHidden/>
              </w:rPr>
              <w:instrText xml:space="preserve"> PAGEREF _Toc217038425 \h </w:instrText>
            </w:r>
            <w:r w:rsidR="004E6B7D">
              <w:rPr>
                <w:noProof/>
                <w:webHidden/>
              </w:rPr>
            </w:r>
            <w:r w:rsidR="004E6B7D">
              <w:rPr>
                <w:noProof/>
                <w:webHidden/>
              </w:rPr>
              <w:fldChar w:fldCharType="separate"/>
            </w:r>
            <w:r w:rsidR="004E6B7D">
              <w:rPr>
                <w:noProof/>
                <w:webHidden/>
              </w:rPr>
              <w:t>4</w:t>
            </w:r>
            <w:r w:rsidR="004E6B7D">
              <w:rPr>
                <w:noProof/>
                <w:webHidden/>
              </w:rPr>
              <w:fldChar w:fldCharType="end"/>
            </w:r>
          </w:hyperlink>
        </w:p>
        <w:p w14:paraId="69893963" w14:textId="5089F232" w:rsidR="004E6B7D" w:rsidRDefault="004E6B7D">
          <w:pPr>
            <w:pStyle w:val="TOC1"/>
            <w:tabs>
              <w:tab w:val="right" w:leader="dot" w:pos="9016"/>
            </w:tabs>
            <w:rPr>
              <w:rFonts w:eastAsiaTheme="minorEastAsia"/>
              <w:noProof/>
              <w:sz w:val="24"/>
              <w:szCs w:val="24"/>
              <w:lang w:eastAsia="en-GB" w:bidi="ar-SA"/>
            </w:rPr>
          </w:pPr>
          <w:hyperlink w:anchor="_Toc217038426" w:history="1">
            <w:r w:rsidRPr="00583817">
              <w:rPr>
                <w:rStyle w:val="Hyperlink"/>
                <w:rFonts w:ascii="Arial" w:hAnsi="Arial" w:cs="Arial"/>
                <w:b/>
                <w:noProof/>
              </w:rPr>
              <w:t xml:space="preserve">2 Financial Health Check: </w:t>
            </w:r>
            <w:r w:rsidRPr="00583817">
              <w:rPr>
                <w:rStyle w:val="Hyperlink"/>
                <w:rFonts w:ascii="Arial" w:hAnsi="Arial" w:cs="Arial"/>
                <w:bCs/>
                <w:noProof/>
              </w:rPr>
              <w:t>Ratio Analysis</w:t>
            </w:r>
            <w:r>
              <w:rPr>
                <w:noProof/>
                <w:webHidden/>
              </w:rPr>
              <w:tab/>
            </w:r>
            <w:r>
              <w:rPr>
                <w:noProof/>
                <w:webHidden/>
              </w:rPr>
              <w:fldChar w:fldCharType="begin"/>
            </w:r>
            <w:r>
              <w:rPr>
                <w:noProof/>
                <w:webHidden/>
              </w:rPr>
              <w:instrText xml:space="preserve"> PAGEREF _Toc217038426 \h </w:instrText>
            </w:r>
            <w:r>
              <w:rPr>
                <w:noProof/>
                <w:webHidden/>
              </w:rPr>
            </w:r>
            <w:r>
              <w:rPr>
                <w:noProof/>
                <w:webHidden/>
              </w:rPr>
              <w:fldChar w:fldCharType="separate"/>
            </w:r>
            <w:r>
              <w:rPr>
                <w:noProof/>
                <w:webHidden/>
              </w:rPr>
              <w:t>4</w:t>
            </w:r>
            <w:r>
              <w:rPr>
                <w:noProof/>
                <w:webHidden/>
              </w:rPr>
              <w:fldChar w:fldCharType="end"/>
            </w:r>
          </w:hyperlink>
        </w:p>
        <w:p w14:paraId="506B701E" w14:textId="1793FC62" w:rsidR="004E6B7D" w:rsidRDefault="004E6B7D">
          <w:pPr>
            <w:pStyle w:val="TOC3"/>
            <w:tabs>
              <w:tab w:val="right" w:leader="dot" w:pos="9016"/>
            </w:tabs>
            <w:rPr>
              <w:rFonts w:eastAsiaTheme="minorEastAsia"/>
              <w:noProof/>
              <w:sz w:val="24"/>
              <w:szCs w:val="24"/>
              <w:lang w:eastAsia="en-GB" w:bidi="ar-SA"/>
            </w:rPr>
          </w:pPr>
          <w:hyperlink w:anchor="_Toc217038427" w:history="1">
            <w:r w:rsidRPr="00583817">
              <w:rPr>
                <w:rStyle w:val="Hyperlink"/>
                <w:rFonts w:ascii="Arial" w:hAnsi="Arial" w:cs="Arial"/>
                <w:b/>
                <w:bCs/>
                <w:noProof/>
              </w:rPr>
              <w:t>2.1 Profitability Analysis</w:t>
            </w:r>
            <w:r>
              <w:rPr>
                <w:noProof/>
                <w:webHidden/>
              </w:rPr>
              <w:tab/>
            </w:r>
            <w:r>
              <w:rPr>
                <w:noProof/>
                <w:webHidden/>
              </w:rPr>
              <w:fldChar w:fldCharType="begin"/>
            </w:r>
            <w:r>
              <w:rPr>
                <w:noProof/>
                <w:webHidden/>
              </w:rPr>
              <w:instrText xml:space="preserve"> PAGEREF _Toc217038427 \h </w:instrText>
            </w:r>
            <w:r>
              <w:rPr>
                <w:noProof/>
                <w:webHidden/>
              </w:rPr>
            </w:r>
            <w:r>
              <w:rPr>
                <w:noProof/>
                <w:webHidden/>
              </w:rPr>
              <w:fldChar w:fldCharType="separate"/>
            </w:r>
            <w:r>
              <w:rPr>
                <w:noProof/>
                <w:webHidden/>
              </w:rPr>
              <w:t>4</w:t>
            </w:r>
            <w:r>
              <w:rPr>
                <w:noProof/>
                <w:webHidden/>
              </w:rPr>
              <w:fldChar w:fldCharType="end"/>
            </w:r>
          </w:hyperlink>
        </w:p>
        <w:p w14:paraId="44B910FB" w14:textId="504A3D66" w:rsidR="004E6B7D" w:rsidRDefault="004E6B7D">
          <w:pPr>
            <w:pStyle w:val="TOC3"/>
            <w:tabs>
              <w:tab w:val="right" w:leader="dot" w:pos="9016"/>
            </w:tabs>
            <w:rPr>
              <w:rFonts w:eastAsiaTheme="minorEastAsia"/>
              <w:noProof/>
              <w:sz w:val="24"/>
              <w:szCs w:val="24"/>
              <w:lang w:eastAsia="en-GB" w:bidi="ar-SA"/>
            </w:rPr>
          </w:pPr>
          <w:hyperlink w:anchor="_Toc217038428" w:history="1">
            <w:r w:rsidRPr="00583817">
              <w:rPr>
                <w:rStyle w:val="Hyperlink"/>
                <w:rFonts w:ascii="Arial" w:hAnsi="Arial" w:cs="Arial"/>
                <w:noProof/>
              </w:rPr>
              <w:t>2.2 Liquidity Analysis</w:t>
            </w:r>
            <w:r>
              <w:rPr>
                <w:noProof/>
                <w:webHidden/>
              </w:rPr>
              <w:tab/>
            </w:r>
            <w:r>
              <w:rPr>
                <w:noProof/>
                <w:webHidden/>
              </w:rPr>
              <w:fldChar w:fldCharType="begin"/>
            </w:r>
            <w:r>
              <w:rPr>
                <w:noProof/>
                <w:webHidden/>
              </w:rPr>
              <w:instrText xml:space="preserve"> PAGEREF _Toc217038428 \h </w:instrText>
            </w:r>
            <w:r>
              <w:rPr>
                <w:noProof/>
                <w:webHidden/>
              </w:rPr>
            </w:r>
            <w:r>
              <w:rPr>
                <w:noProof/>
                <w:webHidden/>
              </w:rPr>
              <w:fldChar w:fldCharType="separate"/>
            </w:r>
            <w:r>
              <w:rPr>
                <w:noProof/>
                <w:webHidden/>
              </w:rPr>
              <w:t>7</w:t>
            </w:r>
            <w:r>
              <w:rPr>
                <w:noProof/>
                <w:webHidden/>
              </w:rPr>
              <w:fldChar w:fldCharType="end"/>
            </w:r>
          </w:hyperlink>
        </w:p>
        <w:p w14:paraId="0ACD3E1C" w14:textId="7DA3E369" w:rsidR="004E6B7D" w:rsidRDefault="004E6B7D">
          <w:pPr>
            <w:pStyle w:val="TOC3"/>
            <w:tabs>
              <w:tab w:val="right" w:leader="dot" w:pos="9016"/>
            </w:tabs>
            <w:rPr>
              <w:rFonts w:eastAsiaTheme="minorEastAsia"/>
              <w:noProof/>
              <w:sz w:val="24"/>
              <w:szCs w:val="24"/>
              <w:lang w:eastAsia="en-GB" w:bidi="ar-SA"/>
            </w:rPr>
          </w:pPr>
          <w:hyperlink w:anchor="_Toc217038429" w:history="1">
            <w:r w:rsidRPr="00583817">
              <w:rPr>
                <w:rStyle w:val="Hyperlink"/>
                <w:rFonts w:ascii="Arial" w:hAnsi="Arial" w:cs="Arial"/>
                <w:noProof/>
              </w:rPr>
              <w:t>2.3 Efficiency Analysis</w:t>
            </w:r>
            <w:r>
              <w:rPr>
                <w:noProof/>
                <w:webHidden/>
              </w:rPr>
              <w:tab/>
            </w:r>
            <w:r>
              <w:rPr>
                <w:noProof/>
                <w:webHidden/>
              </w:rPr>
              <w:fldChar w:fldCharType="begin"/>
            </w:r>
            <w:r>
              <w:rPr>
                <w:noProof/>
                <w:webHidden/>
              </w:rPr>
              <w:instrText xml:space="preserve"> PAGEREF _Toc217038429 \h </w:instrText>
            </w:r>
            <w:r>
              <w:rPr>
                <w:noProof/>
                <w:webHidden/>
              </w:rPr>
            </w:r>
            <w:r>
              <w:rPr>
                <w:noProof/>
                <w:webHidden/>
              </w:rPr>
              <w:fldChar w:fldCharType="separate"/>
            </w:r>
            <w:r>
              <w:rPr>
                <w:noProof/>
                <w:webHidden/>
              </w:rPr>
              <w:t>9</w:t>
            </w:r>
            <w:r>
              <w:rPr>
                <w:noProof/>
                <w:webHidden/>
              </w:rPr>
              <w:fldChar w:fldCharType="end"/>
            </w:r>
          </w:hyperlink>
        </w:p>
        <w:p w14:paraId="7ED4723D" w14:textId="3B4EDCB7" w:rsidR="004E6B7D" w:rsidRDefault="004E6B7D">
          <w:pPr>
            <w:pStyle w:val="TOC3"/>
            <w:tabs>
              <w:tab w:val="right" w:leader="dot" w:pos="9016"/>
            </w:tabs>
            <w:rPr>
              <w:rFonts w:eastAsiaTheme="minorEastAsia"/>
              <w:noProof/>
              <w:sz w:val="24"/>
              <w:szCs w:val="24"/>
              <w:lang w:eastAsia="en-GB" w:bidi="ar-SA"/>
            </w:rPr>
          </w:pPr>
          <w:hyperlink w:anchor="_Toc217038430" w:history="1">
            <w:r w:rsidRPr="00583817">
              <w:rPr>
                <w:rStyle w:val="Hyperlink"/>
                <w:rFonts w:ascii="Arial" w:hAnsi="Arial" w:cs="Arial"/>
                <w:noProof/>
              </w:rPr>
              <w:t>2.4 Gearing Analysis</w:t>
            </w:r>
            <w:r>
              <w:rPr>
                <w:noProof/>
                <w:webHidden/>
              </w:rPr>
              <w:tab/>
            </w:r>
            <w:r>
              <w:rPr>
                <w:noProof/>
                <w:webHidden/>
              </w:rPr>
              <w:fldChar w:fldCharType="begin"/>
            </w:r>
            <w:r>
              <w:rPr>
                <w:noProof/>
                <w:webHidden/>
              </w:rPr>
              <w:instrText xml:space="preserve"> PAGEREF _Toc217038430 \h </w:instrText>
            </w:r>
            <w:r>
              <w:rPr>
                <w:noProof/>
                <w:webHidden/>
              </w:rPr>
            </w:r>
            <w:r>
              <w:rPr>
                <w:noProof/>
                <w:webHidden/>
              </w:rPr>
              <w:fldChar w:fldCharType="separate"/>
            </w:r>
            <w:r>
              <w:rPr>
                <w:noProof/>
                <w:webHidden/>
              </w:rPr>
              <w:t>10</w:t>
            </w:r>
            <w:r>
              <w:rPr>
                <w:noProof/>
                <w:webHidden/>
              </w:rPr>
              <w:fldChar w:fldCharType="end"/>
            </w:r>
          </w:hyperlink>
        </w:p>
        <w:p w14:paraId="372F8599" w14:textId="5FF9AB05" w:rsidR="004E6B7D" w:rsidRDefault="004E6B7D">
          <w:pPr>
            <w:pStyle w:val="TOC3"/>
            <w:tabs>
              <w:tab w:val="right" w:leader="dot" w:pos="9016"/>
            </w:tabs>
            <w:rPr>
              <w:rFonts w:eastAsiaTheme="minorEastAsia"/>
              <w:noProof/>
              <w:sz w:val="24"/>
              <w:szCs w:val="24"/>
              <w:lang w:eastAsia="en-GB" w:bidi="ar-SA"/>
            </w:rPr>
          </w:pPr>
          <w:hyperlink w:anchor="_Toc217038431" w:history="1">
            <w:r w:rsidRPr="00583817">
              <w:rPr>
                <w:rStyle w:val="Hyperlink"/>
                <w:rFonts w:ascii="Arial" w:hAnsi="Arial" w:cs="Arial"/>
                <w:noProof/>
              </w:rPr>
              <w:t>2.5 Cash Flow Analysis</w:t>
            </w:r>
            <w:r>
              <w:rPr>
                <w:noProof/>
                <w:webHidden/>
              </w:rPr>
              <w:tab/>
            </w:r>
            <w:r>
              <w:rPr>
                <w:noProof/>
                <w:webHidden/>
              </w:rPr>
              <w:fldChar w:fldCharType="begin"/>
            </w:r>
            <w:r>
              <w:rPr>
                <w:noProof/>
                <w:webHidden/>
              </w:rPr>
              <w:instrText xml:space="preserve"> PAGEREF _Toc217038431 \h </w:instrText>
            </w:r>
            <w:r>
              <w:rPr>
                <w:noProof/>
                <w:webHidden/>
              </w:rPr>
            </w:r>
            <w:r>
              <w:rPr>
                <w:noProof/>
                <w:webHidden/>
              </w:rPr>
              <w:fldChar w:fldCharType="separate"/>
            </w:r>
            <w:r>
              <w:rPr>
                <w:noProof/>
                <w:webHidden/>
              </w:rPr>
              <w:t>12</w:t>
            </w:r>
            <w:r>
              <w:rPr>
                <w:noProof/>
                <w:webHidden/>
              </w:rPr>
              <w:fldChar w:fldCharType="end"/>
            </w:r>
          </w:hyperlink>
        </w:p>
        <w:p w14:paraId="352506BD" w14:textId="3A90CE7C" w:rsidR="004E6B7D" w:rsidRDefault="004E6B7D">
          <w:pPr>
            <w:pStyle w:val="TOC3"/>
            <w:tabs>
              <w:tab w:val="right" w:leader="dot" w:pos="9016"/>
            </w:tabs>
            <w:rPr>
              <w:rFonts w:eastAsiaTheme="minorEastAsia"/>
              <w:noProof/>
              <w:sz w:val="24"/>
              <w:szCs w:val="24"/>
              <w:lang w:eastAsia="en-GB" w:bidi="ar-SA"/>
            </w:rPr>
          </w:pPr>
          <w:hyperlink w:anchor="_Toc217038432" w:history="1">
            <w:r w:rsidRPr="00583817">
              <w:rPr>
                <w:rStyle w:val="Hyperlink"/>
                <w:rFonts w:ascii="Arial" w:hAnsi="Arial" w:cs="Arial"/>
                <w:noProof/>
              </w:rPr>
              <w:t>2.6 Investment Ratio Analysis</w:t>
            </w:r>
            <w:r>
              <w:rPr>
                <w:noProof/>
                <w:webHidden/>
              </w:rPr>
              <w:tab/>
            </w:r>
            <w:r>
              <w:rPr>
                <w:noProof/>
                <w:webHidden/>
              </w:rPr>
              <w:fldChar w:fldCharType="begin"/>
            </w:r>
            <w:r>
              <w:rPr>
                <w:noProof/>
                <w:webHidden/>
              </w:rPr>
              <w:instrText xml:space="preserve"> PAGEREF _Toc217038432 \h </w:instrText>
            </w:r>
            <w:r>
              <w:rPr>
                <w:noProof/>
                <w:webHidden/>
              </w:rPr>
            </w:r>
            <w:r>
              <w:rPr>
                <w:noProof/>
                <w:webHidden/>
              </w:rPr>
              <w:fldChar w:fldCharType="separate"/>
            </w:r>
            <w:r>
              <w:rPr>
                <w:noProof/>
                <w:webHidden/>
              </w:rPr>
              <w:t>13</w:t>
            </w:r>
            <w:r>
              <w:rPr>
                <w:noProof/>
                <w:webHidden/>
              </w:rPr>
              <w:fldChar w:fldCharType="end"/>
            </w:r>
          </w:hyperlink>
        </w:p>
        <w:p w14:paraId="6880576D" w14:textId="334B85F1" w:rsidR="004E6B7D" w:rsidRDefault="004E6B7D">
          <w:pPr>
            <w:pStyle w:val="TOC3"/>
            <w:tabs>
              <w:tab w:val="right" w:leader="dot" w:pos="9016"/>
            </w:tabs>
            <w:rPr>
              <w:rFonts w:eastAsiaTheme="minorEastAsia"/>
              <w:noProof/>
              <w:sz w:val="24"/>
              <w:szCs w:val="24"/>
              <w:lang w:eastAsia="en-GB" w:bidi="ar-SA"/>
            </w:rPr>
          </w:pPr>
          <w:hyperlink w:anchor="_Toc217038433" w:history="1">
            <w:r w:rsidRPr="00583817">
              <w:rPr>
                <w:rStyle w:val="Hyperlink"/>
                <w:rFonts w:ascii="Arial" w:hAnsi="Arial" w:cs="Arial"/>
                <w:noProof/>
              </w:rPr>
              <w:t>2.7 Altman Z-Score Analysis</w:t>
            </w:r>
            <w:r>
              <w:rPr>
                <w:noProof/>
                <w:webHidden/>
              </w:rPr>
              <w:tab/>
            </w:r>
            <w:r>
              <w:rPr>
                <w:noProof/>
                <w:webHidden/>
              </w:rPr>
              <w:fldChar w:fldCharType="begin"/>
            </w:r>
            <w:r>
              <w:rPr>
                <w:noProof/>
                <w:webHidden/>
              </w:rPr>
              <w:instrText xml:space="preserve"> PAGEREF _Toc217038433 \h </w:instrText>
            </w:r>
            <w:r>
              <w:rPr>
                <w:noProof/>
                <w:webHidden/>
              </w:rPr>
            </w:r>
            <w:r>
              <w:rPr>
                <w:noProof/>
                <w:webHidden/>
              </w:rPr>
              <w:fldChar w:fldCharType="separate"/>
            </w:r>
            <w:r>
              <w:rPr>
                <w:noProof/>
                <w:webHidden/>
              </w:rPr>
              <w:t>14</w:t>
            </w:r>
            <w:r>
              <w:rPr>
                <w:noProof/>
                <w:webHidden/>
              </w:rPr>
              <w:fldChar w:fldCharType="end"/>
            </w:r>
          </w:hyperlink>
        </w:p>
        <w:p w14:paraId="1EA6D77A" w14:textId="03879071" w:rsidR="004E6B7D" w:rsidRDefault="004E6B7D">
          <w:pPr>
            <w:pStyle w:val="TOC1"/>
            <w:tabs>
              <w:tab w:val="right" w:leader="dot" w:pos="9016"/>
            </w:tabs>
            <w:rPr>
              <w:rFonts w:eastAsiaTheme="minorEastAsia"/>
              <w:noProof/>
              <w:sz w:val="24"/>
              <w:szCs w:val="24"/>
              <w:lang w:eastAsia="en-GB" w:bidi="ar-SA"/>
            </w:rPr>
          </w:pPr>
          <w:hyperlink w:anchor="_Toc217038434" w:history="1">
            <w:r w:rsidRPr="00583817">
              <w:rPr>
                <w:rStyle w:val="Hyperlink"/>
                <w:rFonts w:ascii="Arial" w:hAnsi="Arial" w:cs="Arial"/>
                <w:b/>
                <w:noProof/>
              </w:rPr>
              <w:t>3. Working Capital Management Analysis</w:t>
            </w:r>
            <w:r>
              <w:rPr>
                <w:noProof/>
                <w:webHidden/>
              </w:rPr>
              <w:tab/>
            </w:r>
            <w:r>
              <w:rPr>
                <w:noProof/>
                <w:webHidden/>
              </w:rPr>
              <w:fldChar w:fldCharType="begin"/>
            </w:r>
            <w:r>
              <w:rPr>
                <w:noProof/>
                <w:webHidden/>
              </w:rPr>
              <w:instrText xml:space="preserve"> PAGEREF _Toc217038434 \h </w:instrText>
            </w:r>
            <w:r>
              <w:rPr>
                <w:noProof/>
                <w:webHidden/>
              </w:rPr>
            </w:r>
            <w:r>
              <w:rPr>
                <w:noProof/>
                <w:webHidden/>
              </w:rPr>
              <w:fldChar w:fldCharType="separate"/>
            </w:r>
            <w:r>
              <w:rPr>
                <w:noProof/>
                <w:webHidden/>
              </w:rPr>
              <w:t>17</w:t>
            </w:r>
            <w:r>
              <w:rPr>
                <w:noProof/>
                <w:webHidden/>
              </w:rPr>
              <w:fldChar w:fldCharType="end"/>
            </w:r>
          </w:hyperlink>
        </w:p>
        <w:p w14:paraId="01A525DC" w14:textId="27D31E25" w:rsidR="004E6B7D" w:rsidRDefault="004E6B7D">
          <w:pPr>
            <w:pStyle w:val="TOC2"/>
            <w:tabs>
              <w:tab w:val="right" w:leader="dot" w:pos="9016"/>
            </w:tabs>
            <w:rPr>
              <w:rFonts w:eastAsiaTheme="minorEastAsia"/>
              <w:noProof/>
              <w:sz w:val="24"/>
              <w:szCs w:val="24"/>
              <w:lang w:eastAsia="en-GB" w:bidi="ar-SA"/>
            </w:rPr>
          </w:pPr>
          <w:hyperlink w:anchor="_Toc217038435" w:history="1">
            <w:r w:rsidRPr="00583817">
              <w:rPr>
                <w:rStyle w:val="Hyperlink"/>
                <w:rFonts w:ascii="Arial" w:hAnsi="Arial" w:cs="Arial"/>
                <w:noProof/>
              </w:rPr>
              <w:t>1. Maximize Inventory Management</w:t>
            </w:r>
            <w:r>
              <w:rPr>
                <w:noProof/>
                <w:webHidden/>
              </w:rPr>
              <w:tab/>
            </w:r>
            <w:r>
              <w:rPr>
                <w:noProof/>
                <w:webHidden/>
              </w:rPr>
              <w:fldChar w:fldCharType="begin"/>
            </w:r>
            <w:r>
              <w:rPr>
                <w:noProof/>
                <w:webHidden/>
              </w:rPr>
              <w:instrText xml:space="preserve"> PAGEREF _Toc217038435 \h </w:instrText>
            </w:r>
            <w:r>
              <w:rPr>
                <w:noProof/>
                <w:webHidden/>
              </w:rPr>
            </w:r>
            <w:r>
              <w:rPr>
                <w:noProof/>
                <w:webHidden/>
              </w:rPr>
              <w:fldChar w:fldCharType="separate"/>
            </w:r>
            <w:r>
              <w:rPr>
                <w:noProof/>
                <w:webHidden/>
              </w:rPr>
              <w:t>18</w:t>
            </w:r>
            <w:r>
              <w:rPr>
                <w:noProof/>
                <w:webHidden/>
              </w:rPr>
              <w:fldChar w:fldCharType="end"/>
            </w:r>
          </w:hyperlink>
        </w:p>
        <w:p w14:paraId="37AA27CA" w14:textId="2D400DC4" w:rsidR="004E6B7D" w:rsidRDefault="004E6B7D">
          <w:pPr>
            <w:pStyle w:val="TOC2"/>
            <w:tabs>
              <w:tab w:val="right" w:leader="dot" w:pos="9016"/>
            </w:tabs>
            <w:rPr>
              <w:rFonts w:eastAsiaTheme="minorEastAsia"/>
              <w:noProof/>
              <w:sz w:val="24"/>
              <w:szCs w:val="24"/>
              <w:lang w:eastAsia="en-GB" w:bidi="ar-SA"/>
            </w:rPr>
          </w:pPr>
          <w:hyperlink w:anchor="_Toc217038436" w:history="1">
            <w:r w:rsidRPr="00583817">
              <w:rPr>
                <w:rStyle w:val="Hyperlink"/>
                <w:rFonts w:ascii="Arial" w:hAnsi="Arial" w:cs="Arial"/>
                <w:noProof/>
              </w:rPr>
              <w:t>2. Empower Receivables Collection Policies</w:t>
            </w:r>
            <w:r>
              <w:rPr>
                <w:noProof/>
                <w:webHidden/>
              </w:rPr>
              <w:tab/>
            </w:r>
            <w:r>
              <w:rPr>
                <w:noProof/>
                <w:webHidden/>
              </w:rPr>
              <w:fldChar w:fldCharType="begin"/>
            </w:r>
            <w:r>
              <w:rPr>
                <w:noProof/>
                <w:webHidden/>
              </w:rPr>
              <w:instrText xml:space="preserve"> PAGEREF _Toc217038436 \h </w:instrText>
            </w:r>
            <w:r>
              <w:rPr>
                <w:noProof/>
                <w:webHidden/>
              </w:rPr>
            </w:r>
            <w:r>
              <w:rPr>
                <w:noProof/>
                <w:webHidden/>
              </w:rPr>
              <w:fldChar w:fldCharType="separate"/>
            </w:r>
            <w:r>
              <w:rPr>
                <w:noProof/>
                <w:webHidden/>
              </w:rPr>
              <w:t>18</w:t>
            </w:r>
            <w:r>
              <w:rPr>
                <w:noProof/>
                <w:webHidden/>
              </w:rPr>
              <w:fldChar w:fldCharType="end"/>
            </w:r>
          </w:hyperlink>
        </w:p>
        <w:p w14:paraId="15C53313" w14:textId="417C44A5" w:rsidR="004E6B7D" w:rsidRDefault="004E6B7D">
          <w:pPr>
            <w:pStyle w:val="TOC2"/>
            <w:tabs>
              <w:tab w:val="right" w:leader="dot" w:pos="9016"/>
            </w:tabs>
            <w:rPr>
              <w:rFonts w:eastAsiaTheme="minorEastAsia"/>
              <w:noProof/>
              <w:sz w:val="24"/>
              <w:szCs w:val="24"/>
              <w:lang w:eastAsia="en-GB" w:bidi="ar-SA"/>
            </w:rPr>
          </w:pPr>
          <w:hyperlink w:anchor="_Toc217038437" w:history="1">
            <w:r w:rsidRPr="00583817">
              <w:rPr>
                <w:rStyle w:val="Hyperlink"/>
                <w:rFonts w:ascii="Arial" w:hAnsi="Arial" w:cs="Arial"/>
                <w:noProof/>
              </w:rPr>
              <w:t>3. Negotiate Long Payables Terms</w:t>
            </w:r>
            <w:r>
              <w:rPr>
                <w:noProof/>
                <w:webHidden/>
              </w:rPr>
              <w:tab/>
            </w:r>
            <w:r>
              <w:rPr>
                <w:noProof/>
                <w:webHidden/>
              </w:rPr>
              <w:fldChar w:fldCharType="begin"/>
            </w:r>
            <w:r>
              <w:rPr>
                <w:noProof/>
                <w:webHidden/>
              </w:rPr>
              <w:instrText xml:space="preserve"> PAGEREF _Toc217038437 \h </w:instrText>
            </w:r>
            <w:r>
              <w:rPr>
                <w:noProof/>
                <w:webHidden/>
              </w:rPr>
            </w:r>
            <w:r>
              <w:rPr>
                <w:noProof/>
                <w:webHidden/>
              </w:rPr>
              <w:fldChar w:fldCharType="separate"/>
            </w:r>
            <w:r>
              <w:rPr>
                <w:noProof/>
                <w:webHidden/>
              </w:rPr>
              <w:t>18</w:t>
            </w:r>
            <w:r>
              <w:rPr>
                <w:noProof/>
                <w:webHidden/>
              </w:rPr>
              <w:fldChar w:fldCharType="end"/>
            </w:r>
          </w:hyperlink>
        </w:p>
        <w:p w14:paraId="494511CE" w14:textId="6D4C5926" w:rsidR="004E6B7D" w:rsidRDefault="004E6B7D">
          <w:pPr>
            <w:pStyle w:val="TOC2"/>
            <w:tabs>
              <w:tab w:val="right" w:leader="dot" w:pos="9016"/>
            </w:tabs>
            <w:rPr>
              <w:rFonts w:eastAsiaTheme="minorEastAsia"/>
              <w:noProof/>
              <w:sz w:val="24"/>
              <w:szCs w:val="24"/>
              <w:lang w:eastAsia="en-GB" w:bidi="ar-SA"/>
            </w:rPr>
          </w:pPr>
          <w:hyperlink w:anchor="_Toc217038438" w:history="1">
            <w:r w:rsidRPr="00583817">
              <w:rPr>
                <w:rStyle w:val="Hyperlink"/>
                <w:rFonts w:ascii="Arial" w:hAnsi="Arial" w:cs="Arial"/>
                <w:noProof/>
              </w:rPr>
              <w:t>4. Adopt Cash Flow Forecasting and monitoring</w:t>
            </w:r>
            <w:r>
              <w:rPr>
                <w:noProof/>
                <w:webHidden/>
              </w:rPr>
              <w:tab/>
            </w:r>
            <w:r>
              <w:rPr>
                <w:noProof/>
                <w:webHidden/>
              </w:rPr>
              <w:fldChar w:fldCharType="begin"/>
            </w:r>
            <w:r>
              <w:rPr>
                <w:noProof/>
                <w:webHidden/>
              </w:rPr>
              <w:instrText xml:space="preserve"> PAGEREF _Toc217038438 \h </w:instrText>
            </w:r>
            <w:r>
              <w:rPr>
                <w:noProof/>
                <w:webHidden/>
              </w:rPr>
            </w:r>
            <w:r>
              <w:rPr>
                <w:noProof/>
                <w:webHidden/>
              </w:rPr>
              <w:fldChar w:fldCharType="separate"/>
            </w:r>
            <w:r>
              <w:rPr>
                <w:noProof/>
                <w:webHidden/>
              </w:rPr>
              <w:t>19</w:t>
            </w:r>
            <w:r>
              <w:rPr>
                <w:noProof/>
                <w:webHidden/>
              </w:rPr>
              <w:fldChar w:fldCharType="end"/>
            </w:r>
          </w:hyperlink>
        </w:p>
        <w:p w14:paraId="79C8E49F" w14:textId="4B721A57" w:rsidR="004E6B7D" w:rsidRDefault="004E6B7D">
          <w:pPr>
            <w:pStyle w:val="TOC2"/>
            <w:tabs>
              <w:tab w:val="right" w:leader="dot" w:pos="9016"/>
            </w:tabs>
            <w:rPr>
              <w:rFonts w:eastAsiaTheme="minorEastAsia"/>
              <w:noProof/>
              <w:sz w:val="24"/>
              <w:szCs w:val="24"/>
              <w:lang w:eastAsia="en-GB" w:bidi="ar-SA"/>
            </w:rPr>
          </w:pPr>
          <w:hyperlink w:anchor="_Toc217038439" w:history="1">
            <w:r w:rsidRPr="00583817">
              <w:rPr>
                <w:rStyle w:val="Hyperlink"/>
                <w:rFonts w:ascii="Arial" w:hAnsi="Arial" w:cs="Arial"/>
                <w:noProof/>
              </w:rPr>
              <w:t>5. Automate Processes and Cost Architecture</w:t>
            </w:r>
            <w:r>
              <w:rPr>
                <w:noProof/>
                <w:webHidden/>
              </w:rPr>
              <w:tab/>
            </w:r>
            <w:r>
              <w:rPr>
                <w:noProof/>
                <w:webHidden/>
              </w:rPr>
              <w:fldChar w:fldCharType="begin"/>
            </w:r>
            <w:r>
              <w:rPr>
                <w:noProof/>
                <w:webHidden/>
              </w:rPr>
              <w:instrText xml:space="preserve"> PAGEREF _Toc217038439 \h </w:instrText>
            </w:r>
            <w:r>
              <w:rPr>
                <w:noProof/>
                <w:webHidden/>
              </w:rPr>
            </w:r>
            <w:r>
              <w:rPr>
                <w:noProof/>
                <w:webHidden/>
              </w:rPr>
              <w:fldChar w:fldCharType="separate"/>
            </w:r>
            <w:r>
              <w:rPr>
                <w:noProof/>
                <w:webHidden/>
              </w:rPr>
              <w:t>19</w:t>
            </w:r>
            <w:r>
              <w:rPr>
                <w:noProof/>
                <w:webHidden/>
              </w:rPr>
              <w:fldChar w:fldCharType="end"/>
            </w:r>
          </w:hyperlink>
        </w:p>
        <w:p w14:paraId="2AF7B155" w14:textId="2B58E414" w:rsidR="004E6B7D" w:rsidRDefault="004E6B7D">
          <w:pPr>
            <w:pStyle w:val="TOC2"/>
            <w:tabs>
              <w:tab w:val="right" w:leader="dot" w:pos="9016"/>
            </w:tabs>
            <w:rPr>
              <w:rFonts w:eastAsiaTheme="minorEastAsia"/>
              <w:noProof/>
              <w:sz w:val="24"/>
              <w:szCs w:val="24"/>
              <w:lang w:eastAsia="en-GB" w:bidi="ar-SA"/>
            </w:rPr>
          </w:pPr>
          <w:hyperlink w:anchor="_Toc217038440" w:history="1">
            <w:r w:rsidRPr="00583817">
              <w:rPr>
                <w:rStyle w:val="Hyperlink"/>
                <w:rFonts w:ascii="Arial" w:hAnsi="Arial" w:cs="Arial"/>
                <w:noProof/>
              </w:rPr>
              <w:t>6. Enhance Finance and Operations Co-ordination</w:t>
            </w:r>
            <w:r>
              <w:rPr>
                <w:noProof/>
                <w:webHidden/>
              </w:rPr>
              <w:tab/>
            </w:r>
            <w:r>
              <w:rPr>
                <w:noProof/>
                <w:webHidden/>
              </w:rPr>
              <w:fldChar w:fldCharType="begin"/>
            </w:r>
            <w:r>
              <w:rPr>
                <w:noProof/>
                <w:webHidden/>
              </w:rPr>
              <w:instrText xml:space="preserve"> PAGEREF _Toc217038440 \h </w:instrText>
            </w:r>
            <w:r>
              <w:rPr>
                <w:noProof/>
                <w:webHidden/>
              </w:rPr>
            </w:r>
            <w:r>
              <w:rPr>
                <w:noProof/>
                <w:webHidden/>
              </w:rPr>
              <w:fldChar w:fldCharType="separate"/>
            </w:r>
            <w:r>
              <w:rPr>
                <w:noProof/>
                <w:webHidden/>
              </w:rPr>
              <w:t>19</w:t>
            </w:r>
            <w:r>
              <w:rPr>
                <w:noProof/>
                <w:webHidden/>
              </w:rPr>
              <w:fldChar w:fldCharType="end"/>
            </w:r>
          </w:hyperlink>
        </w:p>
        <w:p w14:paraId="7B5AD03C" w14:textId="0D338CFD" w:rsidR="004E6B7D" w:rsidRDefault="004E6B7D">
          <w:pPr>
            <w:pStyle w:val="TOC2"/>
            <w:tabs>
              <w:tab w:val="right" w:leader="dot" w:pos="9016"/>
            </w:tabs>
            <w:rPr>
              <w:rFonts w:eastAsiaTheme="minorEastAsia"/>
              <w:noProof/>
              <w:sz w:val="24"/>
              <w:szCs w:val="24"/>
              <w:lang w:eastAsia="en-GB" w:bidi="ar-SA"/>
            </w:rPr>
          </w:pPr>
          <w:hyperlink w:anchor="_Toc217038441" w:history="1">
            <w:r w:rsidRPr="00583817">
              <w:rPr>
                <w:rStyle w:val="Hyperlink"/>
                <w:rFonts w:ascii="Arial" w:hAnsi="Arial" w:cs="Arial"/>
                <w:b/>
                <w:bCs/>
                <w:noProof/>
              </w:rPr>
              <w:t>Comparison of Short-Term v. Long-Term Financing</w:t>
            </w:r>
            <w:r>
              <w:rPr>
                <w:noProof/>
                <w:webHidden/>
              </w:rPr>
              <w:tab/>
            </w:r>
            <w:r>
              <w:rPr>
                <w:noProof/>
                <w:webHidden/>
              </w:rPr>
              <w:fldChar w:fldCharType="begin"/>
            </w:r>
            <w:r>
              <w:rPr>
                <w:noProof/>
                <w:webHidden/>
              </w:rPr>
              <w:instrText xml:space="preserve"> PAGEREF _Toc217038441 \h </w:instrText>
            </w:r>
            <w:r>
              <w:rPr>
                <w:noProof/>
                <w:webHidden/>
              </w:rPr>
            </w:r>
            <w:r>
              <w:rPr>
                <w:noProof/>
                <w:webHidden/>
              </w:rPr>
              <w:fldChar w:fldCharType="separate"/>
            </w:r>
            <w:r>
              <w:rPr>
                <w:noProof/>
                <w:webHidden/>
              </w:rPr>
              <w:t>19</w:t>
            </w:r>
            <w:r>
              <w:rPr>
                <w:noProof/>
                <w:webHidden/>
              </w:rPr>
              <w:fldChar w:fldCharType="end"/>
            </w:r>
          </w:hyperlink>
        </w:p>
        <w:p w14:paraId="65F37D23" w14:textId="5DCA31D8" w:rsidR="004E6B7D" w:rsidRDefault="004E6B7D">
          <w:pPr>
            <w:pStyle w:val="TOC3"/>
            <w:tabs>
              <w:tab w:val="right" w:leader="dot" w:pos="9016"/>
            </w:tabs>
            <w:rPr>
              <w:rFonts w:eastAsiaTheme="minorEastAsia"/>
              <w:noProof/>
              <w:sz w:val="24"/>
              <w:szCs w:val="24"/>
              <w:lang w:eastAsia="en-GB" w:bidi="ar-SA"/>
            </w:rPr>
          </w:pPr>
          <w:hyperlink w:anchor="_Toc217038442" w:history="1">
            <w:r w:rsidRPr="00583817">
              <w:rPr>
                <w:rStyle w:val="Hyperlink"/>
                <w:rFonts w:ascii="Arial" w:hAnsi="Arial" w:cs="Arial"/>
                <w:noProof/>
              </w:rPr>
              <w:t>Short-Term Financing options.</w:t>
            </w:r>
            <w:r>
              <w:rPr>
                <w:noProof/>
                <w:webHidden/>
              </w:rPr>
              <w:tab/>
            </w:r>
            <w:r>
              <w:rPr>
                <w:noProof/>
                <w:webHidden/>
              </w:rPr>
              <w:fldChar w:fldCharType="begin"/>
            </w:r>
            <w:r>
              <w:rPr>
                <w:noProof/>
                <w:webHidden/>
              </w:rPr>
              <w:instrText xml:space="preserve"> PAGEREF _Toc217038442 \h </w:instrText>
            </w:r>
            <w:r>
              <w:rPr>
                <w:noProof/>
                <w:webHidden/>
              </w:rPr>
            </w:r>
            <w:r>
              <w:rPr>
                <w:noProof/>
                <w:webHidden/>
              </w:rPr>
              <w:fldChar w:fldCharType="separate"/>
            </w:r>
            <w:r>
              <w:rPr>
                <w:noProof/>
                <w:webHidden/>
              </w:rPr>
              <w:t>19</w:t>
            </w:r>
            <w:r>
              <w:rPr>
                <w:noProof/>
                <w:webHidden/>
              </w:rPr>
              <w:fldChar w:fldCharType="end"/>
            </w:r>
          </w:hyperlink>
        </w:p>
        <w:p w14:paraId="4914A4EB" w14:textId="2D3E9148" w:rsidR="004E6B7D" w:rsidRDefault="004E6B7D">
          <w:pPr>
            <w:pStyle w:val="TOC3"/>
            <w:tabs>
              <w:tab w:val="right" w:leader="dot" w:pos="9016"/>
            </w:tabs>
            <w:rPr>
              <w:rFonts w:eastAsiaTheme="minorEastAsia"/>
              <w:noProof/>
              <w:sz w:val="24"/>
              <w:szCs w:val="24"/>
              <w:lang w:eastAsia="en-GB" w:bidi="ar-SA"/>
            </w:rPr>
          </w:pPr>
          <w:hyperlink w:anchor="_Toc217038443" w:history="1">
            <w:r w:rsidRPr="00583817">
              <w:rPr>
                <w:rStyle w:val="Hyperlink"/>
                <w:rFonts w:ascii="Arial" w:hAnsi="Arial" w:cs="Arial"/>
                <w:noProof/>
              </w:rPr>
              <w:t>Long-Term Financing Options</w:t>
            </w:r>
            <w:r>
              <w:rPr>
                <w:noProof/>
                <w:webHidden/>
              </w:rPr>
              <w:tab/>
            </w:r>
            <w:r>
              <w:rPr>
                <w:noProof/>
                <w:webHidden/>
              </w:rPr>
              <w:fldChar w:fldCharType="begin"/>
            </w:r>
            <w:r>
              <w:rPr>
                <w:noProof/>
                <w:webHidden/>
              </w:rPr>
              <w:instrText xml:space="preserve"> PAGEREF _Toc217038443 \h </w:instrText>
            </w:r>
            <w:r>
              <w:rPr>
                <w:noProof/>
                <w:webHidden/>
              </w:rPr>
            </w:r>
            <w:r>
              <w:rPr>
                <w:noProof/>
                <w:webHidden/>
              </w:rPr>
              <w:fldChar w:fldCharType="separate"/>
            </w:r>
            <w:r>
              <w:rPr>
                <w:noProof/>
                <w:webHidden/>
              </w:rPr>
              <w:t>20</w:t>
            </w:r>
            <w:r>
              <w:rPr>
                <w:noProof/>
                <w:webHidden/>
              </w:rPr>
              <w:fldChar w:fldCharType="end"/>
            </w:r>
          </w:hyperlink>
        </w:p>
        <w:p w14:paraId="3807B937" w14:textId="595C2D00" w:rsidR="004E6B7D" w:rsidRDefault="004E6B7D">
          <w:pPr>
            <w:pStyle w:val="TOC3"/>
            <w:tabs>
              <w:tab w:val="right" w:leader="dot" w:pos="9016"/>
            </w:tabs>
            <w:rPr>
              <w:rFonts w:eastAsiaTheme="minorEastAsia"/>
              <w:noProof/>
              <w:sz w:val="24"/>
              <w:szCs w:val="24"/>
              <w:lang w:eastAsia="en-GB" w:bidi="ar-SA"/>
            </w:rPr>
          </w:pPr>
          <w:hyperlink w:anchor="_Toc217038444" w:history="1">
            <w:r w:rsidRPr="00583817">
              <w:rPr>
                <w:rStyle w:val="Hyperlink"/>
                <w:rFonts w:ascii="Arial" w:hAnsi="Arial" w:cs="Arial"/>
                <w:noProof/>
              </w:rPr>
              <w:t>Strategic Balance Between the Two</w:t>
            </w:r>
            <w:r>
              <w:rPr>
                <w:noProof/>
                <w:webHidden/>
              </w:rPr>
              <w:tab/>
            </w:r>
            <w:r>
              <w:rPr>
                <w:noProof/>
                <w:webHidden/>
              </w:rPr>
              <w:fldChar w:fldCharType="begin"/>
            </w:r>
            <w:r>
              <w:rPr>
                <w:noProof/>
                <w:webHidden/>
              </w:rPr>
              <w:instrText xml:space="preserve"> PAGEREF _Toc217038444 \h </w:instrText>
            </w:r>
            <w:r>
              <w:rPr>
                <w:noProof/>
                <w:webHidden/>
              </w:rPr>
            </w:r>
            <w:r>
              <w:rPr>
                <w:noProof/>
                <w:webHidden/>
              </w:rPr>
              <w:fldChar w:fldCharType="separate"/>
            </w:r>
            <w:r>
              <w:rPr>
                <w:noProof/>
                <w:webHidden/>
              </w:rPr>
              <w:t>20</w:t>
            </w:r>
            <w:r>
              <w:rPr>
                <w:noProof/>
                <w:webHidden/>
              </w:rPr>
              <w:fldChar w:fldCharType="end"/>
            </w:r>
          </w:hyperlink>
        </w:p>
        <w:p w14:paraId="1B5957C3" w14:textId="21A8E824" w:rsidR="004E6B7D" w:rsidRDefault="004E6B7D">
          <w:pPr>
            <w:pStyle w:val="TOC1"/>
            <w:tabs>
              <w:tab w:val="right" w:leader="dot" w:pos="9016"/>
            </w:tabs>
            <w:rPr>
              <w:rFonts w:eastAsiaTheme="minorEastAsia"/>
              <w:noProof/>
              <w:sz w:val="24"/>
              <w:szCs w:val="24"/>
              <w:lang w:eastAsia="en-GB" w:bidi="ar-SA"/>
            </w:rPr>
          </w:pPr>
          <w:hyperlink w:anchor="_Toc217038445" w:history="1">
            <w:r w:rsidRPr="00583817">
              <w:rPr>
                <w:rStyle w:val="Hyperlink"/>
                <w:rFonts w:ascii="Arial" w:hAnsi="Arial" w:cs="Arial"/>
                <w:b/>
                <w:noProof/>
              </w:rPr>
              <w:t>4. Strategic Financial Restructuring Plan</w:t>
            </w:r>
            <w:r>
              <w:rPr>
                <w:noProof/>
                <w:webHidden/>
              </w:rPr>
              <w:tab/>
            </w:r>
            <w:r>
              <w:rPr>
                <w:noProof/>
                <w:webHidden/>
              </w:rPr>
              <w:fldChar w:fldCharType="begin"/>
            </w:r>
            <w:r>
              <w:rPr>
                <w:noProof/>
                <w:webHidden/>
              </w:rPr>
              <w:instrText xml:space="preserve"> PAGEREF _Toc217038445 \h </w:instrText>
            </w:r>
            <w:r>
              <w:rPr>
                <w:noProof/>
                <w:webHidden/>
              </w:rPr>
            </w:r>
            <w:r>
              <w:rPr>
                <w:noProof/>
                <w:webHidden/>
              </w:rPr>
              <w:fldChar w:fldCharType="separate"/>
            </w:r>
            <w:r>
              <w:rPr>
                <w:noProof/>
                <w:webHidden/>
              </w:rPr>
              <w:t>21</w:t>
            </w:r>
            <w:r>
              <w:rPr>
                <w:noProof/>
                <w:webHidden/>
              </w:rPr>
              <w:fldChar w:fldCharType="end"/>
            </w:r>
          </w:hyperlink>
        </w:p>
        <w:p w14:paraId="4D889314" w14:textId="5B02640C" w:rsidR="004E6B7D" w:rsidRDefault="004E6B7D">
          <w:pPr>
            <w:pStyle w:val="TOC2"/>
            <w:tabs>
              <w:tab w:val="right" w:leader="dot" w:pos="9016"/>
            </w:tabs>
            <w:rPr>
              <w:rFonts w:eastAsiaTheme="minorEastAsia"/>
              <w:noProof/>
              <w:sz w:val="24"/>
              <w:szCs w:val="24"/>
              <w:lang w:eastAsia="en-GB" w:bidi="ar-SA"/>
            </w:rPr>
          </w:pPr>
          <w:hyperlink w:anchor="_Toc217038446" w:history="1">
            <w:r w:rsidRPr="00583817">
              <w:rPr>
                <w:rStyle w:val="Hyperlink"/>
                <w:rFonts w:ascii="Arial" w:hAnsi="Arial" w:cs="Arial"/>
                <w:noProof/>
              </w:rPr>
              <w:t>4.1 Restructuring Alternative Options Analysis</w:t>
            </w:r>
            <w:r>
              <w:rPr>
                <w:noProof/>
                <w:webHidden/>
              </w:rPr>
              <w:tab/>
            </w:r>
            <w:r>
              <w:rPr>
                <w:noProof/>
                <w:webHidden/>
              </w:rPr>
              <w:fldChar w:fldCharType="begin"/>
            </w:r>
            <w:r>
              <w:rPr>
                <w:noProof/>
                <w:webHidden/>
              </w:rPr>
              <w:instrText xml:space="preserve"> PAGEREF _Toc217038446 \h </w:instrText>
            </w:r>
            <w:r>
              <w:rPr>
                <w:noProof/>
                <w:webHidden/>
              </w:rPr>
            </w:r>
            <w:r>
              <w:rPr>
                <w:noProof/>
                <w:webHidden/>
              </w:rPr>
              <w:fldChar w:fldCharType="separate"/>
            </w:r>
            <w:r>
              <w:rPr>
                <w:noProof/>
                <w:webHidden/>
              </w:rPr>
              <w:t>21</w:t>
            </w:r>
            <w:r>
              <w:rPr>
                <w:noProof/>
                <w:webHidden/>
              </w:rPr>
              <w:fldChar w:fldCharType="end"/>
            </w:r>
          </w:hyperlink>
        </w:p>
        <w:p w14:paraId="0B7F4BCC" w14:textId="72E16FA0" w:rsidR="004E6B7D" w:rsidRDefault="004E6B7D">
          <w:pPr>
            <w:pStyle w:val="TOC2"/>
            <w:tabs>
              <w:tab w:val="right" w:leader="dot" w:pos="9016"/>
            </w:tabs>
            <w:rPr>
              <w:rFonts w:eastAsiaTheme="minorEastAsia"/>
              <w:noProof/>
              <w:sz w:val="24"/>
              <w:szCs w:val="24"/>
              <w:lang w:eastAsia="en-GB" w:bidi="ar-SA"/>
            </w:rPr>
          </w:pPr>
          <w:hyperlink w:anchor="_Toc217038447" w:history="1">
            <w:r w:rsidRPr="00583817">
              <w:rPr>
                <w:rStyle w:val="Hyperlink"/>
                <w:rFonts w:ascii="Arial" w:hAnsi="Arial" w:cs="Arial"/>
                <w:noProof/>
              </w:rPr>
              <w:t>4.2 Impact on Shareholder Value</w:t>
            </w:r>
            <w:r>
              <w:rPr>
                <w:noProof/>
                <w:webHidden/>
              </w:rPr>
              <w:tab/>
            </w:r>
            <w:r>
              <w:rPr>
                <w:noProof/>
                <w:webHidden/>
              </w:rPr>
              <w:fldChar w:fldCharType="begin"/>
            </w:r>
            <w:r>
              <w:rPr>
                <w:noProof/>
                <w:webHidden/>
              </w:rPr>
              <w:instrText xml:space="preserve"> PAGEREF _Toc217038447 \h </w:instrText>
            </w:r>
            <w:r>
              <w:rPr>
                <w:noProof/>
                <w:webHidden/>
              </w:rPr>
            </w:r>
            <w:r>
              <w:rPr>
                <w:noProof/>
                <w:webHidden/>
              </w:rPr>
              <w:fldChar w:fldCharType="separate"/>
            </w:r>
            <w:r>
              <w:rPr>
                <w:noProof/>
                <w:webHidden/>
              </w:rPr>
              <w:t>22</w:t>
            </w:r>
            <w:r>
              <w:rPr>
                <w:noProof/>
                <w:webHidden/>
              </w:rPr>
              <w:fldChar w:fldCharType="end"/>
            </w:r>
          </w:hyperlink>
        </w:p>
        <w:p w14:paraId="2D8B894F" w14:textId="652A7D32" w:rsidR="004E6B7D" w:rsidRDefault="004E6B7D">
          <w:pPr>
            <w:pStyle w:val="TOC2"/>
            <w:tabs>
              <w:tab w:val="right" w:leader="dot" w:pos="9016"/>
            </w:tabs>
            <w:rPr>
              <w:rFonts w:eastAsiaTheme="minorEastAsia"/>
              <w:noProof/>
              <w:sz w:val="24"/>
              <w:szCs w:val="24"/>
              <w:lang w:eastAsia="en-GB" w:bidi="ar-SA"/>
            </w:rPr>
          </w:pPr>
          <w:hyperlink w:anchor="_Toc217038448" w:history="1">
            <w:r w:rsidRPr="00583817">
              <w:rPr>
                <w:rStyle w:val="Hyperlink"/>
                <w:rFonts w:ascii="Arial" w:hAnsi="Arial" w:cs="Arial"/>
                <w:noProof/>
              </w:rPr>
              <w:t>4.3 International and Ethical Considerations</w:t>
            </w:r>
            <w:r>
              <w:rPr>
                <w:noProof/>
                <w:webHidden/>
              </w:rPr>
              <w:tab/>
            </w:r>
            <w:r>
              <w:rPr>
                <w:noProof/>
                <w:webHidden/>
              </w:rPr>
              <w:fldChar w:fldCharType="begin"/>
            </w:r>
            <w:r>
              <w:rPr>
                <w:noProof/>
                <w:webHidden/>
              </w:rPr>
              <w:instrText xml:space="preserve"> PAGEREF _Toc217038448 \h </w:instrText>
            </w:r>
            <w:r>
              <w:rPr>
                <w:noProof/>
                <w:webHidden/>
              </w:rPr>
            </w:r>
            <w:r>
              <w:rPr>
                <w:noProof/>
                <w:webHidden/>
              </w:rPr>
              <w:fldChar w:fldCharType="separate"/>
            </w:r>
            <w:r>
              <w:rPr>
                <w:noProof/>
                <w:webHidden/>
              </w:rPr>
              <w:t>23</w:t>
            </w:r>
            <w:r>
              <w:rPr>
                <w:noProof/>
                <w:webHidden/>
              </w:rPr>
              <w:fldChar w:fldCharType="end"/>
            </w:r>
          </w:hyperlink>
        </w:p>
        <w:p w14:paraId="5D1F5804" w14:textId="084B1C56" w:rsidR="004E6B7D" w:rsidRDefault="004E6B7D">
          <w:pPr>
            <w:pStyle w:val="TOC1"/>
            <w:tabs>
              <w:tab w:val="right" w:leader="dot" w:pos="9016"/>
            </w:tabs>
            <w:rPr>
              <w:rFonts w:eastAsiaTheme="minorEastAsia"/>
              <w:noProof/>
              <w:sz w:val="24"/>
              <w:szCs w:val="24"/>
              <w:lang w:eastAsia="en-GB" w:bidi="ar-SA"/>
            </w:rPr>
          </w:pPr>
          <w:hyperlink w:anchor="_Toc217038449" w:history="1">
            <w:r w:rsidRPr="00583817">
              <w:rPr>
                <w:rStyle w:val="Hyperlink"/>
                <w:rFonts w:ascii="Arial" w:hAnsi="Arial" w:cs="Arial"/>
                <w:b/>
                <w:noProof/>
              </w:rPr>
              <w:t>5. Investment Appraisal and Capital Budgeting</w:t>
            </w:r>
            <w:r>
              <w:rPr>
                <w:noProof/>
                <w:webHidden/>
              </w:rPr>
              <w:tab/>
            </w:r>
            <w:r>
              <w:rPr>
                <w:noProof/>
                <w:webHidden/>
              </w:rPr>
              <w:fldChar w:fldCharType="begin"/>
            </w:r>
            <w:r>
              <w:rPr>
                <w:noProof/>
                <w:webHidden/>
              </w:rPr>
              <w:instrText xml:space="preserve"> PAGEREF _Toc217038449 \h </w:instrText>
            </w:r>
            <w:r>
              <w:rPr>
                <w:noProof/>
                <w:webHidden/>
              </w:rPr>
            </w:r>
            <w:r>
              <w:rPr>
                <w:noProof/>
                <w:webHidden/>
              </w:rPr>
              <w:fldChar w:fldCharType="separate"/>
            </w:r>
            <w:r>
              <w:rPr>
                <w:noProof/>
                <w:webHidden/>
              </w:rPr>
              <w:t>24</w:t>
            </w:r>
            <w:r>
              <w:rPr>
                <w:noProof/>
                <w:webHidden/>
              </w:rPr>
              <w:fldChar w:fldCharType="end"/>
            </w:r>
          </w:hyperlink>
        </w:p>
        <w:p w14:paraId="168073C3" w14:textId="1D119F5A" w:rsidR="004E6B7D" w:rsidRDefault="004E6B7D">
          <w:pPr>
            <w:pStyle w:val="TOC3"/>
            <w:tabs>
              <w:tab w:val="right" w:leader="dot" w:pos="9016"/>
            </w:tabs>
            <w:rPr>
              <w:rFonts w:eastAsiaTheme="minorEastAsia"/>
              <w:noProof/>
              <w:sz w:val="24"/>
              <w:szCs w:val="24"/>
              <w:lang w:eastAsia="en-GB" w:bidi="ar-SA"/>
            </w:rPr>
          </w:pPr>
          <w:hyperlink w:anchor="_Toc217038450" w:history="1">
            <w:r w:rsidRPr="00583817">
              <w:rPr>
                <w:rStyle w:val="Hyperlink"/>
                <w:rFonts w:ascii="Arial" w:hAnsi="Arial" w:cs="Arial"/>
                <w:noProof/>
              </w:rPr>
              <w:t>Detailed Calculations of Project A</w:t>
            </w:r>
            <w:r>
              <w:rPr>
                <w:noProof/>
                <w:webHidden/>
              </w:rPr>
              <w:tab/>
            </w:r>
            <w:r>
              <w:rPr>
                <w:noProof/>
                <w:webHidden/>
              </w:rPr>
              <w:fldChar w:fldCharType="begin"/>
            </w:r>
            <w:r>
              <w:rPr>
                <w:noProof/>
                <w:webHidden/>
              </w:rPr>
              <w:instrText xml:space="preserve"> PAGEREF _Toc217038450 \h </w:instrText>
            </w:r>
            <w:r>
              <w:rPr>
                <w:noProof/>
                <w:webHidden/>
              </w:rPr>
            </w:r>
            <w:r>
              <w:rPr>
                <w:noProof/>
                <w:webHidden/>
              </w:rPr>
              <w:fldChar w:fldCharType="separate"/>
            </w:r>
            <w:r>
              <w:rPr>
                <w:noProof/>
                <w:webHidden/>
              </w:rPr>
              <w:t>25</w:t>
            </w:r>
            <w:r>
              <w:rPr>
                <w:noProof/>
                <w:webHidden/>
              </w:rPr>
              <w:fldChar w:fldCharType="end"/>
            </w:r>
          </w:hyperlink>
        </w:p>
        <w:p w14:paraId="58E5BF4E" w14:textId="4D824A0F" w:rsidR="004E6B7D" w:rsidRDefault="004E6B7D">
          <w:pPr>
            <w:pStyle w:val="TOC3"/>
            <w:tabs>
              <w:tab w:val="right" w:leader="dot" w:pos="9016"/>
            </w:tabs>
            <w:rPr>
              <w:rFonts w:eastAsiaTheme="minorEastAsia"/>
              <w:noProof/>
              <w:sz w:val="24"/>
              <w:szCs w:val="24"/>
              <w:lang w:eastAsia="en-GB" w:bidi="ar-SA"/>
            </w:rPr>
          </w:pPr>
          <w:hyperlink w:anchor="_Toc217038451" w:history="1">
            <w:r w:rsidRPr="00583817">
              <w:rPr>
                <w:rStyle w:val="Hyperlink"/>
                <w:rFonts w:ascii="Arial" w:hAnsi="Arial" w:cs="Arial"/>
                <w:noProof/>
              </w:rPr>
              <w:t>Detailed Calculations of Project B</w:t>
            </w:r>
            <w:r>
              <w:rPr>
                <w:noProof/>
                <w:webHidden/>
              </w:rPr>
              <w:tab/>
            </w:r>
            <w:r>
              <w:rPr>
                <w:noProof/>
                <w:webHidden/>
              </w:rPr>
              <w:fldChar w:fldCharType="begin"/>
            </w:r>
            <w:r>
              <w:rPr>
                <w:noProof/>
                <w:webHidden/>
              </w:rPr>
              <w:instrText xml:space="preserve"> PAGEREF _Toc217038451 \h </w:instrText>
            </w:r>
            <w:r>
              <w:rPr>
                <w:noProof/>
                <w:webHidden/>
              </w:rPr>
            </w:r>
            <w:r>
              <w:rPr>
                <w:noProof/>
                <w:webHidden/>
              </w:rPr>
              <w:fldChar w:fldCharType="separate"/>
            </w:r>
            <w:r>
              <w:rPr>
                <w:noProof/>
                <w:webHidden/>
              </w:rPr>
              <w:t>27</w:t>
            </w:r>
            <w:r>
              <w:rPr>
                <w:noProof/>
                <w:webHidden/>
              </w:rPr>
              <w:fldChar w:fldCharType="end"/>
            </w:r>
          </w:hyperlink>
        </w:p>
        <w:p w14:paraId="00E8E769" w14:textId="722655CC" w:rsidR="004E6B7D" w:rsidRDefault="004E6B7D">
          <w:pPr>
            <w:pStyle w:val="TOC3"/>
            <w:tabs>
              <w:tab w:val="right" w:leader="dot" w:pos="9016"/>
            </w:tabs>
            <w:rPr>
              <w:rFonts w:eastAsiaTheme="minorEastAsia"/>
              <w:noProof/>
              <w:sz w:val="24"/>
              <w:szCs w:val="24"/>
              <w:lang w:eastAsia="en-GB" w:bidi="ar-SA"/>
            </w:rPr>
          </w:pPr>
          <w:hyperlink w:anchor="_Toc217038452" w:history="1">
            <w:r w:rsidRPr="00583817">
              <w:rPr>
                <w:rStyle w:val="Hyperlink"/>
                <w:rFonts w:ascii="Arial" w:hAnsi="Arial" w:cs="Arial"/>
                <w:noProof/>
              </w:rPr>
              <w:t>Detailed Calculations of Project C</w:t>
            </w:r>
            <w:r>
              <w:rPr>
                <w:noProof/>
                <w:webHidden/>
              </w:rPr>
              <w:tab/>
            </w:r>
            <w:r>
              <w:rPr>
                <w:noProof/>
                <w:webHidden/>
              </w:rPr>
              <w:fldChar w:fldCharType="begin"/>
            </w:r>
            <w:r>
              <w:rPr>
                <w:noProof/>
                <w:webHidden/>
              </w:rPr>
              <w:instrText xml:space="preserve"> PAGEREF _Toc217038452 \h </w:instrText>
            </w:r>
            <w:r>
              <w:rPr>
                <w:noProof/>
                <w:webHidden/>
              </w:rPr>
            </w:r>
            <w:r>
              <w:rPr>
                <w:noProof/>
                <w:webHidden/>
              </w:rPr>
              <w:fldChar w:fldCharType="separate"/>
            </w:r>
            <w:r>
              <w:rPr>
                <w:noProof/>
                <w:webHidden/>
              </w:rPr>
              <w:t>29</w:t>
            </w:r>
            <w:r>
              <w:rPr>
                <w:noProof/>
                <w:webHidden/>
              </w:rPr>
              <w:fldChar w:fldCharType="end"/>
            </w:r>
          </w:hyperlink>
        </w:p>
        <w:p w14:paraId="020252FB" w14:textId="492AB91E" w:rsidR="004E6B7D" w:rsidRDefault="004E6B7D">
          <w:pPr>
            <w:pStyle w:val="TOC3"/>
            <w:tabs>
              <w:tab w:val="right" w:leader="dot" w:pos="9016"/>
            </w:tabs>
            <w:rPr>
              <w:rFonts w:eastAsiaTheme="minorEastAsia"/>
              <w:noProof/>
              <w:sz w:val="24"/>
              <w:szCs w:val="24"/>
              <w:lang w:eastAsia="en-GB" w:bidi="ar-SA"/>
            </w:rPr>
          </w:pPr>
          <w:hyperlink w:anchor="_Toc217038453" w:history="1">
            <w:r w:rsidRPr="00583817">
              <w:rPr>
                <w:rStyle w:val="Hyperlink"/>
                <w:rFonts w:ascii="Arial" w:hAnsi="Arial" w:cs="Arial"/>
                <w:noProof/>
              </w:rPr>
              <w:t>Investment Appraisal Summary - All Projects</w:t>
            </w:r>
            <w:r>
              <w:rPr>
                <w:noProof/>
                <w:webHidden/>
              </w:rPr>
              <w:tab/>
            </w:r>
            <w:r>
              <w:rPr>
                <w:noProof/>
                <w:webHidden/>
              </w:rPr>
              <w:fldChar w:fldCharType="begin"/>
            </w:r>
            <w:r>
              <w:rPr>
                <w:noProof/>
                <w:webHidden/>
              </w:rPr>
              <w:instrText xml:space="preserve"> PAGEREF _Toc217038453 \h </w:instrText>
            </w:r>
            <w:r>
              <w:rPr>
                <w:noProof/>
                <w:webHidden/>
              </w:rPr>
            </w:r>
            <w:r>
              <w:rPr>
                <w:noProof/>
                <w:webHidden/>
              </w:rPr>
              <w:fldChar w:fldCharType="separate"/>
            </w:r>
            <w:r>
              <w:rPr>
                <w:noProof/>
                <w:webHidden/>
              </w:rPr>
              <w:t>30</w:t>
            </w:r>
            <w:r>
              <w:rPr>
                <w:noProof/>
                <w:webHidden/>
              </w:rPr>
              <w:fldChar w:fldCharType="end"/>
            </w:r>
          </w:hyperlink>
        </w:p>
        <w:p w14:paraId="2E3624A1" w14:textId="07DCFAE1" w:rsidR="004E6B7D" w:rsidRDefault="004E6B7D">
          <w:pPr>
            <w:pStyle w:val="TOC3"/>
            <w:tabs>
              <w:tab w:val="right" w:leader="dot" w:pos="9016"/>
            </w:tabs>
            <w:rPr>
              <w:rFonts w:eastAsiaTheme="minorEastAsia"/>
              <w:noProof/>
              <w:sz w:val="24"/>
              <w:szCs w:val="24"/>
              <w:lang w:eastAsia="en-GB" w:bidi="ar-SA"/>
            </w:rPr>
          </w:pPr>
          <w:hyperlink w:anchor="_Toc217038454" w:history="1">
            <w:r w:rsidRPr="00583817">
              <w:rPr>
                <w:rStyle w:val="Hyperlink"/>
                <w:rFonts w:ascii="Arial" w:hAnsi="Arial" w:cs="Arial"/>
                <w:noProof/>
                <w:lang w:val="en-US"/>
              </w:rPr>
              <w:t>Final Investment Recommendation</w:t>
            </w:r>
            <w:r>
              <w:rPr>
                <w:noProof/>
                <w:webHidden/>
              </w:rPr>
              <w:tab/>
            </w:r>
            <w:r>
              <w:rPr>
                <w:noProof/>
                <w:webHidden/>
              </w:rPr>
              <w:fldChar w:fldCharType="begin"/>
            </w:r>
            <w:r>
              <w:rPr>
                <w:noProof/>
                <w:webHidden/>
              </w:rPr>
              <w:instrText xml:space="preserve"> PAGEREF _Toc217038454 \h </w:instrText>
            </w:r>
            <w:r>
              <w:rPr>
                <w:noProof/>
                <w:webHidden/>
              </w:rPr>
            </w:r>
            <w:r>
              <w:rPr>
                <w:noProof/>
                <w:webHidden/>
              </w:rPr>
              <w:fldChar w:fldCharType="separate"/>
            </w:r>
            <w:r>
              <w:rPr>
                <w:noProof/>
                <w:webHidden/>
              </w:rPr>
              <w:t>31</w:t>
            </w:r>
            <w:r>
              <w:rPr>
                <w:noProof/>
                <w:webHidden/>
              </w:rPr>
              <w:fldChar w:fldCharType="end"/>
            </w:r>
          </w:hyperlink>
        </w:p>
        <w:p w14:paraId="6E27F15D" w14:textId="35989C25" w:rsidR="004E6B7D" w:rsidRDefault="004E6B7D">
          <w:pPr>
            <w:pStyle w:val="TOC1"/>
            <w:tabs>
              <w:tab w:val="right" w:leader="dot" w:pos="9016"/>
            </w:tabs>
            <w:rPr>
              <w:rFonts w:eastAsiaTheme="minorEastAsia"/>
              <w:noProof/>
              <w:sz w:val="24"/>
              <w:szCs w:val="24"/>
              <w:lang w:eastAsia="en-GB" w:bidi="ar-SA"/>
            </w:rPr>
          </w:pPr>
          <w:hyperlink w:anchor="_Toc217038455" w:history="1">
            <w:r w:rsidRPr="00583817">
              <w:rPr>
                <w:rStyle w:val="Hyperlink"/>
                <w:rFonts w:ascii="Arial" w:hAnsi="Arial" w:cs="Arial"/>
                <w:b/>
                <w:noProof/>
              </w:rPr>
              <w:t>6. Conclusion</w:t>
            </w:r>
            <w:r>
              <w:rPr>
                <w:noProof/>
                <w:webHidden/>
              </w:rPr>
              <w:tab/>
            </w:r>
            <w:r>
              <w:rPr>
                <w:noProof/>
                <w:webHidden/>
              </w:rPr>
              <w:fldChar w:fldCharType="begin"/>
            </w:r>
            <w:r>
              <w:rPr>
                <w:noProof/>
                <w:webHidden/>
              </w:rPr>
              <w:instrText xml:space="preserve"> PAGEREF _Toc217038455 \h </w:instrText>
            </w:r>
            <w:r>
              <w:rPr>
                <w:noProof/>
                <w:webHidden/>
              </w:rPr>
            </w:r>
            <w:r>
              <w:rPr>
                <w:noProof/>
                <w:webHidden/>
              </w:rPr>
              <w:fldChar w:fldCharType="separate"/>
            </w:r>
            <w:r>
              <w:rPr>
                <w:noProof/>
                <w:webHidden/>
              </w:rPr>
              <w:t>31</w:t>
            </w:r>
            <w:r>
              <w:rPr>
                <w:noProof/>
                <w:webHidden/>
              </w:rPr>
              <w:fldChar w:fldCharType="end"/>
            </w:r>
          </w:hyperlink>
        </w:p>
        <w:p w14:paraId="0D63692C" w14:textId="4F1EF033" w:rsidR="004E6B7D" w:rsidRDefault="004E6B7D">
          <w:pPr>
            <w:pStyle w:val="TOC1"/>
            <w:tabs>
              <w:tab w:val="right" w:leader="dot" w:pos="9016"/>
            </w:tabs>
            <w:rPr>
              <w:rFonts w:eastAsiaTheme="minorEastAsia"/>
              <w:noProof/>
              <w:sz w:val="24"/>
              <w:szCs w:val="24"/>
              <w:lang w:eastAsia="en-GB" w:bidi="ar-SA"/>
            </w:rPr>
          </w:pPr>
          <w:hyperlink w:anchor="_Toc217038456" w:history="1">
            <w:r w:rsidRPr="00583817">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_Toc217038456 \h </w:instrText>
            </w:r>
            <w:r>
              <w:rPr>
                <w:noProof/>
                <w:webHidden/>
              </w:rPr>
            </w:r>
            <w:r>
              <w:rPr>
                <w:noProof/>
                <w:webHidden/>
              </w:rPr>
              <w:fldChar w:fldCharType="separate"/>
            </w:r>
            <w:r>
              <w:rPr>
                <w:noProof/>
                <w:webHidden/>
              </w:rPr>
              <w:t>32</w:t>
            </w:r>
            <w:r>
              <w:rPr>
                <w:noProof/>
                <w:webHidden/>
              </w:rPr>
              <w:fldChar w:fldCharType="end"/>
            </w:r>
          </w:hyperlink>
        </w:p>
        <w:p w14:paraId="39C679E7" w14:textId="035EF674" w:rsidR="004E6B7D" w:rsidRDefault="004E6B7D">
          <w:pPr>
            <w:pStyle w:val="TOC1"/>
            <w:tabs>
              <w:tab w:val="right" w:leader="dot" w:pos="9016"/>
            </w:tabs>
            <w:rPr>
              <w:rFonts w:eastAsiaTheme="minorEastAsia"/>
              <w:noProof/>
              <w:sz w:val="24"/>
              <w:szCs w:val="24"/>
              <w:lang w:eastAsia="en-GB" w:bidi="ar-SA"/>
            </w:rPr>
          </w:pPr>
          <w:hyperlink w:anchor="_Toc217038457" w:history="1">
            <w:r w:rsidRPr="00583817">
              <w:rPr>
                <w:rStyle w:val="Hyperlink"/>
                <w:rFonts w:ascii="Arial" w:hAnsi="Arial" w:cs="Arial"/>
                <w:noProof/>
                <w:lang w:val="en-US"/>
              </w:rPr>
              <w:t>Appendices</w:t>
            </w:r>
            <w:r>
              <w:rPr>
                <w:noProof/>
                <w:webHidden/>
              </w:rPr>
              <w:tab/>
            </w:r>
            <w:r>
              <w:rPr>
                <w:noProof/>
                <w:webHidden/>
              </w:rPr>
              <w:fldChar w:fldCharType="begin"/>
            </w:r>
            <w:r>
              <w:rPr>
                <w:noProof/>
                <w:webHidden/>
              </w:rPr>
              <w:instrText xml:space="preserve"> PAGEREF _Toc217038457 \h </w:instrText>
            </w:r>
            <w:r>
              <w:rPr>
                <w:noProof/>
                <w:webHidden/>
              </w:rPr>
            </w:r>
            <w:r>
              <w:rPr>
                <w:noProof/>
                <w:webHidden/>
              </w:rPr>
              <w:fldChar w:fldCharType="separate"/>
            </w:r>
            <w:r>
              <w:rPr>
                <w:noProof/>
                <w:webHidden/>
              </w:rPr>
              <w:t>36</w:t>
            </w:r>
            <w:r>
              <w:rPr>
                <w:noProof/>
                <w:webHidden/>
              </w:rPr>
              <w:fldChar w:fldCharType="end"/>
            </w:r>
          </w:hyperlink>
        </w:p>
        <w:p w14:paraId="5E7D3D83" w14:textId="0E3F603F" w:rsidR="00B75761" w:rsidRPr="00894333" w:rsidRDefault="00B75761">
          <w:pPr>
            <w:rPr>
              <w:rFonts w:ascii="Arial" w:hAnsi="Arial" w:cs="Arial"/>
            </w:rPr>
          </w:pPr>
          <w:r w:rsidRPr="00894333">
            <w:rPr>
              <w:rFonts w:ascii="Arial" w:hAnsi="Arial" w:cs="Arial"/>
              <w:b/>
              <w:bCs/>
              <w:noProof/>
            </w:rPr>
            <w:fldChar w:fldCharType="end"/>
          </w:r>
        </w:p>
      </w:sdtContent>
    </w:sdt>
    <w:p w14:paraId="1D3B7421" w14:textId="77777777" w:rsidR="003E577D" w:rsidRPr="00894333" w:rsidRDefault="003E577D" w:rsidP="0069522B">
      <w:pPr>
        <w:pStyle w:val="Heading1"/>
        <w:spacing w:before="0"/>
        <w:jc w:val="both"/>
        <w:rPr>
          <w:rFonts w:ascii="Arial" w:hAnsi="Arial" w:cs="Arial"/>
          <w:b/>
          <w:sz w:val="36"/>
          <w:szCs w:val="36"/>
          <w:lang w:bidi="ar-SA"/>
        </w:rPr>
      </w:pPr>
      <w:bookmarkStart w:id="1" w:name="_Toc212908255"/>
      <w:bookmarkStart w:id="2" w:name="_Toc217038425"/>
      <w:r w:rsidRPr="00894333">
        <w:rPr>
          <w:rFonts w:ascii="Arial" w:hAnsi="Arial" w:cs="Arial"/>
          <w:b/>
          <w:sz w:val="36"/>
          <w:szCs w:val="36"/>
          <w:lang w:bidi="ar-SA"/>
        </w:rPr>
        <w:lastRenderedPageBreak/>
        <w:t>1. Introduction</w:t>
      </w:r>
      <w:bookmarkEnd w:id="1"/>
      <w:bookmarkEnd w:id="2"/>
    </w:p>
    <w:p w14:paraId="0CE2E438" w14:textId="77777777" w:rsidR="003E577D" w:rsidRPr="00894333" w:rsidRDefault="003E577D" w:rsidP="00530AFB">
      <w:pPr>
        <w:jc w:val="both"/>
        <w:rPr>
          <w:rFonts w:ascii="Arial" w:hAnsi="Arial" w:cs="Arial"/>
          <w:sz w:val="28"/>
        </w:rPr>
      </w:pPr>
      <w:r w:rsidRPr="00894333">
        <w:rPr>
          <w:rFonts w:ascii="Arial" w:hAnsi="Arial" w:cs="Arial"/>
          <w:sz w:val="28"/>
        </w:rPr>
        <w:t>General Electronics is a consumer electronics company that is in dire financial trouble after the five years of poor performance. This report is written in the Chief Financial Officer view and will examine the company financial health in terms of the ratio analysis, the working capital management issues, strategic restructuring alternatives offered to the company and evaluate three capital investment opportunities with restrictions of capital rationing (Altman et al., 2017). The analysis employs 2020-2024 financial statements to define key areas of weakness and describe a financially viable turnaround plan that can solve liquidity crisis issues, operational inefficiencies, and declining profitability without compromising on morals or globalization (Altman et al., 2017).</w:t>
      </w:r>
    </w:p>
    <w:p w14:paraId="3EB41B98" w14:textId="77777777" w:rsidR="00655092" w:rsidRPr="00894333" w:rsidRDefault="00655092" w:rsidP="00530AFB">
      <w:pPr>
        <w:jc w:val="both"/>
        <w:rPr>
          <w:rFonts w:ascii="Arial" w:hAnsi="Arial" w:cs="Arial"/>
          <w:sz w:val="28"/>
        </w:rPr>
      </w:pPr>
    </w:p>
    <w:p w14:paraId="2D287A39" w14:textId="03FF81AB" w:rsidR="0011208D" w:rsidRPr="00894333" w:rsidRDefault="00792B1A" w:rsidP="00D953CC">
      <w:pPr>
        <w:pStyle w:val="Heading1"/>
        <w:spacing w:before="0"/>
        <w:jc w:val="both"/>
        <w:rPr>
          <w:rFonts w:ascii="Arial" w:hAnsi="Arial" w:cs="Arial"/>
          <w:b/>
          <w:sz w:val="36"/>
          <w:szCs w:val="36"/>
          <w:lang w:bidi="ar-SA"/>
        </w:rPr>
      </w:pPr>
      <w:bookmarkStart w:id="3" w:name="_Toc217038426"/>
      <w:r w:rsidRPr="00894333">
        <w:rPr>
          <w:rFonts w:ascii="Arial" w:hAnsi="Arial" w:cs="Arial"/>
          <w:b/>
          <w:sz w:val="36"/>
          <w:szCs w:val="36"/>
          <w:lang w:bidi="ar-SA"/>
        </w:rPr>
        <w:t>2 Financial Health Check</w:t>
      </w:r>
      <w:bookmarkEnd w:id="0"/>
      <w:r w:rsidR="00D953CC" w:rsidRPr="00894333">
        <w:rPr>
          <w:rFonts w:ascii="Arial" w:hAnsi="Arial" w:cs="Arial"/>
          <w:b/>
          <w:sz w:val="36"/>
          <w:szCs w:val="36"/>
          <w:lang w:bidi="ar-SA"/>
        </w:rPr>
        <w:t xml:space="preserve">: </w:t>
      </w:r>
      <w:r w:rsidRPr="00894333">
        <w:rPr>
          <w:rFonts w:ascii="Arial" w:hAnsi="Arial" w:cs="Arial"/>
          <w:bCs/>
          <w:sz w:val="32"/>
          <w:szCs w:val="32"/>
          <w:lang w:bidi="ar-SA"/>
        </w:rPr>
        <w:t>Ratio Analysis</w:t>
      </w:r>
      <w:bookmarkEnd w:id="3"/>
    </w:p>
    <w:p w14:paraId="221823AD" w14:textId="18169533" w:rsidR="00792B1A" w:rsidRPr="00894333" w:rsidRDefault="00797180" w:rsidP="00311FC1">
      <w:pPr>
        <w:pStyle w:val="Heading3"/>
        <w:rPr>
          <w:rFonts w:ascii="Arial" w:hAnsi="Arial" w:cs="Arial"/>
          <w:b/>
          <w:bCs/>
          <w:sz w:val="32"/>
          <w:szCs w:val="36"/>
          <w:lang w:bidi="ar-SA"/>
        </w:rPr>
      </w:pPr>
      <w:bookmarkStart w:id="4" w:name="_Toc217038427"/>
      <w:r w:rsidRPr="00894333">
        <w:rPr>
          <w:rFonts w:ascii="Arial" w:hAnsi="Arial" w:cs="Arial"/>
          <w:b/>
          <w:bCs/>
          <w:sz w:val="32"/>
          <w:szCs w:val="36"/>
          <w:lang w:bidi="ar-SA"/>
        </w:rPr>
        <w:t xml:space="preserve">2.1 </w:t>
      </w:r>
      <w:r w:rsidR="00792B1A" w:rsidRPr="00894333">
        <w:rPr>
          <w:rFonts w:ascii="Arial" w:hAnsi="Arial" w:cs="Arial"/>
          <w:b/>
          <w:bCs/>
          <w:sz w:val="32"/>
          <w:szCs w:val="36"/>
          <w:lang w:bidi="ar-SA"/>
        </w:rPr>
        <w:t>Profitability Analysis</w:t>
      </w:r>
      <w:bookmarkEnd w:id="4"/>
    </w:p>
    <w:p w14:paraId="1832F24E" w14:textId="77777777" w:rsidR="00655092" w:rsidRPr="00894333" w:rsidRDefault="00655092" w:rsidP="00655092">
      <w:pPr>
        <w:rPr>
          <w:rFonts w:ascii="Arial" w:hAnsi="Arial" w:cs="Arial"/>
          <w:lang w:bidi="ar-SA"/>
        </w:rPr>
      </w:pPr>
    </w:p>
    <w:p w14:paraId="15440262" w14:textId="63DEEFA0" w:rsidR="00010D0E" w:rsidRPr="00894333" w:rsidRDefault="00AE5F50" w:rsidP="00C84560">
      <w:pPr>
        <w:spacing w:after="0"/>
        <w:jc w:val="center"/>
        <w:rPr>
          <w:rFonts w:ascii="Arial" w:hAnsi="Arial" w:cs="Arial"/>
          <w:sz w:val="28"/>
          <w:lang w:bidi="ar-SA"/>
        </w:rPr>
      </w:pPr>
      <w:r w:rsidRPr="00894333">
        <w:rPr>
          <w:rFonts w:ascii="Arial" w:hAnsi="Arial" w:cs="Arial"/>
          <w:noProof/>
          <w:sz w:val="28"/>
        </w:rPr>
        <w:drawing>
          <wp:inline distT="0" distB="0" distL="0" distR="0" wp14:anchorId="7A9BC934" wp14:editId="67FEB0B6">
            <wp:extent cx="5928360" cy="3735113"/>
            <wp:effectExtent l="0" t="0" r="0" b="0"/>
            <wp:docPr id="11" name="Picture 10">
              <a:extLst xmlns:a="http://schemas.openxmlformats.org/drawingml/2006/main">
                <a:ext uri="{FF2B5EF4-FFF2-40B4-BE49-F238E27FC236}">
                  <a16:creationId xmlns:a16="http://schemas.microsoft.com/office/drawing/2014/main" id="{08775617-92B7-CF1A-DA86-EAEB55F801C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08775617-92B7-CF1A-DA86-EAEB55F801C9}"/>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5184" cy="3745713"/>
                    </a:xfrm>
                    <a:prstGeom prst="rect">
                      <a:avLst/>
                    </a:prstGeom>
                  </pic:spPr>
                </pic:pic>
              </a:graphicData>
            </a:graphic>
          </wp:inline>
        </w:drawing>
      </w:r>
    </w:p>
    <w:p w14:paraId="7E9D77D8" w14:textId="77777777" w:rsidR="003767A4" w:rsidRPr="00894333" w:rsidRDefault="003767A4" w:rsidP="00C84560">
      <w:pPr>
        <w:spacing w:after="0"/>
        <w:jc w:val="center"/>
        <w:rPr>
          <w:rFonts w:ascii="Arial" w:hAnsi="Arial" w:cs="Arial"/>
          <w:bCs/>
          <w:szCs w:val="22"/>
          <w:lang w:bidi="ar-SA"/>
        </w:rPr>
      </w:pPr>
    </w:p>
    <w:p w14:paraId="229088FD" w14:textId="77777777" w:rsidR="00562B99" w:rsidRPr="00894333" w:rsidRDefault="00562B99" w:rsidP="00C84560">
      <w:pPr>
        <w:spacing w:after="0"/>
        <w:jc w:val="center"/>
        <w:rPr>
          <w:rFonts w:ascii="Arial" w:hAnsi="Arial" w:cs="Arial"/>
          <w:bCs/>
          <w:szCs w:val="22"/>
          <w:lang w:bidi="ar-SA"/>
        </w:rPr>
      </w:pPr>
    </w:p>
    <w:p w14:paraId="5BABD631" w14:textId="12CAD0B0" w:rsidR="003767A4" w:rsidRPr="00894333" w:rsidRDefault="003767A4" w:rsidP="00C84560">
      <w:pPr>
        <w:spacing w:after="0"/>
        <w:jc w:val="center"/>
        <w:rPr>
          <w:rFonts w:ascii="Arial" w:hAnsi="Arial" w:cs="Arial"/>
          <w:bCs/>
          <w:szCs w:val="22"/>
          <w:lang w:bidi="ar-SA"/>
        </w:rPr>
      </w:pPr>
    </w:p>
    <w:p w14:paraId="7405DD17" w14:textId="77777777" w:rsidR="003767A4" w:rsidRPr="00894333" w:rsidRDefault="003767A4" w:rsidP="00C84560">
      <w:pPr>
        <w:spacing w:after="0"/>
        <w:jc w:val="center"/>
        <w:rPr>
          <w:rFonts w:ascii="Arial" w:hAnsi="Arial" w:cs="Arial"/>
          <w:bCs/>
          <w:szCs w:val="22"/>
          <w:lang w:bidi="ar-SA"/>
        </w:rPr>
      </w:pPr>
    </w:p>
    <w:p w14:paraId="2491C052" w14:textId="77777777" w:rsidR="003767A4" w:rsidRPr="00894333" w:rsidRDefault="003767A4" w:rsidP="00655092">
      <w:pPr>
        <w:spacing w:after="0"/>
        <w:rPr>
          <w:rFonts w:ascii="Arial" w:hAnsi="Arial" w:cs="Arial"/>
          <w:bCs/>
          <w:szCs w:val="22"/>
          <w:lang w:bidi="ar-SA"/>
        </w:rPr>
      </w:pPr>
    </w:p>
    <w:p w14:paraId="4B34A028" w14:textId="67252103" w:rsidR="00C0441E" w:rsidRPr="00894333" w:rsidRDefault="00EE7287" w:rsidP="00530AFB">
      <w:pPr>
        <w:spacing w:before="240" w:line="360" w:lineRule="auto"/>
        <w:jc w:val="both"/>
        <w:rPr>
          <w:rFonts w:ascii="Arial" w:hAnsi="Arial" w:cs="Arial"/>
          <w:b/>
          <w:bCs/>
          <w:sz w:val="28"/>
        </w:rPr>
      </w:pPr>
      <w:r w:rsidRPr="00894333">
        <w:rPr>
          <w:rFonts w:ascii="Arial" w:hAnsi="Arial" w:cs="Arial"/>
          <w:b/>
          <w:bCs/>
          <w:noProof/>
          <w:sz w:val="28"/>
        </w:rPr>
        <w:lastRenderedPageBreak/>
        <w:drawing>
          <wp:inline distT="0" distB="0" distL="0" distR="0" wp14:anchorId="16705F36" wp14:editId="7F42C7B0">
            <wp:extent cx="5581650" cy="1885950"/>
            <wp:effectExtent l="0" t="0" r="0" b="0"/>
            <wp:docPr id="864981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981608" name="Picture 864981608"/>
                    <pic:cNvPicPr/>
                  </pic:nvPicPr>
                  <pic:blipFill>
                    <a:blip r:embed="rId10">
                      <a:extLst>
                        <a:ext uri="{28A0092B-C50C-407E-A947-70E740481C1C}">
                          <a14:useLocalDpi xmlns:a14="http://schemas.microsoft.com/office/drawing/2010/main" val="0"/>
                        </a:ext>
                      </a:extLst>
                    </a:blip>
                    <a:stretch>
                      <a:fillRect/>
                    </a:stretch>
                  </pic:blipFill>
                  <pic:spPr>
                    <a:xfrm>
                      <a:off x="0" y="0"/>
                      <a:ext cx="5581650" cy="1885950"/>
                    </a:xfrm>
                    <a:prstGeom prst="rect">
                      <a:avLst/>
                    </a:prstGeom>
                  </pic:spPr>
                </pic:pic>
              </a:graphicData>
            </a:graphic>
          </wp:inline>
        </w:drawing>
      </w:r>
    </w:p>
    <w:p w14:paraId="28B69FD0" w14:textId="6383C69D" w:rsidR="0011208D" w:rsidRPr="00894333" w:rsidRDefault="0011208D" w:rsidP="00530AFB">
      <w:pPr>
        <w:jc w:val="both"/>
        <w:rPr>
          <w:rFonts w:ascii="Arial" w:hAnsi="Arial" w:cs="Arial"/>
          <w:sz w:val="28"/>
        </w:rPr>
      </w:pPr>
      <w:r w:rsidRPr="00894333">
        <w:rPr>
          <w:rFonts w:ascii="Arial" w:hAnsi="Arial" w:cs="Arial"/>
          <w:sz w:val="28"/>
        </w:rPr>
        <w:t>Trend Analysis</w:t>
      </w:r>
      <w:r w:rsidR="00533AAE" w:rsidRPr="00894333">
        <w:rPr>
          <w:rFonts w:ascii="Arial" w:hAnsi="Arial" w:cs="Arial"/>
          <w:sz w:val="28"/>
        </w:rPr>
        <w:t xml:space="preserve"> </w:t>
      </w:r>
      <w:r w:rsidRPr="00894333">
        <w:rPr>
          <w:rFonts w:ascii="Arial" w:hAnsi="Arial" w:cs="Arial"/>
          <w:sz w:val="28"/>
        </w:rPr>
        <w:t xml:space="preserve">In 2020-2022, General Electronics had quite stable gross margins of 28-29%, which reflects that the company managed the costs of sales quite effectively. But the year 2023 recorded a catastrophic decline of 23.20 with a 5.47-point decrease in 2020. This decline implies intense pricing pressures, higher production expenses or poor product mix changes (Li, 2023). The root cause is disastrous revenue erosion instead of managing margins. Net sales fell to 394,879m (2024) against 614,680m (2020), a 35.7 percent revenue drop in five years. </w:t>
      </w:r>
    </w:p>
    <w:p w14:paraId="011DC2DC" w14:textId="2307A255" w:rsidR="0011208D" w:rsidRPr="00894333" w:rsidRDefault="0011208D" w:rsidP="00530AFB">
      <w:pPr>
        <w:jc w:val="both"/>
        <w:rPr>
          <w:rFonts w:ascii="Arial" w:hAnsi="Arial" w:cs="Arial"/>
          <w:sz w:val="28"/>
        </w:rPr>
      </w:pPr>
      <w:r w:rsidRPr="00894333">
        <w:rPr>
          <w:rFonts w:ascii="Arial" w:hAnsi="Arial" w:cs="Arial"/>
          <w:sz w:val="28"/>
        </w:rPr>
        <w:t>The recovery to 28.87% is a slight improvement, which can reflect fierce cost-cutting, supplier renegotiations, or rationalizing the product portfolio to concentrate on higher-margins products. But better margins are not sufficient to revive profitability without revenue recovery (Altman et al., 2017).</w:t>
      </w:r>
    </w:p>
    <w:p w14:paraId="026C2EC5" w14:textId="3C9BAAB4" w:rsidR="0011208D" w:rsidRPr="00894333" w:rsidRDefault="0011208D" w:rsidP="00530AFB">
      <w:pPr>
        <w:jc w:val="both"/>
        <w:rPr>
          <w:rFonts w:ascii="Arial" w:hAnsi="Arial" w:cs="Arial"/>
          <w:sz w:val="28"/>
        </w:rPr>
      </w:pPr>
      <w:r w:rsidRPr="00894333">
        <w:rPr>
          <w:rFonts w:ascii="Arial" w:hAnsi="Arial" w:cs="Arial"/>
          <w:sz w:val="28"/>
        </w:rPr>
        <w:t>This implies underlying market share erosion, failure to compete, and obsolescence of products. The ratio of 23.20% compression in 2023 indicates the inability of the company to sustain pricing strength as revenues crashed.</w:t>
      </w:r>
    </w:p>
    <w:p w14:paraId="151B2EF0" w14:textId="77777777" w:rsidR="004077B0" w:rsidRDefault="004077B0" w:rsidP="00530AFB">
      <w:pPr>
        <w:jc w:val="both"/>
        <w:rPr>
          <w:rFonts w:ascii="Arial" w:hAnsi="Arial" w:cs="Arial"/>
          <w:sz w:val="28"/>
          <w:lang w:bidi="ar-SA"/>
        </w:rPr>
      </w:pPr>
    </w:p>
    <w:p w14:paraId="18C0B067" w14:textId="4EE46F0D" w:rsidR="00C0441E" w:rsidRPr="00894333" w:rsidRDefault="00EE7287" w:rsidP="00530AFB">
      <w:pPr>
        <w:jc w:val="both"/>
        <w:rPr>
          <w:rFonts w:ascii="Arial" w:hAnsi="Arial" w:cs="Arial"/>
          <w:sz w:val="28"/>
          <w:lang w:bidi="ar-SA"/>
        </w:rPr>
      </w:pPr>
      <w:r w:rsidRPr="00894333">
        <w:rPr>
          <w:rFonts w:ascii="Arial" w:hAnsi="Arial" w:cs="Arial"/>
          <w:noProof/>
          <w:sz w:val="28"/>
          <w:lang w:bidi="ar-SA"/>
        </w:rPr>
        <w:drawing>
          <wp:inline distT="0" distB="0" distL="0" distR="0" wp14:anchorId="071AB189" wp14:editId="3C47ADAA">
            <wp:extent cx="5581650" cy="1885950"/>
            <wp:effectExtent l="0" t="0" r="0" b="0"/>
            <wp:docPr id="8608734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873471" name="Picture 860873471"/>
                    <pic:cNvPicPr/>
                  </pic:nvPicPr>
                  <pic:blipFill>
                    <a:blip r:embed="rId11">
                      <a:extLst>
                        <a:ext uri="{28A0092B-C50C-407E-A947-70E740481C1C}">
                          <a14:useLocalDpi xmlns:a14="http://schemas.microsoft.com/office/drawing/2010/main" val="0"/>
                        </a:ext>
                      </a:extLst>
                    </a:blip>
                    <a:stretch>
                      <a:fillRect/>
                    </a:stretch>
                  </pic:blipFill>
                  <pic:spPr>
                    <a:xfrm>
                      <a:off x="0" y="0"/>
                      <a:ext cx="5581650" cy="1885950"/>
                    </a:xfrm>
                    <a:prstGeom prst="rect">
                      <a:avLst/>
                    </a:prstGeom>
                  </pic:spPr>
                </pic:pic>
              </a:graphicData>
            </a:graphic>
          </wp:inline>
        </w:drawing>
      </w:r>
    </w:p>
    <w:p w14:paraId="62B8D823" w14:textId="77777777" w:rsidR="009D3331" w:rsidRPr="00894333" w:rsidRDefault="009D3331" w:rsidP="00530AFB">
      <w:pPr>
        <w:jc w:val="both"/>
        <w:rPr>
          <w:rFonts w:ascii="Arial" w:hAnsi="Arial" w:cs="Arial"/>
          <w:sz w:val="28"/>
          <w:lang w:bidi="ar-SA"/>
        </w:rPr>
      </w:pPr>
    </w:p>
    <w:p w14:paraId="51303E8E" w14:textId="12D5B822" w:rsidR="006441BA" w:rsidRPr="00894333" w:rsidRDefault="00883941" w:rsidP="00530AFB">
      <w:pPr>
        <w:jc w:val="both"/>
        <w:rPr>
          <w:rFonts w:ascii="Arial" w:hAnsi="Arial" w:cs="Arial"/>
          <w:sz w:val="28"/>
        </w:rPr>
      </w:pPr>
      <w:r w:rsidRPr="00894333">
        <w:rPr>
          <w:rFonts w:ascii="Arial" w:hAnsi="Arial" w:cs="Arial"/>
          <w:sz w:val="28"/>
        </w:rPr>
        <w:lastRenderedPageBreak/>
        <w:t xml:space="preserve">The trends of profitability of General Electronics are disastrous. The company started with a healthy 6.28% net margin in 2020 with a profit of 38,572m, which began to decrease, reaching a low of -23.36% loss in 2023 with an ongoing -6.08% loss in 2024. The total loss in 2023-2024 amounted to £122,267m, which in effect wiped out shareholders’ value gained over the years (Hussein, Saeed and Ahmad, 2023). The drop to 0.88% margin in 2021 indicates the beginning of operational problems, as profits dropped 86.3% as revenue dropped only 2.1%. </w:t>
      </w:r>
    </w:p>
    <w:p w14:paraId="3C6D13DB" w14:textId="1A01C6B1" w:rsidR="00883941" w:rsidRPr="00894333" w:rsidRDefault="00883941" w:rsidP="00530AFB">
      <w:pPr>
        <w:jc w:val="both"/>
        <w:rPr>
          <w:rFonts w:ascii="Arial" w:hAnsi="Arial" w:cs="Arial"/>
          <w:sz w:val="28"/>
        </w:rPr>
      </w:pPr>
      <w:r w:rsidRPr="00894333">
        <w:rPr>
          <w:rFonts w:ascii="Arial" w:hAnsi="Arial" w:cs="Arial"/>
          <w:sz w:val="28"/>
        </w:rPr>
        <w:t>The operating expenses fell to £129,291m (32.73% of sales), which is some success in controlling costs, although it was still 10 percentage points higher than in 2020 (Li, 2023).</w:t>
      </w:r>
    </w:p>
    <w:p w14:paraId="459B545A" w14:textId="42DCA7A6" w:rsidR="00010D0E" w:rsidRPr="00894333" w:rsidRDefault="00883941" w:rsidP="00530AFB">
      <w:pPr>
        <w:jc w:val="both"/>
        <w:rPr>
          <w:rFonts w:ascii="Arial" w:hAnsi="Arial" w:cs="Arial"/>
          <w:sz w:val="28"/>
        </w:rPr>
      </w:pPr>
      <w:r w:rsidRPr="00894333">
        <w:rPr>
          <w:rFonts w:ascii="Arial" w:hAnsi="Arial" w:cs="Arial"/>
          <w:sz w:val="28"/>
        </w:rPr>
        <w:t>Such an uneven reduction of profits is a sign that the company had a fixed cost structure that could not adapt to minor revenue strain. By 2022, the profit virtually vanished to £407m (0.07% margin) despite 9.8% further profit fall, showing that the company was operating at break-even, and subject to any other risks. The 2023 disaster (-23.36% margin, loss of £98,238m) was an outcome of various failures. The operating expenses jumped to £182,861m (43.49% of sales) compared to 2020 (138,989m; 22.61% of sales). This was in addition to a charge of a good will impairment of 49,075m. Even without this extraordinary item, the underlying business incurred about 49,163m operating loss, which signifies radical business model failure. Interest costs rose to £4,332m compared to 1,422m (2020) which is a result of greater debt and higher interest rates that further strain profitability. A loss of 2024 (-6.08% margin) is slightly better than 2023 but it is highly unprofitable.</w:t>
      </w:r>
    </w:p>
    <w:p w14:paraId="688AF1C6" w14:textId="0E2A75F2" w:rsidR="00E1061E" w:rsidRPr="00894333" w:rsidRDefault="00E1061E" w:rsidP="00081636">
      <w:pPr>
        <w:pStyle w:val="Heading3"/>
        <w:rPr>
          <w:rFonts w:ascii="Arial" w:hAnsi="Arial" w:cs="Arial"/>
          <w:sz w:val="32"/>
          <w:szCs w:val="36"/>
          <w:lang w:bidi="ar-SA"/>
        </w:rPr>
      </w:pPr>
      <w:bookmarkStart w:id="5" w:name="_Toc217038428"/>
      <w:r w:rsidRPr="00894333">
        <w:rPr>
          <w:rFonts w:ascii="Arial" w:hAnsi="Arial" w:cs="Arial"/>
          <w:sz w:val="32"/>
          <w:szCs w:val="36"/>
          <w:lang w:bidi="ar-SA"/>
        </w:rPr>
        <w:lastRenderedPageBreak/>
        <w:t>2.</w:t>
      </w:r>
      <w:r w:rsidR="002B6278" w:rsidRPr="00894333">
        <w:rPr>
          <w:rFonts w:ascii="Arial" w:hAnsi="Arial" w:cs="Arial"/>
          <w:sz w:val="32"/>
          <w:szCs w:val="36"/>
          <w:lang w:bidi="ar-SA"/>
        </w:rPr>
        <w:t>2</w:t>
      </w:r>
      <w:r w:rsidRPr="00894333">
        <w:rPr>
          <w:rFonts w:ascii="Arial" w:hAnsi="Arial" w:cs="Arial"/>
          <w:sz w:val="32"/>
          <w:szCs w:val="36"/>
          <w:lang w:bidi="ar-SA"/>
        </w:rPr>
        <w:t xml:space="preserve"> </w:t>
      </w:r>
      <w:r w:rsidR="002B6278" w:rsidRPr="00894333">
        <w:rPr>
          <w:rFonts w:ascii="Arial" w:hAnsi="Arial" w:cs="Arial"/>
          <w:sz w:val="32"/>
          <w:szCs w:val="36"/>
          <w:lang w:bidi="ar-SA"/>
        </w:rPr>
        <w:t>Liquidity Analysis</w:t>
      </w:r>
      <w:bookmarkEnd w:id="5"/>
    </w:p>
    <w:p w14:paraId="36C39FA2" w14:textId="03A91F8B" w:rsidR="00252154" w:rsidRPr="00894333" w:rsidRDefault="00BE3AFD" w:rsidP="00781BBC">
      <w:pPr>
        <w:jc w:val="center"/>
        <w:rPr>
          <w:rFonts w:ascii="Arial" w:hAnsi="Arial" w:cs="Arial"/>
          <w:sz w:val="28"/>
        </w:rPr>
      </w:pPr>
      <w:r w:rsidRPr="00894333">
        <w:rPr>
          <w:rFonts w:ascii="Arial" w:hAnsi="Arial" w:cs="Arial"/>
          <w:noProof/>
          <w:sz w:val="28"/>
        </w:rPr>
        <w:drawing>
          <wp:inline distT="0" distB="0" distL="0" distR="0" wp14:anchorId="0A2BDCE2" wp14:editId="4FC58538">
            <wp:extent cx="4574982" cy="2775337"/>
            <wp:effectExtent l="0" t="0" r="16510" b="6350"/>
            <wp:docPr id="595286885" name="Chart 1">
              <a:extLst xmlns:a="http://schemas.openxmlformats.org/drawingml/2006/main">
                <a:ext uri="{FF2B5EF4-FFF2-40B4-BE49-F238E27FC236}">
                  <a16:creationId xmlns:a16="http://schemas.microsoft.com/office/drawing/2014/main" id="{4B5A2081-E38D-442B-9A49-94CD81C613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4EB9661" w14:textId="22A5CD08" w:rsidR="00BF4AC0" w:rsidRPr="00894333" w:rsidRDefault="007B2B9C" w:rsidP="00530AFB">
      <w:pPr>
        <w:jc w:val="both"/>
        <w:rPr>
          <w:rFonts w:ascii="Arial" w:hAnsi="Arial" w:cs="Arial"/>
          <w:sz w:val="28"/>
        </w:rPr>
      </w:pPr>
      <w:r w:rsidRPr="00894333">
        <w:rPr>
          <w:rFonts w:ascii="Arial" w:hAnsi="Arial" w:cs="Arial"/>
          <w:noProof/>
          <w:sz w:val="28"/>
        </w:rPr>
        <w:drawing>
          <wp:inline distT="0" distB="0" distL="0" distR="0" wp14:anchorId="4DB767EC" wp14:editId="1B4983EC">
            <wp:extent cx="5731510" cy="1682115"/>
            <wp:effectExtent l="0" t="0" r="2540" b="0"/>
            <wp:docPr id="6547143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714361" name="Picture 654714361"/>
                    <pic:cNvPicPr/>
                  </pic:nvPicPr>
                  <pic:blipFill>
                    <a:blip r:embed="rId13">
                      <a:extLst>
                        <a:ext uri="{28A0092B-C50C-407E-A947-70E740481C1C}">
                          <a14:useLocalDpi xmlns:a14="http://schemas.microsoft.com/office/drawing/2010/main" val="0"/>
                        </a:ext>
                      </a:extLst>
                    </a:blip>
                    <a:stretch>
                      <a:fillRect/>
                    </a:stretch>
                  </pic:blipFill>
                  <pic:spPr>
                    <a:xfrm>
                      <a:off x="0" y="0"/>
                      <a:ext cx="5731510" cy="1682115"/>
                    </a:xfrm>
                    <a:prstGeom prst="rect">
                      <a:avLst/>
                    </a:prstGeom>
                  </pic:spPr>
                </pic:pic>
              </a:graphicData>
            </a:graphic>
          </wp:inline>
        </w:drawing>
      </w:r>
    </w:p>
    <w:p w14:paraId="2860D529" w14:textId="73EDAA5B" w:rsidR="007B2B9C" w:rsidRPr="00894333" w:rsidRDefault="007B2B9C" w:rsidP="00530AFB">
      <w:pPr>
        <w:jc w:val="both"/>
        <w:rPr>
          <w:rFonts w:ascii="Arial" w:hAnsi="Arial" w:cs="Arial"/>
          <w:sz w:val="28"/>
        </w:rPr>
      </w:pPr>
      <w:r w:rsidRPr="00894333">
        <w:rPr>
          <w:rFonts w:ascii="Arial" w:hAnsi="Arial" w:cs="Arial"/>
          <w:sz w:val="28"/>
        </w:rPr>
        <w:t xml:space="preserve">The pressure on working capital was recorded by the 2021 decrease of 1.56 to 1.56 due to the increase in current liabilities to £216,787m compared to the 2017 figure of 179,510m (20.8% rise). This indicates that the firm started to borrow heavily to finance its operations as the profitability started to fall. </w:t>
      </w:r>
    </w:p>
    <w:p w14:paraId="6AE6E351" w14:textId="37804AC7" w:rsidR="007B2B9C" w:rsidRPr="00894333" w:rsidRDefault="007B2B9C" w:rsidP="00530AFB">
      <w:pPr>
        <w:jc w:val="both"/>
        <w:rPr>
          <w:rFonts w:ascii="Arial" w:hAnsi="Arial" w:cs="Arial"/>
          <w:sz w:val="28"/>
        </w:rPr>
      </w:pPr>
      <w:r w:rsidRPr="00894333">
        <w:rPr>
          <w:rFonts w:ascii="Arial" w:hAnsi="Arial" w:cs="Arial"/>
          <w:sz w:val="28"/>
        </w:rPr>
        <w:t>The current assets grew slightly to £337,146m but not to sustain the prior ratio. In 2022, the ratio was 1.56, and current assets and liabilities changed insignificantly (Mengstie, Mosisa and Mosisa, 2024). This was however only momentary. In 2023, the ratio had slightly increased, but only to 1.61, which is a sign of aggressive asset liquidation, and not of operational improvement. The 2024 ratio of 1.53 is the lowest point in five years with current assets declining to £242,494m and excess coverage now is only 84,203m (53 times greater than liabilities). Most importantly, the cash reserves fell by 53.1% (1,2020-2024) to 26,783m (2024) (Hussein, Saeed and Ahmad, 2023).</w:t>
      </w:r>
    </w:p>
    <w:p w14:paraId="51B77F44" w14:textId="77777777" w:rsidR="00A43589" w:rsidRPr="00894333" w:rsidRDefault="00A43589" w:rsidP="00530AFB">
      <w:pPr>
        <w:jc w:val="both"/>
        <w:rPr>
          <w:rFonts w:ascii="Arial" w:hAnsi="Arial" w:cs="Arial"/>
          <w:sz w:val="28"/>
        </w:rPr>
      </w:pPr>
    </w:p>
    <w:p w14:paraId="43DCFC1F" w14:textId="76C819B0" w:rsidR="00A43589" w:rsidRPr="00894333" w:rsidRDefault="000C0E6F" w:rsidP="00530AFB">
      <w:pPr>
        <w:jc w:val="both"/>
        <w:rPr>
          <w:rFonts w:ascii="Arial" w:hAnsi="Arial" w:cs="Arial"/>
          <w:sz w:val="28"/>
        </w:rPr>
      </w:pPr>
      <w:r w:rsidRPr="00894333">
        <w:rPr>
          <w:rFonts w:ascii="Arial" w:hAnsi="Arial" w:cs="Arial"/>
          <w:noProof/>
          <w:sz w:val="28"/>
        </w:rPr>
        <w:lastRenderedPageBreak/>
        <w:drawing>
          <wp:inline distT="0" distB="0" distL="0" distR="0" wp14:anchorId="758E6E65" wp14:editId="1E4D4FD8">
            <wp:extent cx="5731510" cy="1440180"/>
            <wp:effectExtent l="0" t="0" r="2540" b="7620"/>
            <wp:docPr id="8207567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756709" name="Picture 820756709"/>
                    <pic:cNvPicPr/>
                  </pic:nvPicPr>
                  <pic:blipFill>
                    <a:blip r:embed="rId14">
                      <a:extLst>
                        <a:ext uri="{28A0092B-C50C-407E-A947-70E740481C1C}">
                          <a14:useLocalDpi xmlns:a14="http://schemas.microsoft.com/office/drawing/2010/main" val="0"/>
                        </a:ext>
                      </a:extLst>
                    </a:blip>
                    <a:stretch>
                      <a:fillRect/>
                    </a:stretch>
                  </pic:blipFill>
                  <pic:spPr>
                    <a:xfrm>
                      <a:off x="0" y="0"/>
                      <a:ext cx="5731510" cy="1440180"/>
                    </a:xfrm>
                    <a:prstGeom prst="rect">
                      <a:avLst/>
                    </a:prstGeom>
                  </pic:spPr>
                </pic:pic>
              </a:graphicData>
            </a:graphic>
          </wp:inline>
        </w:drawing>
      </w:r>
    </w:p>
    <w:p w14:paraId="34A92B64" w14:textId="00925428" w:rsidR="00511C53" w:rsidRPr="00894333" w:rsidRDefault="00511C53" w:rsidP="00530AFB">
      <w:pPr>
        <w:jc w:val="both"/>
        <w:rPr>
          <w:rFonts w:ascii="Arial" w:hAnsi="Arial" w:cs="Arial"/>
          <w:sz w:val="28"/>
        </w:rPr>
      </w:pPr>
      <w:r w:rsidRPr="00894333">
        <w:rPr>
          <w:rFonts w:ascii="Arial" w:hAnsi="Arial" w:cs="Arial"/>
          <w:sz w:val="28"/>
        </w:rPr>
        <w:t xml:space="preserve">The 2020 quick ratio of 1.15 offered a sufficient liquidity buffer with the quick assets exceeding the current liabilities by 206,413m (15% excess coverage). The fall down to 0.93 in 2021 was alarming since quick assets of 202,677m of 216,787m did not suffice to meet the current liabilities of 202,677m. </w:t>
      </w:r>
    </w:p>
    <w:p w14:paraId="58F274DE" w14:textId="600EA6AC" w:rsidR="00511C53" w:rsidRPr="00894333" w:rsidRDefault="00511C53" w:rsidP="00530AFB">
      <w:pPr>
        <w:jc w:val="both"/>
        <w:rPr>
          <w:rFonts w:ascii="Arial" w:hAnsi="Arial" w:cs="Arial"/>
          <w:sz w:val="28"/>
        </w:rPr>
      </w:pPr>
      <w:r w:rsidRPr="00894333">
        <w:rPr>
          <w:rFonts w:ascii="Arial" w:hAnsi="Arial" w:cs="Arial"/>
          <w:sz w:val="28"/>
        </w:rPr>
        <w:t xml:space="preserve">This liquidity crunch status justifies the intense inventory turnover by management in 2023. The 2024 quick ratio of 1.03 is technically 1.0 but offers little safeguards with a result of only 4,848m excess cover (3%). The company is very susceptible to any collection problems, inventory obsolescence, or demand shocks (Mengstie, Mosisa and Mosisa, 2024). </w:t>
      </w:r>
    </w:p>
    <w:p w14:paraId="687A44CF" w14:textId="4B52B7E4" w:rsidR="00511C53" w:rsidRPr="00894333" w:rsidRDefault="00511C53" w:rsidP="00530AFB">
      <w:pPr>
        <w:jc w:val="both"/>
        <w:rPr>
          <w:rFonts w:ascii="Arial" w:hAnsi="Arial" w:cs="Arial"/>
          <w:sz w:val="28"/>
        </w:rPr>
      </w:pPr>
      <w:r w:rsidRPr="00894333">
        <w:rPr>
          <w:rFonts w:ascii="Arial" w:hAnsi="Arial" w:cs="Arial"/>
          <w:sz w:val="28"/>
        </w:rPr>
        <w:t xml:space="preserve">This 7 percent shortfall implied that the company could only make ends meet on the inventory sale basis, which posed a high financial risk, in case of obsolete inventory or the deterioration of further demand (Indah et al., 2024). The 2022 figure fell marginally to 0.91 (£197,859m quick assets and 216,473m liabilities), </w:t>
      </w:r>
      <w:r w:rsidR="001F50A5" w:rsidRPr="00894333">
        <w:rPr>
          <w:rFonts w:ascii="Arial" w:hAnsi="Arial" w:cs="Arial"/>
          <w:sz w:val="28"/>
        </w:rPr>
        <w:t>an</w:t>
      </w:r>
      <w:r w:rsidRPr="00894333">
        <w:rPr>
          <w:rFonts w:ascii="Arial" w:hAnsi="Arial" w:cs="Arial"/>
          <w:sz w:val="28"/>
        </w:rPr>
        <w:t xml:space="preserve"> 18,614m deficit (9% shortfall).</w:t>
      </w:r>
    </w:p>
    <w:p w14:paraId="4A9C5A4D" w14:textId="77777777" w:rsidR="00511C53" w:rsidRPr="00894333" w:rsidRDefault="00511C53" w:rsidP="00530AFB">
      <w:pPr>
        <w:jc w:val="both"/>
        <w:rPr>
          <w:rFonts w:ascii="Arial" w:hAnsi="Arial" w:cs="Arial"/>
          <w:sz w:val="28"/>
        </w:rPr>
      </w:pPr>
    </w:p>
    <w:p w14:paraId="497F7DE7" w14:textId="7AE15F67" w:rsidR="00770FE8" w:rsidRPr="00894333" w:rsidRDefault="00770FE8" w:rsidP="00081636">
      <w:pPr>
        <w:pStyle w:val="Heading3"/>
        <w:rPr>
          <w:rFonts w:ascii="Arial" w:hAnsi="Arial" w:cs="Arial"/>
          <w:sz w:val="32"/>
          <w:szCs w:val="36"/>
          <w:lang w:bidi="ar-SA"/>
        </w:rPr>
      </w:pPr>
      <w:bookmarkStart w:id="6" w:name="_Toc217038429"/>
      <w:r w:rsidRPr="00894333">
        <w:rPr>
          <w:rFonts w:ascii="Arial" w:hAnsi="Arial" w:cs="Arial"/>
          <w:sz w:val="32"/>
          <w:szCs w:val="36"/>
          <w:lang w:bidi="ar-SA"/>
        </w:rPr>
        <w:t xml:space="preserve">2.3 </w:t>
      </w:r>
      <w:r w:rsidR="00940AED" w:rsidRPr="00894333">
        <w:rPr>
          <w:rFonts w:ascii="Arial" w:hAnsi="Arial" w:cs="Arial"/>
          <w:sz w:val="32"/>
          <w:szCs w:val="36"/>
          <w:lang w:bidi="ar-SA"/>
        </w:rPr>
        <w:t>Efficiency Analysis</w:t>
      </w:r>
      <w:bookmarkEnd w:id="6"/>
    </w:p>
    <w:p w14:paraId="2C8AF3A9" w14:textId="61569D05" w:rsidR="00BE3AFD" w:rsidRPr="00894333" w:rsidRDefault="00BE3AFD" w:rsidP="00450C72">
      <w:pPr>
        <w:jc w:val="center"/>
        <w:rPr>
          <w:rFonts w:ascii="Arial" w:hAnsi="Arial" w:cs="Arial"/>
          <w:sz w:val="28"/>
        </w:rPr>
      </w:pPr>
      <w:r w:rsidRPr="00894333">
        <w:rPr>
          <w:rFonts w:ascii="Arial" w:hAnsi="Arial" w:cs="Arial"/>
          <w:noProof/>
          <w:sz w:val="28"/>
        </w:rPr>
        <w:drawing>
          <wp:inline distT="0" distB="0" distL="0" distR="0" wp14:anchorId="52D2BBFB" wp14:editId="79826CFD">
            <wp:extent cx="4572000" cy="2789583"/>
            <wp:effectExtent l="0" t="0" r="0" b="10795"/>
            <wp:docPr id="1977504426" name="Chart 1">
              <a:extLst xmlns:a="http://schemas.openxmlformats.org/drawingml/2006/main">
                <a:ext uri="{FF2B5EF4-FFF2-40B4-BE49-F238E27FC236}">
                  <a16:creationId xmlns:a16="http://schemas.microsoft.com/office/drawing/2014/main" id="{C4CBCD88-B2D2-42F7-9581-3262DBBC41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9400EAB" w14:textId="6ED1DB7E" w:rsidR="00770FE8" w:rsidRPr="00894333" w:rsidRDefault="007B0193" w:rsidP="00530AFB">
      <w:pPr>
        <w:jc w:val="both"/>
        <w:rPr>
          <w:rFonts w:ascii="Arial" w:hAnsi="Arial" w:cs="Arial"/>
          <w:sz w:val="28"/>
        </w:rPr>
      </w:pPr>
      <w:r w:rsidRPr="00894333">
        <w:rPr>
          <w:rFonts w:ascii="Arial" w:hAnsi="Arial" w:cs="Arial"/>
          <w:noProof/>
          <w:sz w:val="28"/>
        </w:rPr>
        <w:lastRenderedPageBreak/>
        <w:drawing>
          <wp:inline distT="0" distB="0" distL="0" distR="0" wp14:anchorId="03DE6F5E" wp14:editId="07C73279">
            <wp:extent cx="5731510" cy="1945640"/>
            <wp:effectExtent l="0" t="0" r="2540" b="0"/>
            <wp:docPr id="21014431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443198" name="Picture 2101443198"/>
                    <pic:cNvPicPr/>
                  </pic:nvPicPr>
                  <pic:blipFill>
                    <a:blip r:embed="rId16">
                      <a:extLst>
                        <a:ext uri="{28A0092B-C50C-407E-A947-70E740481C1C}">
                          <a14:useLocalDpi xmlns:a14="http://schemas.microsoft.com/office/drawing/2010/main" val="0"/>
                        </a:ext>
                      </a:extLst>
                    </a:blip>
                    <a:stretch>
                      <a:fillRect/>
                    </a:stretch>
                  </pic:blipFill>
                  <pic:spPr>
                    <a:xfrm>
                      <a:off x="0" y="0"/>
                      <a:ext cx="5731510" cy="1945640"/>
                    </a:xfrm>
                    <a:prstGeom prst="rect">
                      <a:avLst/>
                    </a:prstGeom>
                  </pic:spPr>
                </pic:pic>
              </a:graphicData>
            </a:graphic>
          </wp:inline>
        </w:drawing>
      </w:r>
    </w:p>
    <w:p w14:paraId="3EE0BEDA" w14:textId="77777777" w:rsidR="00060516" w:rsidRPr="00894333" w:rsidRDefault="00060516" w:rsidP="00530AFB">
      <w:pPr>
        <w:jc w:val="both"/>
        <w:rPr>
          <w:rFonts w:ascii="Arial" w:hAnsi="Arial" w:cs="Arial"/>
          <w:sz w:val="28"/>
        </w:rPr>
      </w:pPr>
    </w:p>
    <w:p w14:paraId="676E5994" w14:textId="4DF56341" w:rsidR="007B0193" w:rsidRPr="00894333" w:rsidRDefault="007B0193" w:rsidP="00530AFB">
      <w:pPr>
        <w:jc w:val="both"/>
        <w:rPr>
          <w:rFonts w:ascii="Arial" w:hAnsi="Arial" w:cs="Arial"/>
          <w:sz w:val="28"/>
        </w:rPr>
      </w:pPr>
      <w:r w:rsidRPr="00894333">
        <w:rPr>
          <w:rFonts w:ascii="Arial" w:hAnsi="Arial" w:cs="Arial"/>
          <w:sz w:val="28"/>
        </w:rPr>
        <w:t>The inventory effectiveness at General Electronics deteriorated during the period between 2020 and 2023, where turnover decreased, and the holding time increased, which is the manifestation of excess stock and poor demand forecasting. Stockpiling with a falling sale indicated over production and obsolescence threats. As of 2024, the turnover was a little better because of the inventory. However, the recovery might be caused by limited purchasing power instead of operational recovery and this means that the company continues to face the problem of inefficiency and is being careful with its inventory to maintain any liquidity (Indah et al., 2024).</w:t>
      </w:r>
    </w:p>
    <w:p w14:paraId="03A0A718" w14:textId="0B72EBF3" w:rsidR="007B0193" w:rsidRPr="00894333" w:rsidRDefault="006F7075" w:rsidP="00530AFB">
      <w:pPr>
        <w:jc w:val="both"/>
        <w:rPr>
          <w:rFonts w:ascii="Arial" w:hAnsi="Arial" w:cs="Arial"/>
          <w:sz w:val="28"/>
        </w:rPr>
      </w:pPr>
      <w:r w:rsidRPr="00894333">
        <w:rPr>
          <w:rFonts w:ascii="Arial" w:hAnsi="Arial" w:cs="Arial"/>
          <w:noProof/>
          <w:sz w:val="28"/>
        </w:rPr>
        <w:drawing>
          <wp:inline distT="0" distB="0" distL="0" distR="0" wp14:anchorId="52D27B41" wp14:editId="7A6FDBD4">
            <wp:extent cx="5731510" cy="1425575"/>
            <wp:effectExtent l="0" t="0" r="2540" b="3175"/>
            <wp:docPr id="5694783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478364" name="Picture 569478364"/>
                    <pic:cNvPicPr/>
                  </pic:nvPicPr>
                  <pic:blipFill>
                    <a:blip r:embed="rId17">
                      <a:extLst>
                        <a:ext uri="{28A0092B-C50C-407E-A947-70E740481C1C}">
                          <a14:useLocalDpi xmlns:a14="http://schemas.microsoft.com/office/drawing/2010/main" val="0"/>
                        </a:ext>
                      </a:extLst>
                    </a:blip>
                    <a:stretch>
                      <a:fillRect/>
                    </a:stretch>
                  </pic:blipFill>
                  <pic:spPr>
                    <a:xfrm>
                      <a:off x="0" y="0"/>
                      <a:ext cx="5731510" cy="1425575"/>
                    </a:xfrm>
                    <a:prstGeom prst="rect">
                      <a:avLst/>
                    </a:prstGeom>
                  </pic:spPr>
                </pic:pic>
              </a:graphicData>
            </a:graphic>
          </wp:inline>
        </w:drawing>
      </w:r>
    </w:p>
    <w:p w14:paraId="0D9B5109" w14:textId="77777777" w:rsidR="000449D8" w:rsidRPr="00894333" w:rsidRDefault="000449D8" w:rsidP="000449D8">
      <w:pPr>
        <w:spacing w:after="0"/>
        <w:jc w:val="center"/>
        <w:rPr>
          <w:rFonts w:ascii="Arial" w:hAnsi="Arial" w:cs="Arial"/>
          <w:bCs/>
          <w:szCs w:val="22"/>
          <w:lang w:bidi="ar-SA"/>
        </w:rPr>
      </w:pPr>
    </w:p>
    <w:p w14:paraId="214C9B09" w14:textId="744CB21E" w:rsidR="00B06F8F" w:rsidRPr="00894333" w:rsidRDefault="00B06F8F" w:rsidP="00530AFB">
      <w:pPr>
        <w:jc w:val="both"/>
        <w:rPr>
          <w:rFonts w:ascii="Arial" w:hAnsi="Arial" w:cs="Arial"/>
          <w:sz w:val="28"/>
        </w:rPr>
      </w:pPr>
      <w:r w:rsidRPr="00894333">
        <w:rPr>
          <w:rFonts w:ascii="Arial" w:hAnsi="Arial" w:cs="Arial"/>
          <w:sz w:val="28"/>
        </w:rPr>
        <w:t xml:space="preserve">The efficiency of receivables collection continuously decreased in 20202024, and collection periods were increased to 105 days. This degradation is an indication that credit control and the delay of customer payments will be reduced, probably because of the loosening of credit conditions and the financial constraints of consumers. </w:t>
      </w:r>
    </w:p>
    <w:p w14:paraId="12E47D9E" w14:textId="509B291E" w:rsidR="00B06F8F" w:rsidRPr="00894333" w:rsidRDefault="00B06F8F" w:rsidP="00530AFB">
      <w:pPr>
        <w:jc w:val="both"/>
        <w:rPr>
          <w:rFonts w:ascii="Arial" w:hAnsi="Arial" w:cs="Arial"/>
          <w:sz w:val="28"/>
        </w:rPr>
      </w:pPr>
      <w:r w:rsidRPr="00894333">
        <w:rPr>
          <w:rFonts w:ascii="Arial" w:hAnsi="Arial" w:cs="Arial"/>
          <w:sz w:val="28"/>
        </w:rPr>
        <w:t>The long collection period has stressed the working capital and constrained the liquidity as the company had to cope with tightening of the balance between the increased collection efforts and the risk of losing customers in the face of plummeting sales and financial crises (Indah et al., 2024).</w:t>
      </w:r>
    </w:p>
    <w:p w14:paraId="3C11708E" w14:textId="5DABF8CE" w:rsidR="00C80B72" w:rsidRPr="00894333" w:rsidRDefault="00C80B72" w:rsidP="00530AFB">
      <w:pPr>
        <w:pStyle w:val="Heading3"/>
        <w:spacing w:before="0"/>
        <w:jc w:val="both"/>
        <w:rPr>
          <w:rFonts w:ascii="Arial" w:hAnsi="Arial" w:cs="Arial"/>
          <w:sz w:val="32"/>
          <w:szCs w:val="32"/>
        </w:rPr>
      </w:pPr>
      <w:bookmarkStart w:id="7" w:name="_Toc217038430"/>
      <w:r w:rsidRPr="00894333">
        <w:rPr>
          <w:rFonts w:ascii="Arial" w:hAnsi="Arial" w:cs="Arial"/>
          <w:sz w:val="32"/>
          <w:szCs w:val="32"/>
          <w:lang w:bidi="ar-SA"/>
        </w:rPr>
        <w:lastRenderedPageBreak/>
        <w:t>2.</w:t>
      </w:r>
      <w:r w:rsidR="006F56D4" w:rsidRPr="00894333">
        <w:rPr>
          <w:rFonts w:ascii="Arial" w:hAnsi="Arial" w:cs="Arial"/>
          <w:sz w:val="32"/>
          <w:szCs w:val="32"/>
          <w:lang w:bidi="ar-SA"/>
        </w:rPr>
        <w:t>4</w:t>
      </w:r>
      <w:r w:rsidRPr="00894333">
        <w:rPr>
          <w:rFonts w:ascii="Arial" w:hAnsi="Arial" w:cs="Arial"/>
          <w:sz w:val="32"/>
          <w:szCs w:val="32"/>
          <w:lang w:bidi="ar-SA"/>
        </w:rPr>
        <w:t xml:space="preserve"> </w:t>
      </w:r>
      <w:r w:rsidR="00F05805" w:rsidRPr="00894333">
        <w:rPr>
          <w:rFonts w:ascii="Arial" w:hAnsi="Arial" w:cs="Arial"/>
          <w:sz w:val="32"/>
          <w:szCs w:val="32"/>
        </w:rPr>
        <w:t>Gearing Analysis</w:t>
      </w:r>
      <w:bookmarkEnd w:id="7"/>
    </w:p>
    <w:p w14:paraId="7A2B1672" w14:textId="4C30791E" w:rsidR="009E4527" w:rsidRPr="00894333" w:rsidRDefault="009E4527" w:rsidP="00060516">
      <w:pPr>
        <w:jc w:val="center"/>
        <w:rPr>
          <w:rFonts w:ascii="Arial" w:hAnsi="Arial" w:cs="Arial"/>
          <w:sz w:val="28"/>
        </w:rPr>
      </w:pPr>
      <w:r w:rsidRPr="00894333">
        <w:rPr>
          <w:rFonts w:ascii="Arial" w:hAnsi="Arial" w:cs="Arial"/>
          <w:noProof/>
          <w:sz w:val="28"/>
        </w:rPr>
        <w:drawing>
          <wp:inline distT="0" distB="0" distL="0" distR="0" wp14:anchorId="7AA34963" wp14:editId="30C04244">
            <wp:extent cx="4817165" cy="2743200"/>
            <wp:effectExtent l="0" t="0" r="2540" b="0"/>
            <wp:docPr id="1945551217" name="Chart 1">
              <a:extLst xmlns:a="http://schemas.openxmlformats.org/drawingml/2006/main">
                <a:ext uri="{FF2B5EF4-FFF2-40B4-BE49-F238E27FC236}">
                  <a16:creationId xmlns:a16="http://schemas.microsoft.com/office/drawing/2014/main" id="{C3601EA3-6C69-4D08-980B-D0932B6C41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9242D5F" w14:textId="5187F2BD" w:rsidR="003D0D6D" w:rsidRPr="00894333" w:rsidRDefault="003D0D6D" w:rsidP="00530AFB">
      <w:pPr>
        <w:spacing w:before="240" w:after="0" w:line="240" w:lineRule="auto"/>
        <w:jc w:val="both"/>
        <w:rPr>
          <w:rFonts w:ascii="Arial" w:hAnsi="Arial" w:cs="Arial"/>
          <w:b/>
          <w:bCs/>
          <w:sz w:val="28"/>
        </w:rPr>
      </w:pPr>
      <w:r w:rsidRPr="00894333">
        <w:rPr>
          <w:rFonts w:ascii="Arial" w:hAnsi="Arial" w:cs="Arial"/>
          <w:b/>
          <w:bCs/>
          <w:noProof/>
          <w:sz w:val="28"/>
        </w:rPr>
        <w:drawing>
          <wp:inline distT="0" distB="0" distL="0" distR="0" wp14:anchorId="677825C8" wp14:editId="4297CC79">
            <wp:extent cx="5731510" cy="1389380"/>
            <wp:effectExtent l="0" t="0" r="2540" b="1270"/>
            <wp:docPr id="644934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93481" name="Picture 64493481"/>
                    <pic:cNvPicPr/>
                  </pic:nvPicPr>
                  <pic:blipFill>
                    <a:blip r:embed="rId19">
                      <a:extLst>
                        <a:ext uri="{28A0092B-C50C-407E-A947-70E740481C1C}">
                          <a14:useLocalDpi xmlns:a14="http://schemas.microsoft.com/office/drawing/2010/main" val="0"/>
                        </a:ext>
                      </a:extLst>
                    </a:blip>
                    <a:stretch>
                      <a:fillRect/>
                    </a:stretch>
                  </pic:blipFill>
                  <pic:spPr>
                    <a:xfrm>
                      <a:off x="0" y="0"/>
                      <a:ext cx="5731510" cy="1389380"/>
                    </a:xfrm>
                    <a:prstGeom prst="rect">
                      <a:avLst/>
                    </a:prstGeom>
                  </pic:spPr>
                </pic:pic>
              </a:graphicData>
            </a:graphic>
          </wp:inline>
        </w:drawing>
      </w:r>
    </w:p>
    <w:p w14:paraId="5320D372" w14:textId="4CA817C5" w:rsidR="00C6405E" w:rsidRPr="00894333" w:rsidRDefault="00C6405E" w:rsidP="00530AFB">
      <w:pPr>
        <w:jc w:val="both"/>
        <w:rPr>
          <w:rFonts w:ascii="Arial" w:hAnsi="Arial" w:cs="Arial"/>
          <w:sz w:val="28"/>
        </w:rPr>
      </w:pPr>
      <w:r w:rsidRPr="00894333">
        <w:rPr>
          <w:rFonts w:ascii="Arial" w:hAnsi="Arial" w:cs="Arial"/>
          <w:sz w:val="28"/>
        </w:rPr>
        <w:t xml:space="preserve">The ratio of leverage in General Electronics rose significantly in 2020 (0.63) to 2024 (1.11), which represents an increase in the degree of financial risk. </w:t>
      </w:r>
    </w:p>
    <w:p w14:paraId="2D5CA0BF" w14:textId="36593067" w:rsidR="00C6405E" w:rsidRPr="00894333" w:rsidRDefault="00C6405E" w:rsidP="00530AFB">
      <w:pPr>
        <w:jc w:val="both"/>
        <w:rPr>
          <w:rFonts w:ascii="Arial" w:hAnsi="Arial" w:cs="Arial"/>
          <w:sz w:val="28"/>
        </w:rPr>
      </w:pPr>
      <w:r w:rsidRPr="00894333">
        <w:rPr>
          <w:rFonts w:ascii="Arial" w:hAnsi="Arial" w:cs="Arial"/>
          <w:sz w:val="28"/>
        </w:rPr>
        <w:t xml:space="preserve">The ongoing losses and constant level of debts reduced the equity of the company and converted it to a debt-based firm. Increased ratio means a declining solvency, decreased ability to borrow, and increase the risk of creditor demands. </w:t>
      </w:r>
    </w:p>
    <w:p w14:paraId="558F7B2E" w14:textId="789C0DD2" w:rsidR="00C6405E" w:rsidRPr="00894333" w:rsidRDefault="00C6405E" w:rsidP="00530AFB">
      <w:pPr>
        <w:jc w:val="both"/>
        <w:rPr>
          <w:rFonts w:ascii="Arial" w:hAnsi="Arial" w:cs="Arial"/>
          <w:sz w:val="28"/>
        </w:rPr>
      </w:pPr>
      <w:r w:rsidRPr="00894333">
        <w:rPr>
          <w:rFonts w:ascii="Arial" w:hAnsi="Arial" w:cs="Arial"/>
          <w:sz w:val="28"/>
        </w:rPr>
        <w:t>The worsened capital structure of the company is an indication that there is an urgent need to restore equity in the company to restore financial health and investor trust (JPMorgan, 2024).</w:t>
      </w:r>
    </w:p>
    <w:p w14:paraId="4C1AD8AF" w14:textId="44ED51BE" w:rsidR="007208CC" w:rsidRPr="00894333" w:rsidRDefault="00C12DAE" w:rsidP="00530AFB">
      <w:pPr>
        <w:spacing w:before="240" w:after="0" w:line="240" w:lineRule="auto"/>
        <w:jc w:val="both"/>
        <w:rPr>
          <w:rFonts w:ascii="Arial" w:hAnsi="Arial" w:cs="Arial"/>
          <w:b/>
          <w:bCs/>
          <w:sz w:val="28"/>
        </w:rPr>
      </w:pPr>
      <w:r w:rsidRPr="00894333">
        <w:rPr>
          <w:rFonts w:ascii="Arial" w:hAnsi="Arial" w:cs="Arial"/>
          <w:b/>
          <w:bCs/>
          <w:noProof/>
          <w:sz w:val="28"/>
        </w:rPr>
        <w:drawing>
          <wp:inline distT="0" distB="0" distL="0" distR="0" wp14:anchorId="5F65C628" wp14:editId="417E881F">
            <wp:extent cx="5731510" cy="1389380"/>
            <wp:effectExtent l="0" t="0" r="2540" b="1270"/>
            <wp:docPr id="12462932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93270" name="Picture 1246293270"/>
                    <pic:cNvPicPr/>
                  </pic:nvPicPr>
                  <pic:blipFill>
                    <a:blip r:embed="rId20">
                      <a:extLst>
                        <a:ext uri="{28A0092B-C50C-407E-A947-70E740481C1C}">
                          <a14:useLocalDpi xmlns:a14="http://schemas.microsoft.com/office/drawing/2010/main" val="0"/>
                        </a:ext>
                      </a:extLst>
                    </a:blip>
                    <a:stretch>
                      <a:fillRect/>
                    </a:stretch>
                  </pic:blipFill>
                  <pic:spPr>
                    <a:xfrm>
                      <a:off x="0" y="0"/>
                      <a:ext cx="5731510" cy="1389380"/>
                    </a:xfrm>
                    <a:prstGeom prst="rect">
                      <a:avLst/>
                    </a:prstGeom>
                  </pic:spPr>
                </pic:pic>
              </a:graphicData>
            </a:graphic>
          </wp:inline>
        </w:drawing>
      </w:r>
    </w:p>
    <w:p w14:paraId="3CA825A3" w14:textId="0641B0C7" w:rsidR="00AA6032" w:rsidRPr="00894333" w:rsidRDefault="00AA6032" w:rsidP="00530AFB">
      <w:pPr>
        <w:jc w:val="both"/>
        <w:rPr>
          <w:rFonts w:ascii="Arial" w:hAnsi="Arial" w:cs="Arial"/>
          <w:sz w:val="28"/>
        </w:rPr>
      </w:pPr>
      <w:r w:rsidRPr="00894333">
        <w:rPr>
          <w:rFonts w:ascii="Arial" w:hAnsi="Arial" w:cs="Arial"/>
          <w:sz w:val="28"/>
        </w:rPr>
        <w:lastRenderedPageBreak/>
        <w:t xml:space="preserve">The interest coverage dropped significantly between 2020 and 2022 and to severe shortages in 2023 to 2024. </w:t>
      </w:r>
    </w:p>
    <w:p w14:paraId="19B8BDAD" w14:textId="041F9E3F" w:rsidR="00AA6032" w:rsidRPr="00894333" w:rsidRDefault="00AA6032" w:rsidP="00530AFB">
      <w:pPr>
        <w:jc w:val="both"/>
        <w:rPr>
          <w:rFonts w:ascii="Arial" w:hAnsi="Arial" w:cs="Arial"/>
          <w:sz w:val="28"/>
        </w:rPr>
      </w:pPr>
      <w:r w:rsidRPr="00894333">
        <w:rPr>
          <w:rFonts w:ascii="Arial" w:hAnsi="Arial" w:cs="Arial"/>
          <w:sz w:val="28"/>
        </w:rPr>
        <w:t xml:space="preserve">The company had shifted the comfortable interest coverage of more than 26 times to it not being able to cover operating income which had become negative. </w:t>
      </w:r>
    </w:p>
    <w:p w14:paraId="7C714AB9" w14:textId="343E6934" w:rsidR="00B06F8F" w:rsidRPr="00894333" w:rsidRDefault="00AA6032" w:rsidP="00530AFB">
      <w:pPr>
        <w:jc w:val="both"/>
        <w:rPr>
          <w:rFonts w:ascii="Arial" w:hAnsi="Arial" w:cs="Arial"/>
          <w:sz w:val="28"/>
        </w:rPr>
      </w:pPr>
      <w:r w:rsidRPr="00894333">
        <w:rPr>
          <w:rFonts w:ascii="Arial" w:hAnsi="Arial" w:cs="Arial"/>
          <w:sz w:val="28"/>
        </w:rPr>
        <w:t>Continued losses were causing them to resort to borrowing or selling of assets to cover interest payments, which indicates unsustainable debt servicing capacity and indicates the dire financial distress that they are in that necessitates immediate operational and capital restructuring (JPMorgan, 2024).</w:t>
      </w:r>
    </w:p>
    <w:p w14:paraId="2A34D169" w14:textId="7D89779E" w:rsidR="00575C6E" w:rsidRPr="00894333" w:rsidRDefault="00575C6E" w:rsidP="00530AFB">
      <w:pPr>
        <w:pStyle w:val="Heading3"/>
        <w:spacing w:before="0"/>
        <w:jc w:val="both"/>
        <w:rPr>
          <w:rFonts w:ascii="Arial" w:hAnsi="Arial" w:cs="Arial"/>
          <w:sz w:val="32"/>
          <w:szCs w:val="32"/>
        </w:rPr>
      </w:pPr>
      <w:bookmarkStart w:id="8" w:name="_Toc217038431"/>
      <w:r w:rsidRPr="00894333">
        <w:rPr>
          <w:rFonts w:ascii="Arial" w:hAnsi="Arial" w:cs="Arial"/>
          <w:sz w:val="32"/>
          <w:szCs w:val="32"/>
          <w:lang w:bidi="ar-SA"/>
        </w:rPr>
        <w:t>2.</w:t>
      </w:r>
      <w:r w:rsidR="00B32207" w:rsidRPr="00894333">
        <w:rPr>
          <w:rFonts w:ascii="Arial" w:hAnsi="Arial" w:cs="Arial"/>
          <w:sz w:val="32"/>
          <w:szCs w:val="32"/>
          <w:lang w:bidi="ar-SA"/>
        </w:rPr>
        <w:t>5</w:t>
      </w:r>
      <w:r w:rsidRPr="00894333">
        <w:rPr>
          <w:rFonts w:ascii="Arial" w:hAnsi="Arial" w:cs="Arial"/>
          <w:sz w:val="32"/>
          <w:szCs w:val="32"/>
          <w:lang w:bidi="ar-SA"/>
        </w:rPr>
        <w:t xml:space="preserve"> </w:t>
      </w:r>
      <w:r w:rsidR="001747A5" w:rsidRPr="00894333">
        <w:rPr>
          <w:rFonts w:ascii="Arial" w:hAnsi="Arial" w:cs="Arial"/>
          <w:sz w:val="32"/>
          <w:szCs w:val="32"/>
        </w:rPr>
        <w:t>Cash Flow Analysis</w:t>
      </w:r>
      <w:bookmarkEnd w:id="8"/>
    </w:p>
    <w:p w14:paraId="3394078B" w14:textId="37EFD38A" w:rsidR="00311177" w:rsidRPr="00894333" w:rsidRDefault="00311177" w:rsidP="00060516">
      <w:pPr>
        <w:jc w:val="center"/>
        <w:rPr>
          <w:rFonts w:ascii="Arial" w:hAnsi="Arial" w:cs="Arial"/>
          <w:sz w:val="28"/>
        </w:rPr>
      </w:pPr>
      <w:r w:rsidRPr="00894333">
        <w:rPr>
          <w:rFonts w:ascii="Arial" w:hAnsi="Arial" w:cs="Arial"/>
          <w:noProof/>
          <w:sz w:val="28"/>
        </w:rPr>
        <w:drawing>
          <wp:inline distT="0" distB="0" distL="0" distR="0" wp14:anchorId="06933246" wp14:editId="57FC5270">
            <wp:extent cx="5709138" cy="2727960"/>
            <wp:effectExtent l="0" t="0" r="6350" b="15240"/>
            <wp:docPr id="2133254826" name="Chart 1">
              <a:extLst xmlns:a="http://schemas.openxmlformats.org/drawingml/2006/main">
                <a:ext uri="{FF2B5EF4-FFF2-40B4-BE49-F238E27FC236}">
                  <a16:creationId xmlns:a16="http://schemas.microsoft.com/office/drawing/2014/main" id="{F522E273-3C10-4DA4-936B-8DFB8B812B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84C53E3" w14:textId="6F3DA976" w:rsidR="007C08A8" w:rsidRPr="00894333" w:rsidRDefault="007C08A8" w:rsidP="00530AFB">
      <w:pPr>
        <w:ind w:left="360"/>
        <w:jc w:val="both"/>
        <w:rPr>
          <w:rFonts w:ascii="Arial" w:hAnsi="Arial" w:cs="Arial"/>
          <w:sz w:val="28"/>
        </w:rPr>
      </w:pPr>
      <w:r w:rsidRPr="00894333">
        <w:rPr>
          <w:rFonts w:ascii="Arial" w:hAnsi="Arial" w:cs="Arial"/>
          <w:noProof/>
          <w:sz w:val="28"/>
        </w:rPr>
        <w:drawing>
          <wp:inline distT="0" distB="0" distL="0" distR="0" wp14:anchorId="2B9B123C" wp14:editId="4F54A1D2">
            <wp:extent cx="5629275" cy="2095500"/>
            <wp:effectExtent l="0" t="0" r="9525" b="0"/>
            <wp:docPr id="21564948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649482" name="Picture 215649482"/>
                    <pic:cNvPicPr/>
                  </pic:nvPicPr>
                  <pic:blipFill>
                    <a:blip r:embed="rId22">
                      <a:extLst>
                        <a:ext uri="{28A0092B-C50C-407E-A947-70E740481C1C}">
                          <a14:useLocalDpi xmlns:a14="http://schemas.microsoft.com/office/drawing/2010/main" val="0"/>
                        </a:ext>
                      </a:extLst>
                    </a:blip>
                    <a:stretch>
                      <a:fillRect/>
                    </a:stretch>
                  </pic:blipFill>
                  <pic:spPr>
                    <a:xfrm>
                      <a:off x="0" y="0"/>
                      <a:ext cx="5629275" cy="2095500"/>
                    </a:xfrm>
                    <a:prstGeom prst="rect">
                      <a:avLst/>
                    </a:prstGeom>
                  </pic:spPr>
                </pic:pic>
              </a:graphicData>
            </a:graphic>
          </wp:inline>
        </w:drawing>
      </w:r>
    </w:p>
    <w:p w14:paraId="65761DC2" w14:textId="63EBE348" w:rsidR="000A3980" w:rsidRPr="00894333" w:rsidRDefault="000A3980" w:rsidP="00530AFB">
      <w:pPr>
        <w:jc w:val="both"/>
        <w:rPr>
          <w:rFonts w:ascii="Arial" w:hAnsi="Arial" w:cs="Arial"/>
          <w:sz w:val="28"/>
        </w:rPr>
      </w:pPr>
      <w:r w:rsidRPr="00894333">
        <w:rPr>
          <w:rFonts w:ascii="Arial" w:hAnsi="Arial" w:cs="Arial"/>
          <w:sz w:val="28"/>
        </w:rPr>
        <w:t xml:space="preserve">Table reveals the excessive deterioration of cash flows. Operations cash flows decreased by 79.8 of 73,392m (2020) to 14,822m (2024) are in distress of operations. The net cash changes in the years 2023 (contained in the reserves: negative: 23,989m) and also in the year 2024 (contained </w:t>
      </w:r>
      <w:r w:rsidRPr="00894333">
        <w:rPr>
          <w:rFonts w:ascii="Arial" w:hAnsi="Arial" w:cs="Arial"/>
          <w:sz w:val="28"/>
        </w:rPr>
        <w:lastRenderedPageBreak/>
        <w:t>in the reserves: negative: 15,968m) consumed the net cash and left the closing cash 60% lower than the closing cash left in the year 2022 (66,740m) as at the year 2024 (26,783m). Its investment activity has been recording low capital expenditure during the year 2020 (23,734m) to 2024 (8,428m) that is likely to influence future competitiveness. Operations Financing had been unstable: positive -34,779m (2023) - negative -65,964m (2020) is a sign of unstable capital structure financing.</w:t>
      </w:r>
    </w:p>
    <w:p w14:paraId="33F1658C" w14:textId="28A0AB82" w:rsidR="000A3980" w:rsidRPr="00894333" w:rsidRDefault="000A3980" w:rsidP="00530AFB">
      <w:pPr>
        <w:jc w:val="both"/>
        <w:rPr>
          <w:rFonts w:ascii="Arial" w:hAnsi="Arial" w:cs="Arial"/>
          <w:sz w:val="28"/>
        </w:rPr>
      </w:pPr>
      <w:r w:rsidRPr="00894333">
        <w:rPr>
          <w:rFonts w:ascii="Arial" w:hAnsi="Arial" w:cs="Arial"/>
          <w:sz w:val="28"/>
        </w:rPr>
        <w:t>The decreasing operating cash generation puts the sustainability of liquidity at risk.</w:t>
      </w:r>
      <w:r w:rsidR="00E55A15" w:rsidRPr="00894333">
        <w:rPr>
          <w:rFonts w:ascii="Arial" w:hAnsi="Arial" w:cs="Arial"/>
          <w:sz w:val="28"/>
        </w:rPr>
        <w:t xml:space="preserve"> </w:t>
      </w:r>
      <w:r w:rsidRPr="00894333">
        <w:rPr>
          <w:rFonts w:ascii="Arial" w:hAnsi="Arial" w:cs="Arial"/>
          <w:sz w:val="28"/>
        </w:rPr>
        <w:t>Positive operating cash flows even when it is incurring losses.</w:t>
      </w:r>
    </w:p>
    <w:p w14:paraId="71F49145" w14:textId="52FDDF77" w:rsidR="00034A43" w:rsidRPr="00894333" w:rsidRDefault="000A3980" w:rsidP="00530AFB">
      <w:pPr>
        <w:jc w:val="both"/>
        <w:rPr>
          <w:rFonts w:ascii="Arial" w:hAnsi="Arial" w:cs="Arial"/>
          <w:sz w:val="28"/>
        </w:rPr>
      </w:pPr>
      <w:r w:rsidRPr="00894333">
        <w:rPr>
          <w:rFonts w:ascii="Arial" w:hAnsi="Arial" w:cs="Arial"/>
          <w:sz w:val="28"/>
        </w:rPr>
        <w:t>Use of cash reserves could deplete cash reserves, not enough cash will be generated to service debt, limited opportunity to grow because of inability to invest more capital, liquidity strain due to inefficient use of working capital.</w:t>
      </w:r>
    </w:p>
    <w:p w14:paraId="3720488A" w14:textId="1B589B66" w:rsidR="001D03FE" w:rsidRPr="00894333" w:rsidRDefault="001D03FE" w:rsidP="00530AFB">
      <w:pPr>
        <w:pStyle w:val="Heading3"/>
        <w:spacing w:before="0"/>
        <w:jc w:val="both"/>
        <w:rPr>
          <w:rFonts w:ascii="Arial" w:hAnsi="Arial" w:cs="Arial"/>
          <w:sz w:val="32"/>
          <w:szCs w:val="32"/>
        </w:rPr>
      </w:pPr>
      <w:bookmarkStart w:id="9" w:name="_Toc217038432"/>
      <w:r w:rsidRPr="00894333">
        <w:rPr>
          <w:rFonts w:ascii="Arial" w:hAnsi="Arial" w:cs="Arial"/>
          <w:sz w:val="32"/>
          <w:szCs w:val="32"/>
          <w:lang w:bidi="ar-SA"/>
        </w:rPr>
        <w:t>2.</w:t>
      </w:r>
      <w:r w:rsidR="00665BC5" w:rsidRPr="00894333">
        <w:rPr>
          <w:rFonts w:ascii="Arial" w:hAnsi="Arial" w:cs="Arial"/>
          <w:sz w:val="32"/>
          <w:szCs w:val="32"/>
          <w:lang w:bidi="ar-SA"/>
        </w:rPr>
        <w:t>6</w:t>
      </w:r>
      <w:r w:rsidRPr="00894333">
        <w:rPr>
          <w:rFonts w:ascii="Arial" w:hAnsi="Arial" w:cs="Arial"/>
          <w:sz w:val="32"/>
          <w:szCs w:val="32"/>
          <w:lang w:bidi="ar-SA"/>
        </w:rPr>
        <w:t xml:space="preserve"> </w:t>
      </w:r>
      <w:r w:rsidR="0099720C" w:rsidRPr="00894333">
        <w:rPr>
          <w:rFonts w:ascii="Arial" w:hAnsi="Arial" w:cs="Arial"/>
          <w:sz w:val="32"/>
          <w:szCs w:val="32"/>
        </w:rPr>
        <w:t>Investment Ratio</w:t>
      </w:r>
      <w:r w:rsidR="00245009" w:rsidRPr="00894333">
        <w:rPr>
          <w:rFonts w:ascii="Arial" w:hAnsi="Arial" w:cs="Arial"/>
          <w:sz w:val="32"/>
          <w:szCs w:val="32"/>
        </w:rPr>
        <w:t xml:space="preserve"> Analysis</w:t>
      </w:r>
      <w:bookmarkEnd w:id="9"/>
    </w:p>
    <w:p w14:paraId="51BADBE6" w14:textId="62A1C314" w:rsidR="00073725" w:rsidRPr="00894333" w:rsidRDefault="00073725" w:rsidP="003C1EB6">
      <w:pPr>
        <w:jc w:val="center"/>
        <w:rPr>
          <w:rFonts w:ascii="Arial" w:hAnsi="Arial" w:cs="Arial"/>
          <w:sz w:val="28"/>
        </w:rPr>
      </w:pPr>
      <w:r w:rsidRPr="00894333">
        <w:rPr>
          <w:rFonts w:ascii="Arial" w:hAnsi="Arial" w:cs="Arial"/>
          <w:noProof/>
          <w:sz w:val="28"/>
        </w:rPr>
        <w:drawing>
          <wp:inline distT="0" distB="0" distL="0" distR="0" wp14:anchorId="72C5BB0B" wp14:editId="4672A7DC">
            <wp:extent cx="4572000" cy="2743200"/>
            <wp:effectExtent l="0" t="0" r="0" b="0"/>
            <wp:docPr id="1313168498" name="Chart 1">
              <a:extLst xmlns:a="http://schemas.openxmlformats.org/drawingml/2006/main">
                <a:ext uri="{FF2B5EF4-FFF2-40B4-BE49-F238E27FC236}">
                  <a16:creationId xmlns:a16="http://schemas.microsoft.com/office/drawing/2014/main" id="{48EBED0B-DF9B-4283-B160-53FA4E2F28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8A2970F" w14:textId="61824EB5" w:rsidR="006B5D6E" w:rsidRPr="00894333" w:rsidRDefault="001C7013" w:rsidP="00530AFB">
      <w:pPr>
        <w:jc w:val="both"/>
        <w:rPr>
          <w:rFonts w:ascii="Arial" w:hAnsi="Arial" w:cs="Arial"/>
          <w:b/>
          <w:bCs/>
          <w:sz w:val="28"/>
        </w:rPr>
      </w:pPr>
      <w:r w:rsidRPr="00894333">
        <w:rPr>
          <w:rFonts w:ascii="Arial" w:hAnsi="Arial" w:cs="Arial"/>
          <w:b/>
          <w:bCs/>
          <w:noProof/>
          <w:sz w:val="28"/>
        </w:rPr>
        <w:drawing>
          <wp:inline distT="0" distB="0" distL="0" distR="0" wp14:anchorId="5F12592F" wp14:editId="6BB92105">
            <wp:extent cx="5731510" cy="1647190"/>
            <wp:effectExtent l="0" t="0" r="2540" b="0"/>
            <wp:docPr id="134013873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138737" name="Picture 1340138737"/>
                    <pic:cNvPicPr/>
                  </pic:nvPicPr>
                  <pic:blipFill>
                    <a:blip r:embed="rId24">
                      <a:extLst>
                        <a:ext uri="{28A0092B-C50C-407E-A947-70E740481C1C}">
                          <a14:useLocalDpi xmlns:a14="http://schemas.microsoft.com/office/drawing/2010/main" val="0"/>
                        </a:ext>
                      </a:extLst>
                    </a:blip>
                    <a:stretch>
                      <a:fillRect/>
                    </a:stretch>
                  </pic:blipFill>
                  <pic:spPr>
                    <a:xfrm>
                      <a:off x="0" y="0"/>
                      <a:ext cx="5731510" cy="1647190"/>
                    </a:xfrm>
                    <a:prstGeom prst="rect">
                      <a:avLst/>
                    </a:prstGeom>
                  </pic:spPr>
                </pic:pic>
              </a:graphicData>
            </a:graphic>
          </wp:inline>
        </w:drawing>
      </w:r>
    </w:p>
    <w:p w14:paraId="5BD5E0DC" w14:textId="1BFC4617" w:rsidR="001D03FE" w:rsidRPr="00894333" w:rsidRDefault="004049A3" w:rsidP="00530AFB">
      <w:pPr>
        <w:jc w:val="both"/>
        <w:rPr>
          <w:rFonts w:ascii="Arial" w:hAnsi="Arial" w:cs="Arial"/>
          <w:sz w:val="28"/>
        </w:rPr>
      </w:pPr>
      <w:r w:rsidRPr="00894333">
        <w:rPr>
          <w:rFonts w:ascii="Arial" w:hAnsi="Arial" w:cs="Arial"/>
          <w:sz w:val="28"/>
        </w:rPr>
        <w:t xml:space="preserve">The catastrophic drop in 2020 in the form of a downturn in EPS of up to 2.78 to devastating losses in 20232024 will lead to drastic levels of profits </w:t>
      </w:r>
      <w:r w:rsidRPr="00894333">
        <w:rPr>
          <w:rFonts w:ascii="Arial" w:hAnsi="Arial" w:cs="Arial"/>
          <w:sz w:val="28"/>
        </w:rPr>
        <w:lastRenderedPageBreak/>
        <w:t>loss and shareholder losses. Share buybacks were temporary and could not compensate for the functional deficiency. During 2023 alone, years of gains were wiped out, and investors have to contend with huge losses. Further negative EPS implies that the company remains unprofitable, dividends are removed, and the stock remains purely speculative until a successful turnaround is achieved (Ramadhan, 2025).</w:t>
      </w:r>
    </w:p>
    <w:p w14:paraId="2CB0F734" w14:textId="248C32DF" w:rsidR="00EE3197" w:rsidRPr="00894333" w:rsidRDefault="00F20AF3" w:rsidP="00530AFB">
      <w:pPr>
        <w:jc w:val="both"/>
        <w:rPr>
          <w:rFonts w:ascii="Arial" w:hAnsi="Arial" w:cs="Arial"/>
          <w:sz w:val="28"/>
        </w:rPr>
      </w:pPr>
      <w:r w:rsidRPr="00894333">
        <w:rPr>
          <w:rFonts w:ascii="Arial" w:hAnsi="Arial" w:cs="Arial"/>
          <w:noProof/>
          <w:sz w:val="28"/>
        </w:rPr>
        <w:drawing>
          <wp:inline distT="0" distB="0" distL="0" distR="0" wp14:anchorId="31886722" wp14:editId="02D9DDAC">
            <wp:extent cx="5731510" cy="1647190"/>
            <wp:effectExtent l="0" t="0" r="2540" b="0"/>
            <wp:docPr id="164337959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379595" name="Picture 1643379595"/>
                    <pic:cNvPicPr/>
                  </pic:nvPicPr>
                  <pic:blipFill>
                    <a:blip r:embed="rId25">
                      <a:extLst>
                        <a:ext uri="{28A0092B-C50C-407E-A947-70E740481C1C}">
                          <a14:useLocalDpi xmlns:a14="http://schemas.microsoft.com/office/drawing/2010/main" val="0"/>
                        </a:ext>
                      </a:extLst>
                    </a:blip>
                    <a:stretch>
                      <a:fillRect/>
                    </a:stretch>
                  </pic:blipFill>
                  <pic:spPr>
                    <a:xfrm>
                      <a:off x="0" y="0"/>
                      <a:ext cx="5731510" cy="1647190"/>
                    </a:xfrm>
                    <a:prstGeom prst="rect">
                      <a:avLst/>
                    </a:prstGeom>
                  </pic:spPr>
                </pic:pic>
              </a:graphicData>
            </a:graphic>
          </wp:inline>
        </w:drawing>
      </w:r>
    </w:p>
    <w:p w14:paraId="600122E6" w14:textId="3819A13F" w:rsidR="00180098" w:rsidRPr="00894333" w:rsidRDefault="00D60065" w:rsidP="00C26BFA">
      <w:pPr>
        <w:jc w:val="both"/>
        <w:rPr>
          <w:rFonts w:ascii="Arial" w:hAnsi="Arial" w:cs="Arial"/>
          <w:sz w:val="28"/>
        </w:rPr>
      </w:pPr>
      <w:r w:rsidRPr="00894333">
        <w:rPr>
          <w:rFonts w:ascii="Arial" w:hAnsi="Arial" w:cs="Arial"/>
          <w:sz w:val="28"/>
        </w:rPr>
        <w:t>The loss of health in ROE is evident in the fact that what was 12.48 in 2020 became severe negative numbers in 2023</w:t>
      </w:r>
      <w:r w:rsidR="005A6107" w:rsidRPr="00894333">
        <w:rPr>
          <w:rFonts w:ascii="Arial" w:hAnsi="Arial" w:cs="Arial"/>
          <w:sz w:val="28"/>
        </w:rPr>
        <w:t xml:space="preserve">, </w:t>
      </w:r>
      <w:r w:rsidRPr="00894333">
        <w:rPr>
          <w:rFonts w:ascii="Arial" w:hAnsi="Arial" w:cs="Arial"/>
          <w:sz w:val="28"/>
        </w:rPr>
        <w:t>2024, increasing the destruction of shareholder values. Reduced profitability was indicated by early drops and the huge 2023</w:t>
      </w:r>
      <w:r w:rsidR="00041CDD" w:rsidRPr="00894333">
        <w:rPr>
          <w:rFonts w:ascii="Arial" w:hAnsi="Arial" w:cs="Arial"/>
          <w:sz w:val="28"/>
        </w:rPr>
        <w:t xml:space="preserve">, </w:t>
      </w:r>
      <w:r w:rsidRPr="00894333">
        <w:rPr>
          <w:rFonts w:ascii="Arial" w:hAnsi="Arial" w:cs="Arial"/>
          <w:sz w:val="28"/>
        </w:rPr>
        <w:t>2024 deficits caused returns to go negative. The firm could not make sufficient returns on equity and continued to suffer losses which eroded capital. Although there was a minor 2024 improvement, the negative ROE remains to be an indication of unresolved inefficiency, poor profitability, and strategic and financial recovery necessity (Ramadhan, 2025).</w:t>
      </w:r>
      <w:bookmarkStart w:id="10" w:name="_Hlk214188143"/>
    </w:p>
    <w:p w14:paraId="61043815" w14:textId="1157D80D" w:rsidR="0029563F" w:rsidRPr="00894333" w:rsidRDefault="00DD2344" w:rsidP="00145B5B">
      <w:pPr>
        <w:pStyle w:val="Heading3"/>
        <w:spacing w:before="0"/>
        <w:jc w:val="both"/>
        <w:rPr>
          <w:rFonts w:ascii="Arial" w:hAnsi="Arial" w:cs="Arial"/>
          <w:sz w:val="32"/>
          <w:szCs w:val="32"/>
          <w:lang w:bidi="ar-SA"/>
        </w:rPr>
      </w:pPr>
      <w:bookmarkStart w:id="11" w:name="_Toc217038433"/>
      <w:r w:rsidRPr="00894333">
        <w:rPr>
          <w:rFonts w:ascii="Arial" w:hAnsi="Arial" w:cs="Arial"/>
          <w:sz w:val="32"/>
          <w:szCs w:val="32"/>
          <w:lang w:bidi="ar-SA"/>
        </w:rPr>
        <w:t>2.</w:t>
      </w:r>
      <w:r w:rsidR="00B77659" w:rsidRPr="00894333">
        <w:rPr>
          <w:rFonts w:ascii="Arial" w:hAnsi="Arial" w:cs="Arial"/>
          <w:sz w:val="32"/>
          <w:szCs w:val="32"/>
          <w:lang w:bidi="ar-SA"/>
        </w:rPr>
        <w:t>7</w:t>
      </w:r>
      <w:r w:rsidRPr="00894333">
        <w:rPr>
          <w:rFonts w:ascii="Arial" w:hAnsi="Arial" w:cs="Arial"/>
          <w:sz w:val="32"/>
          <w:szCs w:val="32"/>
          <w:lang w:bidi="ar-SA"/>
        </w:rPr>
        <w:t xml:space="preserve"> </w:t>
      </w:r>
      <w:r w:rsidR="0029563F" w:rsidRPr="00894333">
        <w:rPr>
          <w:rFonts w:ascii="Arial" w:hAnsi="Arial" w:cs="Arial"/>
          <w:sz w:val="32"/>
          <w:szCs w:val="32"/>
          <w:lang w:bidi="ar-SA"/>
        </w:rPr>
        <w:t xml:space="preserve">Altman Z-Score </w:t>
      </w:r>
      <w:bookmarkEnd w:id="10"/>
      <w:r w:rsidR="0029563F" w:rsidRPr="00894333">
        <w:rPr>
          <w:rFonts w:ascii="Arial" w:hAnsi="Arial" w:cs="Arial"/>
          <w:sz w:val="32"/>
          <w:szCs w:val="32"/>
          <w:lang w:bidi="ar-SA"/>
        </w:rPr>
        <w:t>Analysis</w:t>
      </w:r>
      <w:bookmarkEnd w:id="11"/>
    </w:p>
    <w:p w14:paraId="617EC79E" w14:textId="77777777" w:rsidR="0029563F" w:rsidRPr="00894333" w:rsidRDefault="0029563F" w:rsidP="009B3451">
      <w:pPr>
        <w:pStyle w:val="ListParagraph"/>
        <w:jc w:val="both"/>
        <w:rPr>
          <w:rFonts w:ascii="Arial" w:hAnsi="Arial" w:cs="Arial"/>
          <w:b/>
          <w:bCs/>
          <w:sz w:val="28"/>
        </w:rPr>
      </w:pPr>
      <w:r w:rsidRPr="00894333">
        <w:rPr>
          <w:rFonts w:ascii="Arial" w:hAnsi="Arial" w:cs="Arial"/>
          <w:b/>
          <w:bCs/>
          <w:sz w:val="28"/>
        </w:rPr>
        <w:t xml:space="preserve">Z = </w:t>
      </w:r>
      <w:r w:rsidRPr="00894333">
        <w:rPr>
          <w:rFonts w:ascii="Arial" w:hAnsi="Arial" w:cs="Arial"/>
          <w:sz w:val="28"/>
        </w:rPr>
        <w:t>1.2X</w:t>
      </w:r>
      <w:r w:rsidRPr="00894333">
        <w:rPr>
          <w:rFonts w:ascii="Cambria Math" w:hAnsi="Cambria Math" w:cs="Cambria Math"/>
          <w:sz w:val="28"/>
        </w:rPr>
        <w:t>₁</w:t>
      </w:r>
      <w:r w:rsidRPr="00894333">
        <w:rPr>
          <w:rFonts w:ascii="Arial" w:hAnsi="Arial" w:cs="Arial"/>
          <w:sz w:val="28"/>
        </w:rPr>
        <w:t xml:space="preserve"> + 1.4X</w:t>
      </w:r>
      <w:r w:rsidRPr="00894333">
        <w:rPr>
          <w:rFonts w:ascii="Cambria Math" w:hAnsi="Cambria Math" w:cs="Cambria Math"/>
          <w:sz w:val="28"/>
        </w:rPr>
        <w:t>₂</w:t>
      </w:r>
      <w:r w:rsidRPr="00894333">
        <w:rPr>
          <w:rFonts w:ascii="Arial" w:hAnsi="Arial" w:cs="Arial"/>
          <w:sz w:val="28"/>
        </w:rPr>
        <w:t xml:space="preserve"> + 3.3X</w:t>
      </w:r>
      <w:r w:rsidRPr="00894333">
        <w:rPr>
          <w:rFonts w:ascii="Cambria Math" w:hAnsi="Cambria Math" w:cs="Cambria Math"/>
          <w:sz w:val="28"/>
        </w:rPr>
        <w:t>₃</w:t>
      </w:r>
      <w:r w:rsidRPr="00894333">
        <w:rPr>
          <w:rFonts w:ascii="Arial" w:hAnsi="Arial" w:cs="Arial"/>
          <w:sz w:val="28"/>
        </w:rPr>
        <w:t xml:space="preserve"> + 0.6X</w:t>
      </w:r>
      <w:r w:rsidRPr="00894333">
        <w:rPr>
          <w:rFonts w:ascii="Cambria Math" w:hAnsi="Cambria Math" w:cs="Cambria Math"/>
          <w:sz w:val="28"/>
        </w:rPr>
        <w:t>₄</w:t>
      </w:r>
      <w:r w:rsidRPr="00894333">
        <w:rPr>
          <w:rFonts w:ascii="Arial" w:hAnsi="Arial" w:cs="Arial"/>
          <w:sz w:val="28"/>
        </w:rPr>
        <w:t xml:space="preserve"> + 1.0X</w:t>
      </w:r>
      <w:r w:rsidRPr="00894333">
        <w:rPr>
          <w:rFonts w:ascii="Cambria Math" w:hAnsi="Cambria Math" w:cs="Cambria Math"/>
          <w:sz w:val="28"/>
        </w:rPr>
        <w:t>₅</w:t>
      </w:r>
    </w:p>
    <w:p w14:paraId="57BCE39F" w14:textId="77777777" w:rsidR="0029563F" w:rsidRPr="00894333" w:rsidRDefault="0029563F" w:rsidP="009B3451">
      <w:pPr>
        <w:spacing w:line="276" w:lineRule="auto"/>
        <w:jc w:val="center"/>
        <w:rPr>
          <w:rFonts w:ascii="Arial" w:hAnsi="Arial" w:cs="Arial"/>
          <w:b/>
          <w:bCs/>
          <w:sz w:val="28"/>
        </w:rPr>
      </w:pPr>
      <w:r w:rsidRPr="00894333">
        <w:rPr>
          <w:rFonts w:ascii="Arial" w:hAnsi="Arial" w:cs="Arial"/>
          <w:b/>
          <w:bCs/>
          <w:noProof/>
          <w:sz w:val="28"/>
        </w:rPr>
        <w:drawing>
          <wp:inline distT="0" distB="0" distL="0" distR="0" wp14:anchorId="1645DD7B" wp14:editId="114E83BD">
            <wp:extent cx="5343525" cy="1381125"/>
            <wp:effectExtent l="0" t="0" r="9525" b="9525"/>
            <wp:docPr id="575865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865310" name="Picture 575865310"/>
                    <pic:cNvPicPr/>
                  </pic:nvPicPr>
                  <pic:blipFill>
                    <a:blip r:embed="rId26">
                      <a:extLst>
                        <a:ext uri="{28A0092B-C50C-407E-A947-70E740481C1C}">
                          <a14:useLocalDpi xmlns:a14="http://schemas.microsoft.com/office/drawing/2010/main" val="0"/>
                        </a:ext>
                      </a:extLst>
                    </a:blip>
                    <a:stretch>
                      <a:fillRect/>
                    </a:stretch>
                  </pic:blipFill>
                  <pic:spPr>
                    <a:xfrm>
                      <a:off x="0" y="0"/>
                      <a:ext cx="5343525" cy="1381125"/>
                    </a:xfrm>
                    <a:prstGeom prst="rect">
                      <a:avLst/>
                    </a:prstGeom>
                  </pic:spPr>
                </pic:pic>
              </a:graphicData>
            </a:graphic>
          </wp:inline>
        </w:drawing>
      </w:r>
    </w:p>
    <w:p w14:paraId="328CADD6" w14:textId="5C1DF21D" w:rsidR="0029563F" w:rsidRPr="00894333" w:rsidRDefault="0029563F" w:rsidP="00530AFB">
      <w:pPr>
        <w:spacing w:line="276" w:lineRule="auto"/>
        <w:jc w:val="both"/>
        <w:rPr>
          <w:rFonts w:ascii="Arial" w:hAnsi="Arial" w:cs="Arial"/>
          <w:b/>
          <w:bCs/>
          <w:sz w:val="28"/>
        </w:rPr>
      </w:pPr>
      <w:r w:rsidRPr="00894333">
        <w:rPr>
          <w:rFonts w:ascii="Arial" w:hAnsi="Arial" w:cs="Arial"/>
          <w:b/>
          <w:bCs/>
          <w:sz w:val="28"/>
        </w:rPr>
        <w:t>Interpretation zones:</w:t>
      </w:r>
    </w:p>
    <w:p w14:paraId="59F5AB1B" w14:textId="77777777" w:rsidR="0029563F" w:rsidRPr="00894333" w:rsidRDefault="0029563F" w:rsidP="00530AFB">
      <w:pPr>
        <w:spacing w:line="276" w:lineRule="auto"/>
        <w:jc w:val="both"/>
        <w:rPr>
          <w:rFonts w:ascii="Arial" w:hAnsi="Arial" w:cs="Arial"/>
          <w:b/>
          <w:bCs/>
          <w:sz w:val="28"/>
        </w:rPr>
      </w:pPr>
      <w:r w:rsidRPr="00894333">
        <w:rPr>
          <w:rFonts w:ascii="Arial" w:hAnsi="Arial" w:cs="Arial"/>
          <w:b/>
          <w:bCs/>
          <w:noProof/>
          <w:sz w:val="28"/>
        </w:rPr>
        <w:drawing>
          <wp:inline distT="0" distB="0" distL="0" distR="0" wp14:anchorId="0C20AB27" wp14:editId="5C52A134">
            <wp:extent cx="5731510" cy="1005840"/>
            <wp:effectExtent l="0" t="0" r="2540" b="3810"/>
            <wp:docPr id="3202089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208966" name="Picture 320208966"/>
                    <pic:cNvPicPr/>
                  </pic:nvPicPr>
                  <pic:blipFill>
                    <a:blip r:embed="rId27">
                      <a:extLst>
                        <a:ext uri="{28A0092B-C50C-407E-A947-70E740481C1C}">
                          <a14:useLocalDpi xmlns:a14="http://schemas.microsoft.com/office/drawing/2010/main" val="0"/>
                        </a:ext>
                      </a:extLst>
                    </a:blip>
                    <a:stretch>
                      <a:fillRect/>
                    </a:stretch>
                  </pic:blipFill>
                  <pic:spPr>
                    <a:xfrm>
                      <a:off x="0" y="0"/>
                      <a:ext cx="5731510" cy="1005840"/>
                    </a:xfrm>
                    <a:prstGeom prst="rect">
                      <a:avLst/>
                    </a:prstGeom>
                  </pic:spPr>
                </pic:pic>
              </a:graphicData>
            </a:graphic>
          </wp:inline>
        </w:drawing>
      </w:r>
    </w:p>
    <w:p w14:paraId="0894440A" w14:textId="6149D4A5" w:rsidR="0029563F" w:rsidRPr="00894333" w:rsidRDefault="0029563F" w:rsidP="00530AFB">
      <w:pPr>
        <w:spacing w:line="276" w:lineRule="auto"/>
        <w:jc w:val="both"/>
        <w:rPr>
          <w:rFonts w:ascii="Arial" w:hAnsi="Arial" w:cs="Arial"/>
          <w:b/>
          <w:bCs/>
          <w:sz w:val="32"/>
          <w:szCs w:val="32"/>
        </w:rPr>
      </w:pPr>
      <w:bookmarkStart w:id="12" w:name="_Toc214193412"/>
      <w:r w:rsidRPr="00894333">
        <w:rPr>
          <w:rFonts w:ascii="Arial" w:hAnsi="Arial" w:cs="Arial"/>
          <w:b/>
          <w:bCs/>
          <w:sz w:val="32"/>
          <w:szCs w:val="32"/>
        </w:rPr>
        <w:lastRenderedPageBreak/>
        <w:t>Five-Year Z-Score Calculations:</w:t>
      </w:r>
      <w:bookmarkEnd w:id="12"/>
    </w:p>
    <w:p w14:paraId="3B02F592" w14:textId="77777777" w:rsidR="0029563F" w:rsidRPr="00894333" w:rsidRDefault="0029563F" w:rsidP="00530AFB">
      <w:pPr>
        <w:spacing w:line="276" w:lineRule="auto"/>
        <w:jc w:val="both"/>
        <w:rPr>
          <w:rFonts w:ascii="Arial" w:hAnsi="Arial" w:cs="Arial"/>
          <w:b/>
          <w:bCs/>
          <w:sz w:val="28"/>
        </w:rPr>
      </w:pPr>
      <w:r w:rsidRPr="00894333">
        <w:rPr>
          <w:rFonts w:ascii="Arial" w:hAnsi="Arial" w:cs="Arial"/>
          <w:b/>
          <w:bCs/>
          <w:sz w:val="28"/>
        </w:rPr>
        <w:t>2024 Calculation (£m):</w:t>
      </w:r>
    </w:p>
    <w:p w14:paraId="7B93B5E1" w14:textId="77777777" w:rsidR="0029563F" w:rsidRPr="00894333" w:rsidRDefault="0029563F" w:rsidP="00530AFB">
      <w:pPr>
        <w:spacing w:line="276" w:lineRule="auto"/>
        <w:jc w:val="both"/>
        <w:rPr>
          <w:rFonts w:ascii="Arial" w:hAnsi="Arial" w:cs="Arial"/>
          <w:b/>
          <w:bCs/>
          <w:sz w:val="28"/>
        </w:rPr>
      </w:pPr>
      <w:r w:rsidRPr="00894333">
        <w:rPr>
          <w:rFonts w:ascii="Arial" w:hAnsi="Arial" w:cs="Arial"/>
          <w:b/>
          <w:bCs/>
          <w:noProof/>
          <w:sz w:val="28"/>
        </w:rPr>
        <w:drawing>
          <wp:inline distT="0" distB="0" distL="0" distR="0" wp14:anchorId="68FF1DE8" wp14:editId="1E2B3B34">
            <wp:extent cx="5731510" cy="1442720"/>
            <wp:effectExtent l="0" t="0" r="2540" b="5080"/>
            <wp:docPr id="11162600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260086" name="Picture 1116260086"/>
                    <pic:cNvPicPr/>
                  </pic:nvPicPr>
                  <pic:blipFill>
                    <a:blip r:embed="rId28">
                      <a:extLst>
                        <a:ext uri="{28A0092B-C50C-407E-A947-70E740481C1C}">
                          <a14:useLocalDpi xmlns:a14="http://schemas.microsoft.com/office/drawing/2010/main" val="0"/>
                        </a:ext>
                      </a:extLst>
                    </a:blip>
                    <a:stretch>
                      <a:fillRect/>
                    </a:stretch>
                  </pic:blipFill>
                  <pic:spPr>
                    <a:xfrm>
                      <a:off x="0" y="0"/>
                      <a:ext cx="5731510" cy="1442720"/>
                    </a:xfrm>
                    <a:prstGeom prst="rect">
                      <a:avLst/>
                    </a:prstGeom>
                  </pic:spPr>
                </pic:pic>
              </a:graphicData>
            </a:graphic>
          </wp:inline>
        </w:drawing>
      </w:r>
    </w:p>
    <w:p w14:paraId="09775E98" w14:textId="7EEF4BEC" w:rsidR="0029563F" w:rsidRPr="00894333" w:rsidRDefault="0029563F" w:rsidP="00530AFB">
      <w:pPr>
        <w:spacing w:line="276" w:lineRule="auto"/>
        <w:jc w:val="both"/>
        <w:rPr>
          <w:rFonts w:ascii="Arial" w:hAnsi="Arial" w:cs="Arial"/>
          <w:b/>
          <w:bCs/>
          <w:sz w:val="28"/>
        </w:rPr>
      </w:pPr>
      <w:r w:rsidRPr="00894333">
        <w:rPr>
          <w:rFonts w:ascii="Arial" w:hAnsi="Arial" w:cs="Arial"/>
          <w:b/>
          <w:bCs/>
          <w:sz w:val="28"/>
        </w:rPr>
        <w:t>2023 Calculation (£m):</w:t>
      </w:r>
    </w:p>
    <w:p w14:paraId="43749E86" w14:textId="77777777" w:rsidR="0029563F" w:rsidRPr="00894333" w:rsidRDefault="0029563F" w:rsidP="00530AFB">
      <w:pPr>
        <w:spacing w:line="276" w:lineRule="auto"/>
        <w:jc w:val="both"/>
        <w:rPr>
          <w:rFonts w:ascii="Arial" w:hAnsi="Arial" w:cs="Arial"/>
          <w:b/>
          <w:bCs/>
          <w:sz w:val="28"/>
        </w:rPr>
      </w:pPr>
      <w:r w:rsidRPr="00894333">
        <w:rPr>
          <w:rFonts w:ascii="Arial" w:hAnsi="Arial" w:cs="Arial"/>
          <w:b/>
          <w:bCs/>
          <w:noProof/>
          <w:sz w:val="28"/>
        </w:rPr>
        <w:drawing>
          <wp:inline distT="0" distB="0" distL="0" distR="0" wp14:anchorId="7B8AFF45" wp14:editId="1E7001EA">
            <wp:extent cx="5730989" cy="1442720"/>
            <wp:effectExtent l="0" t="0" r="3175" b="5080"/>
            <wp:docPr id="8016542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654233" name="Picture 4"/>
                    <pic:cNvPicPr/>
                  </pic:nvPicPr>
                  <pic:blipFill>
                    <a:blip r:embed="rId29">
                      <a:extLst>
                        <a:ext uri="{28A0092B-C50C-407E-A947-70E740481C1C}">
                          <a14:useLocalDpi xmlns:a14="http://schemas.microsoft.com/office/drawing/2010/main" val="0"/>
                        </a:ext>
                      </a:extLst>
                    </a:blip>
                    <a:stretch>
                      <a:fillRect/>
                    </a:stretch>
                  </pic:blipFill>
                  <pic:spPr>
                    <a:xfrm>
                      <a:off x="0" y="0"/>
                      <a:ext cx="5730989" cy="1442720"/>
                    </a:xfrm>
                    <a:prstGeom prst="rect">
                      <a:avLst/>
                    </a:prstGeom>
                  </pic:spPr>
                </pic:pic>
              </a:graphicData>
            </a:graphic>
          </wp:inline>
        </w:drawing>
      </w:r>
    </w:p>
    <w:p w14:paraId="7E3AB850" w14:textId="77777777" w:rsidR="0029563F" w:rsidRPr="00894333" w:rsidRDefault="0029563F" w:rsidP="00530AFB">
      <w:pPr>
        <w:spacing w:line="276" w:lineRule="auto"/>
        <w:jc w:val="both"/>
        <w:rPr>
          <w:rFonts w:ascii="Arial" w:hAnsi="Arial" w:cs="Arial"/>
          <w:b/>
          <w:bCs/>
          <w:sz w:val="28"/>
        </w:rPr>
      </w:pPr>
      <w:r w:rsidRPr="00894333">
        <w:rPr>
          <w:rFonts w:ascii="Arial" w:hAnsi="Arial" w:cs="Arial"/>
          <w:b/>
          <w:bCs/>
          <w:sz w:val="28"/>
        </w:rPr>
        <w:t>2022 Calculation (£m):</w:t>
      </w:r>
    </w:p>
    <w:p w14:paraId="2DBDDD82" w14:textId="77777777" w:rsidR="0029563F" w:rsidRPr="00894333" w:rsidRDefault="0029563F" w:rsidP="00530AFB">
      <w:pPr>
        <w:spacing w:line="276" w:lineRule="auto"/>
        <w:jc w:val="both"/>
        <w:rPr>
          <w:rFonts w:ascii="Arial" w:hAnsi="Arial" w:cs="Arial"/>
          <w:sz w:val="28"/>
        </w:rPr>
      </w:pPr>
      <w:r w:rsidRPr="00894333">
        <w:rPr>
          <w:rFonts w:ascii="Arial" w:hAnsi="Arial" w:cs="Arial"/>
          <w:b/>
          <w:bCs/>
          <w:noProof/>
          <w:sz w:val="28"/>
        </w:rPr>
        <w:drawing>
          <wp:inline distT="0" distB="0" distL="0" distR="0" wp14:anchorId="4A062D9F" wp14:editId="6A110EC4">
            <wp:extent cx="5730997" cy="1398905"/>
            <wp:effectExtent l="0" t="0" r="3175" b="0"/>
            <wp:docPr id="41246388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463887" name="Picture 5"/>
                    <pic:cNvPicPr/>
                  </pic:nvPicPr>
                  <pic:blipFill>
                    <a:blip r:embed="rId30">
                      <a:extLst>
                        <a:ext uri="{28A0092B-C50C-407E-A947-70E740481C1C}">
                          <a14:useLocalDpi xmlns:a14="http://schemas.microsoft.com/office/drawing/2010/main" val="0"/>
                        </a:ext>
                      </a:extLst>
                    </a:blip>
                    <a:stretch>
                      <a:fillRect/>
                    </a:stretch>
                  </pic:blipFill>
                  <pic:spPr>
                    <a:xfrm>
                      <a:off x="0" y="0"/>
                      <a:ext cx="5730997" cy="1398905"/>
                    </a:xfrm>
                    <a:prstGeom prst="rect">
                      <a:avLst/>
                    </a:prstGeom>
                  </pic:spPr>
                </pic:pic>
              </a:graphicData>
            </a:graphic>
          </wp:inline>
        </w:drawing>
      </w:r>
    </w:p>
    <w:p w14:paraId="599C661F" w14:textId="4FA52FFC" w:rsidR="0029563F" w:rsidRPr="00894333" w:rsidRDefault="0029563F" w:rsidP="00530AFB">
      <w:pPr>
        <w:spacing w:line="276" w:lineRule="auto"/>
        <w:jc w:val="both"/>
        <w:rPr>
          <w:rFonts w:ascii="Arial" w:hAnsi="Arial" w:cs="Arial"/>
          <w:b/>
          <w:bCs/>
          <w:sz w:val="28"/>
        </w:rPr>
      </w:pPr>
      <w:r w:rsidRPr="00894333">
        <w:rPr>
          <w:rFonts w:ascii="Arial" w:hAnsi="Arial" w:cs="Arial"/>
          <w:b/>
          <w:bCs/>
          <w:sz w:val="28"/>
        </w:rPr>
        <w:t>2021 Calculation (£m):</w:t>
      </w:r>
    </w:p>
    <w:p w14:paraId="6006A201" w14:textId="77777777" w:rsidR="0029563F" w:rsidRPr="00894333" w:rsidRDefault="0029563F" w:rsidP="00530AFB">
      <w:pPr>
        <w:spacing w:line="276" w:lineRule="auto"/>
        <w:jc w:val="both"/>
        <w:rPr>
          <w:rFonts w:ascii="Arial" w:hAnsi="Arial" w:cs="Arial"/>
          <w:b/>
          <w:bCs/>
          <w:sz w:val="28"/>
        </w:rPr>
      </w:pPr>
      <w:r w:rsidRPr="00894333">
        <w:rPr>
          <w:rFonts w:ascii="Arial" w:hAnsi="Arial" w:cs="Arial"/>
          <w:b/>
          <w:bCs/>
          <w:noProof/>
          <w:sz w:val="28"/>
        </w:rPr>
        <w:drawing>
          <wp:inline distT="0" distB="0" distL="0" distR="0" wp14:anchorId="2B706586" wp14:editId="11F383E0">
            <wp:extent cx="5731510" cy="1398905"/>
            <wp:effectExtent l="0" t="0" r="2540" b="0"/>
            <wp:docPr id="6340228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022800" name="Picture 634022800"/>
                    <pic:cNvPicPr/>
                  </pic:nvPicPr>
                  <pic:blipFill>
                    <a:blip r:embed="rId31">
                      <a:extLst>
                        <a:ext uri="{28A0092B-C50C-407E-A947-70E740481C1C}">
                          <a14:useLocalDpi xmlns:a14="http://schemas.microsoft.com/office/drawing/2010/main" val="0"/>
                        </a:ext>
                      </a:extLst>
                    </a:blip>
                    <a:stretch>
                      <a:fillRect/>
                    </a:stretch>
                  </pic:blipFill>
                  <pic:spPr>
                    <a:xfrm>
                      <a:off x="0" y="0"/>
                      <a:ext cx="5731510" cy="1398905"/>
                    </a:xfrm>
                    <a:prstGeom prst="rect">
                      <a:avLst/>
                    </a:prstGeom>
                  </pic:spPr>
                </pic:pic>
              </a:graphicData>
            </a:graphic>
          </wp:inline>
        </w:drawing>
      </w:r>
    </w:p>
    <w:p w14:paraId="798849BF" w14:textId="77777777" w:rsidR="00DC2319" w:rsidRPr="00894333" w:rsidRDefault="00DC2319" w:rsidP="00530AFB">
      <w:pPr>
        <w:spacing w:line="276" w:lineRule="auto"/>
        <w:jc w:val="both"/>
        <w:rPr>
          <w:rFonts w:ascii="Arial" w:hAnsi="Arial" w:cs="Arial"/>
          <w:b/>
          <w:bCs/>
          <w:sz w:val="28"/>
        </w:rPr>
      </w:pPr>
    </w:p>
    <w:p w14:paraId="24EE2732" w14:textId="77777777" w:rsidR="00DC2319" w:rsidRPr="00894333" w:rsidRDefault="00DC2319" w:rsidP="00530AFB">
      <w:pPr>
        <w:spacing w:line="276" w:lineRule="auto"/>
        <w:jc w:val="both"/>
        <w:rPr>
          <w:rFonts w:ascii="Arial" w:hAnsi="Arial" w:cs="Arial"/>
          <w:b/>
          <w:bCs/>
          <w:sz w:val="28"/>
        </w:rPr>
      </w:pPr>
    </w:p>
    <w:p w14:paraId="5CED4136" w14:textId="77777777" w:rsidR="00DC2319" w:rsidRPr="00894333" w:rsidRDefault="00DC2319" w:rsidP="00530AFB">
      <w:pPr>
        <w:spacing w:line="276" w:lineRule="auto"/>
        <w:jc w:val="both"/>
        <w:rPr>
          <w:rFonts w:ascii="Arial" w:hAnsi="Arial" w:cs="Arial"/>
          <w:b/>
          <w:bCs/>
          <w:sz w:val="28"/>
        </w:rPr>
      </w:pPr>
    </w:p>
    <w:p w14:paraId="7123B5AD" w14:textId="5F6265EE" w:rsidR="0029563F" w:rsidRPr="00894333" w:rsidRDefault="0029563F" w:rsidP="00530AFB">
      <w:pPr>
        <w:spacing w:line="276" w:lineRule="auto"/>
        <w:jc w:val="both"/>
        <w:rPr>
          <w:rFonts w:ascii="Arial" w:hAnsi="Arial" w:cs="Arial"/>
          <w:b/>
          <w:bCs/>
          <w:sz w:val="28"/>
        </w:rPr>
      </w:pPr>
      <w:r w:rsidRPr="00894333">
        <w:rPr>
          <w:rFonts w:ascii="Arial" w:hAnsi="Arial" w:cs="Arial"/>
          <w:b/>
          <w:bCs/>
          <w:sz w:val="28"/>
        </w:rPr>
        <w:lastRenderedPageBreak/>
        <w:t>2020 Calculation (£m):</w:t>
      </w:r>
    </w:p>
    <w:p w14:paraId="01FDAEE1" w14:textId="77777777" w:rsidR="0029563F" w:rsidRPr="00894333" w:rsidRDefault="0029563F" w:rsidP="00530AFB">
      <w:pPr>
        <w:spacing w:line="276" w:lineRule="auto"/>
        <w:jc w:val="both"/>
        <w:rPr>
          <w:rFonts w:ascii="Arial" w:hAnsi="Arial" w:cs="Arial"/>
          <w:b/>
          <w:bCs/>
          <w:sz w:val="28"/>
        </w:rPr>
      </w:pPr>
      <w:r w:rsidRPr="00894333">
        <w:rPr>
          <w:rFonts w:ascii="Arial" w:hAnsi="Arial" w:cs="Arial"/>
          <w:b/>
          <w:bCs/>
          <w:noProof/>
          <w:sz w:val="28"/>
        </w:rPr>
        <w:drawing>
          <wp:inline distT="0" distB="0" distL="0" distR="0" wp14:anchorId="4616D2B6" wp14:editId="30F62835">
            <wp:extent cx="5646420" cy="1378137"/>
            <wp:effectExtent l="0" t="0" r="0" b="0"/>
            <wp:docPr id="11527677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767748" name="Picture 1152767748"/>
                    <pic:cNvPicPr/>
                  </pic:nvPicPr>
                  <pic:blipFill>
                    <a:blip r:embed="rId32">
                      <a:extLst>
                        <a:ext uri="{28A0092B-C50C-407E-A947-70E740481C1C}">
                          <a14:useLocalDpi xmlns:a14="http://schemas.microsoft.com/office/drawing/2010/main" val="0"/>
                        </a:ext>
                      </a:extLst>
                    </a:blip>
                    <a:stretch>
                      <a:fillRect/>
                    </a:stretch>
                  </pic:blipFill>
                  <pic:spPr>
                    <a:xfrm>
                      <a:off x="0" y="0"/>
                      <a:ext cx="5647965" cy="1378514"/>
                    </a:xfrm>
                    <a:prstGeom prst="rect">
                      <a:avLst/>
                    </a:prstGeom>
                  </pic:spPr>
                </pic:pic>
              </a:graphicData>
            </a:graphic>
          </wp:inline>
        </w:drawing>
      </w:r>
    </w:p>
    <w:p w14:paraId="21A726F2" w14:textId="577A6CE0" w:rsidR="0029563F" w:rsidRPr="00894333" w:rsidRDefault="0029563F" w:rsidP="00530AFB">
      <w:pPr>
        <w:spacing w:line="276" w:lineRule="auto"/>
        <w:jc w:val="both"/>
        <w:rPr>
          <w:rFonts w:ascii="Arial" w:hAnsi="Arial" w:cs="Arial"/>
          <w:b/>
          <w:bCs/>
          <w:sz w:val="28"/>
        </w:rPr>
      </w:pPr>
      <w:bookmarkStart w:id="13" w:name="_Toc214193413"/>
      <w:r w:rsidRPr="00894333">
        <w:rPr>
          <w:rFonts w:ascii="Arial" w:hAnsi="Arial" w:cs="Arial"/>
          <w:b/>
          <w:bCs/>
          <w:sz w:val="28"/>
        </w:rPr>
        <w:t>Five-Year Altman Z-Score Summary (2020–2024)</w:t>
      </w:r>
      <w:bookmarkEnd w:id="13"/>
    </w:p>
    <w:p w14:paraId="248DDBF2" w14:textId="77777777" w:rsidR="0029563F" w:rsidRPr="00894333" w:rsidRDefault="0029563F" w:rsidP="00530AFB">
      <w:pPr>
        <w:spacing w:line="276" w:lineRule="auto"/>
        <w:jc w:val="both"/>
        <w:rPr>
          <w:rFonts w:ascii="Arial" w:hAnsi="Arial" w:cs="Arial"/>
          <w:b/>
          <w:bCs/>
          <w:sz w:val="28"/>
        </w:rPr>
      </w:pPr>
      <w:r w:rsidRPr="00894333">
        <w:rPr>
          <w:rFonts w:ascii="Arial" w:hAnsi="Arial" w:cs="Arial"/>
          <w:b/>
          <w:bCs/>
          <w:noProof/>
          <w:sz w:val="28"/>
        </w:rPr>
        <w:drawing>
          <wp:inline distT="0" distB="0" distL="0" distR="0" wp14:anchorId="7A2EA660" wp14:editId="6AB19E31">
            <wp:extent cx="5731510" cy="1219835"/>
            <wp:effectExtent l="0" t="0" r="2540" b="0"/>
            <wp:docPr id="9221812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181250" name="Picture 922181250"/>
                    <pic:cNvPicPr/>
                  </pic:nvPicPr>
                  <pic:blipFill>
                    <a:blip r:embed="rId33">
                      <a:extLst>
                        <a:ext uri="{28A0092B-C50C-407E-A947-70E740481C1C}">
                          <a14:useLocalDpi xmlns:a14="http://schemas.microsoft.com/office/drawing/2010/main" val="0"/>
                        </a:ext>
                      </a:extLst>
                    </a:blip>
                    <a:stretch>
                      <a:fillRect/>
                    </a:stretch>
                  </pic:blipFill>
                  <pic:spPr>
                    <a:xfrm>
                      <a:off x="0" y="0"/>
                      <a:ext cx="5731510" cy="1219835"/>
                    </a:xfrm>
                    <a:prstGeom prst="rect">
                      <a:avLst/>
                    </a:prstGeom>
                  </pic:spPr>
                </pic:pic>
              </a:graphicData>
            </a:graphic>
          </wp:inline>
        </w:drawing>
      </w:r>
    </w:p>
    <w:p w14:paraId="713B9812" w14:textId="0893FF2D" w:rsidR="0029563F" w:rsidRPr="00894333" w:rsidRDefault="0029563F" w:rsidP="00530AFB">
      <w:pPr>
        <w:jc w:val="both"/>
        <w:rPr>
          <w:rFonts w:ascii="Arial" w:hAnsi="Arial" w:cs="Arial"/>
          <w:sz w:val="28"/>
        </w:rPr>
      </w:pPr>
      <w:r w:rsidRPr="00894333">
        <w:rPr>
          <w:rFonts w:ascii="Arial" w:hAnsi="Arial" w:cs="Arial"/>
          <w:sz w:val="28"/>
        </w:rPr>
        <w:t>The analysis using Z-Score shows that General Electronics is experiencing real financial problems that need urgent intervention. Grey zone (2.24-2.82) model suggests that there is around 35-50 percent probability of bankruptcy in two years according to the historical accuracy of Altman models. The score is expected to further drop into the distress zone (&lt;1.81) without the operation turnaround to restore the positive EBIT, which will imply a probability of bankruptcy of over 80 percent (Ramadhan, 2025). The company should focus on two processes (1) it should recover the operating profitability and achieve positive EBIT to change the X 3 component to a positive one; (2) it should build the equity with capital raise, therefore changing the X 4 component to positive. To obtain Z-Score &gt;2.99, approximately 25,000-30,000m positive EBIT (when using current asset base) will be needed; or, in other words, 6-8% operating margin on current sales, an extraordinary improvement on the current negative margins. Alternatively, the break-even operations together with a £50,000m equity injection would get the Z-Score above 3.0 which would mark the return of the safe zone (Ramadhan, 2025).</w:t>
      </w:r>
    </w:p>
    <w:p w14:paraId="0E02EF47" w14:textId="77777777" w:rsidR="00874F7C" w:rsidRPr="00894333" w:rsidRDefault="00874F7C" w:rsidP="00530AFB">
      <w:pPr>
        <w:jc w:val="both"/>
        <w:rPr>
          <w:rFonts w:ascii="Arial" w:hAnsi="Arial" w:cs="Arial"/>
          <w:sz w:val="28"/>
        </w:rPr>
      </w:pPr>
    </w:p>
    <w:p w14:paraId="6727F49F" w14:textId="77777777" w:rsidR="00874F7C" w:rsidRPr="00894333" w:rsidRDefault="00874F7C" w:rsidP="00530AFB">
      <w:pPr>
        <w:jc w:val="both"/>
        <w:rPr>
          <w:rFonts w:ascii="Arial" w:hAnsi="Arial" w:cs="Arial"/>
          <w:sz w:val="28"/>
        </w:rPr>
      </w:pPr>
    </w:p>
    <w:p w14:paraId="0099B9CC" w14:textId="77777777" w:rsidR="00355E6B" w:rsidRPr="00894333" w:rsidRDefault="00355E6B" w:rsidP="00192C6A">
      <w:pPr>
        <w:pStyle w:val="Heading1"/>
        <w:spacing w:before="0"/>
        <w:jc w:val="both"/>
        <w:rPr>
          <w:rFonts w:ascii="Arial" w:hAnsi="Arial" w:cs="Arial"/>
          <w:b/>
          <w:sz w:val="36"/>
          <w:szCs w:val="36"/>
          <w:lang w:bidi="ar-SA"/>
        </w:rPr>
      </w:pPr>
      <w:bookmarkStart w:id="14" w:name="_Toc212908257"/>
      <w:bookmarkStart w:id="15" w:name="_Toc217038434"/>
      <w:r w:rsidRPr="00894333">
        <w:rPr>
          <w:rFonts w:ascii="Arial" w:hAnsi="Arial" w:cs="Arial"/>
          <w:b/>
          <w:sz w:val="36"/>
          <w:szCs w:val="36"/>
          <w:lang w:bidi="ar-SA"/>
        </w:rPr>
        <w:lastRenderedPageBreak/>
        <w:t>3. Working Capital Management Analysis</w:t>
      </w:r>
      <w:bookmarkEnd w:id="14"/>
      <w:bookmarkEnd w:id="15"/>
    </w:p>
    <w:p w14:paraId="7844B315" w14:textId="348B9D01" w:rsidR="004913F3" w:rsidRPr="00894333" w:rsidRDefault="00C82268" w:rsidP="00530AFB">
      <w:pPr>
        <w:spacing w:before="240" w:line="240" w:lineRule="auto"/>
        <w:jc w:val="both"/>
        <w:rPr>
          <w:rFonts w:ascii="Arial" w:hAnsi="Arial" w:cs="Arial"/>
          <w:sz w:val="28"/>
        </w:rPr>
      </w:pPr>
      <w:r w:rsidRPr="00894333">
        <w:rPr>
          <w:rFonts w:ascii="Arial" w:hAnsi="Arial" w:cs="Arial"/>
          <w:b/>
          <w:bCs/>
          <w:sz w:val="28"/>
        </w:rPr>
        <w:t xml:space="preserve">Cash Operating </w:t>
      </w:r>
      <w:r w:rsidR="00726B7D" w:rsidRPr="00894333">
        <w:rPr>
          <w:rFonts w:ascii="Arial" w:hAnsi="Arial" w:cs="Arial"/>
          <w:b/>
          <w:bCs/>
          <w:sz w:val="28"/>
        </w:rPr>
        <w:t xml:space="preserve">Cycle: </w:t>
      </w:r>
      <w:r w:rsidR="004913F3" w:rsidRPr="00894333">
        <w:rPr>
          <w:rFonts w:ascii="Arial" w:hAnsi="Arial" w:cs="Arial"/>
          <w:sz w:val="28"/>
        </w:rPr>
        <w:t>Inventory Days + Receivables Days - Payables Days</w:t>
      </w:r>
    </w:p>
    <w:p w14:paraId="23552E95" w14:textId="5263B0F7" w:rsidR="00FC1833" w:rsidRPr="00894333" w:rsidRDefault="00FC1833" w:rsidP="00530AFB">
      <w:pPr>
        <w:spacing w:before="240" w:line="240" w:lineRule="auto"/>
        <w:jc w:val="both"/>
        <w:rPr>
          <w:rFonts w:ascii="Arial" w:hAnsi="Arial" w:cs="Arial"/>
          <w:b/>
          <w:bCs/>
          <w:sz w:val="28"/>
        </w:rPr>
      </w:pPr>
      <w:r w:rsidRPr="00894333">
        <w:rPr>
          <w:rFonts w:ascii="Arial" w:hAnsi="Arial" w:cs="Arial"/>
          <w:b/>
          <w:bCs/>
          <w:sz w:val="28"/>
        </w:rPr>
        <w:t>Five-Year Calculations:</w:t>
      </w:r>
    </w:p>
    <w:p w14:paraId="7844DCFE" w14:textId="77777777" w:rsidR="002A1AFC" w:rsidRPr="00894333" w:rsidRDefault="00BE1FB5" w:rsidP="00530AFB">
      <w:pPr>
        <w:spacing w:before="240" w:line="240" w:lineRule="auto"/>
        <w:jc w:val="both"/>
        <w:rPr>
          <w:rFonts w:ascii="Arial" w:hAnsi="Arial" w:cs="Arial"/>
          <w:sz w:val="28"/>
        </w:rPr>
      </w:pPr>
      <w:r w:rsidRPr="00894333">
        <w:rPr>
          <w:rFonts w:ascii="Arial" w:hAnsi="Arial" w:cs="Arial"/>
          <w:b/>
          <w:bCs/>
          <w:noProof/>
          <w:sz w:val="28"/>
        </w:rPr>
        <w:drawing>
          <wp:inline distT="0" distB="0" distL="0" distR="0" wp14:anchorId="5E06D95E" wp14:editId="42ED312B">
            <wp:extent cx="5731510" cy="876300"/>
            <wp:effectExtent l="0" t="0" r="2540" b="0"/>
            <wp:docPr id="14351687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168788" name="Picture 1435168788"/>
                    <pic:cNvPicPr/>
                  </pic:nvPicPr>
                  <pic:blipFill>
                    <a:blip r:embed="rId34">
                      <a:extLst>
                        <a:ext uri="{28A0092B-C50C-407E-A947-70E740481C1C}">
                          <a14:useLocalDpi xmlns:a14="http://schemas.microsoft.com/office/drawing/2010/main" val="0"/>
                        </a:ext>
                      </a:extLst>
                    </a:blip>
                    <a:stretch>
                      <a:fillRect/>
                    </a:stretch>
                  </pic:blipFill>
                  <pic:spPr>
                    <a:xfrm>
                      <a:off x="0" y="0"/>
                      <a:ext cx="5731510" cy="876300"/>
                    </a:xfrm>
                    <a:prstGeom prst="rect">
                      <a:avLst/>
                    </a:prstGeom>
                  </pic:spPr>
                </pic:pic>
              </a:graphicData>
            </a:graphic>
          </wp:inline>
        </w:drawing>
      </w:r>
    </w:p>
    <w:p w14:paraId="6D73F16D" w14:textId="26CAB1B6" w:rsidR="00A45ABD" w:rsidRPr="00894333" w:rsidRDefault="002A1AFC" w:rsidP="00534887">
      <w:pPr>
        <w:spacing w:before="240" w:line="240" w:lineRule="auto"/>
        <w:jc w:val="center"/>
        <w:rPr>
          <w:rFonts w:ascii="Arial" w:hAnsi="Arial" w:cs="Arial"/>
          <w:b/>
          <w:bCs/>
          <w:sz w:val="28"/>
        </w:rPr>
      </w:pPr>
      <w:r w:rsidRPr="00894333">
        <w:rPr>
          <w:rFonts w:ascii="Arial" w:hAnsi="Arial" w:cs="Arial"/>
          <w:b/>
          <w:bCs/>
          <w:noProof/>
          <w:sz w:val="28"/>
        </w:rPr>
        <w:drawing>
          <wp:inline distT="0" distB="0" distL="0" distR="0" wp14:anchorId="0C5F3DD6" wp14:editId="17CB67B2">
            <wp:extent cx="4469130" cy="6283036"/>
            <wp:effectExtent l="0" t="0" r="7620" b="0"/>
            <wp:docPr id="1262744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414353" name="Picture 1880414353"/>
                    <pic:cNvPicPr/>
                  </pic:nvPicPr>
                  <pic:blipFill rotWithShape="1">
                    <a:blip r:embed="rId35">
                      <a:extLst>
                        <a:ext uri="{28A0092B-C50C-407E-A947-70E740481C1C}">
                          <a14:useLocalDpi xmlns:a14="http://schemas.microsoft.com/office/drawing/2010/main" val="0"/>
                        </a:ext>
                      </a:extLst>
                    </a:blip>
                    <a:srcRect t="-1" b="-2194"/>
                    <a:stretch>
                      <a:fillRect/>
                    </a:stretch>
                  </pic:blipFill>
                  <pic:spPr bwMode="auto">
                    <a:xfrm>
                      <a:off x="0" y="0"/>
                      <a:ext cx="4498132" cy="6323809"/>
                    </a:xfrm>
                    <a:prstGeom prst="rect">
                      <a:avLst/>
                    </a:prstGeom>
                    <a:ln>
                      <a:noFill/>
                    </a:ln>
                    <a:extLst>
                      <a:ext uri="{53640926-AAD7-44D8-BBD7-CCE9431645EC}">
                        <a14:shadowObscured xmlns:a14="http://schemas.microsoft.com/office/drawing/2010/main"/>
                      </a:ext>
                    </a:extLst>
                  </pic:spPr>
                </pic:pic>
              </a:graphicData>
            </a:graphic>
          </wp:inline>
        </w:drawing>
      </w:r>
    </w:p>
    <w:p w14:paraId="0D6FF558" w14:textId="1B5CF78B" w:rsidR="00DC086D" w:rsidRPr="00894333" w:rsidRDefault="00DC086D" w:rsidP="00530AFB">
      <w:pPr>
        <w:spacing w:before="240" w:line="360" w:lineRule="auto"/>
        <w:jc w:val="both"/>
        <w:rPr>
          <w:rFonts w:ascii="Arial" w:hAnsi="Arial" w:cs="Arial"/>
          <w:b/>
          <w:bCs/>
          <w:sz w:val="28"/>
        </w:rPr>
      </w:pPr>
      <w:r w:rsidRPr="00894333">
        <w:rPr>
          <w:rFonts w:ascii="Arial" w:hAnsi="Arial" w:cs="Arial"/>
          <w:b/>
          <w:bCs/>
          <w:sz w:val="28"/>
        </w:rPr>
        <w:lastRenderedPageBreak/>
        <w:t>Recommendations for Working Capital Management Reforms to Improve Liquidity</w:t>
      </w:r>
      <w:r w:rsidR="00CB6294" w:rsidRPr="00894333">
        <w:rPr>
          <w:rFonts w:ascii="Arial" w:hAnsi="Arial" w:cs="Arial"/>
          <w:b/>
          <w:bCs/>
          <w:sz w:val="28"/>
        </w:rPr>
        <w:t>:</w:t>
      </w:r>
    </w:p>
    <w:p w14:paraId="7B1620DE" w14:textId="77777777" w:rsidR="00A77CF4" w:rsidRPr="00894333" w:rsidRDefault="00A77CF4" w:rsidP="000E1DD7">
      <w:pPr>
        <w:pStyle w:val="Heading2"/>
        <w:rPr>
          <w:rFonts w:ascii="Arial" w:hAnsi="Arial" w:cs="Arial"/>
        </w:rPr>
      </w:pPr>
      <w:bookmarkStart w:id="16" w:name="_Toc217038435"/>
      <w:r w:rsidRPr="00894333">
        <w:rPr>
          <w:rFonts w:ascii="Arial" w:hAnsi="Arial" w:cs="Arial"/>
        </w:rPr>
        <w:t>1. Maximize Inventory Management</w:t>
      </w:r>
      <w:bookmarkEnd w:id="16"/>
    </w:p>
    <w:p w14:paraId="1AF7DBA3" w14:textId="77777777" w:rsidR="00A77CF4" w:rsidRPr="00894333" w:rsidRDefault="00A77CF4" w:rsidP="00530AFB">
      <w:pPr>
        <w:jc w:val="both"/>
        <w:rPr>
          <w:rFonts w:ascii="Arial" w:hAnsi="Arial" w:cs="Arial"/>
          <w:sz w:val="28"/>
        </w:rPr>
      </w:pPr>
      <w:r w:rsidRPr="00894333">
        <w:rPr>
          <w:rFonts w:ascii="Arial" w:hAnsi="Arial" w:cs="Arial"/>
          <w:sz w:val="28"/>
        </w:rPr>
        <w:t>General Electronics will be required to adopt superior demand forecasting, the just-in-time (JIT) and the supply chain analytics to adjust the level of inventory to match the actual sales pattern. The liquidity strain and obsolescence risk were the results of excess inventory between 2020 and 2023. Using real-time tracking and data-driven forecasting will help the company to cut the average inventory days and maintain the availability of products at the same time. The turns would improve inventory movement, thereby increasing the cash conversion rate, and loose working capital tied up, which improves liquidity (Kiymaz, Haque and Choudhury, 2024).</w:t>
      </w:r>
    </w:p>
    <w:p w14:paraId="31B1C0C7" w14:textId="77777777" w:rsidR="00A77CF4" w:rsidRPr="00894333" w:rsidRDefault="00A77CF4" w:rsidP="000E1DD7">
      <w:pPr>
        <w:pStyle w:val="Heading2"/>
        <w:rPr>
          <w:rFonts w:ascii="Arial" w:hAnsi="Arial" w:cs="Arial"/>
        </w:rPr>
      </w:pPr>
      <w:bookmarkStart w:id="17" w:name="_Toc217038436"/>
      <w:r w:rsidRPr="00894333">
        <w:rPr>
          <w:rFonts w:ascii="Arial" w:hAnsi="Arial" w:cs="Arial"/>
        </w:rPr>
        <w:t>2. Empower Receivables Collection Policies</w:t>
      </w:r>
      <w:bookmarkEnd w:id="17"/>
    </w:p>
    <w:p w14:paraId="0B3D4D7D" w14:textId="77777777" w:rsidR="00A77CF4" w:rsidRPr="00894333" w:rsidRDefault="00A77CF4" w:rsidP="00530AFB">
      <w:pPr>
        <w:jc w:val="both"/>
        <w:rPr>
          <w:rFonts w:ascii="Arial" w:hAnsi="Arial" w:cs="Arial"/>
          <w:sz w:val="28"/>
        </w:rPr>
      </w:pPr>
      <w:r w:rsidRPr="00894333">
        <w:rPr>
          <w:rFonts w:ascii="Arial" w:hAnsi="Arial" w:cs="Arial"/>
          <w:sz w:val="28"/>
        </w:rPr>
        <w:t>In 2020, the company had 76 days receivables and in 2024, it had 105 days receivables; this shows a declining efficiency of the company to collect its debts (Dewangan and Kannadhasan, 2025). To turn this situation around, it is necessary to tighten credit scrutiny and categorization of customers in accordance with their credit worthiness. Implementation of early payment discounts, restricting the limits of credit and automated invoices can reduce the time taken in collection. This would be enhanced through a special credit control department and by using digital receivables management software that would enhance monitoring and reduce overdue balances and turn sales into cash sooner (Kiymaz, Haque and Choudhury, 2024).</w:t>
      </w:r>
    </w:p>
    <w:p w14:paraId="49D27AEB" w14:textId="77777777" w:rsidR="00A77CF4" w:rsidRPr="00894333" w:rsidRDefault="00A77CF4" w:rsidP="000E1DD7">
      <w:pPr>
        <w:pStyle w:val="Heading2"/>
        <w:rPr>
          <w:rFonts w:ascii="Arial" w:hAnsi="Arial" w:cs="Arial"/>
        </w:rPr>
      </w:pPr>
      <w:bookmarkStart w:id="18" w:name="_Toc217038437"/>
      <w:r w:rsidRPr="00894333">
        <w:rPr>
          <w:rFonts w:ascii="Arial" w:hAnsi="Arial" w:cs="Arial"/>
        </w:rPr>
        <w:t>3. Negotiate Long Payables Terms</w:t>
      </w:r>
      <w:bookmarkEnd w:id="18"/>
    </w:p>
    <w:p w14:paraId="2AC2604A" w14:textId="77777777" w:rsidR="00A77CF4" w:rsidRPr="00894333" w:rsidRDefault="00A77CF4" w:rsidP="00530AFB">
      <w:pPr>
        <w:jc w:val="both"/>
        <w:rPr>
          <w:rFonts w:ascii="Arial" w:hAnsi="Arial" w:cs="Arial"/>
          <w:sz w:val="28"/>
        </w:rPr>
      </w:pPr>
      <w:r w:rsidRPr="00894333">
        <w:rPr>
          <w:rFonts w:ascii="Arial" w:hAnsi="Arial" w:cs="Arial"/>
          <w:sz w:val="28"/>
        </w:rPr>
        <w:t>Whereas the payables days went up in moderation to 84 in 2024, the suppliers can be further flexible provided one approaches them in a strategic way (Stavropoulos and Zounta, 2025). General Electronics must negotiate longer payment periods, bulk discounts, or consignments to achieve longer cash outlays but in a manner that does not hurt the suppliers. Nonetheless, it needs to strike this balance with the continuity of supply and prevent credit downgrades. Better payable management enables the company to extend cash operating cycle in the short run relieving liquidity strains (Kiymaz, Haque and Choudhury, 2024).</w:t>
      </w:r>
    </w:p>
    <w:p w14:paraId="7DF4C554" w14:textId="77777777" w:rsidR="00A77CF4" w:rsidRPr="00894333" w:rsidRDefault="00A77CF4" w:rsidP="000E1DD7">
      <w:pPr>
        <w:pStyle w:val="Heading2"/>
        <w:rPr>
          <w:rFonts w:ascii="Arial" w:hAnsi="Arial" w:cs="Arial"/>
        </w:rPr>
      </w:pPr>
      <w:bookmarkStart w:id="19" w:name="_Toc217038438"/>
      <w:r w:rsidRPr="00894333">
        <w:rPr>
          <w:rFonts w:ascii="Arial" w:hAnsi="Arial" w:cs="Arial"/>
        </w:rPr>
        <w:lastRenderedPageBreak/>
        <w:t>4. Adopt Cash Flow Forecasting and monitoring</w:t>
      </w:r>
      <w:bookmarkEnd w:id="19"/>
    </w:p>
    <w:p w14:paraId="32432E8A" w14:textId="77777777" w:rsidR="00A77CF4" w:rsidRPr="00894333" w:rsidRDefault="00A77CF4" w:rsidP="00530AFB">
      <w:pPr>
        <w:jc w:val="both"/>
        <w:rPr>
          <w:rFonts w:ascii="Arial" w:hAnsi="Arial" w:cs="Arial"/>
          <w:sz w:val="28"/>
        </w:rPr>
      </w:pPr>
      <w:r w:rsidRPr="00894333">
        <w:rPr>
          <w:rFonts w:ascii="Arial" w:hAnsi="Arial" w:cs="Arial"/>
          <w:sz w:val="28"/>
        </w:rPr>
        <w:t>Liquidity management is a proactive venture and not a reactive one. The company is expected to embrace rolling cash flow projections that will estimate the inflows and outflows of the company in 13 weeks to enable it to detect any shortfall. Centralized cash management and daily monitoring of cash will allow timely intervention - through postponed discretionary spending or, organizing temporary credit lines. Regular forecasting enhances control on working capital and helps in making sound financial decisions (Stavropoulos and Zounta, 2025).</w:t>
      </w:r>
    </w:p>
    <w:p w14:paraId="565D23E5" w14:textId="77777777" w:rsidR="00A77CF4" w:rsidRPr="00894333" w:rsidRDefault="00A77CF4" w:rsidP="000E1DD7">
      <w:pPr>
        <w:pStyle w:val="Heading2"/>
        <w:rPr>
          <w:rFonts w:ascii="Arial" w:hAnsi="Arial" w:cs="Arial"/>
        </w:rPr>
      </w:pPr>
      <w:bookmarkStart w:id="20" w:name="_Toc217038439"/>
      <w:r w:rsidRPr="00894333">
        <w:rPr>
          <w:rFonts w:ascii="Arial" w:hAnsi="Arial" w:cs="Arial"/>
        </w:rPr>
        <w:t>5. Automate Processes and Cost Architecture</w:t>
      </w:r>
      <w:bookmarkEnd w:id="20"/>
    </w:p>
    <w:p w14:paraId="4E36F822" w14:textId="1A270DD8" w:rsidR="00A77CF4" w:rsidRPr="00894333" w:rsidRDefault="00A77CF4" w:rsidP="00530AFB">
      <w:pPr>
        <w:jc w:val="both"/>
        <w:rPr>
          <w:rFonts w:ascii="Arial" w:hAnsi="Arial" w:cs="Arial"/>
          <w:sz w:val="28"/>
        </w:rPr>
      </w:pPr>
      <w:r w:rsidRPr="00894333">
        <w:rPr>
          <w:rFonts w:ascii="Arial" w:hAnsi="Arial" w:cs="Arial"/>
          <w:sz w:val="28"/>
        </w:rPr>
        <w:t xml:space="preserve">Working capital is stretched by operational inefficiencies. The firm ought to consider the procurement cycles, production cycles and logistics processes to reduce the number of idle resources and lower the lead times. The lean production philosophies and automation can reduce the production costs enabling quicker turnover of inventory and receivables. The efficiency realized can further be </w:t>
      </w:r>
      <w:r w:rsidR="003C4BFE" w:rsidRPr="00894333">
        <w:rPr>
          <w:rFonts w:ascii="Arial" w:hAnsi="Arial" w:cs="Arial"/>
          <w:sz w:val="28"/>
        </w:rPr>
        <w:t>channelled</w:t>
      </w:r>
      <w:r w:rsidRPr="00894333">
        <w:rPr>
          <w:rFonts w:ascii="Arial" w:hAnsi="Arial" w:cs="Arial"/>
          <w:sz w:val="28"/>
        </w:rPr>
        <w:t xml:space="preserve"> towards cost savings that can be used to enhance liquidity and settle short term liabilities with greater ease.</w:t>
      </w:r>
    </w:p>
    <w:p w14:paraId="2DDA186E" w14:textId="77777777" w:rsidR="00A77CF4" w:rsidRPr="00894333" w:rsidRDefault="00A77CF4" w:rsidP="000E1DD7">
      <w:pPr>
        <w:pStyle w:val="Heading2"/>
        <w:rPr>
          <w:rFonts w:ascii="Arial" w:hAnsi="Arial" w:cs="Arial"/>
        </w:rPr>
      </w:pPr>
      <w:bookmarkStart w:id="21" w:name="_Toc217038440"/>
      <w:r w:rsidRPr="00894333">
        <w:rPr>
          <w:rFonts w:ascii="Arial" w:hAnsi="Arial" w:cs="Arial"/>
        </w:rPr>
        <w:t>6. Enhance Finance and Operations Co-ordination</w:t>
      </w:r>
      <w:bookmarkEnd w:id="21"/>
    </w:p>
    <w:p w14:paraId="22E7F2E7" w14:textId="77777777" w:rsidR="00A77CF4" w:rsidRPr="00894333" w:rsidRDefault="00A77CF4" w:rsidP="00530AFB">
      <w:pPr>
        <w:jc w:val="both"/>
        <w:rPr>
          <w:rFonts w:ascii="Arial" w:hAnsi="Arial" w:cs="Arial"/>
          <w:sz w:val="28"/>
        </w:rPr>
      </w:pPr>
      <w:r w:rsidRPr="00894333">
        <w:rPr>
          <w:rFonts w:ascii="Arial" w:hAnsi="Arial" w:cs="Arial"/>
          <w:sz w:val="28"/>
        </w:rPr>
        <w:t>The alignment between departments is essential to sustainable working capital management. The various teams of finance, procurement and sales should work together so that the credit policies, purchasing plans, as well as sales forecasts are aligned towards the liquidity objectives (Dewangan and Kannadhasan, 2025). As an illustration, the sales department must not offer high credit terms to increase volume when that increases the worsening of the cash flow. The visibility, synchronization, and decision-making of the functions across the functions can be made more visible with the help of integrated enterprise resource planning (ERP) systems (Stavropoulos and Zounta, 2025).</w:t>
      </w:r>
    </w:p>
    <w:p w14:paraId="375E5193" w14:textId="212DEEEA" w:rsidR="00A77CF4" w:rsidRPr="00894333" w:rsidRDefault="00A77CF4" w:rsidP="000E1DD7">
      <w:pPr>
        <w:pStyle w:val="Heading2"/>
        <w:rPr>
          <w:rFonts w:ascii="Arial" w:hAnsi="Arial" w:cs="Arial"/>
          <w:b/>
          <w:bCs/>
        </w:rPr>
      </w:pPr>
      <w:bookmarkStart w:id="22" w:name="_Toc217038441"/>
      <w:r w:rsidRPr="00894333">
        <w:rPr>
          <w:rFonts w:ascii="Arial" w:hAnsi="Arial" w:cs="Arial"/>
          <w:b/>
          <w:bCs/>
        </w:rPr>
        <w:t>Comparison of Short-Term v. Long-Term Financing</w:t>
      </w:r>
      <w:bookmarkEnd w:id="22"/>
    </w:p>
    <w:p w14:paraId="386C3D15" w14:textId="77777777" w:rsidR="00A77CF4" w:rsidRPr="00894333" w:rsidRDefault="00A77CF4" w:rsidP="000E1DD7">
      <w:pPr>
        <w:pStyle w:val="Heading3"/>
        <w:rPr>
          <w:rFonts w:ascii="Arial" w:hAnsi="Arial" w:cs="Arial"/>
          <w:sz w:val="32"/>
          <w:szCs w:val="36"/>
        </w:rPr>
      </w:pPr>
      <w:bookmarkStart w:id="23" w:name="_Toc217038442"/>
      <w:r w:rsidRPr="00894333">
        <w:rPr>
          <w:rFonts w:ascii="Arial" w:hAnsi="Arial" w:cs="Arial"/>
          <w:sz w:val="32"/>
          <w:szCs w:val="36"/>
        </w:rPr>
        <w:t>Short-Term Financing options.</w:t>
      </w:r>
      <w:bookmarkEnd w:id="23"/>
    </w:p>
    <w:p w14:paraId="2B702FD0" w14:textId="77777777" w:rsidR="00A77CF4" w:rsidRPr="00894333" w:rsidRDefault="00A77CF4" w:rsidP="00C26BFA">
      <w:pPr>
        <w:spacing w:after="0"/>
        <w:jc w:val="both"/>
        <w:rPr>
          <w:rFonts w:ascii="Arial" w:hAnsi="Arial" w:cs="Arial"/>
          <w:sz w:val="28"/>
        </w:rPr>
      </w:pPr>
      <w:r w:rsidRPr="00894333">
        <w:rPr>
          <w:rFonts w:ascii="Arial" w:hAnsi="Arial" w:cs="Arial"/>
          <w:sz w:val="28"/>
        </w:rPr>
        <w:t xml:space="preserve">Short-term financing enables immediate liquidity requirements, as well as working capital needs, which usually have a maturity of one year. These instruments are bank overdrafts, trade credit, commercial papers and short-term loans (Sadique, 2024). These are flexible options, comparatively fast to tap into and come in handy in filling the cash flows </w:t>
      </w:r>
      <w:r w:rsidRPr="00894333">
        <w:rPr>
          <w:rFonts w:ascii="Arial" w:hAnsi="Arial" w:cs="Arial"/>
          <w:sz w:val="28"/>
        </w:rPr>
        <w:lastRenderedPageBreak/>
        <w:t>gaps created by seasonal changes or lengthy receivables turnover. In the case of General Electronics, short-term finance can be used to finance the daily business activities, to buy raw materials or payroll in case of sluggish revenue. Nonetheless, excessive dependence on this financing puts the company at risk of refinancing and interest rate risk. Debts that are short term also need to be rolled over and replayed on a regular basis which can pose a strain on the cash flows in case operations are still poor. These instruments require proper cash forecasting and good relationship with the banks and suppliers to be effectively used (Xuan, Thu and Nguyen, 2025).</w:t>
      </w:r>
    </w:p>
    <w:p w14:paraId="09E70898" w14:textId="77777777" w:rsidR="00A77CF4" w:rsidRPr="00894333" w:rsidRDefault="00A77CF4" w:rsidP="000E1DD7">
      <w:pPr>
        <w:pStyle w:val="Heading3"/>
        <w:rPr>
          <w:rFonts w:ascii="Arial" w:hAnsi="Arial" w:cs="Arial"/>
          <w:sz w:val="32"/>
          <w:szCs w:val="36"/>
        </w:rPr>
      </w:pPr>
      <w:bookmarkStart w:id="24" w:name="_Toc217038443"/>
      <w:r w:rsidRPr="00894333">
        <w:rPr>
          <w:rFonts w:ascii="Arial" w:hAnsi="Arial" w:cs="Arial"/>
          <w:sz w:val="32"/>
          <w:szCs w:val="36"/>
        </w:rPr>
        <w:t>Long-Term Financing Options</w:t>
      </w:r>
      <w:bookmarkEnd w:id="24"/>
    </w:p>
    <w:p w14:paraId="7F417460" w14:textId="77777777" w:rsidR="00A77CF4" w:rsidRPr="00894333" w:rsidRDefault="00A77CF4" w:rsidP="00530AFB">
      <w:pPr>
        <w:jc w:val="both"/>
        <w:rPr>
          <w:rFonts w:ascii="Arial" w:hAnsi="Arial" w:cs="Arial"/>
          <w:sz w:val="28"/>
        </w:rPr>
      </w:pPr>
      <w:r w:rsidRPr="00894333">
        <w:rPr>
          <w:rFonts w:ascii="Arial" w:hAnsi="Arial" w:cs="Arial"/>
          <w:sz w:val="28"/>
        </w:rPr>
        <w:t>Financing in long term such as term loans, bonds and equity capital provides these investments with stability in capital investment, restructuring and debt refinancing. Interest rates are usually fixed or designed, and the maturities are mostly over a year. In the case of General Electronics long-term funding would be more appropriate in dealing with structural liquidity problems, modernization advancement, or decrease reliance on short-term borrowings (Sadique, 2024). The loss of capital base may be replaced by issuing fresh equity and short-term liabilities obtained at cheap rates may be refinanced using long-term debt. Nevertheless, long-term financing can be more expensive, require collaterals and take long to be approved. It also puts the company at more risk in terms of financial risk in case equity financing is not available and it raises the leverage of the company (Xuan, Thu and Nguyen, 2025).</w:t>
      </w:r>
    </w:p>
    <w:p w14:paraId="0D1A79D2" w14:textId="77777777" w:rsidR="00A77CF4" w:rsidRPr="00894333" w:rsidRDefault="00A77CF4" w:rsidP="000E1DD7">
      <w:pPr>
        <w:pStyle w:val="Heading3"/>
        <w:rPr>
          <w:rFonts w:ascii="Arial" w:hAnsi="Arial" w:cs="Arial"/>
          <w:sz w:val="32"/>
          <w:szCs w:val="36"/>
        </w:rPr>
      </w:pPr>
      <w:bookmarkStart w:id="25" w:name="_Toc217038444"/>
      <w:r w:rsidRPr="00894333">
        <w:rPr>
          <w:rFonts w:ascii="Arial" w:hAnsi="Arial" w:cs="Arial"/>
          <w:sz w:val="32"/>
          <w:szCs w:val="36"/>
        </w:rPr>
        <w:t>Strategic Balance Between the Two</w:t>
      </w:r>
      <w:bookmarkEnd w:id="25"/>
    </w:p>
    <w:p w14:paraId="4BC012FA" w14:textId="77777777" w:rsidR="00A77CF4" w:rsidRPr="00894333" w:rsidRDefault="00A77CF4" w:rsidP="00C26BFA">
      <w:pPr>
        <w:spacing w:line="240" w:lineRule="auto"/>
        <w:jc w:val="both"/>
        <w:rPr>
          <w:rFonts w:ascii="Arial" w:hAnsi="Arial" w:cs="Arial"/>
          <w:sz w:val="28"/>
        </w:rPr>
      </w:pPr>
      <w:r w:rsidRPr="00894333">
        <w:rPr>
          <w:rFonts w:ascii="Arial" w:hAnsi="Arial" w:cs="Arial"/>
          <w:sz w:val="28"/>
        </w:rPr>
        <w:t>A financing strategy must be optimal, and this entails a balance of flexibility and stability. Temporary cash flow mismatches should be financed in short term and sustainable recovery, and growth should be financed in long-term. When a company in trouble such as General Electronics needs refinancing short-term debts, it would be prudent to lengthen the term of facilities and shorten the probability of defaulting (Sadique, 2024). At the same time, working capital reforms must be less reliant on external short-term borrowings. Ultimately, once profitability is reinstated and positive operating cash flows put into place, the company will not be forced to depend on either of the two external funding sources, and its liquidity will become self-reinforcing (Xuan, Thu and Nguyen, 2025).</w:t>
      </w:r>
    </w:p>
    <w:p w14:paraId="353E94C1" w14:textId="77777777" w:rsidR="00A46171" w:rsidRPr="00894333" w:rsidRDefault="00A46171" w:rsidP="008A1ED0">
      <w:pPr>
        <w:pStyle w:val="Heading1"/>
        <w:spacing w:before="0"/>
        <w:jc w:val="both"/>
        <w:rPr>
          <w:rFonts w:ascii="Arial" w:hAnsi="Arial" w:cs="Arial"/>
          <w:b/>
          <w:sz w:val="36"/>
          <w:szCs w:val="36"/>
          <w:lang w:bidi="ar-SA"/>
        </w:rPr>
      </w:pPr>
      <w:bookmarkStart w:id="26" w:name="_Toc212908258"/>
      <w:bookmarkStart w:id="27" w:name="_Toc217038445"/>
      <w:r w:rsidRPr="00894333">
        <w:rPr>
          <w:rFonts w:ascii="Arial" w:hAnsi="Arial" w:cs="Arial"/>
          <w:b/>
          <w:sz w:val="36"/>
          <w:szCs w:val="36"/>
          <w:lang w:bidi="ar-SA"/>
        </w:rPr>
        <w:lastRenderedPageBreak/>
        <w:t>4. Strategic Financial Restructuring Plan</w:t>
      </w:r>
      <w:bookmarkEnd w:id="26"/>
      <w:bookmarkEnd w:id="27"/>
      <w:r w:rsidRPr="00894333">
        <w:rPr>
          <w:rFonts w:ascii="Arial" w:hAnsi="Arial" w:cs="Arial"/>
          <w:b/>
          <w:sz w:val="36"/>
          <w:szCs w:val="36"/>
          <w:lang w:bidi="ar-SA"/>
        </w:rPr>
        <w:t xml:space="preserve"> </w:t>
      </w:r>
    </w:p>
    <w:p w14:paraId="3CDD927F" w14:textId="7E0EF7A5" w:rsidR="00A46171" w:rsidRPr="00894333" w:rsidRDefault="00074950" w:rsidP="00074950">
      <w:pPr>
        <w:pStyle w:val="Heading2"/>
        <w:rPr>
          <w:rFonts w:ascii="Arial" w:hAnsi="Arial" w:cs="Arial"/>
        </w:rPr>
      </w:pPr>
      <w:bookmarkStart w:id="28" w:name="_Toc217038446"/>
      <w:r w:rsidRPr="00894333">
        <w:rPr>
          <w:rFonts w:ascii="Arial" w:hAnsi="Arial" w:cs="Arial"/>
        </w:rPr>
        <w:t>4.</w:t>
      </w:r>
      <w:r w:rsidR="00A46171" w:rsidRPr="00894333">
        <w:rPr>
          <w:rFonts w:ascii="Arial" w:hAnsi="Arial" w:cs="Arial"/>
        </w:rPr>
        <w:t>1 Restructuring Alternative Options Analysis</w:t>
      </w:r>
      <w:bookmarkEnd w:id="28"/>
    </w:p>
    <w:p w14:paraId="672D0CE0" w14:textId="77777777" w:rsidR="00D33FCA" w:rsidRPr="00894333" w:rsidRDefault="00D33FCA" w:rsidP="00D33FCA">
      <w:pPr>
        <w:spacing w:before="240" w:line="240" w:lineRule="auto"/>
        <w:jc w:val="both"/>
        <w:rPr>
          <w:rFonts w:ascii="Arial" w:hAnsi="Arial" w:cs="Arial"/>
          <w:b/>
          <w:bCs/>
          <w:sz w:val="28"/>
        </w:rPr>
      </w:pPr>
      <w:r w:rsidRPr="00894333">
        <w:rPr>
          <w:rFonts w:ascii="Arial" w:hAnsi="Arial" w:cs="Arial"/>
          <w:b/>
          <w:bCs/>
          <w:sz w:val="28"/>
        </w:rPr>
        <w:t>Option 1: Asset Divestiture</w:t>
      </w:r>
    </w:p>
    <w:p w14:paraId="6082EADA" w14:textId="77777777" w:rsidR="00D33FCA" w:rsidRPr="00894333" w:rsidRDefault="00D33FCA" w:rsidP="00C32DEE">
      <w:pPr>
        <w:spacing w:line="240" w:lineRule="auto"/>
        <w:jc w:val="both"/>
        <w:rPr>
          <w:rFonts w:ascii="Arial" w:hAnsi="Arial" w:cs="Arial"/>
          <w:sz w:val="28"/>
        </w:rPr>
      </w:pPr>
      <w:r w:rsidRPr="00894333">
        <w:rPr>
          <w:rFonts w:ascii="Arial" w:hAnsi="Arial" w:cs="Arial"/>
          <w:sz w:val="28"/>
        </w:rPr>
        <w:t>General Electronics ought to sell non-core and poorly performing business units or assets to raise cash and simplify operations. The property, plant and equipment decreasing by analyzing the reduction between the years 2020 and 2024 (between £87,285m and 34,207m respectively) is an indication that some divestiture may have already been made (Rashid, Khan and Qureshi, 2024). Additional selective disposal of £15,000-20,000m under performer assets might: help lower levels of debt; help finance core business enhancement; and help streamline focus of operations (Altman, 2013).</w:t>
      </w:r>
    </w:p>
    <w:p w14:paraId="365F447B" w14:textId="1AE8654D" w:rsidR="00A46171" w:rsidRPr="00894333" w:rsidRDefault="00A46171" w:rsidP="00D33FCA">
      <w:pPr>
        <w:spacing w:before="240" w:line="240" w:lineRule="auto"/>
        <w:jc w:val="both"/>
        <w:rPr>
          <w:rFonts w:ascii="Arial" w:hAnsi="Arial" w:cs="Arial"/>
          <w:b/>
          <w:bCs/>
          <w:sz w:val="28"/>
        </w:rPr>
      </w:pPr>
      <w:r w:rsidRPr="00894333">
        <w:rPr>
          <w:rFonts w:ascii="Arial" w:hAnsi="Arial" w:cs="Arial"/>
          <w:b/>
          <w:bCs/>
          <w:sz w:val="28"/>
        </w:rPr>
        <w:t>Option 2: Strategic Merger/Acquisition</w:t>
      </w:r>
    </w:p>
    <w:p w14:paraId="781B4BF6" w14:textId="77777777" w:rsidR="00C32DEE" w:rsidRPr="00894333" w:rsidRDefault="00C32DEE" w:rsidP="00C32DEE">
      <w:pPr>
        <w:spacing w:line="240" w:lineRule="auto"/>
        <w:jc w:val="both"/>
        <w:rPr>
          <w:rFonts w:ascii="Arial" w:hAnsi="Arial" w:cs="Arial"/>
          <w:sz w:val="28"/>
        </w:rPr>
      </w:pPr>
      <w:r w:rsidRPr="00894333">
        <w:rPr>
          <w:rFonts w:ascii="Arial" w:hAnsi="Arial" w:cs="Arial"/>
          <w:sz w:val="28"/>
        </w:rPr>
        <w:t>A takeover with a better competitor or an acquisition by a well-capitalized company may offer access to capital to turn around; cost reduction due to synergies of operations; technology and market access; and management knowledge (Altman, 2013). Since General Electronics is weakened, a merger between the two would be impractical; rather, a rescue acquisition in which the shareholders agree to dilution to stand a chance of survival would be more viable. The exhausted equity base (153105m vs 313301m in 2020) implies that the shareholders will be seriously diluted (Rashid, Khan and Qureshi, 2024).</w:t>
      </w:r>
    </w:p>
    <w:p w14:paraId="5D2B66F8" w14:textId="39B88D8E" w:rsidR="00A46171" w:rsidRPr="00894333" w:rsidRDefault="00A46171" w:rsidP="00D33FCA">
      <w:pPr>
        <w:spacing w:before="240" w:line="240" w:lineRule="auto"/>
        <w:jc w:val="both"/>
        <w:rPr>
          <w:rFonts w:ascii="Arial" w:hAnsi="Arial" w:cs="Arial"/>
          <w:b/>
          <w:bCs/>
          <w:sz w:val="28"/>
        </w:rPr>
      </w:pPr>
      <w:r w:rsidRPr="00894333">
        <w:rPr>
          <w:rFonts w:ascii="Arial" w:hAnsi="Arial" w:cs="Arial"/>
          <w:b/>
          <w:bCs/>
          <w:sz w:val="28"/>
        </w:rPr>
        <w:t>Option 3: Equity Injection</w:t>
      </w:r>
    </w:p>
    <w:p w14:paraId="60AB9139" w14:textId="77777777" w:rsidR="00C32DEE" w:rsidRPr="00894333" w:rsidRDefault="00C32DEE" w:rsidP="00C32DEE">
      <w:pPr>
        <w:spacing w:line="240" w:lineRule="auto"/>
        <w:jc w:val="both"/>
        <w:rPr>
          <w:rFonts w:ascii="Arial" w:hAnsi="Arial" w:cs="Arial"/>
          <w:sz w:val="28"/>
        </w:rPr>
      </w:pPr>
      <w:r w:rsidRPr="00894333">
        <w:rPr>
          <w:rFonts w:ascii="Arial" w:hAnsi="Arial" w:cs="Arial"/>
          <w:sz w:val="28"/>
        </w:rPr>
        <w:t xml:space="preserve">Issuing new equity of £50,000-75,000m by rights issue or strategic investor placement may: reinforce the balance sheet; lower gearing ratios; revive the lenders confidence; and finance turnaround investments. But the current base of equity will mean a massive dilution to the existing shareholders (Altman, 2013). New capital may have to issue the shares at a substantial discount to book value at a distressed valuation level. Possible investors could be the private equity investors who require change of board and change of management (Rashid, Khan and Qureshi, 2024). </w:t>
      </w:r>
    </w:p>
    <w:p w14:paraId="37482BCE" w14:textId="54A1DD17" w:rsidR="00A46171" w:rsidRPr="00894333" w:rsidRDefault="00A46171" w:rsidP="00D33FCA">
      <w:pPr>
        <w:spacing w:before="240" w:line="240" w:lineRule="auto"/>
        <w:jc w:val="both"/>
        <w:rPr>
          <w:rFonts w:ascii="Arial" w:hAnsi="Arial" w:cs="Arial"/>
          <w:b/>
          <w:bCs/>
          <w:sz w:val="28"/>
        </w:rPr>
      </w:pPr>
      <w:r w:rsidRPr="00894333">
        <w:rPr>
          <w:rFonts w:ascii="Arial" w:hAnsi="Arial" w:cs="Arial"/>
          <w:b/>
          <w:bCs/>
          <w:sz w:val="28"/>
        </w:rPr>
        <w:t>Suggested Hybrid Solution:</w:t>
      </w:r>
    </w:p>
    <w:p w14:paraId="66C53E59" w14:textId="77777777" w:rsidR="00A46171" w:rsidRPr="00894333" w:rsidRDefault="00A46171" w:rsidP="00530AFB">
      <w:pPr>
        <w:jc w:val="both"/>
        <w:rPr>
          <w:rFonts w:ascii="Arial" w:hAnsi="Arial" w:cs="Arial"/>
          <w:sz w:val="28"/>
        </w:rPr>
      </w:pPr>
      <w:r w:rsidRPr="00894333">
        <w:rPr>
          <w:rFonts w:ascii="Arial" w:hAnsi="Arial" w:cs="Arial"/>
          <w:sz w:val="28"/>
        </w:rPr>
        <w:t>Effect a thorough restructuring involving through selling off non-core assets of value of £15,000m; issuing new equity capital of value of £40,000m (even at the cost of dilution); and negotiating a debt restructuring of turning into equity, of amount of £20,000m. This puts around 55000 m cash in the pocket, and its liabilities would be lower by 20000m, which will significantly enhance financial flexibility. The restructuring must be done at the same time to maximize the confidence of the stakeholders (Altman, 2013).</w:t>
      </w:r>
    </w:p>
    <w:p w14:paraId="37F5C53C" w14:textId="77777777" w:rsidR="00A46171" w:rsidRPr="00894333" w:rsidRDefault="00A46171" w:rsidP="00D33FCA">
      <w:pPr>
        <w:spacing w:before="240" w:line="240" w:lineRule="auto"/>
        <w:jc w:val="both"/>
        <w:rPr>
          <w:rFonts w:ascii="Arial" w:hAnsi="Arial" w:cs="Arial"/>
          <w:b/>
          <w:bCs/>
          <w:sz w:val="28"/>
        </w:rPr>
      </w:pPr>
      <w:r w:rsidRPr="00894333">
        <w:rPr>
          <w:rFonts w:ascii="Arial" w:hAnsi="Arial" w:cs="Arial"/>
          <w:b/>
          <w:bCs/>
          <w:sz w:val="28"/>
        </w:rPr>
        <w:t>Impact on Debt Structure</w:t>
      </w:r>
    </w:p>
    <w:p w14:paraId="7E1A7443" w14:textId="77777777" w:rsidR="006E195A" w:rsidRPr="00894333" w:rsidRDefault="006E195A" w:rsidP="00827D92">
      <w:pPr>
        <w:jc w:val="both"/>
        <w:rPr>
          <w:rFonts w:ascii="Arial" w:hAnsi="Arial" w:cs="Arial"/>
          <w:sz w:val="28"/>
        </w:rPr>
      </w:pPr>
      <w:r w:rsidRPr="00894333">
        <w:rPr>
          <w:rFonts w:ascii="Arial" w:hAnsi="Arial" w:cs="Arial"/>
          <w:sz w:val="28"/>
        </w:rPr>
        <w:t>The proposed restructuring is a significant improvement in the debt position at General Electronics. Currently, its total liabilities stand at 170, 249m and debt, equity ratio of 1.11 indicating that it is overleveraged. Conversion of the debt to equity of more than 20,000m would bring the debts down to approximately 150,249m and the equity raised would be 40,000m would bring the shareholders equity to 193,105m. Such restructuring brings down the gearing ratio to 0.78 compared to 1.11 to restore a normal capital structure. Also, there are minor debt servicing expenses which reduce the interest that will be paid in a given year; (3,361m) to approximately (2,500m) that improves the interest cover ratios.</w:t>
      </w:r>
    </w:p>
    <w:p w14:paraId="095C3573" w14:textId="23B8A83A" w:rsidR="00A46171" w:rsidRPr="00894333" w:rsidRDefault="00074950" w:rsidP="00074950">
      <w:pPr>
        <w:pStyle w:val="Heading2"/>
        <w:rPr>
          <w:rFonts w:ascii="Arial" w:hAnsi="Arial" w:cs="Arial"/>
        </w:rPr>
      </w:pPr>
      <w:bookmarkStart w:id="29" w:name="_Toc217038447"/>
      <w:r w:rsidRPr="00894333">
        <w:rPr>
          <w:rFonts w:ascii="Arial" w:hAnsi="Arial" w:cs="Arial"/>
        </w:rPr>
        <w:t>4.2</w:t>
      </w:r>
      <w:r w:rsidR="00A46171" w:rsidRPr="00894333">
        <w:rPr>
          <w:rFonts w:ascii="Arial" w:hAnsi="Arial" w:cs="Arial"/>
        </w:rPr>
        <w:t xml:space="preserve"> Impact on Shareholder Value</w:t>
      </w:r>
      <w:bookmarkEnd w:id="29"/>
    </w:p>
    <w:p w14:paraId="317B2337" w14:textId="77777777" w:rsidR="00A46171" w:rsidRPr="00894333" w:rsidRDefault="00A46171" w:rsidP="00530AFB">
      <w:pPr>
        <w:jc w:val="both"/>
        <w:rPr>
          <w:rFonts w:ascii="Arial" w:hAnsi="Arial" w:cs="Arial"/>
          <w:sz w:val="28"/>
        </w:rPr>
      </w:pPr>
      <w:r w:rsidRPr="00894333">
        <w:rPr>
          <w:rFonts w:ascii="Arial" w:hAnsi="Arial" w:cs="Arial"/>
          <w:sz w:val="28"/>
        </w:rPr>
        <w:t>Shareholders are severely affected by the restructuring plan. New equity would dilute existing equity value per share (£153,105m/12,959m shares =11.81 book value per share). The equity amount of 40,000m at a distressed valuation (8.00 per share) would be raised and the 5,000m new shares would be issued and this will result in an existing shareholding of 72% (12,959m/17,959m shares). Also, conversion of the debt, 20,000m at 6.00 per share, into equity would result in the issue of 3,333m additional shares, and this would dilute the current holders to 60 per cent (12,959m / 21,292m shares) (Cındık and Armutlulu, 2021). Dilution is harsh, and so would be the other option, which is the ongoing loss that would wipe up all the shareholder value. And assume the company goes back to 5% net margins on current sales (5% of 394,879m annual profit = 19,744m actual profit)– then post-restructuring the company would earn earnings per share of 0.93 (19,744m / 21,292m shares) which would perhaps support the price of the company shares at 12-15 at fair market multiples. This is recovery of values, but not restoration to historic values (Supty et al., 2025).</w:t>
      </w:r>
    </w:p>
    <w:p w14:paraId="2109D07C" w14:textId="77777777" w:rsidR="00907976" w:rsidRDefault="00907976" w:rsidP="00D33FCA">
      <w:pPr>
        <w:spacing w:before="240" w:line="240" w:lineRule="auto"/>
        <w:jc w:val="both"/>
        <w:rPr>
          <w:rFonts w:ascii="Arial" w:hAnsi="Arial" w:cs="Arial"/>
          <w:b/>
          <w:bCs/>
          <w:sz w:val="28"/>
        </w:rPr>
      </w:pPr>
    </w:p>
    <w:p w14:paraId="549AA9CF" w14:textId="77777777" w:rsidR="002F69B0" w:rsidRPr="00894333" w:rsidRDefault="002F69B0" w:rsidP="00D33FCA">
      <w:pPr>
        <w:spacing w:before="240" w:line="240" w:lineRule="auto"/>
        <w:jc w:val="both"/>
        <w:rPr>
          <w:rFonts w:ascii="Arial" w:hAnsi="Arial" w:cs="Arial"/>
          <w:b/>
          <w:bCs/>
          <w:sz w:val="28"/>
        </w:rPr>
      </w:pPr>
    </w:p>
    <w:p w14:paraId="5C02D5C9" w14:textId="7BB67094" w:rsidR="00A46171" w:rsidRPr="00894333" w:rsidRDefault="00A46171" w:rsidP="00D33FCA">
      <w:pPr>
        <w:spacing w:before="240" w:line="240" w:lineRule="auto"/>
        <w:jc w:val="both"/>
        <w:rPr>
          <w:rFonts w:ascii="Arial" w:hAnsi="Arial" w:cs="Arial"/>
          <w:b/>
          <w:bCs/>
          <w:sz w:val="28"/>
        </w:rPr>
      </w:pPr>
      <w:r w:rsidRPr="00894333">
        <w:rPr>
          <w:rFonts w:ascii="Arial" w:hAnsi="Arial" w:cs="Arial"/>
          <w:b/>
          <w:bCs/>
          <w:sz w:val="28"/>
        </w:rPr>
        <w:lastRenderedPageBreak/>
        <w:t>Operational Flexibility Enhancement</w:t>
      </w:r>
    </w:p>
    <w:p w14:paraId="73D073EE" w14:textId="77777777" w:rsidR="00A46171" w:rsidRPr="00894333" w:rsidRDefault="00A46171" w:rsidP="00530AFB">
      <w:pPr>
        <w:jc w:val="both"/>
        <w:rPr>
          <w:rFonts w:ascii="Arial" w:hAnsi="Arial" w:cs="Arial"/>
          <w:sz w:val="28"/>
        </w:rPr>
      </w:pPr>
      <w:r w:rsidRPr="00894333">
        <w:rPr>
          <w:rFonts w:ascii="Arial" w:hAnsi="Arial" w:cs="Arial"/>
          <w:sz w:val="28"/>
        </w:rPr>
        <w:t>The restructuring dramatically boosts the flexibility of the operations through: cutting debt servicing needs by about 3,361m to 1,500m (by cutting liabilities); raising the current ratio to more than 2.0 (adding 55,000m cash); reducing the gearing ratio to about 0.60 (reduction of liabilities and increase of equity); and a capacity of strategic investments (Supty et al., 2025). The management has the flexibility to invest in growth projects, to complementary businesses or to endure further challenges in the industry without ever having to worry about liquidity. The balance sheet is also enhanced, which enhances supplier and customer confidence, which is important in the continuity of the business (Cındık and Armutlulu, 2021).</w:t>
      </w:r>
    </w:p>
    <w:p w14:paraId="1EFC7197" w14:textId="65E56E24" w:rsidR="00A46171" w:rsidRPr="00894333" w:rsidRDefault="00074950" w:rsidP="00074950">
      <w:pPr>
        <w:pStyle w:val="Heading2"/>
        <w:rPr>
          <w:rFonts w:ascii="Arial" w:hAnsi="Arial" w:cs="Arial"/>
        </w:rPr>
      </w:pPr>
      <w:bookmarkStart w:id="30" w:name="_Toc217038448"/>
      <w:r w:rsidRPr="00894333">
        <w:rPr>
          <w:rFonts w:ascii="Arial" w:hAnsi="Arial" w:cs="Arial"/>
        </w:rPr>
        <w:t>4.</w:t>
      </w:r>
      <w:r w:rsidR="00A46171" w:rsidRPr="00894333">
        <w:rPr>
          <w:rFonts w:ascii="Arial" w:hAnsi="Arial" w:cs="Arial"/>
        </w:rPr>
        <w:t>3 International and Ethical Considerations</w:t>
      </w:r>
      <w:bookmarkEnd w:id="30"/>
    </w:p>
    <w:p w14:paraId="559E78B5" w14:textId="77777777" w:rsidR="00A46171" w:rsidRPr="00894333" w:rsidRDefault="00A46171" w:rsidP="00B12CBD">
      <w:pPr>
        <w:spacing w:before="240" w:line="240" w:lineRule="auto"/>
        <w:jc w:val="both"/>
        <w:rPr>
          <w:rFonts w:ascii="Arial" w:hAnsi="Arial" w:cs="Arial"/>
          <w:b/>
          <w:bCs/>
          <w:sz w:val="28"/>
        </w:rPr>
      </w:pPr>
      <w:r w:rsidRPr="00894333">
        <w:rPr>
          <w:rFonts w:ascii="Arial" w:hAnsi="Arial" w:cs="Arial"/>
          <w:b/>
          <w:bCs/>
          <w:sz w:val="28"/>
        </w:rPr>
        <w:t>Taxation Implications:</w:t>
      </w:r>
    </w:p>
    <w:p w14:paraId="3B89A334" w14:textId="77777777" w:rsidR="00A46171" w:rsidRPr="00894333" w:rsidRDefault="00A46171" w:rsidP="00B12CBD">
      <w:pPr>
        <w:spacing w:line="240" w:lineRule="auto"/>
        <w:jc w:val="both"/>
        <w:rPr>
          <w:rFonts w:ascii="Arial" w:hAnsi="Arial" w:cs="Arial"/>
          <w:sz w:val="28"/>
        </w:rPr>
      </w:pPr>
      <w:r w:rsidRPr="00894333">
        <w:rPr>
          <w:rFonts w:ascii="Arial" w:hAnsi="Arial" w:cs="Arial"/>
          <w:sz w:val="28"/>
        </w:rPr>
        <w:t>The capital gains taxes can be triggered since General Electronics operates in various jurisdictions which require asset divestitures. The company must organize the transactions to limit leakages in taxation which could be using tax loss utilization strategies considering the recent losses (Panigrahi, 2019). Issuance of equity does not usually attract any tax ramifications but can result in dividend taxation in the future. Transfer pricing regulations, withholding taxes and permanent establishment matters should be taken into serious consideration when international restructuring is being done. Tax advisors have to be careful of ensuring that the restructuring is tax efficient in all jurisdictions (Supty et al., 2025).</w:t>
      </w:r>
    </w:p>
    <w:p w14:paraId="2A46C780" w14:textId="77777777" w:rsidR="00A46171" w:rsidRPr="00894333" w:rsidRDefault="00A46171" w:rsidP="00A108B1">
      <w:pPr>
        <w:spacing w:before="240" w:after="0" w:line="240" w:lineRule="auto"/>
        <w:jc w:val="both"/>
        <w:rPr>
          <w:rFonts w:ascii="Arial" w:hAnsi="Arial" w:cs="Arial"/>
          <w:b/>
          <w:bCs/>
          <w:sz w:val="28"/>
        </w:rPr>
      </w:pPr>
      <w:r w:rsidRPr="00894333">
        <w:rPr>
          <w:rFonts w:ascii="Arial" w:hAnsi="Arial" w:cs="Arial"/>
          <w:b/>
          <w:bCs/>
          <w:sz w:val="28"/>
        </w:rPr>
        <w:t>Currency Risk Management:</w:t>
      </w:r>
    </w:p>
    <w:p w14:paraId="78604985" w14:textId="20A39832" w:rsidR="00A46171" w:rsidRPr="00894333" w:rsidRDefault="00A46171" w:rsidP="00A108B1">
      <w:pPr>
        <w:spacing w:after="0" w:line="240" w:lineRule="auto"/>
        <w:jc w:val="both"/>
        <w:rPr>
          <w:rFonts w:ascii="Arial" w:hAnsi="Arial" w:cs="Arial"/>
          <w:sz w:val="28"/>
        </w:rPr>
      </w:pPr>
      <w:r w:rsidRPr="00894333">
        <w:rPr>
          <w:rFonts w:ascii="Arial" w:hAnsi="Arial" w:cs="Arial"/>
          <w:sz w:val="28"/>
        </w:rPr>
        <w:t xml:space="preserve">General Electronics is an international company and is exposed to currency translation risks and currency transaction risks. Accumulated other comprehensive income losses in the financial statements indicate that there will be a loss of £28,350m (2024) in the financial statements, which in part will comprise losses in translation of currencies. The restructure must bring operations in fewer currencies, natural hedging where revenues and costs would be in the same currencies and selective hedging instruments on large exposures. The company is supposed to keep speculation of currencies low and hedge against </w:t>
      </w:r>
      <w:r w:rsidR="003C4BFE" w:rsidRPr="00894333">
        <w:rPr>
          <w:rFonts w:ascii="Arial" w:hAnsi="Arial" w:cs="Arial"/>
          <w:sz w:val="28"/>
        </w:rPr>
        <w:t>unfavourable</w:t>
      </w:r>
      <w:r w:rsidRPr="00894333">
        <w:rPr>
          <w:rFonts w:ascii="Arial" w:hAnsi="Arial" w:cs="Arial"/>
          <w:sz w:val="28"/>
        </w:rPr>
        <w:t xml:space="preserve"> movements that may destroy the restructuring gains (Supty et al., 2025).</w:t>
      </w:r>
    </w:p>
    <w:p w14:paraId="79FC5824" w14:textId="77777777" w:rsidR="00907976" w:rsidRPr="00894333" w:rsidRDefault="00907976" w:rsidP="00B64BA7">
      <w:pPr>
        <w:spacing w:before="240" w:after="0" w:line="360" w:lineRule="auto"/>
        <w:jc w:val="both"/>
        <w:rPr>
          <w:rFonts w:ascii="Arial" w:hAnsi="Arial" w:cs="Arial"/>
          <w:b/>
          <w:bCs/>
          <w:sz w:val="28"/>
        </w:rPr>
      </w:pPr>
    </w:p>
    <w:p w14:paraId="66E63006" w14:textId="77777777" w:rsidR="00907976" w:rsidRPr="00894333" w:rsidRDefault="00907976" w:rsidP="00B64BA7">
      <w:pPr>
        <w:spacing w:before="240" w:after="0" w:line="360" w:lineRule="auto"/>
        <w:jc w:val="both"/>
        <w:rPr>
          <w:rFonts w:ascii="Arial" w:hAnsi="Arial" w:cs="Arial"/>
          <w:b/>
          <w:bCs/>
          <w:sz w:val="28"/>
        </w:rPr>
      </w:pPr>
    </w:p>
    <w:p w14:paraId="20F17339" w14:textId="60CE56D6" w:rsidR="00A46171" w:rsidRPr="00894333" w:rsidRDefault="00A46171" w:rsidP="00B64BA7">
      <w:pPr>
        <w:spacing w:before="240" w:after="0" w:line="360" w:lineRule="auto"/>
        <w:jc w:val="both"/>
        <w:rPr>
          <w:rFonts w:ascii="Arial" w:hAnsi="Arial" w:cs="Arial"/>
          <w:b/>
          <w:bCs/>
          <w:sz w:val="28"/>
        </w:rPr>
      </w:pPr>
      <w:r w:rsidRPr="00894333">
        <w:rPr>
          <w:rFonts w:ascii="Arial" w:hAnsi="Arial" w:cs="Arial"/>
          <w:b/>
          <w:bCs/>
          <w:sz w:val="28"/>
        </w:rPr>
        <w:lastRenderedPageBreak/>
        <w:t>Inflation Considerations:</w:t>
      </w:r>
    </w:p>
    <w:p w14:paraId="69DE0794" w14:textId="77777777" w:rsidR="00A46171" w:rsidRPr="00894333" w:rsidRDefault="00A46171" w:rsidP="00B64BA7">
      <w:pPr>
        <w:spacing w:after="0"/>
        <w:jc w:val="both"/>
        <w:rPr>
          <w:rFonts w:ascii="Arial" w:hAnsi="Arial" w:cs="Arial"/>
          <w:sz w:val="28"/>
        </w:rPr>
      </w:pPr>
      <w:r w:rsidRPr="00894333">
        <w:rPr>
          <w:rFonts w:ascii="Arial" w:hAnsi="Arial" w:cs="Arial"/>
          <w:sz w:val="28"/>
        </w:rPr>
        <w:t>Inflation in the world has an impact on the cost of restructuring and the current activities. Increasing interest rates will increase the cost of borrowing and restore the urgency in restructuring of debt. Inflation causes the input prices to rise and this may wipe down the margins unless charged out to the customers in the form of prices. The restructuring must also include the inflation assumptions in the financial projections to have proper capital buffer in inflation-driven increased working capital. Fixed-rate long-term debt should be as much as possible to prevent the rise of rates due to inflation (Panigrahi, 2019).</w:t>
      </w:r>
    </w:p>
    <w:p w14:paraId="05AF4D15" w14:textId="77777777" w:rsidR="00B12CBD" w:rsidRPr="00894333" w:rsidRDefault="00B12CBD" w:rsidP="00B64BA7">
      <w:pPr>
        <w:spacing w:after="0"/>
        <w:jc w:val="both"/>
        <w:rPr>
          <w:rFonts w:ascii="Arial" w:hAnsi="Arial" w:cs="Arial"/>
          <w:sz w:val="28"/>
        </w:rPr>
      </w:pPr>
    </w:p>
    <w:p w14:paraId="05D5A99D" w14:textId="77777777" w:rsidR="00A46171" w:rsidRPr="00894333" w:rsidRDefault="00A46171" w:rsidP="00B12CBD">
      <w:pPr>
        <w:spacing w:after="0" w:line="360" w:lineRule="auto"/>
        <w:jc w:val="both"/>
        <w:rPr>
          <w:rFonts w:ascii="Arial" w:hAnsi="Arial" w:cs="Arial"/>
          <w:b/>
          <w:bCs/>
          <w:sz w:val="28"/>
        </w:rPr>
      </w:pPr>
      <w:r w:rsidRPr="00894333">
        <w:rPr>
          <w:rFonts w:ascii="Arial" w:hAnsi="Arial" w:cs="Arial"/>
          <w:b/>
          <w:bCs/>
          <w:sz w:val="28"/>
        </w:rPr>
        <w:t>Corporate Social responsibility:</w:t>
      </w:r>
    </w:p>
    <w:p w14:paraId="70D88E46" w14:textId="77777777" w:rsidR="00A46171" w:rsidRPr="00894333" w:rsidRDefault="00A46171" w:rsidP="00B12CBD">
      <w:pPr>
        <w:spacing w:after="0"/>
        <w:jc w:val="both"/>
        <w:rPr>
          <w:rFonts w:ascii="Arial" w:hAnsi="Arial" w:cs="Arial"/>
          <w:sz w:val="28"/>
        </w:rPr>
      </w:pPr>
      <w:r w:rsidRPr="00894333">
        <w:rPr>
          <w:rFonts w:ascii="Arial" w:hAnsi="Arial" w:cs="Arial"/>
          <w:sz w:val="28"/>
        </w:rPr>
        <w:t>The ethical restructuring demands the balancing of other stakeholder interests other than that of shareholders. Employee effects; underperformance of some employees due to divestiture or merger needs to be treated justly by giving them reasonable notice time, severance packages, and outplacement assistance. The relationship with suppliers should be conducted in an ethical manner without the element of exploitation by extending payment terms to the small suppliers to the extent that they go bankrupt (Panigrahi, 2019).</w:t>
      </w:r>
    </w:p>
    <w:p w14:paraId="26C50BB8" w14:textId="77777777" w:rsidR="00B64BA7" w:rsidRPr="00894333" w:rsidRDefault="00B64BA7" w:rsidP="00530AFB">
      <w:pPr>
        <w:jc w:val="both"/>
        <w:rPr>
          <w:rFonts w:ascii="Arial" w:hAnsi="Arial" w:cs="Arial"/>
          <w:sz w:val="28"/>
        </w:rPr>
      </w:pPr>
    </w:p>
    <w:p w14:paraId="3ED71402" w14:textId="77777777" w:rsidR="00A46171" w:rsidRPr="00894333" w:rsidRDefault="00A46171" w:rsidP="009013DE">
      <w:pPr>
        <w:pStyle w:val="Heading1"/>
        <w:spacing w:before="0"/>
        <w:jc w:val="both"/>
        <w:rPr>
          <w:rFonts w:ascii="Arial" w:hAnsi="Arial" w:cs="Arial"/>
          <w:b/>
          <w:sz w:val="36"/>
          <w:szCs w:val="36"/>
          <w:lang w:bidi="ar-SA"/>
        </w:rPr>
      </w:pPr>
      <w:bookmarkStart w:id="31" w:name="_Toc212908259"/>
      <w:bookmarkStart w:id="32" w:name="_Toc217038449"/>
      <w:r w:rsidRPr="00894333">
        <w:rPr>
          <w:rFonts w:ascii="Arial" w:hAnsi="Arial" w:cs="Arial"/>
          <w:b/>
          <w:sz w:val="36"/>
          <w:szCs w:val="36"/>
          <w:lang w:bidi="ar-SA"/>
        </w:rPr>
        <w:t>5. Investment Appraisal and Capital Budgeting</w:t>
      </w:r>
      <w:bookmarkEnd w:id="31"/>
      <w:bookmarkEnd w:id="32"/>
    </w:p>
    <w:p w14:paraId="247DD02B" w14:textId="77777777" w:rsidR="00005BE7" w:rsidRPr="00894333" w:rsidRDefault="00005BE7" w:rsidP="00005BE7">
      <w:pPr>
        <w:spacing w:before="240" w:after="0" w:line="276" w:lineRule="auto"/>
        <w:jc w:val="both"/>
        <w:rPr>
          <w:rFonts w:ascii="Arial" w:hAnsi="Arial" w:cs="Arial"/>
          <w:sz w:val="28"/>
        </w:rPr>
      </w:pPr>
      <w:r w:rsidRPr="00894333">
        <w:rPr>
          <w:rFonts w:ascii="Arial" w:hAnsi="Arial" w:cs="Arial"/>
          <w:sz w:val="28"/>
        </w:rPr>
        <w:t>General Electronics is in a desperate situation of capital allocation when it is in a state of financial distress and is subjected to a harsh capital rationing guideline of £60 million, where it must critically evaluate three investment opportunities. This is a quantitative analysis, which uses five quantitative appraisal methodologies, Payback Period (PBP), Accounting rate of return (ARR), Net Present Value (NPV), Profitability Index (PI), and Internal rate of Return (IRR) in order to identify the best investment that will maximize the shareholder value based on the diminished liquidity position and profitability issues of the company (Sudarsanam and Lai, 2001).</w:t>
      </w:r>
    </w:p>
    <w:p w14:paraId="3632F54C" w14:textId="77777777" w:rsidR="009143CB" w:rsidRPr="00894333" w:rsidRDefault="009143CB" w:rsidP="00005BE7">
      <w:pPr>
        <w:spacing w:before="240" w:after="0" w:line="276" w:lineRule="auto"/>
        <w:jc w:val="both"/>
        <w:rPr>
          <w:rFonts w:ascii="Arial" w:hAnsi="Arial" w:cs="Arial"/>
          <w:sz w:val="28"/>
        </w:rPr>
      </w:pPr>
    </w:p>
    <w:p w14:paraId="0433CF93" w14:textId="77777777" w:rsidR="009143CB" w:rsidRPr="00894333" w:rsidRDefault="009143CB" w:rsidP="00005BE7">
      <w:pPr>
        <w:spacing w:before="240" w:after="0" w:line="276" w:lineRule="auto"/>
        <w:jc w:val="both"/>
        <w:rPr>
          <w:rFonts w:ascii="Arial" w:hAnsi="Arial" w:cs="Arial"/>
          <w:sz w:val="28"/>
        </w:rPr>
      </w:pPr>
    </w:p>
    <w:p w14:paraId="1A8FB1EF" w14:textId="77777777" w:rsidR="009143CB" w:rsidRPr="00894333" w:rsidRDefault="009143CB" w:rsidP="00005BE7">
      <w:pPr>
        <w:spacing w:before="240" w:after="0" w:line="276" w:lineRule="auto"/>
        <w:jc w:val="both"/>
        <w:rPr>
          <w:rFonts w:ascii="Arial" w:hAnsi="Arial" w:cs="Arial"/>
          <w:sz w:val="28"/>
        </w:rPr>
      </w:pPr>
    </w:p>
    <w:p w14:paraId="1585081F" w14:textId="58F263BF" w:rsidR="000D2963" w:rsidRPr="00894333" w:rsidRDefault="00CE62DE" w:rsidP="001B35DC">
      <w:pPr>
        <w:pStyle w:val="Heading3"/>
        <w:rPr>
          <w:rFonts w:ascii="Arial" w:hAnsi="Arial" w:cs="Arial"/>
          <w:sz w:val="32"/>
          <w:szCs w:val="36"/>
        </w:rPr>
      </w:pPr>
      <w:bookmarkStart w:id="33" w:name="_Toc217038450"/>
      <w:r w:rsidRPr="00894333">
        <w:rPr>
          <w:rFonts w:ascii="Arial" w:hAnsi="Arial" w:cs="Arial"/>
          <w:sz w:val="32"/>
          <w:szCs w:val="36"/>
        </w:rPr>
        <w:lastRenderedPageBreak/>
        <w:t>Detailed Calculations of Project A</w:t>
      </w:r>
      <w:bookmarkEnd w:id="33"/>
    </w:p>
    <w:p w14:paraId="4AA61A8C" w14:textId="74388573" w:rsidR="00A60A41" w:rsidRPr="00894333" w:rsidRDefault="00407E22" w:rsidP="00D3344B">
      <w:pPr>
        <w:spacing w:before="240" w:after="0" w:line="240" w:lineRule="auto"/>
        <w:jc w:val="center"/>
        <w:rPr>
          <w:rFonts w:ascii="Arial" w:hAnsi="Arial" w:cs="Arial"/>
          <w:sz w:val="28"/>
        </w:rPr>
      </w:pPr>
      <w:r w:rsidRPr="00894333">
        <w:rPr>
          <w:rFonts w:ascii="Arial" w:hAnsi="Arial" w:cs="Arial"/>
          <w:noProof/>
          <w:sz w:val="28"/>
        </w:rPr>
        <w:drawing>
          <wp:inline distT="0" distB="0" distL="0" distR="0" wp14:anchorId="37647DEC" wp14:editId="35CAEF87">
            <wp:extent cx="4943475" cy="6648450"/>
            <wp:effectExtent l="0" t="0" r="9525" b="0"/>
            <wp:docPr id="21192668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266855" name="Picture 2119266855"/>
                    <pic:cNvPicPr/>
                  </pic:nvPicPr>
                  <pic:blipFill>
                    <a:blip r:embed="rId36">
                      <a:extLst>
                        <a:ext uri="{28A0092B-C50C-407E-A947-70E740481C1C}">
                          <a14:useLocalDpi xmlns:a14="http://schemas.microsoft.com/office/drawing/2010/main" val="0"/>
                        </a:ext>
                      </a:extLst>
                    </a:blip>
                    <a:stretch>
                      <a:fillRect/>
                    </a:stretch>
                  </pic:blipFill>
                  <pic:spPr>
                    <a:xfrm>
                      <a:off x="0" y="0"/>
                      <a:ext cx="4943475" cy="6648450"/>
                    </a:xfrm>
                    <a:prstGeom prst="rect">
                      <a:avLst/>
                    </a:prstGeom>
                  </pic:spPr>
                </pic:pic>
              </a:graphicData>
            </a:graphic>
          </wp:inline>
        </w:drawing>
      </w:r>
    </w:p>
    <w:p w14:paraId="4E7C57E5" w14:textId="77777777" w:rsidR="0026693F" w:rsidRPr="00894333" w:rsidRDefault="0026693F" w:rsidP="0026693F">
      <w:pPr>
        <w:spacing w:before="240" w:line="276" w:lineRule="auto"/>
        <w:jc w:val="both"/>
        <w:rPr>
          <w:rFonts w:ascii="Arial" w:hAnsi="Arial" w:cs="Arial"/>
          <w:sz w:val="28"/>
        </w:rPr>
      </w:pPr>
      <w:r w:rsidRPr="00894333">
        <w:rPr>
          <w:rFonts w:ascii="Arial" w:hAnsi="Arial" w:cs="Arial"/>
          <w:b/>
          <w:bCs/>
          <w:sz w:val="28"/>
        </w:rPr>
        <w:t xml:space="preserve">Project A </w:t>
      </w:r>
      <w:r w:rsidRPr="00894333">
        <w:rPr>
          <w:rFonts w:ascii="Arial" w:hAnsi="Arial" w:cs="Arial"/>
          <w:sz w:val="28"/>
        </w:rPr>
        <w:t xml:space="preserve">portrays a middle level of value creation through positive NPV of 1.33m and profitability index of 1.033 meaning that every pound invested creates value in terms of present value of 1.033. The payback period of 3.4 years is satisfactory and timely considering the liquidity position of General Electronics (Schweizer and Nienhaus, 2017). Nevertheless, ARR of 14 percent and IRR of 11.34 percent are slightly better than the 10 percent cost of capital implying that there is not much </w:t>
      </w:r>
      <w:r w:rsidRPr="00894333">
        <w:rPr>
          <w:rFonts w:ascii="Arial" w:hAnsi="Arial" w:cs="Arial"/>
          <w:sz w:val="28"/>
        </w:rPr>
        <w:lastRenderedPageBreak/>
        <w:t>risk buffer. There is an irregular cash flow pattern, which is high mid-cycle followed by a decrease in the pattern, which would provide a potential issue in working capital management. Although tolerable, the low value creation of Project A might not be sufficient to have a significant influence on the financial turnaround needs of the company (Wells, 2024).</w:t>
      </w:r>
    </w:p>
    <w:p w14:paraId="1344C249" w14:textId="426764D9" w:rsidR="0026693F" w:rsidRPr="00894333" w:rsidRDefault="0026693F" w:rsidP="0026693F">
      <w:pPr>
        <w:spacing w:before="240" w:line="276" w:lineRule="auto"/>
        <w:jc w:val="both"/>
        <w:rPr>
          <w:rFonts w:ascii="Arial" w:hAnsi="Arial" w:cs="Arial"/>
          <w:sz w:val="28"/>
        </w:rPr>
      </w:pPr>
      <w:r w:rsidRPr="00894333">
        <w:rPr>
          <w:rFonts w:ascii="Arial" w:hAnsi="Arial" w:cs="Arial"/>
          <w:sz w:val="28"/>
        </w:rPr>
        <w:t xml:space="preserve">The cash flow downward trend in the later years of Project A (reducing to £8m in Year 5) is an indicator that it may run out of products’ lifecycle or may find the market saturated and therefore issues of sustainability may arise after the period of evaluation. This trend is not very </w:t>
      </w:r>
      <w:r w:rsidR="003C4BFE" w:rsidRPr="00894333">
        <w:rPr>
          <w:rFonts w:ascii="Arial" w:hAnsi="Arial" w:cs="Arial"/>
          <w:sz w:val="28"/>
        </w:rPr>
        <w:t>favourable</w:t>
      </w:r>
      <w:r w:rsidRPr="00894333">
        <w:rPr>
          <w:rFonts w:ascii="Arial" w:hAnsi="Arial" w:cs="Arial"/>
          <w:sz w:val="28"/>
        </w:rPr>
        <w:t xml:space="preserve"> as compared with growth-oriented cash flow patterns which would be more appropriate to help a struggling firm recover its story (Schweizer and Nienhaus, 2017). The cumulative profit of the project amounting to only £14m in the span of five years of operation-average of 2.8m-is based on a total cash generation of the project of £54m, which is more than 35 times greater than the initial investment. In the case of General Electronics, which is currently making losses of £24m annually and has outstanding liabilities of over a hundred million pounds, the contribution of Project A is inconsequential compared to the requirements of restructuring that entails value creation of tens of millions (Wells, 2024).</w:t>
      </w:r>
    </w:p>
    <w:p w14:paraId="45FA9EEC" w14:textId="4FDE390B" w:rsidR="004B7663" w:rsidRPr="00894333" w:rsidRDefault="0026693F" w:rsidP="0026693F">
      <w:pPr>
        <w:spacing w:before="240" w:line="276" w:lineRule="auto"/>
        <w:jc w:val="both"/>
        <w:rPr>
          <w:rFonts w:ascii="Arial" w:hAnsi="Arial" w:cs="Arial"/>
          <w:sz w:val="28"/>
        </w:rPr>
      </w:pPr>
      <w:r w:rsidRPr="00894333">
        <w:rPr>
          <w:rFonts w:ascii="Arial" w:hAnsi="Arial" w:cs="Arial"/>
          <w:sz w:val="28"/>
        </w:rPr>
        <w:t>Moreover, the close 1.34 percentage point margin between IRR (11.34) and cost of capital (10) leaves very little wig room in the event of a negative situation such as revenue loss, cost increase or macro deterioration. As the operational instability of General Electronics is indicated by the 35.7 percent decrease in revenue (2020-2024), negative EBIT, and Altman Z-score of 2.82 (highlighting moderate risk of bankruptcy), the company has to be invested in projects that show high returns in the case of stress conditions (Schweizer and Nienhaus, 2017).</w:t>
      </w:r>
    </w:p>
    <w:p w14:paraId="5C29F219" w14:textId="77777777" w:rsidR="00005BE7" w:rsidRPr="00894333" w:rsidRDefault="00005BE7" w:rsidP="00530AFB">
      <w:pPr>
        <w:spacing w:before="240" w:line="360" w:lineRule="auto"/>
        <w:jc w:val="both"/>
        <w:rPr>
          <w:rFonts w:ascii="Arial" w:hAnsi="Arial" w:cs="Arial"/>
          <w:b/>
          <w:bCs/>
          <w:sz w:val="28"/>
        </w:rPr>
      </w:pPr>
    </w:p>
    <w:p w14:paraId="427164FD" w14:textId="77777777" w:rsidR="008F413F" w:rsidRPr="00894333" w:rsidRDefault="008F413F" w:rsidP="00530AFB">
      <w:pPr>
        <w:spacing w:before="240" w:line="360" w:lineRule="auto"/>
        <w:jc w:val="both"/>
        <w:rPr>
          <w:rFonts w:ascii="Arial" w:hAnsi="Arial" w:cs="Arial"/>
          <w:b/>
          <w:bCs/>
          <w:sz w:val="28"/>
        </w:rPr>
      </w:pPr>
    </w:p>
    <w:p w14:paraId="0287BC83" w14:textId="77777777" w:rsidR="008F413F" w:rsidRPr="00894333" w:rsidRDefault="008F413F" w:rsidP="00530AFB">
      <w:pPr>
        <w:spacing w:before="240" w:line="360" w:lineRule="auto"/>
        <w:jc w:val="both"/>
        <w:rPr>
          <w:rFonts w:ascii="Arial" w:hAnsi="Arial" w:cs="Arial"/>
          <w:b/>
          <w:bCs/>
          <w:sz w:val="28"/>
        </w:rPr>
      </w:pPr>
    </w:p>
    <w:p w14:paraId="3AE7428A" w14:textId="77777777" w:rsidR="008F413F" w:rsidRPr="00894333" w:rsidRDefault="008F413F" w:rsidP="00530AFB">
      <w:pPr>
        <w:spacing w:before="240" w:line="360" w:lineRule="auto"/>
        <w:jc w:val="both"/>
        <w:rPr>
          <w:rFonts w:ascii="Arial" w:hAnsi="Arial" w:cs="Arial"/>
          <w:b/>
          <w:bCs/>
          <w:sz w:val="28"/>
        </w:rPr>
      </w:pPr>
    </w:p>
    <w:p w14:paraId="2639075A" w14:textId="77777777" w:rsidR="008F413F" w:rsidRPr="00894333" w:rsidRDefault="008F413F" w:rsidP="00530AFB">
      <w:pPr>
        <w:spacing w:before="240" w:line="360" w:lineRule="auto"/>
        <w:jc w:val="both"/>
        <w:rPr>
          <w:rFonts w:ascii="Arial" w:hAnsi="Arial" w:cs="Arial"/>
          <w:b/>
          <w:bCs/>
          <w:sz w:val="28"/>
        </w:rPr>
      </w:pPr>
    </w:p>
    <w:p w14:paraId="4BF8BDF9" w14:textId="65E97505" w:rsidR="00F720F1" w:rsidRPr="00894333" w:rsidRDefault="00F720F1" w:rsidP="00F720F1">
      <w:pPr>
        <w:pStyle w:val="Heading3"/>
        <w:rPr>
          <w:rFonts w:ascii="Arial" w:hAnsi="Arial" w:cs="Arial"/>
          <w:sz w:val="32"/>
          <w:szCs w:val="36"/>
        </w:rPr>
      </w:pPr>
      <w:bookmarkStart w:id="34" w:name="_Toc217038451"/>
      <w:r w:rsidRPr="00894333">
        <w:rPr>
          <w:rFonts w:ascii="Arial" w:hAnsi="Arial" w:cs="Arial"/>
          <w:sz w:val="32"/>
          <w:szCs w:val="36"/>
        </w:rPr>
        <w:lastRenderedPageBreak/>
        <w:t xml:space="preserve">Detailed Calculations of Project </w:t>
      </w:r>
      <w:r w:rsidRPr="00894333">
        <w:rPr>
          <w:rFonts w:ascii="Arial" w:hAnsi="Arial" w:cs="Arial"/>
          <w:sz w:val="32"/>
          <w:szCs w:val="36"/>
        </w:rPr>
        <w:t>B</w:t>
      </w:r>
      <w:bookmarkEnd w:id="34"/>
    </w:p>
    <w:p w14:paraId="597C4C8A" w14:textId="456AF516" w:rsidR="004C6562" w:rsidRPr="00894333" w:rsidRDefault="004C6562" w:rsidP="00BC3E62">
      <w:pPr>
        <w:spacing w:before="240" w:line="360" w:lineRule="auto"/>
        <w:jc w:val="center"/>
        <w:rPr>
          <w:rFonts w:ascii="Arial" w:hAnsi="Arial" w:cs="Arial"/>
          <w:b/>
          <w:bCs/>
          <w:sz w:val="28"/>
        </w:rPr>
      </w:pPr>
      <w:r w:rsidRPr="00894333">
        <w:rPr>
          <w:rFonts w:ascii="Arial" w:hAnsi="Arial" w:cs="Arial"/>
          <w:b/>
          <w:bCs/>
          <w:noProof/>
          <w:sz w:val="28"/>
        </w:rPr>
        <w:drawing>
          <wp:inline distT="0" distB="0" distL="0" distR="0" wp14:anchorId="33492602" wp14:editId="5638F387">
            <wp:extent cx="4867275" cy="4629150"/>
            <wp:effectExtent l="0" t="0" r="9525" b="0"/>
            <wp:docPr id="112250098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500980" name="Picture 1122500980"/>
                    <pic:cNvPicPr/>
                  </pic:nvPicPr>
                  <pic:blipFill>
                    <a:blip r:embed="rId37">
                      <a:extLst>
                        <a:ext uri="{28A0092B-C50C-407E-A947-70E740481C1C}">
                          <a14:useLocalDpi xmlns:a14="http://schemas.microsoft.com/office/drawing/2010/main" val="0"/>
                        </a:ext>
                      </a:extLst>
                    </a:blip>
                    <a:stretch>
                      <a:fillRect/>
                    </a:stretch>
                  </pic:blipFill>
                  <pic:spPr>
                    <a:xfrm>
                      <a:off x="0" y="0"/>
                      <a:ext cx="4867275" cy="4629150"/>
                    </a:xfrm>
                    <a:prstGeom prst="rect">
                      <a:avLst/>
                    </a:prstGeom>
                  </pic:spPr>
                </pic:pic>
              </a:graphicData>
            </a:graphic>
          </wp:inline>
        </w:drawing>
      </w:r>
    </w:p>
    <w:p w14:paraId="2DA49C08" w14:textId="77777777" w:rsidR="004C6562" w:rsidRPr="00894333" w:rsidRDefault="004C6562" w:rsidP="006031B9">
      <w:pPr>
        <w:spacing w:before="240" w:line="276" w:lineRule="auto"/>
        <w:jc w:val="both"/>
        <w:rPr>
          <w:rFonts w:ascii="Arial" w:hAnsi="Arial" w:cs="Arial"/>
          <w:b/>
          <w:bCs/>
          <w:vanish/>
          <w:sz w:val="28"/>
          <w:highlight w:val="yellow"/>
        </w:rPr>
      </w:pPr>
    </w:p>
    <w:p w14:paraId="3D92E21B" w14:textId="77777777" w:rsidR="003A5ECA" w:rsidRPr="00894333" w:rsidRDefault="003A5ECA" w:rsidP="006031B9">
      <w:pPr>
        <w:spacing w:before="240" w:line="276" w:lineRule="auto"/>
        <w:jc w:val="both"/>
        <w:rPr>
          <w:rFonts w:ascii="Arial" w:hAnsi="Arial" w:cs="Arial"/>
          <w:b/>
          <w:bCs/>
          <w:vanish/>
          <w:sz w:val="28"/>
          <w:highlight w:val="yellow"/>
        </w:rPr>
      </w:pPr>
    </w:p>
    <w:p w14:paraId="46F902B8" w14:textId="77777777" w:rsidR="003A5ECA" w:rsidRPr="00894333" w:rsidRDefault="003A5ECA" w:rsidP="006031B9">
      <w:pPr>
        <w:spacing w:before="240" w:line="276" w:lineRule="auto"/>
        <w:jc w:val="both"/>
        <w:rPr>
          <w:rFonts w:ascii="Arial" w:hAnsi="Arial" w:cs="Arial"/>
          <w:b/>
          <w:bCs/>
          <w:vanish/>
          <w:sz w:val="28"/>
          <w:highlight w:val="yellow"/>
        </w:rPr>
      </w:pPr>
    </w:p>
    <w:p w14:paraId="69B1E9A7" w14:textId="77777777" w:rsidR="006031B9" w:rsidRPr="00894333" w:rsidRDefault="006031B9" w:rsidP="006031B9">
      <w:pPr>
        <w:spacing w:before="240" w:line="276" w:lineRule="auto"/>
        <w:jc w:val="both"/>
        <w:rPr>
          <w:rFonts w:ascii="Arial" w:hAnsi="Arial" w:cs="Arial"/>
          <w:sz w:val="28"/>
        </w:rPr>
      </w:pPr>
      <w:r w:rsidRPr="00894333">
        <w:rPr>
          <w:rFonts w:ascii="Arial" w:hAnsi="Arial" w:cs="Arial"/>
          <w:b/>
          <w:bCs/>
          <w:sz w:val="28"/>
        </w:rPr>
        <w:t xml:space="preserve">The project B </w:t>
      </w:r>
      <w:r w:rsidRPr="00894333">
        <w:rPr>
          <w:rFonts w:ascii="Arial" w:hAnsi="Arial" w:cs="Arial"/>
          <w:sz w:val="28"/>
        </w:rPr>
        <w:t>project indicates an unacceptable investment opportunity, annihilating shareholder value of £7.25m in negative NPV and negative profitability index of less than unity. The break-even economics of zero ARR (almost zero IRR) means that the project is only able to recoup initial investment but not give actual returns. The payback period of five years, is the duration of the whole project life, which maximizes the operational and market risks that are exposed (Deloitte, 2025).</w:t>
      </w:r>
    </w:p>
    <w:p w14:paraId="07494F05" w14:textId="695DA799" w:rsidR="00E408B1" w:rsidRPr="00894333" w:rsidRDefault="006031B9" w:rsidP="006031B9">
      <w:pPr>
        <w:spacing w:before="240" w:line="276" w:lineRule="auto"/>
        <w:jc w:val="both"/>
        <w:rPr>
          <w:rFonts w:ascii="Arial" w:hAnsi="Arial" w:cs="Arial"/>
          <w:sz w:val="28"/>
        </w:rPr>
      </w:pPr>
      <w:r w:rsidRPr="00894333">
        <w:rPr>
          <w:rFonts w:ascii="Arial" w:hAnsi="Arial" w:cs="Arial"/>
          <w:sz w:val="28"/>
        </w:rPr>
        <w:t xml:space="preserve">The opportunity cost of the use of £30m in Project B is especially outrageous in cases where alternative applications, such as debt reduction, working capitals or better projects, will have concrete benefits. The fact that the project has zero economic profit is a practical commitment to capital in the five-year term without any risk- or time-value erosion payment, which is contrary to the first principle of investment (Sokolov, 2024). In the case of General Electronics, an immediate cash </w:t>
      </w:r>
      <w:r w:rsidRPr="00894333">
        <w:rPr>
          <w:rFonts w:ascii="Arial" w:hAnsi="Arial" w:cs="Arial"/>
          <w:sz w:val="28"/>
        </w:rPr>
        <w:lastRenderedPageBreak/>
        <w:t>flow is essential to service the liabilities of the company of £170m plus a re-establishment of the reserves which have been exhausted, in this case, the failure of Project B to generate cash faster is lethal (Deloitte, 2025).</w:t>
      </w:r>
    </w:p>
    <w:p w14:paraId="62C1943A" w14:textId="483B2A77" w:rsidR="00F720F1" w:rsidRPr="00894333" w:rsidRDefault="00F720F1" w:rsidP="00F720F1">
      <w:pPr>
        <w:pStyle w:val="Heading3"/>
        <w:rPr>
          <w:rFonts w:ascii="Arial" w:hAnsi="Arial" w:cs="Arial"/>
          <w:sz w:val="32"/>
          <w:szCs w:val="36"/>
        </w:rPr>
      </w:pPr>
      <w:bookmarkStart w:id="35" w:name="_Toc217038452"/>
      <w:r w:rsidRPr="00894333">
        <w:rPr>
          <w:rFonts w:ascii="Arial" w:hAnsi="Arial" w:cs="Arial"/>
          <w:sz w:val="32"/>
          <w:szCs w:val="36"/>
        </w:rPr>
        <w:t xml:space="preserve">Detailed Calculations of Project </w:t>
      </w:r>
      <w:r w:rsidRPr="00894333">
        <w:rPr>
          <w:rFonts w:ascii="Arial" w:hAnsi="Arial" w:cs="Arial"/>
          <w:sz w:val="32"/>
          <w:szCs w:val="36"/>
        </w:rPr>
        <w:t>C</w:t>
      </w:r>
      <w:bookmarkEnd w:id="35"/>
    </w:p>
    <w:p w14:paraId="6ED340D9" w14:textId="5A500CBE" w:rsidR="003A5ECA" w:rsidRPr="00894333" w:rsidRDefault="00ED118E" w:rsidP="00896BA1">
      <w:pPr>
        <w:spacing w:before="240" w:line="360" w:lineRule="auto"/>
        <w:jc w:val="center"/>
        <w:rPr>
          <w:rFonts w:ascii="Arial" w:hAnsi="Arial" w:cs="Arial"/>
          <w:sz w:val="28"/>
          <w:highlight w:val="yellow"/>
        </w:rPr>
      </w:pPr>
      <w:r w:rsidRPr="00894333">
        <w:rPr>
          <w:rFonts w:ascii="Arial" w:hAnsi="Arial" w:cs="Arial"/>
          <w:b/>
          <w:bCs/>
          <w:noProof/>
          <w:sz w:val="28"/>
        </w:rPr>
        <w:drawing>
          <wp:inline distT="0" distB="0" distL="0" distR="0" wp14:anchorId="02A4ED42" wp14:editId="42733F4C">
            <wp:extent cx="5289550" cy="6629400"/>
            <wp:effectExtent l="0" t="0" r="6350" b="0"/>
            <wp:docPr id="17016343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289550" cy="6629400"/>
                    </a:xfrm>
                    <a:prstGeom prst="rect">
                      <a:avLst/>
                    </a:prstGeom>
                    <a:noFill/>
                    <a:ln>
                      <a:noFill/>
                    </a:ln>
                  </pic:spPr>
                </pic:pic>
              </a:graphicData>
            </a:graphic>
          </wp:inline>
        </w:drawing>
      </w:r>
    </w:p>
    <w:p w14:paraId="6A901C3F" w14:textId="77777777" w:rsidR="00896BA1" w:rsidRPr="00894333" w:rsidRDefault="00896BA1" w:rsidP="00896BA1">
      <w:pPr>
        <w:spacing w:before="240" w:line="360" w:lineRule="auto"/>
        <w:jc w:val="center"/>
        <w:rPr>
          <w:rFonts w:ascii="Arial" w:hAnsi="Arial" w:cs="Arial"/>
          <w:vanish/>
          <w:sz w:val="28"/>
          <w:highlight w:val="yellow"/>
        </w:rPr>
      </w:pPr>
    </w:p>
    <w:p w14:paraId="396BA5CA" w14:textId="77777777" w:rsidR="003A5ECA" w:rsidRPr="00894333" w:rsidRDefault="003A5ECA" w:rsidP="00530AFB">
      <w:pPr>
        <w:spacing w:before="240" w:line="360" w:lineRule="auto"/>
        <w:jc w:val="both"/>
        <w:rPr>
          <w:rFonts w:ascii="Arial" w:hAnsi="Arial" w:cs="Arial"/>
          <w:vanish/>
          <w:sz w:val="28"/>
          <w:highlight w:val="yellow"/>
        </w:rPr>
      </w:pPr>
    </w:p>
    <w:p w14:paraId="71C41204" w14:textId="77777777" w:rsidR="003A5ECA" w:rsidRPr="00894333" w:rsidRDefault="003A5ECA" w:rsidP="00530AFB">
      <w:pPr>
        <w:spacing w:before="240" w:line="360" w:lineRule="auto"/>
        <w:jc w:val="both"/>
        <w:rPr>
          <w:rFonts w:ascii="Arial" w:hAnsi="Arial" w:cs="Arial"/>
          <w:vanish/>
          <w:sz w:val="28"/>
          <w:highlight w:val="yellow"/>
        </w:rPr>
      </w:pPr>
    </w:p>
    <w:p w14:paraId="09F42947" w14:textId="77777777" w:rsidR="003A5ECA" w:rsidRPr="00894333" w:rsidRDefault="003A5ECA" w:rsidP="00530AFB">
      <w:pPr>
        <w:spacing w:before="240" w:line="360" w:lineRule="auto"/>
        <w:jc w:val="both"/>
        <w:rPr>
          <w:rFonts w:ascii="Arial" w:hAnsi="Arial" w:cs="Arial"/>
          <w:vanish/>
          <w:sz w:val="28"/>
          <w:highlight w:val="yellow"/>
        </w:rPr>
      </w:pPr>
    </w:p>
    <w:p w14:paraId="26296C14" w14:textId="77777777" w:rsidR="00BC0224" w:rsidRPr="00894333" w:rsidRDefault="00BC0224" w:rsidP="00005BE7">
      <w:pPr>
        <w:spacing w:before="240" w:line="240" w:lineRule="auto"/>
        <w:jc w:val="both"/>
        <w:rPr>
          <w:rFonts w:ascii="Arial" w:hAnsi="Arial" w:cs="Arial"/>
          <w:sz w:val="28"/>
        </w:rPr>
      </w:pPr>
      <w:r w:rsidRPr="00894333">
        <w:rPr>
          <w:rFonts w:ascii="Arial" w:hAnsi="Arial" w:cs="Arial"/>
          <w:b/>
          <w:bCs/>
          <w:sz w:val="28"/>
        </w:rPr>
        <w:t xml:space="preserve">Project C </w:t>
      </w:r>
      <w:r w:rsidRPr="00894333">
        <w:rPr>
          <w:rFonts w:ascii="Arial" w:hAnsi="Arial" w:cs="Arial"/>
          <w:sz w:val="28"/>
        </w:rPr>
        <w:t xml:space="preserve">is the best investment option that warrants the largest absolute value creation of the options, which is 4.23m NPV. The profitability index is 1.085 which means that every pound invested generates the present </w:t>
      </w:r>
      <w:r w:rsidRPr="00894333">
        <w:rPr>
          <w:rFonts w:ascii="Arial" w:hAnsi="Arial" w:cs="Arial"/>
          <w:sz w:val="28"/>
        </w:rPr>
        <w:lastRenderedPageBreak/>
        <w:t>value of 1.085 which implies that the value creation efficiency is 8.5 percent. The 20% ARR is twice the return of Project A and significantly greater than the negative profitability of the company at present and it provides significant contribution to turnaround (Sokolov, 2024). The 12.73 percent IRR gives a margin of 2.73 percentage points above the cost of capital, which gives sufficient risk premise in case of uncertain market situations. The 3.6-year payback period slightly does better compared to project A, which hastens capital recovery that is important in liquidity-strained operations (Deloitte, 2025).</w:t>
      </w:r>
    </w:p>
    <w:p w14:paraId="6B8CB76B" w14:textId="77777777" w:rsidR="00F4106F" w:rsidRPr="00894333" w:rsidRDefault="00F4106F" w:rsidP="00F4106F">
      <w:pPr>
        <w:pStyle w:val="Heading3"/>
        <w:rPr>
          <w:rFonts w:ascii="Arial" w:hAnsi="Arial" w:cs="Arial"/>
          <w:sz w:val="32"/>
          <w:szCs w:val="36"/>
        </w:rPr>
      </w:pPr>
      <w:bookmarkStart w:id="36" w:name="_Toc217038453"/>
      <w:r w:rsidRPr="00894333">
        <w:rPr>
          <w:rFonts w:ascii="Arial" w:hAnsi="Arial" w:cs="Arial"/>
          <w:sz w:val="32"/>
          <w:szCs w:val="36"/>
        </w:rPr>
        <w:t>Investment Appraisal Summary - All Projects</w:t>
      </w:r>
      <w:bookmarkEnd w:id="36"/>
    </w:p>
    <w:p w14:paraId="1065685A" w14:textId="77777777" w:rsidR="00F4106F" w:rsidRPr="00894333" w:rsidRDefault="00F4106F" w:rsidP="00F4106F">
      <w:pPr>
        <w:spacing w:after="0"/>
        <w:jc w:val="both"/>
        <w:rPr>
          <w:rFonts w:ascii="Arial" w:hAnsi="Arial" w:cs="Arial"/>
          <w:sz w:val="28"/>
        </w:rPr>
      </w:pPr>
      <w:r w:rsidRPr="00894333">
        <w:rPr>
          <w:rFonts w:ascii="Arial" w:hAnsi="Arial" w:cs="Arial"/>
          <w:noProof/>
          <w:sz w:val="28"/>
        </w:rPr>
        <w:drawing>
          <wp:inline distT="0" distB="0" distL="0" distR="0" wp14:anchorId="60FB26D6" wp14:editId="1E0DD0E3">
            <wp:extent cx="5731510" cy="1952625"/>
            <wp:effectExtent l="0" t="0" r="2540" b="9525"/>
            <wp:docPr id="8862575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257564" name="Picture 886257564"/>
                    <pic:cNvPicPr/>
                  </pic:nvPicPr>
                  <pic:blipFill>
                    <a:blip r:embed="rId39">
                      <a:extLst>
                        <a:ext uri="{28A0092B-C50C-407E-A947-70E740481C1C}">
                          <a14:useLocalDpi xmlns:a14="http://schemas.microsoft.com/office/drawing/2010/main" val="0"/>
                        </a:ext>
                      </a:extLst>
                    </a:blip>
                    <a:stretch>
                      <a:fillRect/>
                    </a:stretch>
                  </pic:blipFill>
                  <pic:spPr>
                    <a:xfrm>
                      <a:off x="0" y="0"/>
                      <a:ext cx="5731510" cy="1952625"/>
                    </a:xfrm>
                    <a:prstGeom prst="rect">
                      <a:avLst/>
                    </a:prstGeom>
                  </pic:spPr>
                </pic:pic>
              </a:graphicData>
            </a:graphic>
          </wp:inline>
        </w:drawing>
      </w:r>
    </w:p>
    <w:p w14:paraId="1D610E81" w14:textId="31968AD2" w:rsidR="00F4106F" w:rsidRPr="00A21049" w:rsidRDefault="00F4106F" w:rsidP="00F4106F">
      <w:pPr>
        <w:jc w:val="both"/>
        <w:rPr>
          <w:rFonts w:ascii="Arial" w:hAnsi="Arial" w:cs="Arial"/>
          <w:sz w:val="28"/>
        </w:rPr>
      </w:pPr>
      <w:r w:rsidRPr="00894333">
        <w:rPr>
          <w:rFonts w:ascii="Arial" w:hAnsi="Arial" w:cs="Arial"/>
          <w:sz w:val="28"/>
        </w:rPr>
        <w:t xml:space="preserve">Table gives a complete comparison of all the three investment projects on the main financial indicators. The summary has shown that there are high performance differences with Project C showing higher returns in almost all the evaluation criteria. Project B has a negative NPV and below unity profitability index and thus it is not at all appropriate. The project A and C both create positive </w:t>
      </w:r>
      <w:r w:rsidRPr="00A21049">
        <w:rPr>
          <w:rFonts w:ascii="Arial" w:hAnsi="Arial" w:cs="Arial"/>
          <w:sz w:val="28"/>
        </w:rPr>
        <w:t>value, but Project C metrics are by far greater in comparison to the performance of Project A. The payback period is between 3.6 to 5.0 years with projects A and C recouping the initial investment within reasonable time frame of a troubled company in need of liquidity conservation. The ARR figures represent the difference in profitability as project C would get 20% returns, whereas project A and B would get 14 and break-even respectively.</w:t>
      </w:r>
    </w:p>
    <w:p w14:paraId="2F761B1E" w14:textId="5EE1A064" w:rsidR="00F4106F" w:rsidRPr="00894333" w:rsidRDefault="00F4106F" w:rsidP="00F4106F">
      <w:pPr>
        <w:jc w:val="both"/>
        <w:rPr>
          <w:rFonts w:ascii="Arial" w:hAnsi="Arial" w:cs="Arial"/>
          <w:sz w:val="28"/>
        </w:rPr>
      </w:pPr>
      <w:r w:rsidRPr="00A21049">
        <w:rPr>
          <w:rFonts w:ascii="Arial" w:hAnsi="Arial" w:cs="Arial"/>
          <w:sz w:val="28"/>
        </w:rPr>
        <w:t>This hierarchy is further supported by the profitability index rankings as Project C comes in at the 1.085 of 8.5% value creation per pound invested whereas Project A shows 3.3% and Project B shows 24.2% value destruction</w:t>
      </w:r>
      <w:r w:rsidR="00DB3CD0">
        <w:rPr>
          <w:rFonts w:ascii="Arial" w:hAnsi="Arial" w:cs="Arial"/>
          <w:sz w:val="28"/>
        </w:rPr>
        <w:t>.</w:t>
      </w:r>
      <w:r w:rsidRPr="00A21049">
        <w:rPr>
          <w:rFonts w:ascii="Arial" w:hAnsi="Arial" w:cs="Arial"/>
          <w:sz w:val="28"/>
        </w:rPr>
        <w:t xml:space="preserve"> The IRR Analysis shows that only Projects A and C are above the 10% required amount of returns, but Project C has a 12.73% that gives it significantly higher protection against change in the discount rate or rise in cost of capital. On the capital efficiency front, the NPV per pound of </w:t>
      </w:r>
      <w:r w:rsidRPr="00A21049">
        <w:rPr>
          <w:rFonts w:ascii="Arial" w:hAnsi="Arial" w:cs="Arial"/>
          <w:sz w:val="28"/>
        </w:rPr>
        <w:lastRenderedPageBreak/>
        <w:t>investment of Project C compared with Project A stand at £0.085 and 0.033 respectively and thus is 2.6 times more efficient</w:t>
      </w:r>
      <w:r w:rsidR="005E4DCB">
        <w:rPr>
          <w:rFonts w:ascii="Arial" w:hAnsi="Arial" w:cs="Arial"/>
          <w:sz w:val="28"/>
        </w:rPr>
        <w:t>.</w:t>
      </w:r>
    </w:p>
    <w:p w14:paraId="6A4217C0" w14:textId="77777777" w:rsidR="006833B9" w:rsidRPr="00894333" w:rsidRDefault="006833B9" w:rsidP="00005BE7">
      <w:pPr>
        <w:spacing w:before="240" w:line="240" w:lineRule="auto"/>
        <w:jc w:val="both"/>
        <w:rPr>
          <w:rFonts w:ascii="Arial" w:hAnsi="Arial" w:cs="Arial"/>
          <w:b/>
          <w:bCs/>
          <w:sz w:val="28"/>
        </w:rPr>
      </w:pPr>
    </w:p>
    <w:p w14:paraId="19E4CB2E" w14:textId="77777777" w:rsidR="00BC0224" w:rsidRPr="00894333" w:rsidRDefault="00BC0224" w:rsidP="001B35DC">
      <w:pPr>
        <w:pStyle w:val="Heading3"/>
        <w:rPr>
          <w:rFonts w:ascii="Arial" w:hAnsi="Arial" w:cs="Arial"/>
          <w:sz w:val="32"/>
          <w:szCs w:val="36"/>
          <w:lang w:val="en-US"/>
        </w:rPr>
      </w:pPr>
      <w:bookmarkStart w:id="37" w:name="_Toc217038454"/>
      <w:r w:rsidRPr="00894333">
        <w:rPr>
          <w:rFonts w:ascii="Arial" w:hAnsi="Arial" w:cs="Arial"/>
          <w:sz w:val="32"/>
          <w:szCs w:val="36"/>
          <w:lang w:val="en-US"/>
        </w:rPr>
        <w:t>Final Investment Recommendation</w:t>
      </w:r>
      <w:bookmarkEnd w:id="37"/>
    </w:p>
    <w:p w14:paraId="79535F0D" w14:textId="67D262C6" w:rsidR="00BC0224" w:rsidRPr="00BC0224" w:rsidRDefault="00BC0224" w:rsidP="00BC0224">
      <w:pPr>
        <w:jc w:val="both"/>
        <w:rPr>
          <w:rFonts w:ascii="Arial" w:hAnsi="Arial" w:cs="Arial"/>
          <w:sz w:val="28"/>
          <w:lang w:val="en-US"/>
        </w:rPr>
      </w:pPr>
      <w:r w:rsidRPr="00BC0224">
        <w:rPr>
          <w:rFonts w:ascii="Arial" w:hAnsi="Arial" w:cs="Arial"/>
          <w:sz w:val="28"/>
          <w:lang w:val="en-US"/>
        </w:rPr>
        <w:t xml:space="preserve">General Electronics would be advised to invest in Project C and abandon Project A and B under capital rationing of maximum investment of £60 million. The two Projects A and C present positive NPV but only one of them can be taken up within the constraint as a combination of their cost (£40m and £50m) gives a cost of 90m and exceeds the available capital. Project C provides better value in terms of all important measures: highest NPV (£4.23m vs. 1.33m), largest profitability index (1.085 vs 1.033), largest IRR (12.73% vs 11.34%), highest ARR (20% vs 14%), and a slightly quicker payback (3.6 vs 3.8 years). </w:t>
      </w:r>
    </w:p>
    <w:p w14:paraId="674E84DC" w14:textId="77777777" w:rsidR="001C7FF5" w:rsidRPr="00894333" w:rsidRDefault="001C7FF5" w:rsidP="00530AFB">
      <w:pPr>
        <w:jc w:val="both"/>
        <w:rPr>
          <w:rFonts w:ascii="Arial" w:hAnsi="Arial" w:cs="Arial"/>
          <w:sz w:val="28"/>
        </w:rPr>
      </w:pPr>
    </w:p>
    <w:p w14:paraId="62847409" w14:textId="77777777" w:rsidR="003A5ECA" w:rsidRPr="00894333" w:rsidRDefault="003A5ECA" w:rsidP="00E371C2">
      <w:pPr>
        <w:pStyle w:val="Heading1"/>
        <w:spacing w:before="0"/>
        <w:jc w:val="both"/>
        <w:rPr>
          <w:rFonts w:ascii="Arial" w:hAnsi="Arial" w:cs="Arial"/>
          <w:b/>
          <w:sz w:val="36"/>
          <w:szCs w:val="36"/>
          <w:lang w:bidi="ar-SA"/>
        </w:rPr>
      </w:pPr>
      <w:bookmarkStart w:id="38" w:name="_Toc212908260"/>
      <w:bookmarkStart w:id="39" w:name="_Toc217038455"/>
      <w:r w:rsidRPr="00894333">
        <w:rPr>
          <w:rFonts w:ascii="Arial" w:hAnsi="Arial" w:cs="Arial"/>
          <w:b/>
          <w:sz w:val="36"/>
          <w:szCs w:val="36"/>
          <w:lang w:bidi="ar-SA"/>
        </w:rPr>
        <w:t>6. Conclusion</w:t>
      </w:r>
      <w:bookmarkEnd w:id="38"/>
      <w:bookmarkEnd w:id="39"/>
    </w:p>
    <w:p w14:paraId="0E647588" w14:textId="77777777" w:rsidR="003A5ECA" w:rsidRPr="00894333" w:rsidRDefault="003A5ECA" w:rsidP="00530AFB">
      <w:pPr>
        <w:jc w:val="both"/>
        <w:rPr>
          <w:rFonts w:ascii="Arial" w:hAnsi="Arial" w:cs="Arial"/>
          <w:sz w:val="28"/>
        </w:rPr>
      </w:pPr>
      <w:r w:rsidRPr="00894333">
        <w:rPr>
          <w:rFonts w:ascii="Arial" w:hAnsi="Arial" w:cs="Arial"/>
          <w:sz w:val="28"/>
        </w:rPr>
        <w:t>General Electronics is in dire financial trouble that is marked by failing profitability, shrinking liquidity and high leverage. The waning efficiency ratios, the long period of cash conversion of the company and negative returns on equity reflects on unsustainable operations and urgency to restructure the company. The strategic changes such as better working capital management, equity injection that would lead to deleveraging, and the disposal of non-core assets are essential in reviving solvency and financial stability. When capital rationing is considered, Project C is the best course of action with it being the project with the greatest value creation and the shortest possible recovery. Project C, combined with strict control over cash management and organisational restructuring, can slowly restore liquidity, profitability and investor confidence. It relies on the strict implementation, ethical management, and long-term orientation toward the efficiency of operations and financial stability.</w:t>
      </w:r>
    </w:p>
    <w:p w14:paraId="2EF29232" w14:textId="77777777" w:rsidR="00E6767A" w:rsidRPr="00894333" w:rsidRDefault="00E6767A" w:rsidP="00DD2342">
      <w:pPr>
        <w:jc w:val="both"/>
        <w:rPr>
          <w:rFonts w:ascii="Arial" w:hAnsi="Arial" w:cs="Arial"/>
          <w:b/>
          <w:sz w:val="28"/>
          <w:lang w:val="en-US"/>
        </w:rPr>
      </w:pPr>
      <w:bookmarkStart w:id="40" w:name="_Toc212908261"/>
    </w:p>
    <w:p w14:paraId="53C8B42D" w14:textId="77777777" w:rsidR="00E6767A" w:rsidRPr="00894333" w:rsidRDefault="00E6767A" w:rsidP="00DD2342">
      <w:pPr>
        <w:jc w:val="both"/>
        <w:rPr>
          <w:rFonts w:ascii="Arial" w:hAnsi="Arial" w:cs="Arial"/>
          <w:b/>
          <w:sz w:val="28"/>
          <w:lang w:val="en-US"/>
        </w:rPr>
      </w:pPr>
    </w:p>
    <w:p w14:paraId="1D3B3817" w14:textId="77777777" w:rsidR="00E6767A" w:rsidRPr="00894333" w:rsidRDefault="00E6767A" w:rsidP="00DD2342">
      <w:pPr>
        <w:jc w:val="both"/>
        <w:rPr>
          <w:rFonts w:ascii="Arial" w:hAnsi="Arial" w:cs="Arial"/>
          <w:b/>
          <w:sz w:val="28"/>
          <w:lang w:val="en-US"/>
        </w:rPr>
      </w:pPr>
    </w:p>
    <w:p w14:paraId="4E5B6CA1" w14:textId="77777777" w:rsidR="00E6767A" w:rsidRPr="00894333" w:rsidRDefault="00E6767A" w:rsidP="00DD2342">
      <w:pPr>
        <w:jc w:val="both"/>
        <w:rPr>
          <w:rFonts w:ascii="Arial" w:hAnsi="Arial" w:cs="Arial"/>
          <w:b/>
          <w:sz w:val="28"/>
          <w:lang w:val="en-US"/>
        </w:rPr>
      </w:pPr>
    </w:p>
    <w:p w14:paraId="0ED732CB" w14:textId="77777777" w:rsidR="00E6767A" w:rsidRPr="00894333" w:rsidRDefault="00E6767A" w:rsidP="00DD2342">
      <w:pPr>
        <w:jc w:val="both"/>
        <w:rPr>
          <w:rFonts w:ascii="Arial" w:hAnsi="Arial" w:cs="Arial"/>
          <w:b/>
          <w:sz w:val="28"/>
          <w:lang w:val="en-US"/>
        </w:rPr>
      </w:pPr>
    </w:p>
    <w:p w14:paraId="79FBDE30" w14:textId="7A01018C" w:rsidR="00DD2342" w:rsidRPr="00894333" w:rsidRDefault="00DD2342" w:rsidP="00E6767A">
      <w:pPr>
        <w:pStyle w:val="Heading1"/>
        <w:rPr>
          <w:rFonts w:ascii="Arial" w:hAnsi="Arial" w:cs="Arial"/>
          <w:lang w:val="en-US"/>
        </w:rPr>
      </w:pPr>
      <w:bookmarkStart w:id="41" w:name="_Toc217038456"/>
      <w:r w:rsidRPr="00894333">
        <w:rPr>
          <w:rFonts w:ascii="Arial" w:hAnsi="Arial" w:cs="Arial"/>
          <w:lang w:val="en-US"/>
        </w:rPr>
        <w:lastRenderedPageBreak/>
        <w:t>References</w:t>
      </w:r>
      <w:bookmarkEnd w:id="40"/>
      <w:bookmarkEnd w:id="41"/>
    </w:p>
    <w:p w14:paraId="4E87DEFB" w14:textId="77777777" w:rsidR="00DD2342" w:rsidRPr="00894333" w:rsidRDefault="00DD2342" w:rsidP="00DD2342">
      <w:pPr>
        <w:jc w:val="both"/>
        <w:rPr>
          <w:rFonts w:ascii="Arial" w:hAnsi="Arial" w:cs="Arial"/>
          <w:sz w:val="28"/>
          <w:lang w:val="en-US"/>
        </w:rPr>
      </w:pPr>
      <w:r w:rsidRPr="00DD2342">
        <w:rPr>
          <w:rFonts w:ascii="Arial" w:hAnsi="Arial" w:cs="Arial"/>
          <w:sz w:val="28"/>
          <w:lang w:val="en-US"/>
        </w:rPr>
        <w:t xml:space="preserve">Altman, E.I. (2013). Predicting financial distress of companies: revisiting the Z-Score and ZETA® models. </w:t>
      </w:r>
      <w:r w:rsidRPr="00DD2342">
        <w:rPr>
          <w:rFonts w:ascii="Arial" w:hAnsi="Arial" w:cs="Arial"/>
          <w:i/>
          <w:iCs/>
          <w:sz w:val="28"/>
          <w:lang w:val="en-US"/>
        </w:rPr>
        <w:t>Chapters</w:t>
      </w:r>
      <w:r w:rsidRPr="00DD2342">
        <w:rPr>
          <w:rFonts w:ascii="Arial" w:hAnsi="Arial" w:cs="Arial"/>
          <w:sz w:val="28"/>
          <w:lang w:val="en-US"/>
        </w:rPr>
        <w:t xml:space="preserve">, [online] pp.428–456. doi: </w:t>
      </w:r>
      <w:hyperlink r:id="rId40" w:history="1">
        <w:r w:rsidRPr="00DD2342">
          <w:rPr>
            <w:rStyle w:val="Hyperlink"/>
            <w:rFonts w:ascii="Arial" w:hAnsi="Arial" w:cs="Arial"/>
            <w:sz w:val="28"/>
            <w:lang w:val="en-US"/>
          </w:rPr>
          <w:t>https://ideas.repec.org/h/elg/eechap/14545_17.html</w:t>
        </w:r>
      </w:hyperlink>
      <w:r w:rsidRPr="00DD2342">
        <w:rPr>
          <w:rFonts w:ascii="Arial" w:hAnsi="Arial" w:cs="Arial"/>
          <w:sz w:val="28"/>
          <w:lang w:val="en-US"/>
        </w:rPr>
        <w:t xml:space="preserve">. </w:t>
      </w:r>
    </w:p>
    <w:p w14:paraId="6F9637E4" w14:textId="77777777" w:rsidR="00E6767A" w:rsidRPr="00DD2342" w:rsidRDefault="00E6767A" w:rsidP="00DD2342">
      <w:pPr>
        <w:jc w:val="both"/>
        <w:rPr>
          <w:rFonts w:ascii="Arial" w:hAnsi="Arial" w:cs="Arial"/>
          <w:sz w:val="28"/>
          <w:lang w:val="en-US"/>
        </w:rPr>
      </w:pPr>
    </w:p>
    <w:p w14:paraId="4D8233A7" w14:textId="77777777" w:rsidR="00DD2342" w:rsidRPr="00894333" w:rsidRDefault="00DD2342" w:rsidP="00DD2342">
      <w:pPr>
        <w:jc w:val="both"/>
        <w:rPr>
          <w:rFonts w:ascii="Arial" w:hAnsi="Arial" w:cs="Arial"/>
          <w:sz w:val="28"/>
          <w:lang w:val="en-US"/>
        </w:rPr>
      </w:pPr>
      <w:r w:rsidRPr="00DD2342">
        <w:rPr>
          <w:rFonts w:ascii="Arial" w:hAnsi="Arial" w:cs="Arial"/>
          <w:sz w:val="28"/>
          <w:lang w:val="en-US"/>
        </w:rPr>
        <w:t xml:space="preserve">Altman, E.I., Iwanicz-Drozdowska, M., Laitinen, E.K. and Suvas, A. (2017). Financial Distress Prediction in an International Context: A Review and Empirical Analysis of Altman’s Z- Score Model. </w:t>
      </w:r>
      <w:r w:rsidRPr="00DD2342">
        <w:rPr>
          <w:rFonts w:ascii="Arial" w:hAnsi="Arial" w:cs="Arial"/>
          <w:i/>
          <w:iCs/>
          <w:sz w:val="28"/>
          <w:lang w:val="en-US"/>
        </w:rPr>
        <w:t>Journal of International Financial Management &amp; Accounting</w:t>
      </w:r>
      <w:r w:rsidRPr="00DD2342">
        <w:rPr>
          <w:rFonts w:ascii="Arial" w:hAnsi="Arial" w:cs="Arial"/>
          <w:sz w:val="28"/>
          <w:lang w:val="en-US"/>
        </w:rPr>
        <w:t xml:space="preserve">, 28(2), pp.131–171. doi: </w:t>
      </w:r>
      <w:hyperlink r:id="rId41" w:history="1">
        <w:r w:rsidRPr="00DD2342">
          <w:rPr>
            <w:rStyle w:val="Hyperlink"/>
            <w:rFonts w:ascii="Arial" w:hAnsi="Arial" w:cs="Arial"/>
            <w:sz w:val="28"/>
            <w:lang w:val="en-US"/>
          </w:rPr>
          <w:t>https://doi.org/10.1111/jifm.12053</w:t>
        </w:r>
      </w:hyperlink>
      <w:r w:rsidRPr="00DD2342">
        <w:rPr>
          <w:rFonts w:ascii="Arial" w:hAnsi="Arial" w:cs="Arial"/>
          <w:sz w:val="28"/>
          <w:lang w:val="en-US"/>
        </w:rPr>
        <w:t xml:space="preserve">. </w:t>
      </w:r>
    </w:p>
    <w:p w14:paraId="06E2A0E2" w14:textId="77777777" w:rsidR="00E6767A" w:rsidRPr="00DD2342" w:rsidRDefault="00E6767A" w:rsidP="00DD2342">
      <w:pPr>
        <w:jc w:val="both"/>
        <w:rPr>
          <w:rFonts w:ascii="Arial" w:hAnsi="Arial" w:cs="Arial"/>
          <w:sz w:val="28"/>
          <w:lang w:val="en-US"/>
        </w:rPr>
      </w:pPr>
    </w:p>
    <w:p w14:paraId="170459CC" w14:textId="77777777" w:rsidR="00DD2342" w:rsidRPr="00894333" w:rsidRDefault="00DD2342" w:rsidP="00DD2342">
      <w:pPr>
        <w:jc w:val="both"/>
        <w:rPr>
          <w:rFonts w:ascii="Arial" w:hAnsi="Arial" w:cs="Arial"/>
          <w:sz w:val="28"/>
          <w:lang w:val="en-US"/>
        </w:rPr>
      </w:pPr>
      <w:r w:rsidRPr="00DD2342">
        <w:rPr>
          <w:rFonts w:ascii="Arial" w:hAnsi="Arial" w:cs="Arial"/>
          <w:sz w:val="28"/>
          <w:lang w:val="en-US"/>
        </w:rPr>
        <w:t xml:space="preserve">Cındık, Z. and Armutlulu, I.H. (2021). A revision of Altman Z-Score model and a comparative analysis of Turkish companies’ financial distress prediction. </w:t>
      </w:r>
      <w:r w:rsidRPr="00DD2342">
        <w:rPr>
          <w:rFonts w:ascii="Arial" w:hAnsi="Arial" w:cs="Arial"/>
          <w:i/>
          <w:iCs/>
          <w:sz w:val="28"/>
          <w:lang w:val="en-US"/>
        </w:rPr>
        <w:t>National Accounting Review</w:t>
      </w:r>
      <w:r w:rsidRPr="00DD2342">
        <w:rPr>
          <w:rFonts w:ascii="Arial" w:hAnsi="Arial" w:cs="Arial"/>
          <w:sz w:val="28"/>
          <w:lang w:val="en-US"/>
        </w:rPr>
        <w:t xml:space="preserve">, 3(2), pp.237–255. doi: </w:t>
      </w:r>
      <w:hyperlink r:id="rId42" w:history="1">
        <w:r w:rsidRPr="00DD2342">
          <w:rPr>
            <w:rStyle w:val="Hyperlink"/>
            <w:rFonts w:ascii="Arial" w:hAnsi="Arial" w:cs="Arial"/>
            <w:sz w:val="28"/>
            <w:lang w:val="en-US"/>
          </w:rPr>
          <w:t>https://doi.org/10.3934/nar.2021012</w:t>
        </w:r>
      </w:hyperlink>
      <w:r w:rsidRPr="00DD2342">
        <w:rPr>
          <w:rFonts w:ascii="Arial" w:hAnsi="Arial" w:cs="Arial"/>
          <w:sz w:val="28"/>
          <w:lang w:val="en-US"/>
        </w:rPr>
        <w:t xml:space="preserve">. </w:t>
      </w:r>
    </w:p>
    <w:p w14:paraId="7C920D36" w14:textId="77777777" w:rsidR="00E6767A" w:rsidRPr="00DD2342" w:rsidRDefault="00E6767A" w:rsidP="00DD2342">
      <w:pPr>
        <w:jc w:val="both"/>
        <w:rPr>
          <w:rFonts w:ascii="Arial" w:hAnsi="Arial" w:cs="Arial"/>
          <w:sz w:val="28"/>
          <w:lang w:val="en-US"/>
        </w:rPr>
      </w:pPr>
    </w:p>
    <w:p w14:paraId="1CF5AF91" w14:textId="77777777" w:rsidR="00DD2342" w:rsidRPr="00894333" w:rsidRDefault="00DD2342" w:rsidP="00DD2342">
      <w:pPr>
        <w:jc w:val="both"/>
        <w:rPr>
          <w:rFonts w:ascii="Arial" w:hAnsi="Arial" w:cs="Arial"/>
          <w:sz w:val="28"/>
          <w:lang w:val="en-US"/>
        </w:rPr>
      </w:pPr>
      <w:r w:rsidRPr="00DD2342">
        <w:rPr>
          <w:rFonts w:ascii="Arial" w:hAnsi="Arial" w:cs="Arial"/>
          <w:sz w:val="28"/>
          <w:lang w:val="en-US"/>
        </w:rPr>
        <w:t xml:space="preserve">Deloitte (2025). </w:t>
      </w:r>
      <w:r w:rsidRPr="00DD2342">
        <w:rPr>
          <w:rFonts w:ascii="Arial" w:hAnsi="Arial" w:cs="Arial"/>
          <w:i/>
          <w:iCs/>
          <w:sz w:val="28"/>
          <w:lang w:val="en-US"/>
        </w:rPr>
        <w:t>Turnaround and Restructuring Outlook 2025</w:t>
      </w:r>
      <w:r w:rsidRPr="00DD2342">
        <w:rPr>
          <w:rFonts w:ascii="Arial" w:hAnsi="Arial" w:cs="Arial"/>
          <w:sz w:val="28"/>
          <w:lang w:val="en-US"/>
        </w:rPr>
        <w:t xml:space="preserve">. [online] Deloitte. doi: </w:t>
      </w:r>
      <w:hyperlink r:id="rId43" w:history="1">
        <w:r w:rsidRPr="00DD2342">
          <w:rPr>
            <w:rStyle w:val="Hyperlink"/>
            <w:rFonts w:ascii="Arial" w:hAnsi="Arial" w:cs="Arial"/>
            <w:sz w:val="28"/>
            <w:lang w:val="en-US"/>
          </w:rPr>
          <w:t>https://www.deloitte.com/us/en/services/consulting/articles/turnaround-and-restructuring-outlook.html</w:t>
        </w:r>
      </w:hyperlink>
      <w:r w:rsidRPr="00DD2342">
        <w:rPr>
          <w:rFonts w:ascii="Arial" w:hAnsi="Arial" w:cs="Arial"/>
          <w:sz w:val="28"/>
          <w:lang w:val="en-US"/>
        </w:rPr>
        <w:t xml:space="preserve">. </w:t>
      </w:r>
    </w:p>
    <w:p w14:paraId="66687259" w14:textId="77777777" w:rsidR="00E6767A" w:rsidRPr="00DD2342" w:rsidRDefault="00E6767A" w:rsidP="00DD2342">
      <w:pPr>
        <w:jc w:val="both"/>
        <w:rPr>
          <w:rFonts w:ascii="Arial" w:hAnsi="Arial" w:cs="Arial"/>
          <w:sz w:val="28"/>
          <w:lang w:val="en-US"/>
        </w:rPr>
      </w:pPr>
    </w:p>
    <w:p w14:paraId="185D19F5" w14:textId="77777777" w:rsidR="00DD2342" w:rsidRPr="00894333" w:rsidRDefault="00DD2342" w:rsidP="00DD2342">
      <w:pPr>
        <w:jc w:val="both"/>
        <w:rPr>
          <w:rFonts w:ascii="Arial" w:hAnsi="Arial" w:cs="Arial"/>
          <w:sz w:val="28"/>
          <w:lang w:val="en-US"/>
        </w:rPr>
      </w:pPr>
      <w:r w:rsidRPr="00DD2342">
        <w:rPr>
          <w:rFonts w:ascii="Arial" w:hAnsi="Arial" w:cs="Arial"/>
          <w:sz w:val="28"/>
          <w:lang w:val="en-US"/>
        </w:rPr>
        <w:t xml:space="preserve">Dewangan, S. and Kannadhasan, M. (2025). Analyzing the impact of sustainable performance on working capital management: Evidence from emerging markets. </w:t>
      </w:r>
      <w:r w:rsidRPr="00DD2342">
        <w:rPr>
          <w:rFonts w:ascii="Arial" w:hAnsi="Arial" w:cs="Arial"/>
          <w:i/>
          <w:iCs/>
          <w:sz w:val="28"/>
          <w:lang w:val="en-US"/>
        </w:rPr>
        <w:t>Pacific-Basin Finance Journal</w:t>
      </w:r>
      <w:r w:rsidRPr="00DD2342">
        <w:rPr>
          <w:rFonts w:ascii="Arial" w:hAnsi="Arial" w:cs="Arial"/>
          <w:sz w:val="28"/>
          <w:lang w:val="en-US"/>
        </w:rPr>
        <w:t xml:space="preserve">, [online] 92, p.102791. doi: </w:t>
      </w:r>
      <w:hyperlink r:id="rId44" w:history="1">
        <w:r w:rsidRPr="00DD2342">
          <w:rPr>
            <w:rStyle w:val="Hyperlink"/>
            <w:rFonts w:ascii="Arial" w:hAnsi="Arial" w:cs="Arial"/>
            <w:sz w:val="28"/>
            <w:lang w:val="en-US"/>
          </w:rPr>
          <w:t>https://doi.org/10.1016/j.pacfin.2025.102791</w:t>
        </w:r>
      </w:hyperlink>
      <w:r w:rsidRPr="00DD2342">
        <w:rPr>
          <w:rFonts w:ascii="Arial" w:hAnsi="Arial" w:cs="Arial"/>
          <w:sz w:val="28"/>
          <w:lang w:val="en-US"/>
        </w:rPr>
        <w:t xml:space="preserve">. </w:t>
      </w:r>
    </w:p>
    <w:p w14:paraId="6AFBE378" w14:textId="77777777" w:rsidR="00E6767A" w:rsidRPr="00DD2342" w:rsidRDefault="00E6767A" w:rsidP="00DD2342">
      <w:pPr>
        <w:jc w:val="both"/>
        <w:rPr>
          <w:rFonts w:ascii="Arial" w:hAnsi="Arial" w:cs="Arial"/>
          <w:sz w:val="28"/>
          <w:lang w:val="en-US"/>
        </w:rPr>
      </w:pPr>
    </w:p>
    <w:p w14:paraId="46B97C08" w14:textId="77777777" w:rsidR="00DD2342" w:rsidRPr="00894333" w:rsidRDefault="00DD2342" w:rsidP="00DD2342">
      <w:pPr>
        <w:jc w:val="both"/>
        <w:rPr>
          <w:rFonts w:ascii="Arial" w:hAnsi="Arial" w:cs="Arial"/>
          <w:sz w:val="28"/>
          <w:lang w:val="en-US"/>
        </w:rPr>
      </w:pPr>
      <w:r w:rsidRPr="00DD2342">
        <w:rPr>
          <w:rFonts w:ascii="Arial" w:hAnsi="Arial" w:cs="Arial"/>
          <w:sz w:val="28"/>
          <w:lang w:val="en-US"/>
        </w:rPr>
        <w:t xml:space="preserve">Hussein, M.Q.S., Saeed, N.A. and Ahmad, G.S. (2023). Financial ratios analysis and companies’ liquidity evaluation. </w:t>
      </w:r>
      <w:r w:rsidRPr="00DD2342">
        <w:rPr>
          <w:rFonts w:ascii="Arial" w:hAnsi="Arial" w:cs="Arial"/>
          <w:i/>
          <w:iCs/>
          <w:sz w:val="28"/>
          <w:lang w:val="en-US"/>
        </w:rPr>
        <w:t>Journal of Global Economics and Business</w:t>
      </w:r>
      <w:r w:rsidRPr="00DD2342">
        <w:rPr>
          <w:rFonts w:ascii="Arial" w:hAnsi="Arial" w:cs="Arial"/>
          <w:sz w:val="28"/>
          <w:lang w:val="en-US"/>
        </w:rPr>
        <w:t xml:space="preserve">, [online] 4(14), pp.60–75. doi: </w:t>
      </w:r>
      <w:hyperlink r:id="rId45" w:history="1">
        <w:r w:rsidRPr="00DD2342">
          <w:rPr>
            <w:rStyle w:val="Hyperlink"/>
            <w:rFonts w:ascii="Arial" w:hAnsi="Arial" w:cs="Arial"/>
            <w:sz w:val="28"/>
            <w:lang w:val="en-US"/>
          </w:rPr>
          <w:t>http://journalsglobal.com/index.php/jgeb/article/view/173</w:t>
        </w:r>
      </w:hyperlink>
      <w:r w:rsidRPr="00DD2342">
        <w:rPr>
          <w:rFonts w:ascii="Arial" w:hAnsi="Arial" w:cs="Arial"/>
          <w:sz w:val="28"/>
          <w:lang w:val="en-US"/>
        </w:rPr>
        <w:t xml:space="preserve">. </w:t>
      </w:r>
    </w:p>
    <w:p w14:paraId="61783460" w14:textId="77777777" w:rsidR="00E6767A" w:rsidRPr="00894333" w:rsidRDefault="00E6767A" w:rsidP="00DD2342">
      <w:pPr>
        <w:jc w:val="both"/>
        <w:rPr>
          <w:rFonts w:ascii="Arial" w:hAnsi="Arial" w:cs="Arial"/>
          <w:sz w:val="28"/>
          <w:lang w:val="en-US"/>
        </w:rPr>
      </w:pPr>
    </w:p>
    <w:p w14:paraId="1368DF3F" w14:textId="77777777" w:rsidR="00E6767A" w:rsidRPr="00DD2342" w:rsidRDefault="00E6767A" w:rsidP="00DD2342">
      <w:pPr>
        <w:jc w:val="both"/>
        <w:rPr>
          <w:rFonts w:ascii="Arial" w:hAnsi="Arial" w:cs="Arial"/>
          <w:sz w:val="28"/>
          <w:lang w:val="en-US"/>
        </w:rPr>
      </w:pPr>
    </w:p>
    <w:p w14:paraId="54D8294E" w14:textId="77777777" w:rsidR="00DD2342" w:rsidRPr="00894333" w:rsidRDefault="00DD2342" w:rsidP="00DD2342">
      <w:pPr>
        <w:jc w:val="both"/>
        <w:rPr>
          <w:rFonts w:ascii="Arial" w:hAnsi="Arial" w:cs="Arial"/>
          <w:sz w:val="28"/>
          <w:lang w:val="en-US"/>
        </w:rPr>
      </w:pPr>
      <w:r w:rsidRPr="00DD2342">
        <w:rPr>
          <w:rFonts w:ascii="Arial" w:hAnsi="Arial" w:cs="Arial"/>
          <w:sz w:val="28"/>
          <w:lang w:val="en-US"/>
        </w:rPr>
        <w:lastRenderedPageBreak/>
        <w:t xml:space="preserve">Indah, S., Lestari, E., Sasono, A.D. and Indrihastuti, P. (2024). Liquidity, Solvency, and Profitability Ratio Analysis as a Financial Performance Measurement Tool at PT Telkom Indonesia (Persero) Tbk for the Period 2020-2022 (Case Study of Companies Listed on the Indonesia Stock Exchange). </w:t>
      </w:r>
      <w:r w:rsidRPr="00DD2342">
        <w:rPr>
          <w:rFonts w:ascii="Arial" w:hAnsi="Arial" w:cs="Arial"/>
          <w:i/>
          <w:iCs/>
          <w:sz w:val="28"/>
          <w:lang w:val="en-US"/>
        </w:rPr>
        <w:t>Journal of Economics and Business Letters</w:t>
      </w:r>
      <w:r w:rsidRPr="00DD2342">
        <w:rPr>
          <w:rFonts w:ascii="Arial" w:hAnsi="Arial" w:cs="Arial"/>
          <w:sz w:val="28"/>
          <w:lang w:val="en-US"/>
        </w:rPr>
        <w:t xml:space="preserve">, [online] 4(2), pp.63–77. doi: </w:t>
      </w:r>
      <w:hyperlink r:id="rId46" w:history="1">
        <w:r w:rsidRPr="00DD2342">
          <w:rPr>
            <w:rStyle w:val="Hyperlink"/>
            <w:rFonts w:ascii="Arial" w:hAnsi="Arial" w:cs="Arial"/>
            <w:sz w:val="28"/>
            <w:lang w:val="en-US"/>
          </w:rPr>
          <w:t>https://doi.org/10.55942/jebl.v4i2.308</w:t>
        </w:r>
      </w:hyperlink>
      <w:r w:rsidRPr="00DD2342">
        <w:rPr>
          <w:rFonts w:ascii="Arial" w:hAnsi="Arial" w:cs="Arial"/>
          <w:sz w:val="28"/>
          <w:lang w:val="en-US"/>
        </w:rPr>
        <w:t xml:space="preserve">. </w:t>
      </w:r>
    </w:p>
    <w:p w14:paraId="4846B7A3" w14:textId="77777777" w:rsidR="00E6767A" w:rsidRPr="00DD2342" w:rsidRDefault="00E6767A" w:rsidP="00DD2342">
      <w:pPr>
        <w:jc w:val="both"/>
        <w:rPr>
          <w:rFonts w:ascii="Arial" w:hAnsi="Arial" w:cs="Arial"/>
          <w:sz w:val="28"/>
          <w:lang w:val="en-US"/>
        </w:rPr>
      </w:pPr>
    </w:p>
    <w:p w14:paraId="03B56C7B" w14:textId="77777777" w:rsidR="00DD2342" w:rsidRPr="00894333" w:rsidRDefault="00DD2342" w:rsidP="00DD2342">
      <w:pPr>
        <w:jc w:val="both"/>
        <w:rPr>
          <w:rFonts w:ascii="Arial" w:hAnsi="Arial" w:cs="Arial"/>
          <w:sz w:val="28"/>
          <w:lang w:val="en-US"/>
        </w:rPr>
      </w:pPr>
      <w:r w:rsidRPr="00DD2342">
        <w:rPr>
          <w:rFonts w:ascii="Arial" w:hAnsi="Arial" w:cs="Arial"/>
          <w:sz w:val="28"/>
          <w:lang w:val="en-US"/>
        </w:rPr>
        <w:t xml:space="preserve">JPMorgan (2024). </w:t>
      </w:r>
      <w:r w:rsidRPr="00DD2342">
        <w:rPr>
          <w:rFonts w:ascii="Arial" w:hAnsi="Arial" w:cs="Arial"/>
          <w:i/>
          <w:iCs/>
          <w:sz w:val="28"/>
          <w:lang w:val="en-US"/>
        </w:rPr>
        <w:t>Increasing efficiency: Working Capital Index 2024</w:t>
      </w:r>
      <w:r w:rsidRPr="00DD2342">
        <w:rPr>
          <w:rFonts w:ascii="Arial" w:hAnsi="Arial" w:cs="Arial"/>
          <w:sz w:val="28"/>
          <w:lang w:val="en-US"/>
        </w:rPr>
        <w:t xml:space="preserve">. [online] doi: </w:t>
      </w:r>
      <w:hyperlink r:id="rId47" w:history="1">
        <w:r w:rsidRPr="00DD2342">
          <w:rPr>
            <w:rStyle w:val="Hyperlink"/>
            <w:rFonts w:ascii="Arial" w:hAnsi="Arial" w:cs="Arial"/>
            <w:sz w:val="28"/>
            <w:lang w:val="en-US"/>
          </w:rPr>
          <w:t>https://www.jpmorgan.com/content/dam/jpmorgan/images/payments/working-capital-index/increasing-efficiency-working-capital-index-2024-ada.pdf</w:t>
        </w:r>
      </w:hyperlink>
      <w:r w:rsidRPr="00DD2342">
        <w:rPr>
          <w:rFonts w:ascii="Arial" w:hAnsi="Arial" w:cs="Arial"/>
          <w:sz w:val="28"/>
          <w:lang w:val="en-US"/>
        </w:rPr>
        <w:t xml:space="preserve">. </w:t>
      </w:r>
    </w:p>
    <w:p w14:paraId="7C01190F" w14:textId="77777777" w:rsidR="00E6767A" w:rsidRPr="00DD2342" w:rsidRDefault="00E6767A" w:rsidP="00DD2342">
      <w:pPr>
        <w:jc w:val="both"/>
        <w:rPr>
          <w:rFonts w:ascii="Arial" w:hAnsi="Arial" w:cs="Arial"/>
          <w:sz w:val="28"/>
          <w:lang w:val="en-US"/>
        </w:rPr>
      </w:pPr>
    </w:p>
    <w:p w14:paraId="620F67AC" w14:textId="77777777" w:rsidR="00DD2342" w:rsidRPr="00894333" w:rsidRDefault="00DD2342" w:rsidP="00DD2342">
      <w:pPr>
        <w:jc w:val="both"/>
        <w:rPr>
          <w:rFonts w:ascii="Arial" w:hAnsi="Arial" w:cs="Arial"/>
          <w:sz w:val="28"/>
          <w:lang w:val="en-US"/>
        </w:rPr>
      </w:pPr>
      <w:r w:rsidRPr="00DD2342">
        <w:rPr>
          <w:rFonts w:ascii="Arial" w:hAnsi="Arial" w:cs="Arial"/>
          <w:sz w:val="28"/>
          <w:lang w:val="en-US"/>
        </w:rPr>
        <w:t xml:space="preserve">Kiymaz, H., Haque, S. and Choudhury, A.A. (2024). Working capital management and firm performance: A comparative analysis of developed and emerging economies. </w:t>
      </w:r>
      <w:r w:rsidRPr="00DD2342">
        <w:rPr>
          <w:rFonts w:ascii="Arial" w:hAnsi="Arial" w:cs="Arial"/>
          <w:i/>
          <w:iCs/>
          <w:sz w:val="28"/>
          <w:lang w:val="en-US"/>
        </w:rPr>
        <w:t>Borsa Istanbul Review</w:t>
      </w:r>
      <w:r w:rsidRPr="00DD2342">
        <w:rPr>
          <w:rFonts w:ascii="Arial" w:hAnsi="Arial" w:cs="Arial"/>
          <w:sz w:val="28"/>
          <w:lang w:val="en-US"/>
        </w:rPr>
        <w:t xml:space="preserve">, 24(3). doi: </w:t>
      </w:r>
      <w:hyperlink r:id="rId48" w:history="1">
        <w:r w:rsidRPr="00DD2342">
          <w:rPr>
            <w:rStyle w:val="Hyperlink"/>
            <w:rFonts w:ascii="Arial" w:hAnsi="Arial" w:cs="Arial"/>
            <w:sz w:val="28"/>
            <w:lang w:val="en-US"/>
          </w:rPr>
          <w:t>https://doi.org/10.1016/j.bir.2024.03.004</w:t>
        </w:r>
      </w:hyperlink>
      <w:r w:rsidRPr="00DD2342">
        <w:rPr>
          <w:rFonts w:ascii="Arial" w:hAnsi="Arial" w:cs="Arial"/>
          <w:sz w:val="28"/>
          <w:lang w:val="en-US"/>
        </w:rPr>
        <w:t xml:space="preserve">. </w:t>
      </w:r>
    </w:p>
    <w:p w14:paraId="0583C60B" w14:textId="77777777" w:rsidR="00E6767A" w:rsidRPr="00DD2342" w:rsidRDefault="00E6767A" w:rsidP="00DD2342">
      <w:pPr>
        <w:jc w:val="both"/>
        <w:rPr>
          <w:rFonts w:ascii="Arial" w:hAnsi="Arial" w:cs="Arial"/>
          <w:sz w:val="28"/>
          <w:lang w:val="en-US"/>
        </w:rPr>
      </w:pPr>
    </w:p>
    <w:p w14:paraId="04092C25" w14:textId="77777777" w:rsidR="00DD2342" w:rsidRPr="00894333" w:rsidRDefault="00DD2342" w:rsidP="00DD2342">
      <w:pPr>
        <w:jc w:val="both"/>
        <w:rPr>
          <w:rFonts w:ascii="Arial" w:hAnsi="Arial" w:cs="Arial"/>
          <w:sz w:val="28"/>
          <w:lang w:val="en-US"/>
        </w:rPr>
      </w:pPr>
      <w:r w:rsidRPr="00DD2342">
        <w:rPr>
          <w:rFonts w:ascii="Arial" w:hAnsi="Arial" w:cs="Arial"/>
          <w:sz w:val="28"/>
          <w:lang w:val="en-US"/>
        </w:rPr>
        <w:t xml:space="preserve">Li, K. (2023). Liquidity ratios and corporate failures. </w:t>
      </w:r>
      <w:r w:rsidRPr="00DD2342">
        <w:rPr>
          <w:rFonts w:ascii="Arial" w:hAnsi="Arial" w:cs="Arial"/>
          <w:i/>
          <w:iCs/>
          <w:sz w:val="28"/>
          <w:lang w:val="en-US"/>
        </w:rPr>
        <w:t>Accounting and finance</w:t>
      </w:r>
      <w:r w:rsidRPr="00DD2342">
        <w:rPr>
          <w:rFonts w:ascii="Arial" w:hAnsi="Arial" w:cs="Arial"/>
          <w:sz w:val="28"/>
          <w:lang w:val="en-US"/>
        </w:rPr>
        <w:t xml:space="preserve">, [online] 64(1). doi: </w:t>
      </w:r>
      <w:hyperlink r:id="rId49" w:history="1">
        <w:r w:rsidRPr="00DD2342">
          <w:rPr>
            <w:rStyle w:val="Hyperlink"/>
            <w:rFonts w:ascii="Arial" w:hAnsi="Arial" w:cs="Arial"/>
            <w:sz w:val="28"/>
            <w:lang w:val="en-US"/>
          </w:rPr>
          <w:t>https://onlinelibrary.wiley.com/doi/full/10.1111/acfi.13174</w:t>
        </w:r>
      </w:hyperlink>
      <w:r w:rsidRPr="00DD2342">
        <w:rPr>
          <w:rFonts w:ascii="Arial" w:hAnsi="Arial" w:cs="Arial"/>
          <w:sz w:val="28"/>
          <w:lang w:val="en-US"/>
        </w:rPr>
        <w:t xml:space="preserve">. </w:t>
      </w:r>
    </w:p>
    <w:p w14:paraId="6871DBA7" w14:textId="77777777" w:rsidR="00E6767A" w:rsidRPr="00DD2342" w:rsidRDefault="00E6767A" w:rsidP="00DD2342">
      <w:pPr>
        <w:jc w:val="both"/>
        <w:rPr>
          <w:rFonts w:ascii="Arial" w:hAnsi="Arial" w:cs="Arial"/>
          <w:sz w:val="28"/>
          <w:lang w:val="en-US"/>
        </w:rPr>
      </w:pPr>
    </w:p>
    <w:p w14:paraId="6EEF482D" w14:textId="77777777" w:rsidR="00DD2342" w:rsidRPr="00894333" w:rsidRDefault="00DD2342" w:rsidP="00DD2342">
      <w:pPr>
        <w:jc w:val="both"/>
        <w:rPr>
          <w:rFonts w:ascii="Arial" w:hAnsi="Arial" w:cs="Arial"/>
          <w:sz w:val="28"/>
          <w:lang w:val="en-US"/>
        </w:rPr>
      </w:pPr>
      <w:r w:rsidRPr="00DD2342">
        <w:rPr>
          <w:rFonts w:ascii="Arial" w:hAnsi="Arial" w:cs="Arial"/>
          <w:sz w:val="28"/>
          <w:lang w:val="en-US"/>
        </w:rPr>
        <w:t xml:space="preserve">Mengstie, B., Mosisa, T. and Mosisa, T. (2024). Impact of working capital management on profitability of private commercial banks in Ethiopia. </w:t>
      </w:r>
      <w:r w:rsidRPr="00DD2342">
        <w:rPr>
          <w:rFonts w:ascii="Arial" w:hAnsi="Arial" w:cs="Arial"/>
          <w:i/>
          <w:iCs/>
          <w:sz w:val="28"/>
          <w:lang w:val="en-US"/>
        </w:rPr>
        <w:t>Journal of innovation and entrepreneurship</w:t>
      </w:r>
      <w:r w:rsidRPr="00DD2342">
        <w:rPr>
          <w:rFonts w:ascii="Arial" w:hAnsi="Arial" w:cs="Arial"/>
          <w:sz w:val="28"/>
          <w:lang w:val="en-US"/>
        </w:rPr>
        <w:t xml:space="preserve">, 13(1). doi: </w:t>
      </w:r>
      <w:hyperlink r:id="rId50" w:history="1">
        <w:r w:rsidRPr="00DD2342">
          <w:rPr>
            <w:rStyle w:val="Hyperlink"/>
            <w:rFonts w:ascii="Arial" w:hAnsi="Arial" w:cs="Arial"/>
            <w:sz w:val="28"/>
            <w:lang w:val="en-US"/>
          </w:rPr>
          <w:t>https://doi.org/10.1186/s13731-024-00379-3</w:t>
        </w:r>
      </w:hyperlink>
      <w:r w:rsidRPr="00DD2342">
        <w:rPr>
          <w:rFonts w:ascii="Arial" w:hAnsi="Arial" w:cs="Arial"/>
          <w:sz w:val="28"/>
          <w:lang w:val="en-US"/>
        </w:rPr>
        <w:t xml:space="preserve">. </w:t>
      </w:r>
    </w:p>
    <w:p w14:paraId="0F305DA1" w14:textId="77777777" w:rsidR="00E6767A" w:rsidRPr="00DD2342" w:rsidRDefault="00E6767A" w:rsidP="00DD2342">
      <w:pPr>
        <w:jc w:val="both"/>
        <w:rPr>
          <w:rFonts w:ascii="Arial" w:hAnsi="Arial" w:cs="Arial"/>
          <w:sz w:val="28"/>
          <w:lang w:val="en-US"/>
        </w:rPr>
      </w:pPr>
    </w:p>
    <w:p w14:paraId="6CB0E426" w14:textId="1C8FB53C" w:rsidR="00DD2342" w:rsidRPr="00894333" w:rsidRDefault="00DD2342" w:rsidP="00DD2342">
      <w:pPr>
        <w:jc w:val="both"/>
        <w:rPr>
          <w:rFonts w:ascii="Arial" w:hAnsi="Arial" w:cs="Arial"/>
          <w:sz w:val="28"/>
          <w:lang w:val="en-US"/>
        </w:rPr>
      </w:pPr>
      <w:r w:rsidRPr="00DD2342">
        <w:rPr>
          <w:rFonts w:ascii="Arial" w:hAnsi="Arial" w:cs="Arial"/>
          <w:sz w:val="28"/>
          <w:lang w:val="en-US"/>
        </w:rPr>
        <w:t xml:space="preserve">Panigrahi, Cma. A. (2019). </w:t>
      </w:r>
      <w:r w:rsidRPr="00DD2342">
        <w:rPr>
          <w:rFonts w:ascii="Arial" w:hAnsi="Arial" w:cs="Arial"/>
          <w:i/>
          <w:iCs/>
          <w:sz w:val="28"/>
          <w:lang w:val="en-US"/>
        </w:rPr>
        <w:t>Validity of Altman’s ‘Z’ Score Model in Predicting Financial Distress of Pharmaceutical Companies</w:t>
      </w:r>
      <w:r w:rsidRPr="00DD2342">
        <w:rPr>
          <w:rFonts w:ascii="Arial" w:hAnsi="Arial" w:cs="Arial"/>
          <w:sz w:val="28"/>
          <w:lang w:val="en-US"/>
        </w:rPr>
        <w:t xml:space="preserve">. [online] papers.ssrn.com. doi: </w:t>
      </w:r>
      <w:hyperlink r:id="rId51" w:history="1">
        <w:r w:rsidRPr="00DD2342">
          <w:rPr>
            <w:rStyle w:val="Hyperlink"/>
            <w:rFonts w:ascii="Arial" w:hAnsi="Arial" w:cs="Arial"/>
            <w:sz w:val="28"/>
            <w:lang w:val="en-US"/>
          </w:rPr>
          <w:t>https://papers.ssrn.com/sol3/papers.cfm?abstract_id=3326312</w:t>
        </w:r>
      </w:hyperlink>
      <w:r w:rsidRPr="00DD2342">
        <w:rPr>
          <w:rFonts w:ascii="Arial" w:hAnsi="Arial" w:cs="Arial"/>
          <w:sz w:val="28"/>
          <w:lang w:val="en-US"/>
        </w:rPr>
        <w:t xml:space="preserve">. </w:t>
      </w:r>
    </w:p>
    <w:p w14:paraId="7688DEBD" w14:textId="77777777" w:rsidR="00E6767A" w:rsidRPr="00DD2342" w:rsidRDefault="00E6767A" w:rsidP="00DD2342">
      <w:pPr>
        <w:jc w:val="both"/>
        <w:rPr>
          <w:rFonts w:ascii="Arial" w:hAnsi="Arial" w:cs="Arial"/>
          <w:sz w:val="28"/>
          <w:lang w:val="en-US"/>
        </w:rPr>
      </w:pPr>
    </w:p>
    <w:p w14:paraId="592D851B" w14:textId="77777777" w:rsidR="00DD2342" w:rsidRPr="00894333" w:rsidRDefault="00DD2342" w:rsidP="00DD2342">
      <w:pPr>
        <w:jc w:val="both"/>
        <w:rPr>
          <w:rFonts w:ascii="Arial" w:hAnsi="Arial" w:cs="Arial"/>
          <w:sz w:val="28"/>
          <w:lang w:val="en-US"/>
        </w:rPr>
      </w:pPr>
      <w:r w:rsidRPr="00DD2342">
        <w:rPr>
          <w:rFonts w:ascii="Arial" w:hAnsi="Arial" w:cs="Arial"/>
          <w:sz w:val="28"/>
          <w:lang w:val="en-US"/>
        </w:rPr>
        <w:lastRenderedPageBreak/>
        <w:t xml:space="preserve">Ramadhan, R. (2025). Profitability and Liquidity Analysis to Assess Financial Performance at PT. Indofood Sukses Makmur, Tbk. 2022-2023. </w:t>
      </w:r>
      <w:r w:rsidRPr="00DD2342">
        <w:rPr>
          <w:rFonts w:ascii="Arial" w:hAnsi="Arial" w:cs="Arial"/>
          <w:i/>
          <w:iCs/>
          <w:sz w:val="28"/>
          <w:lang w:val="en-US"/>
        </w:rPr>
        <w:t>SSRN Electronic Journal</w:t>
      </w:r>
      <w:r w:rsidRPr="00DD2342">
        <w:rPr>
          <w:rFonts w:ascii="Arial" w:hAnsi="Arial" w:cs="Arial"/>
          <w:sz w:val="28"/>
          <w:lang w:val="en-US"/>
        </w:rPr>
        <w:t xml:space="preserve">. doi: </w:t>
      </w:r>
      <w:hyperlink r:id="rId52" w:history="1">
        <w:r w:rsidRPr="00DD2342">
          <w:rPr>
            <w:rStyle w:val="Hyperlink"/>
            <w:rFonts w:ascii="Arial" w:hAnsi="Arial" w:cs="Arial"/>
            <w:sz w:val="28"/>
            <w:lang w:val="en-US"/>
          </w:rPr>
          <w:t>https://doi.org/10.2139/ssrn.5126504</w:t>
        </w:r>
      </w:hyperlink>
      <w:r w:rsidRPr="00DD2342">
        <w:rPr>
          <w:rFonts w:ascii="Arial" w:hAnsi="Arial" w:cs="Arial"/>
          <w:sz w:val="28"/>
          <w:lang w:val="en-US"/>
        </w:rPr>
        <w:t xml:space="preserve">. </w:t>
      </w:r>
    </w:p>
    <w:p w14:paraId="5BDE3AD7" w14:textId="77777777" w:rsidR="00E6767A" w:rsidRPr="00DD2342" w:rsidRDefault="00E6767A" w:rsidP="00DD2342">
      <w:pPr>
        <w:jc w:val="both"/>
        <w:rPr>
          <w:rFonts w:ascii="Arial" w:hAnsi="Arial" w:cs="Arial"/>
          <w:sz w:val="28"/>
          <w:lang w:val="en-US"/>
        </w:rPr>
      </w:pPr>
    </w:p>
    <w:p w14:paraId="42584E07" w14:textId="77777777" w:rsidR="00DD2342" w:rsidRPr="00894333" w:rsidRDefault="00DD2342" w:rsidP="00DD2342">
      <w:pPr>
        <w:jc w:val="both"/>
        <w:rPr>
          <w:rFonts w:ascii="Arial" w:hAnsi="Arial" w:cs="Arial"/>
          <w:sz w:val="28"/>
          <w:lang w:val="en-US"/>
        </w:rPr>
      </w:pPr>
      <w:r w:rsidRPr="00DD2342">
        <w:rPr>
          <w:rFonts w:ascii="Arial" w:hAnsi="Arial" w:cs="Arial"/>
          <w:sz w:val="28"/>
          <w:lang w:val="en-US"/>
        </w:rPr>
        <w:t xml:space="preserve">Rashid, F., Khan, R.A. and Qureshi, I.H. (2024). A Comprehensive Review of the Altman Z-Score Model Across Industries. </w:t>
      </w:r>
      <w:r w:rsidRPr="00DD2342">
        <w:rPr>
          <w:rFonts w:ascii="Arial" w:hAnsi="Arial" w:cs="Arial"/>
          <w:i/>
          <w:iCs/>
          <w:sz w:val="28"/>
          <w:lang w:val="en-US"/>
        </w:rPr>
        <w:t>SSRN Electronic Journal</w:t>
      </w:r>
      <w:r w:rsidRPr="00DD2342">
        <w:rPr>
          <w:rFonts w:ascii="Arial" w:hAnsi="Arial" w:cs="Arial"/>
          <w:sz w:val="28"/>
          <w:lang w:val="en-US"/>
        </w:rPr>
        <w:t xml:space="preserve">. doi: </w:t>
      </w:r>
      <w:hyperlink r:id="rId53" w:history="1">
        <w:r w:rsidRPr="00DD2342">
          <w:rPr>
            <w:rStyle w:val="Hyperlink"/>
            <w:rFonts w:ascii="Arial" w:hAnsi="Arial" w:cs="Arial"/>
            <w:sz w:val="28"/>
            <w:lang w:val="en-US"/>
          </w:rPr>
          <w:t>https://doi.org/10.2139/ssrn.5044057</w:t>
        </w:r>
      </w:hyperlink>
      <w:r w:rsidRPr="00DD2342">
        <w:rPr>
          <w:rFonts w:ascii="Arial" w:hAnsi="Arial" w:cs="Arial"/>
          <w:sz w:val="28"/>
          <w:lang w:val="en-US"/>
        </w:rPr>
        <w:t xml:space="preserve">. </w:t>
      </w:r>
    </w:p>
    <w:p w14:paraId="249FFE5D" w14:textId="77777777" w:rsidR="00E6767A" w:rsidRPr="00DD2342" w:rsidRDefault="00E6767A" w:rsidP="00DD2342">
      <w:pPr>
        <w:jc w:val="both"/>
        <w:rPr>
          <w:rFonts w:ascii="Arial" w:hAnsi="Arial" w:cs="Arial"/>
          <w:sz w:val="28"/>
          <w:lang w:val="en-US"/>
        </w:rPr>
      </w:pPr>
    </w:p>
    <w:p w14:paraId="50B627A0" w14:textId="77777777" w:rsidR="00DD2342" w:rsidRPr="00894333" w:rsidRDefault="00DD2342" w:rsidP="00DD2342">
      <w:pPr>
        <w:jc w:val="both"/>
        <w:rPr>
          <w:rFonts w:ascii="Arial" w:hAnsi="Arial" w:cs="Arial"/>
          <w:sz w:val="28"/>
          <w:lang w:val="en-US"/>
        </w:rPr>
      </w:pPr>
      <w:r w:rsidRPr="00DD2342">
        <w:rPr>
          <w:rFonts w:ascii="Arial" w:hAnsi="Arial" w:cs="Arial"/>
          <w:sz w:val="28"/>
          <w:lang w:val="en-US"/>
        </w:rPr>
        <w:t>Sadique, M. (2024). Working Capital Management and Financial Performance: Evidence from Nigeriaâ€</w:t>
      </w:r>
      <w:r w:rsidRPr="00DD2342">
        <w:rPr>
          <w:rFonts w:ascii="Arial" w:hAnsi="Arial" w:cs="Arial"/>
          <w:sz w:val="28"/>
          <w:vertAlign w:val="superscript"/>
          <w:lang w:val="en-US"/>
        </w:rPr>
        <w:t>TM</w:t>
      </w:r>
      <w:r w:rsidRPr="00DD2342">
        <w:rPr>
          <w:rFonts w:ascii="Arial" w:hAnsi="Arial" w:cs="Arial"/>
          <w:sz w:val="28"/>
          <w:lang w:val="en-US"/>
        </w:rPr>
        <w:t xml:space="preserve">s Public Listed Manufacturing Companies. </w:t>
      </w:r>
      <w:r w:rsidRPr="00DD2342">
        <w:rPr>
          <w:rFonts w:ascii="Arial" w:hAnsi="Arial" w:cs="Arial"/>
          <w:i/>
          <w:iCs/>
          <w:sz w:val="28"/>
          <w:lang w:val="en-US"/>
        </w:rPr>
        <w:t>Accounting and Finance Research</w:t>
      </w:r>
      <w:r w:rsidRPr="00DD2342">
        <w:rPr>
          <w:rFonts w:ascii="Arial" w:hAnsi="Arial" w:cs="Arial"/>
          <w:sz w:val="28"/>
          <w:lang w:val="en-US"/>
        </w:rPr>
        <w:t xml:space="preserve">, [online] 13(2), pp.142–142. doi: </w:t>
      </w:r>
      <w:hyperlink r:id="rId54" w:history="1">
        <w:r w:rsidRPr="00DD2342">
          <w:rPr>
            <w:rStyle w:val="Hyperlink"/>
            <w:rFonts w:ascii="Arial" w:hAnsi="Arial" w:cs="Arial"/>
            <w:sz w:val="28"/>
            <w:lang w:val="en-US"/>
          </w:rPr>
          <w:t>https://ideas.repec.org/a/jfr/afr111/v13y2024i2p142.html</w:t>
        </w:r>
      </w:hyperlink>
      <w:r w:rsidRPr="00DD2342">
        <w:rPr>
          <w:rFonts w:ascii="Arial" w:hAnsi="Arial" w:cs="Arial"/>
          <w:sz w:val="28"/>
          <w:lang w:val="en-US"/>
        </w:rPr>
        <w:t xml:space="preserve">. </w:t>
      </w:r>
    </w:p>
    <w:p w14:paraId="4B1775A1" w14:textId="77777777" w:rsidR="00E6767A" w:rsidRPr="00DD2342" w:rsidRDefault="00E6767A" w:rsidP="00DD2342">
      <w:pPr>
        <w:jc w:val="both"/>
        <w:rPr>
          <w:rFonts w:ascii="Arial" w:hAnsi="Arial" w:cs="Arial"/>
          <w:sz w:val="28"/>
          <w:lang w:val="en-US"/>
        </w:rPr>
      </w:pPr>
    </w:p>
    <w:p w14:paraId="771B1118" w14:textId="77777777" w:rsidR="00DD2342" w:rsidRPr="00894333" w:rsidRDefault="00DD2342" w:rsidP="00DD2342">
      <w:pPr>
        <w:jc w:val="both"/>
        <w:rPr>
          <w:rFonts w:ascii="Arial" w:hAnsi="Arial" w:cs="Arial"/>
          <w:sz w:val="28"/>
          <w:lang w:val="en-US"/>
        </w:rPr>
      </w:pPr>
      <w:r w:rsidRPr="00DD2342">
        <w:rPr>
          <w:rFonts w:ascii="Arial" w:hAnsi="Arial" w:cs="Arial"/>
          <w:sz w:val="28"/>
          <w:lang w:val="en-US"/>
        </w:rPr>
        <w:t xml:space="preserve">Schweizer, L. and Nienhaus, A. (2017). Corporate distress and turnaround: integrating the literature and directing future research. </w:t>
      </w:r>
      <w:r w:rsidRPr="00DD2342">
        <w:rPr>
          <w:rFonts w:ascii="Arial" w:hAnsi="Arial" w:cs="Arial"/>
          <w:i/>
          <w:iCs/>
          <w:sz w:val="28"/>
          <w:lang w:val="en-US"/>
        </w:rPr>
        <w:t>Business Research</w:t>
      </w:r>
      <w:r w:rsidRPr="00DD2342">
        <w:rPr>
          <w:rFonts w:ascii="Arial" w:hAnsi="Arial" w:cs="Arial"/>
          <w:sz w:val="28"/>
          <w:lang w:val="en-US"/>
        </w:rPr>
        <w:t xml:space="preserve">, 10(1), pp.3–47. doi: </w:t>
      </w:r>
      <w:hyperlink r:id="rId55" w:history="1">
        <w:r w:rsidRPr="00DD2342">
          <w:rPr>
            <w:rStyle w:val="Hyperlink"/>
            <w:rFonts w:ascii="Arial" w:hAnsi="Arial" w:cs="Arial"/>
            <w:sz w:val="28"/>
            <w:lang w:val="en-US"/>
          </w:rPr>
          <w:t>https://doi.org/10.1007/s40685-016-0041-8</w:t>
        </w:r>
      </w:hyperlink>
      <w:r w:rsidRPr="00DD2342">
        <w:rPr>
          <w:rFonts w:ascii="Arial" w:hAnsi="Arial" w:cs="Arial"/>
          <w:sz w:val="28"/>
          <w:lang w:val="en-US"/>
        </w:rPr>
        <w:t xml:space="preserve">. </w:t>
      </w:r>
    </w:p>
    <w:p w14:paraId="0983B3C1" w14:textId="77777777" w:rsidR="00E6767A" w:rsidRPr="00DD2342" w:rsidRDefault="00E6767A" w:rsidP="00DD2342">
      <w:pPr>
        <w:jc w:val="both"/>
        <w:rPr>
          <w:rFonts w:ascii="Arial" w:hAnsi="Arial" w:cs="Arial"/>
          <w:sz w:val="28"/>
          <w:lang w:val="en-US"/>
        </w:rPr>
      </w:pPr>
    </w:p>
    <w:p w14:paraId="646BBC1B" w14:textId="77777777" w:rsidR="00DD2342" w:rsidRPr="00894333" w:rsidRDefault="00DD2342" w:rsidP="00DD2342">
      <w:pPr>
        <w:jc w:val="both"/>
        <w:rPr>
          <w:rFonts w:ascii="Arial" w:hAnsi="Arial" w:cs="Arial"/>
          <w:sz w:val="28"/>
          <w:lang w:val="en-US"/>
        </w:rPr>
      </w:pPr>
      <w:r w:rsidRPr="00DD2342">
        <w:rPr>
          <w:rFonts w:ascii="Arial" w:hAnsi="Arial" w:cs="Arial"/>
          <w:sz w:val="28"/>
          <w:lang w:val="en-US"/>
        </w:rPr>
        <w:t xml:space="preserve">Sokolov, M.V. (2024). NPV, IRR, PI, PP, and DPP: a unified view. </w:t>
      </w:r>
      <w:r w:rsidRPr="00DD2342">
        <w:rPr>
          <w:rFonts w:ascii="Arial" w:hAnsi="Arial" w:cs="Arial"/>
          <w:i/>
          <w:iCs/>
          <w:sz w:val="28"/>
          <w:lang w:val="en-US"/>
        </w:rPr>
        <w:t>Journal of Mathematical Economics</w:t>
      </w:r>
      <w:r w:rsidRPr="00DD2342">
        <w:rPr>
          <w:rFonts w:ascii="Arial" w:hAnsi="Arial" w:cs="Arial"/>
          <w:sz w:val="28"/>
          <w:lang w:val="en-US"/>
        </w:rPr>
        <w:t xml:space="preserve">, [online] 114, p.102992. doi: </w:t>
      </w:r>
      <w:hyperlink r:id="rId56" w:history="1">
        <w:r w:rsidRPr="00DD2342">
          <w:rPr>
            <w:rStyle w:val="Hyperlink"/>
            <w:rFonts w:ascii="Arial" w:hAnsi="Arial" w:cs="Arial"/>
            <w:sz w:val="28"/>
            <w:lang w:val="en-US"/>
          </w:rPr>
          <w:t>https://doi.org/10.1016/j.jmateco.2024.102992</w:t>
        </w:r>
      </w:hyperlink>
      <w:r w:rsidRPr="00DD2342">
        <w:rPr>
          <w:rFonts w:ascii="Arial" w:hAnsi="Arial" w:cs="Arial"/>
          <w:sz w:val="28"/>
          <w:lang w:val="en-US"/>
        </w:rPr>
        <w:t xml:space="preserve">. </w:t>
      </w:r>
    </w:p>
    <w:p w14:paraId="6A9B1BCC" w14:textId="77777777" w:rsidR="00E6767A" w:rsidRPr="00DD2342" w:rsidRDefault="00E6767A" w:rsidP="00DD2342">
      <w:pPr>
        <w:jc w:val="both"/>
        <w:rPr>
          <w:rFonts w:ascii="Arial" w:hAnsi="Arial" w:cs="Arial"/>
          <w:sz w:val="28"/>
          <w:lang w:val="en-US"/>
        </w:rPr>
      </w:pPr>
    </w:p>
    <w:p w14:paraId="141C315A" w14:textId="77777777" w:rsidR="00DD2342" w:rsidRPr="00894333" w:rsidRDefault="00DD2342" w:rsidP="00DD2342">
      <w:pPr>
        <w:jc w:val="both"/>
        <w:rPr>
          <w:rFonts w:ascii="Arial" w:hAnsi="Arial" w:cs="Arial"/>
          <w:sz w:val="28"/>
          <w:lang w:val="en-US"/>
        </w:rPr>
      </w:pPr>
      <w:r w:rsidRPr="00DD2342">
        <w:rPr>
          <w:rFonts w:ascii="Arial" w:hAnsi="Arial" w:cs="Arial"/>
          <w:sz w:val="28"/>
          <w:lang w:val="en-US"/>
        </w:rPr>
        <w:t xml:space="preserve">Stavropoulos, A.-S. and Zounta, S. (2025). Cash Conversion Cycle and Profitability: Evidence from Greek Service Firms. </w:t>
      </w:r>
      <w:r w:rsidRPr="00DD2342">
        <w:rPr>
          <w:rFonts w:ascii="Arial" w:hAnsi="Arial" w:cs="Arial"/>
          <w:i/>
          <w:iCs/>
          <w:sz w:val="28"/>
          <w:lang w:val="en-US"/>
        </w:rPr>
        <w:t>Journal of Risk and Financial Management</w:t>
      </w:r>
      <w:r w:rsidRPr="00DD2342">
        <w:rPr>
          <w:rFonts w:ascii="Arial" w:hAnsi="Arial" w:cs="Arial"/>
          <w:sz w:val="28"/>
          <w:lang w:val="en-US"/>
        </w:rPr>
        <w:t xml:space="preserve">, [online] 18(4), p.208. doi: </w:t>
      </w:r>
      <w:hyperlink r:id="rId57" w:history="1">
        <w:r w:rsidRPr="00DD2342">
          <w:rPr>
            <w:rStyle w:val="Hyperlink"/>
            <w:rFonts w:ascii="Arial" w:hAnsi="Arial" w:cs="Arial"/>
            <w:sz w:val="28"/>
            <w:lang w:val="en-US"/>
          </w:rPr>
          <w:t>https://doi.org/10.3390/jrfm18040208</w:t>
        </w:r>
      </w:hyperlink>
      <w:r w:rsidRPr="00DD2342">
        <w:rPr>
          <w:rFonts w:ascii="Arial" w:hAnsi="Arial" w:cs="Arial"/>
          <w:sz w:val="28"/>
          <w:lang w:val="en-US"/>
        </w:rPr>
        <w:t xml:space="preserve">. </w:t>
      </w:r>
    </w:p>
    <w:p w14:paraId="4A536E22" w14:textId="77777777" w:rsidR="00E6767A" w:rsidRPr="00DD2342" w:rsidRDefault="00E6767A" w:rsidP="00DD2342">
      <w:pPr>
        <w:jc w:val="both"/>
        <w:rPr>
          <w:rFonts w:ascii="Arial" w:hAnsi="Arial" w:cs="Arial"/>
          <w:sz w:val="28"/>
          <w:lang w:val="en-US"/>
        </w:rPr>
      </w:pPr>
    </w:p>
    <w:p w14:paraId="189DFF7F" w14:textId="77777777" w:rsidR="00DD2342" w:rsidRPr="00894333" w:rsidRDefault="00DD2342" w:rsidP="00DD2342">
      <w:pPr>
        <w:jc w:val="both"/>
        <w:rPr>
          <w:rFonts w:ascii="Arial" w:hAnsi="Arial" w:cs="Arial"/>
          <w:sz w:val="28"/>
          <w:lang w:val="en-US"/>
        </w:rPr>
      </w:pPr>
      <w:r w:rsidRPr="00DD2342">
        <w:rPr>
          <w:rFonts w:ascii="Arial" w:hAnsi="Arial" w:cs="Arial"/>
          <w:sz w:val="28"/>
          <w:lang w:val="en-US"/>
        </w:rPr>
        <w:t xml:space="preserve">Sudarsanam, S. and Lai, J. (2001). Corporate Financial Distress and Turnaround Strategies: An Empirical Analysis. </w:t>
      </w:r>
      <w:r w:rsidRPr="00DD2342">
        <w:rPr>
          <w:rFonts w:ascii="Arial" w:hAnsi="Arial" w:cs="Arial"/>
          <w:i/>
          <w:iCs/>
          <w:sz w:val="28"/>
          <w:lang w:val="en-US"/>
        </w:rPr>
        <w:t>British Journal of Management</w:t>
      </w:r>
      <w:r w:rsidRPr="00DD2342">
        <w:rPr>
          <w:rFonts w:ascii="Arial" w:hAnsi="Arial" w:cs="Arial"/>
          <w:sz w:val="28"/>
          <w:lang w:val="en-US"/>
        </w:rPr>
        <w:t xml:space="preserve">, 12(3), pp.183–199. doi: </w:t>
      </w:r>
      <w:hyperlink r:id="rId58" w:history="1">
        <w:r w:rsidRPr="00DD2342">
          <w:rPr>
            <w:rStyle w:val="Hyperlink"/>
            <w:rFonts w:ascii="Arial" w:hAnsi="Arial" w:cs="Arial"/>
            <w:sz w:val="28"/>
            <w:lang w:val="en-US"/>
          </w:rPr>
          <w:t>https://doi.org/10.1111/1467-8551.00193</w:t>
        </w:r>
      </w:hyperlink>
      <w:r w:rsidRPr="00DD2342">
        <w:rPr>
          <w:rFonts w:ascii="Arial" w:hAnsi="Arial" w:cs="Arial"/>
          <w:sz w:val="28"/>
          <w:lang w:val="en-US"/>
        </w:rPr>
        <w:t xml:space="preserve">. </w:t>
      </w:r>
    </w:p>
    <w:p w14:paraId="23784C3B" w14:textId="77777777" w:rsidR="00E6767A" w:rsidRPr="00DD2342" w:rsidRDefault="00E6767A" w:rsidP="00DD2342">
      <w:pPr>
        <w:jc w:val="both"/>
        <w:rPr>
          <w:rFonts w:ascii="Arial" w:hAnsi="Arial" w:cs="Arial"/>
          <w:sz w:val="28"/>
          <w:lang w:val="en-US"/>
        </w:rPr>
      </w:pPr>
    </w:p>
    <w:p w14:paraId="005F6EA7" w14:textId="77777777" w:rsidR="00DD2342" w:rsidRPr="00894333" w:rsidRDefault="00DD2342" w:rsidP="00DD2342">
      <w:pPr>
        <w:jc w:val="both"/>
        <w:rPr>
          <w:rFonts w:ascii="Arial" w:hAnsi="Arial" w:cs="Arial"/>
          <w:sz w:val="28"/>
          <w:lang w:val="en-US"/>
        </w:rPr>
      </w:pPr>
      <w:r w:rsidRPr="00DD2342">
        <w:rPr>
          <w:rFonts w:ascii="Arial" w:hAnsi="Arial" w:cs="Arial"/>
          <w:sz w:val="28"/>
          <w:lang w:val="en-US"/>
        </w:rPr>
        <w:lastRenderedPageBreak/>
        <w:t xml:space="preserve">Supty, J.F., Islam, A., Rahman, M.M. and Jalal, M.S. (2025). Predicting Financial Distress in Bangladesh’s Private Commercial Banks: An Altman Z-Score Approach. </w:t>
      </w:r>
      <w:r w:rsidRPr="00DD2342">
        <w:rPr>
          <w:rFonts w:ascii="Arial" w:hAnsi="Arial" w:cs="Arial"/>
          <w:i/>
          <w:iCs/>
          <w:sz w:val="28"/>
          <w:lang w:val="en-US"/>
        </w:rPr>
        <w:t>Asian Business Review</w:t>
      </w:r>
      <w:r w:rsidRPr="00DD2342">
        <w:rPr>
          <w:rFonts w:ascii="Arial" w:hAnsi="Arial" w:cs="Arial"/>
          <w:sz w:val="28"/>
          <w:lang w:val="en-US"/>
        </w:rPr>
        <w:t xml:space="preserve">, [online] 15(2), pp.61–70. doi: </w:t>
      </w:r>
      <w:hyperlink r:id="rId59" w:history="1">
        <w:r w:rsidRPr="00DD2342">
          <w:rPr>
            <w:rStyle w:val="Hyperlink"/>
            <w:rFonts w:ascii="Arial" w:hAnsi="Arial" w:cs="Arial"/>
            <w:sz w:val="28"/>
            <w:lang w:val="en-US"/>
          </w:rPr>
          <w:t>https://doi.org/10.18034/abr.v15i2.754</w:t>
        </w:r>
      </w:hyperlink>
      <w:r w:rsidRPr="00DD2342">
        <w:rPr>
          <w:rFonts w:ascii="Arial" w:hAnsi="Arial" w:cs="Arial"/>
          <w:sz w:val="28"/>
          <w:lang w:val="en-US"/>
        </w:rPr>
        <w:t xml:space="preserve">. </w:t>
      </w:r>
    </w:p>
    <w:p w14:paraId="025F06B3" w14:textId="77777777" w:rsidR="00E6767A" w:rsidRPr="00DD2342" w:rsidRDefault="00E6767A" w:rsidP="00DD2342">
      <w:pPr>
        <w:jc w:val="both"/>
        <w:rPr>
          <w:rFonts w:ascii="Arial" w:hAnsi="Arial" w:cs="Arial"/>
          <w:sz w:val="28"/>
          <w:lang w:val="en-US"/>
        </w:rPr>
      </w:pPr>
    </w:p>
    <w:p w14:paraId="6824A307" w14:textId="77777777" w:rsidR="00DD2342" w:rsidRPr="00894333" w:rsidRDefault="00DD2342" w:rsidP="00DD2342">
      <w:pPr>
        <w:jc w:val="both"/>
        <w:rPr>
          <w:rFonts w:ascii="Arial" w:hAnsi="Arial" w:cs="Arial"/>
          <w:sz w:val="28"/>
          <w:lang w:val="en-US"/>
        </w:rPr>
      </w:pPr>
      <w:r w:rsidRPr="00DD2342">
        <w:rPr>
          <w:rFonts w:ascii="Arial" w:hAnsi="Arial" w:cs="Arial"/>
          <w:sz w:val="28"/>
          <w:lang w:val="en-US"/>
        </w:rPr>
        <w:t xml:space="preserve">Wells, J. (2024). </w:t>
      </w:r>
      <w:r w:rsidRPr="00DD2342">
        <w:rPr>
          <w:rFonts w:ascii="Arial" w:hAnsi="Arial" w:cs="Arial"/>
          <w:i/>
          <w:iCs/>
          <w:sz w:val="28"/>
          <w:lang w:val="en-US"/>
        </w:rPr>
        <w:t>Charting a New Course: Navigating the Corporate Restructuring Landscape | eCapital</w:t>
      </w:r>
      <w:r w:rsidRPr="00DD2342">
        <w:rPr>
          <w:rFonts w:ascii="Arial" w:hAnsi="Arial" w:cs="Arial"/>
          <w:sz w:val="28"/>
          <w:lang w:val="en-US"/>
        </w:rPr>
        <w:t xml:space="preserve">. [online] eCapital. doi: </w:t>
      </w:r>
      <w:hyperlink r:id="rId60" w:history="1">
        <w:r w:rsidRPr="00DD2342">
          <w:rPr>
            <w:rStyle w:val="Hyperlink"/>
            <w:rFonts w:ascii="Arial" w:hAnsi="Arial" w:cs="Arial"/>
            <w:sz w:val="28"/>
            <w:lang w:val="en-US"/>
          </w:rPr>
          <w:t>https://ecapital.com/blog/charting-a-new-course-navigating-the-corporate-restructuring-landscape/</w:t>
        </w:r>
      </w:hyperlink>
      <w:r w:rsidRPr="00DD2342">
        <w:rPr>
          <w:rFonts w:ascii="Arial" w:hAnsi="Arial" w:cs="Arial"/>
          <w:sz w:val="28"/>
          <w:lang w:val="en-US"/>
        </w:rPr>
        <w:t xml:space="preserve">. </w:t>
      </w:r>
    </w:p>
    <w:p w14:paraId="544CCBD4" w14:textId="77777777" w:rsidR="00E6767A" w:rsidRPr="00DD2342" w:rsidRDefault="00E6767A" w:rsidP="00DD2342">
      <w:pPr>
        <w:jc w:val="both"/>
        <w:rPr>
          <w:rFonts w:ascii="Arial" w:hAnsi="Arial" w:cs="Arial"/>
          <w:sz w:val="28"/>
          <w:lang w:val="en-US"/>
        </w:rPr>
      </w:pPr>
    </w:p>
    <w:p w14:paraId="608F43BF" w14:textId="55084608" w:rsidR="00DD2342" w:rsidRPr="00DD2342" w:rsidRDefault="00DD2342" w:rsidP="00DD2342">
      <w:pPr>
        <w:jc w:val="both"/>
        <w:rPr>
          <w:rFonts w:ascii="Arial" w:hAnsi="Arial" w:cs="Arial"/>
          <w:sz w:val="28"/>
          <w:lang w:val="en-US"/>
        </w:rPr>
      </w:pPr>
      <w:r w:rsidRPr="00DD2342">
        <w:rPr>
          <w:rFonts w:ascii="Arial" w:hAnsi="Arial" w:cs="Arial"/>
          <w:sz w:val="28"/>
          <w:lang w:val="en-US"/>
        </w:rPr>
        <w:t xml:space="preserve">Xuan, T., Thu, T. and Nguyen, C.V. (2025). The impact of working capital management on the financial performance of listed enterprises: </w:t>
      </w:r>
      <w:r w:rsidR="00E6767A" w:rsidRPr="00894333">
        <w:rPr>
          <w:rFonts w:ascii="Arial" w:hAnsi="Arial" w:cs="Arial"/>
          <w:sz w:val="28"/>
          <w:lang w:val="en-US"/>
        </w:rPr>
        <w:t>empirical evidence</w:t>
      </w:r>
      <w:r w:rsidRPr="00DD2342">
        <w:rPr>
          <w:rFonts w:ascii="Arial" w:hAnsi="Arial" w:cs="Arial"/>
          <w:sz w:val="28"/>
          <w:lang w:val="en-US"/>
        </w:rPr>
        <w:t xml:space="preserve"> from Vietnam. </w:t>
      </w:r>
      <w:r w:rsidRPr="00DD2342">
        <w:rPr>
          <w:rFonts w:ascii="Arial" w:hAnsi="Arial" w:cs="Arial"/>
          <w:i/>
          <w:iCs/>
          <w:sz w:val="28"/>
          <w:lang w:val="en-US"/>
        </w:rPr>
        <w:t>Cogent Business &amp; Management</w:t>
      </w:r>
      <w:r w:rsidRPr="00DD2342">
        <w:rPr>
          <w:rFonts w:ascii="Arial" w:hAnsi="Arial" w:cs="Arial"/>
          <w:sz w:val="28"/>
          <w:lang w:val="en-US"/>
        </w:rPr>
        <w:t xml:space="preserve">, [online] 12(1). doi: </w:t>
      </w:r>
      <w:hyperlink r:id="rId61" w:history="1">
        <w:r w:rsidRPr="00DD2342">
          <w:rPr>
            <w:rStyle w:val="Hyperlink"/>
            <w:rFonts w:ascii="Arial" w:hAnsi="Arial" w:cs="Arial"/>
            <w:sz w:val="28"/>
            <w:lang w:val="en-US"/>
          </w:rPr>
          <w:t>https://doi.org/10.1080/23311975.2025.2473033</w:t>
        </w:r>
      </w:hyperlink>
      <w:r w:rsidRPr="00DD2342">
        <w:rPr>
          <w:rFonts w:ascii="Arial" w:hAnsi="Arial" w:cs="Arial"/>
          <w:sz w:val="28"/>
          <w:lang w:val="en-US"/>
        </w:rPr>
        <w:t xml:space="preserve">. </w:t>
      </w:r>
    </w:p>
    <w:p w14:paraId="7326D671" w14:textId="77777777" w:rsidR="00DD2342" w:rsidRPr="00DD2342" w:rsidRDefault="00DD2342" w:rsidP="00DD2342">
      <w:pPr>
        <w:jc w:val="both"/>
        <w:rPr>
          <w:rFonts w:ascii="Arial" w:hAnsi="Arial" w:cs="Arial"/>
          <w:b/>
          <w:sz w:val="28"/>
          <w:lang w:val="en-US"/>
        </w:rPr>
      </w:pPr>
      <w:r w:rsidRPr="00DD2342">
        <w:rPr>
          <w:rFonts w:ascii="Arial" w:hAnsi="Arial" w:cs="Arial"/>
          <w:sz w:val="28"/>
          <w:lang w:val="en-US"/>
        </w:rPr>
        <w:br w:type="page"/>
      </w:r>
    </w:p>
    <w:p w14:paraId="3EC48A66" w14:textId="1D56D046" w:rsidR="00EB0EFB" w:rsidRDefault="00DD2342" w:rsidP="00EB0EFB">
      <w:pPr>
        <w:pStyle w:val="Heading1"/>
        <w:rPr>
          <w:rFonts w:ascii="Arial" w:hAnsi="Arial" w:cs="Arial"/>
          <w:lang w:val="en-US"/>
        </w:rPr>
      </w:pPr>
      <w:bookmarkStart w:id="42" w:name="_Toc212908262"/>
      <w:bookmarkStart w:id="43" w:name="_Toc217038457"/>
      <w:r w:rsidRPr="00894333">
        <w:rPr>
          <w:rFonts w:ascii="Arial" w:hAnsi="Arial" w:cs="Arial"/>
          <w:lang w:val="en-US"/>
        </w:rPr>
        <w:lastRenderedPageBreak/>
        <w:t>Appendices</w:t>
      </w:r>
      <w:bookmarkEnd w:id="42"/>
      <w:bookmarkEnd w:id="43"/>
      <w:r w:rsidR="00E00AA3">
        <w:rPr>
          <w:noProof/>
          <w:lang w:val="en-US"/>
        </w:rPr>
        <w:drawing>
          <wp:inline distT="0" distB="0" distL="0" distR="0" wp14:anchorId="2680DD4E" wp14:editId="6E46ADF4">
            <wp:extent cx="5731510" cy="3688080"/>
            <wp:effectExtent l="0" t="0" r="2540" b="7620"/>
            <wp:docPr id="9001466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146681" name="Picture 900146681"/>
                    <pic:cNvPicPr/>
                  </pic:nvPicPr>
                  <pic:blipFill rotWithShape="1">
                    <a:blip r:embed="rId62" cstate="print">
                      <a:extLst>
                        <a:ext uri="{28A0092B-C50C-407E-A947-70E740481C1C}">
                          <a14:useLocalDpi xmlns:a14="http://schemas.microsoft.com/office/drawing/2010/main" val="0"/>
                        </a:ext>
                      </a:extLst>
                    </a:blip>
                    <a:srcRect b="54548"/>
                    <a:stretch>
                      <a:fillRect/>
                    </a:stretch>
                  </pic:blipFill>
                  <pic:spPr bwMode="auto">
                    <a:xfrm>
                      <a:off x="0" y="0"/>
                      <a:ext cx="5731510" cy="3688080"/>
                    </a:xfrm>
                    <a:prstGeom prst="rect">
                      <a:avLst/>
                    </a:prstGeom>
                    <a:ln>
                      <a:noFill/>
                    </a:ln>
                    <a:extLst>
                      <a:ext uri="{53640926-AAD7-44D8-BBD7-CCE9431645EC}">
                        <a14:shadowObscured xmlns:a14="http://schemas.microsoft.com/office/drawing/2010/main"/>
                      </a:ext>
                    </a:extLst>
                  </pic:spPr>
                </pic:pic>
              </a:graphicData>
            </a:graphic>
          </wp:inline>
        </w:drawing>
      </w:r>
      <w:r w:rsidR="00EB0EFB">
        <w:rPr>
          <w:noProof/>
          <w:lang w:val="en-US"/>
        </w:rPr>
        <w:lastRenderedPageBreak/>
        <w:drawing>
          <wp:inline distT="0" distB="0" distL="0" distR="0" wp14:anchorId="7AED011F" wp14:editId="0B41A1BE">
            <wp:extent cx="5731510" cy="6819900"/>
            <wp:effectExtent l="0" t="0" r="2540" b="0"/>
            <wp:docPr id="20532716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271600" name="Picture 2053271600"/>
                    <pic:cNvPicPr/>
                  </pic:nvPicPr>
                  <pic:blipFill rotWithShape="1">
                    <a:blip r:embed="rId63" cstate="print">
                      <a:extLst>
                        <a:ext uri="{28A0092B-C50C-407E-A947-70E740481C1C}">
                          <a14:useLocalDpi xmlns:a14="http://schemas.microsoft.com/office/drawing/2010/main" val="0"/>
                        </a:ext>
                      </a:extLst>
                    </a:blip>
                    <a:srcRect t="9297" b="6653"/>
                    <a:stretch>
                      <a:fillRect/>
                    </a:stretch>
                  </pic:blipFill>
                  <pic:spPr bwMode="auto">
                    <a:xfrm>
                      <a:off x="0" y="0"/>
                      <a:ext cx="5731510" cy="6819900"/>
                    </a:xfrm>
                    <a:prstGeom prst="rect">
                      <a:avLst/>
                    </a:prstGeom>
                    <a:ln>
                      <a:noFill/>
                    </a:ln>
                    <a:extLst>
                      <a:ext uri="{53640926-AAD7-44D8-BBD7-CCE9431645EC}">
                        <a14:shadowObscured xmlns:a14="http://schemas.microsoft.com/office/drawing/2010/main"/>
                      </a:ext>
                    </a:extLst>
                  </pic:spPr>
                </pic:pic>
              </a:graphicData>
            </a:graphic>
          </wp:inline>
        </w:drawing>
      </w:r>
    </w:p>
    <w:p w14:paraId="03C82FB2" w14:textId="31DA7072" w:rsidR="00EB0EFB" w:rsidRDefault="00EB0EFB" w:rsidP="00EB0EFB">
      <w:pPr>
        <w:rPr>
          <w:lang w:val="en-US"/>
        </w:rPr>
      </w:pPr>
      <w:r>
        <w:rPr>
          <w:noProof/>
          <w:lang w:val="en-US"/>
        </w:rPr>
        <w:lastRenderedPageBreak/>
        <w:drawing>
          <wp:inline distT="0" distB="0" distL="0" distR="0" wp14:anchorId="24188268" wp14:editId="5846C248">
            <wp:extent cx="5731510" cy="7315200"/>
            <wp:effectExtent l="0" t="0" r="2540" b="0"/>
            <wp:docPr id="1779825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825042" name="Picture 1779825042"/>
                    <pic:cNvPicPr/>
                  </pic:nvPicPr>
                  <pic:blipFill rotWithShape="1">
                    <a:blip r:embed="rId64" cstate="print">
                      <a:extLst>
                        <a:ext uri="{28A0092B-C50C-407E-A947-70E740481C1C}">
                          <a14:useLocalDpi xmlns:a14="http://schemas.microsoft.com/office/drawing/2010/main" val="0"/>
                        </a:ext>
                      </a:extLst>
                    </a:blip>
                    <a:srcRect t="6105" b="3741"/>
                    <a:stretch>
                      <a:fillRect/>
                    </a:stretch>
                  </pic:blipFill>
                  <pic:spPr bwMode="auto">
                    <a:xfrm>
                      <a:off x="0" y="0"/>
                      <a:ext cx="5731510" cy="7315200"/>
                    </a:xfrm>
                    <a:prstGeom prst="rect">
                      <a:avLst/>
                    </a:prstGeom>
                    <a:ln>
                      <a:noFill/>
                    </a:ln>
                    <a:extLst>
                      <a:ext uri="{53640926-AAD7-44D8-BBD7-CCE9431645EC}">
                        <a14:shadowObscured xmlns:a14="http://schemas.microsoft.com/office/drawing/2010/main"/>
                      </a:ext>
                    </a:extLst>
                  </pic:spPr>
                </pic:pic>
              </a:graphicData>
            </a:graphic>
          </wp:inline>
        </w:drawing>
      </w:r>
    </w:p>
    <w:p w14:paraId="4002E577" w14:textId="77777777" w:rsidR="00E00AA3" w:rsidRDefault="00E00AA3" w:rsidP="00EB0EFB">
      <w:pPr>
        <w:rPr>
          <w:lang w:val="en-US"/>
        </w:rPr>
      </w:pPr>
    </w:p>
    <w:p w14:paraId="1FB48895" w14:textId="77777777" w:rsidR="00E00AA3" w:rsidRDefault="00E00AA3" w:rsidP="00EB0EFB">
      <w:pPr>
        <w:rPr>
          <w:lang w:val="en-US"/>
        </w:rPr>
      </w:pPr>
    </w:p>
    <w:p w14:paraId="51BD6012" w14:textId="77777777" w:rsidR="00E00AA3" w:rsidRDefault="00E00AA3" w:rsidP="00EB0EFB">
      <w:pPr>
        <w:rPr>
          <w:lang w:val="en-US"/>
        </w:rPr>
      </w:pPr>
    </w:p>
    <w:p w14:paraId="5DEB41F5" w14:textId="77777777" w:rsidR="00E00AA3" w:rsidRDefault="00E00AA3" w:rsidP="00EB0EFB">
      <w:pPr>
        <w:rPr>
          <w:lang w:val="en-US"/>
        </w:rPr>
      </w:pPr>
    </w:p>
    <w:p w14:paraId="469FE258" w14:textId="77777777" w:rsidR="00E00AA3" w:rsidRPr="00EB0EFB" w:rsidRDefault="00E00AA3" w:rsidP="00EB0EFB">
      <w:pPr>
        <w:rPr>
          <w:lang w:val="en-US"/>
        </w:rPr>
      </w:pPr>
    </w:p>
    <w:p w14:paraId="5651AC45" w14:textId="66B99D15" w:rsidR="007F30D7" w:rsidRPr="0041312B" w:rsidRDefault="007F30D7" w:rsidP="000B11BD">
      <w:pPr>
        <w:rPr>
          <w:b/>
          <w:sz w:val="36"/>
          <w:szCs w:val="32"/>
          <w:lang w:bidi="ar-SA"/>
        </w:rPr>
      </w:pPr>
      <w:r w:rsidRPr="0041312B">
        <w:rPr>
          <w:b/>
          <w:sz w:val="36"/>
          <w:szCs w:val="32"/>
          <w:lang w:bidi="ar-SA"/>
        </w:rPr>
        <w:lastRenderedPageBreak/>
        <w:t>2</w:t>
      </w:r>
      <w:r w:rsidR="002F0DF9" w:rsidRPr="0041312B">
        <w:rPr>
          <w:b/>
          <w:sz w:val="36"/>
          <w:szCs w:val="32"/>
          <w:lang w:bidi="ar-SA"/>
        </w:rPr>
        <w:t xml:space="preserve"> </w:t>
      </w:r>
      <w:r w:rsidRPr="0041312B">
        <w:rPr>
          <w:b/>
          <w:sz w:val="36"/>
          <w:szCs w:val="32"/>
          <w:lang w:bidi="ar-SA"/>
        </w:rPr>
        <w:t>Financial Health Check: Ratio Analysis</w:t>
      </w:r>
    </w:p>
    <w:p w14:paraId="164ABE11" w14:textId="77777777" w:rsidR="007F30D7" w:rsidRPr="00894333" w:rsidRDefault="007F30D7" w:rsidP="000B11BD">
      <w:pPr>
        <w:rPr>
          <w:bCs/>
          <w:sz w:val="32"/>
          <w:lang w:bidi="ar-SA"/>
        </w:rPr>
      </w:pPr>
      <w:r w:rsidRPr="00894333">
        <w:rPr>
          <w:bCs/>
          <w:sz w:val="32"/>
          <w:lang w:bidi="ar-SA"/>
        </w:rPr>
        <w:t>2.1 Profitability Analysis</w:t>
      </w:r>
    </w:p>
    <w:p w14:paraId="4C6A5456" w14:textId="77777777" w:rsidR="007F30D7" w:rsidRPr="00894333" w:rsidRDefault="007F30D7" w:rsidP="000B11BD">
      <w:pPr>
        <w:rPr>
          <w:lang w:bidi="ar-SA"/>
        </w:rPr>
      </w:pPr>
    </w:p>
    <w:p w14:paraId="26324FFE" w14:textId="77777777" w:rsidR="007F30D7" w:rsidRPr="00894333" w:rsidRDefault="007F30D7" w:rsidP="000B11BD">
      <w:pPr>
        <w:rPr>
          <w:sz w:val="28"/>
          <w:lang w:bidi="ar-SA"/>
        </w:rPr>
      </w:pPr>
      <w:r w:rsidRPr="00894333">
        <w:rPr>
          <w:noProof/>
          <w:sz w:val="28"/>
        </w:rPr>
        <w:drawing>
          <wp:inline distT="0" distB="0" distL="0" distR="0" wp14:anchorId="05DAFFC3" wp14:editId="63835CD1">
            <wp:extent cx="5297364" cy="3337560"/>
            <wp:effectExtent l="0" t="0" r="0" b="0"/>
            <wp:docPr id="589356565" name="Picture 10">
              <a:extLst xmlns:a="http://schemas.openxmlformats.org/drawingml/2006/main">
                <a:ext uri="{FF2B5EF4-FFF2-40B4-BE49-F238E27FC236}">
                  <a16:creationId xmlns:a16="http://schemas.microsoft.com/office/drawing/2014/main" id="{08775617-92B7-CF1A-DA86-EAEB55F801C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08775617-92B7-CF1A-DA86-EAEB55F801C9}"/>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43318" cy="3366513"/>
                    </a:xfrm>
                    <a:prstGeom prst="rect">
                      <a:avLst/>
                    </a:prstGeom>
                  </pic:spPr>
                </pic:pic>
              </a:graphicData>
            </a:graphic>
          </wp:inline>
        </w:drawing>
      </w:r>
    </w:p>
    <w:p w14:paraId="73339A90" w14:textId="77777777" w:rsidR="007F30D7" w:rsidRDefault="007F30D7" w:rsidP="000B11BD">
      <w:pPr>
        <w:rPr>
          <w:bCs/>
          <w:sz w:val="28"/>
        </w:rPr>
      </w:pPr>
      <w:r w:rsidRPr="00894333">
        <w:rPr>
          <w:bCs/>
          <w:noProof/>
          <w:sz w:val="28"/>
        </w:rPr>
        <w:drawing>
          <wp:inline distT="0" distB="0" distL="0" distR="0" wp14:anchorId="3B967C54" wp14:editId="172C8486">
            <wp:extent cx="5581650" cy="1885950"/>
            <wp:effectExtent l="0" t="0" r="0" b="0"/>
            <wp:docPr id="299602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981608" name="Picture 864981608"/>
                    <pic:cNvPicPr/>
                  </pic:nvPicPr>
                  <pic:blipFill>
                    <a:blip r:embed="rId10">
                      <a:extLst>
                        <a:ext uri="{28A0092B-C50C-407E-A947-70E740481C1C}">
                          <a14:useLocalDpi xmlns:a14="http://schemas.microsoft.com/office/drawing/2010/main" val="0"/>
                        </a:ext>
                      </a:extLst>
                    </a:blip>
                    <a:stretch>
                      <a:fillRect/>
                    </a:stretch>
                  </pic:blipFill>
                  <pic:spPr>
                    <a:xfrm>
                      <a:off x="0" y="0"/>
                      <a:ext cx="5581650" cy="1885950"/>
                    </a:xfrm>
                    <a:prstGeom prst="rect">
                      <a:avLst/>
                    </a:prstGeom>
                  </pic:spPr>
                </pic:pic>
              </a:graphicData>
            </a:graphic>
          </wp:inline>
        </w:drawing>
      </w:r>
    </w:p>
    <w:p w14:paraId="1DBD779B" w14:textId="77777777" w:rsidR="007F30D7" w:rsidRPr="00894333" w:rsidRDefault="007F30D7" w:rsidP="000B11BD">
      <w:pPr>
        <w:rPr>
          <w:bCs/>
          <w:sz w:val="28"/>
        </w:rPr>
      </w:pPr>
      <w:r w:rsidRPr="00894333">
        <w:rPr>
          <w:noProof/>
          <w:sz w:val="28"/>
          <w:lang w:bidi="ar-SA"/>
        </w:rPr>
        <w:drawing>
          <wp:inline distT="0" distB="0" distL="0" distR="0" wp14:anchorId="21E4D2A3" wp14:editId="62717567">
            <wp:extent cx="5581650" cy="1885950"/>
            <wp:effectExtent l="0" t="0" r="0" b="0"/>
            <wp:docPr id="12603746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873471" name="Picture 860873471"/>
                    <pic:cNvPicPr/>
                  </pic:nvPicPr>
                  <pic:blipFill>
                    <a:blip r:embed="rId11">
                      <a:extLst>
                        <a:ext uri="{28A0092B-C50C-407E-A947-70E740481C1C}">
                          <a14:useLocalDpi xmlns:a14="http://schemas.microsoft.com/office/drawing/2010/main" val="0"/>
                        </a:ext>
                      </a:extLst>
                    </a:blip>
                    <a:stretch>
                      <a:fillRect/>
                    </a:stretch>
                  </pic:blipFill>
                  <pic:spPr>
                    <a:xfrm>
                      <a:off x="0" y="0"/>
                      <a:ext cx="5581650" cy="1885950"/>
                    </a:xfrm>
                    <a:prstGeom prst="rect">
                      <a:avLst/>
                    </a:prstGeom>
                  </pic:spPr>
                </pic:pic>
              </a:graphicData>
            </a:graphic>
          </wp:inline>
        </w:drawing>
      </w:r>
    </w:p>
    <w:p w14:paraId="25F515D8" w14:textId="77777777" w:rsidR="0041312B" w:rsidRDefault="0041312B" w:rsidP="000B11BD">
      <w:pPr>
        <w:rPr>
          <w:sz w:val="32"/>
          <w:lang w:bidi="ar-SA"/>
        </w:rPr>
      </w:pPr>
    </w:p>
    <w:p w14:paraId="08A2415D" w14:textId="6E3297C3" w:rsidR="007F30D7" w:rsidRPr="00894333" w:rsidRDefault="007F30D7" w:rsidP="000B11BD">
      <w:pPr>
        <w:rPr>
          <w:sz w:val="32"/>
          <w:lang w:bidi="ar-SA"/>
        </w:rPr>
      </w:pPr>
      <w:r w:rsidRPr="00894333">
        <w:rPr>
          <w:sz w:val="32"/>
          <w:lang w:bidi="ar-SA"/>
        </w:rPr>
        <w:lastRenderedPageBreak/>
        <w:t>2.2 Liquidity Analysis</w:t>
      </w:r>
    </w:p>
    <w:p w14:paraId="53B24E46" w14:textId="77777777" w:rsidR="007F30D7" w:rsidRPr="00894333" w:rsidRDefault="007F30D7" w:rsidP="000B11BD">
      <w:pPr>
        <w:rPr>
          <w:sz w:val="28"/>
        </w:rPr>
      </w:pPr>
      <w:r w:rsidRPr="00894333">
        <w:rPr>
          <w:noProof/>
          <w:sz w:val="28"/>
        </w:rPr>
        <w:drawing>
          <wp:inline distT="0" distB="0" distL="0" distR="0" wp14:anchorId="35B1E77B" wp14:editId="4E9C6923">
            <wp:extent cx="5669280" cy="3154680"/>
            <wp:effectExtent l="0" t="0" r="7620" b="7620"/>
            <wp:docPr id="1422838616" name="Chart 1">
              <a:extLst xmlns:a="http://schemas.openxmlformats.org/drawingml/2006/main">
                <a:ext uri="{FF2B5EF4-FFF2-40B4-BE49-F238E27FC236}">
                  <a16:creationId xmlns:a16="http://schemas.microsoft.com/office/drawing/2014/main" id="{4B5A2081-E38D-442B-9A49-94CD81C613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inline>
        </w:drawing>
      </w:r>
    </w:p>
    <w:p w14:paraId="14DF35C3" w14:textId="77777777" w:rsidR="0041312B" w:rsidRDefault="007F30D7" w:rsidP="000B11BD">
      <w:pPr>
        <w:rPr>
          <w:sz w:val="32"/>
          <w:lang w:bidi="ar-SA"/>
        </w:rPr>
      </w:pPr>
      <w:r w:rsidRPr="00894333">
        <w:rPr>
          <w:noProof/>
          <w:sz w:val="28"/>
        </w:rPr>
        <w:drawing>
          <wp:inline distT="0" distB="0" distL="0" distR="0" wp14:anchorId="7142660D" wp14:editId="1B51EDF8">
            <wp:extent cx="5731510" cy="1682115"/>
            <wp:effectExtent l="0" t="0" r="2540" b="0"/>
            <wp:docPr id="12572293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714361" name="Picture 654714361"/>
                    <pic:cNvPicPr/>
                  </pic:nvPicPr>
                  <pic:blipFill>
                    <a:blip r:embed="rId13">
                      <a:extLst>
                        <a:ext uri="{28A0092B-C50C-407E-A947-70E740481C1C}">
                          <a14:useLocalDpi xmlns:a14="http://schemas.microsoft.com/office/drawing/2010/main" val="0"/>
                        </a:ext>
                      </a:extLst>
                    </a:blip>
                    <a:stretch>
                      <a:fillRect/>
                    </a:stretch>
                  </pic:blipFill>
                  <pic:spPr>
                    <a:xfrm>
                      <a:off x="0" y="0"/>
                      <a:ext cx="5731510" cy="1682115"/>
                    </a:xfrm>
                    <a:prstGeom prst="rect">
                      <a:avLst/>
                    </a:prstGeom>
                  </pic:spPr>
                </pic:pic>
              </a:graphicData>
            </a:graphic>
          </wp:inline>
        </w:drawing>
      </w:r>
      <w:r w:rsidRPr="00894333">
        <w:rPr>
          <w:noProof/>
          <w:sz w:val="28"/>
        </w:rPr>
        <w:drawing>
          <wp:inline distT="0" distB="0" distL="0" distR="0" wp14:anchorId="312316A4" wp14:editId="2A28595C">
            <wp:extent cx="5731510" cy="1440180"/>
            <wp:effectExtent l="0" t="0" r="2540" b="7620"/>
            <wp:docPr id="1534613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756709" name="Picture 820756709"/>
                    <pic:cNvPicPr/>
                  </pic:nvPicPr>
                  <pic:blipFill>
                    <a:blip r:embed="rId14">
                      <a:extLst>
                        <a:ext uri="{28A0092B-C50C-407E-A947-70E740481C1C}">
                          <a14:useLocalDpi xmlns:a14="http://schemas.microsoft.com/office/drawing/2010/main" val="0"/>
                        </a:ext>
                      </a:extLst>
                    </a:blip>
                    <a:stretch>
                      <a:fillRect/>
                    </a:stretch>
                  </pic:blipFill>
                  <pic:spPr>
                    <a:xfrm>
                      <a:off x="0" y="0"/>
                      <a:ext cx="5731510" cy="1440180"/>
                    </a:xfrm>
                    <a:prstGeom prst="rect">
                      <a:avLst/>
                    </a:prstGeom>
                  </pic:spPr>
                </pic:pic>
              </a:graphicData>
            </a:graphic>
          </wp:inline>
        </w:drawing>
      </w:r>
    </w:p>
    <w:p w14:paraId="69BA99BC" w14:textId="77777777" w:rsidR="0041312B" w:rsidRDefault="0041312B" w:rsidP="000B11BD">
      <w:pPr>
        <w:rPr>
          <w:sz w:val="32"/>
          <w:lang w:bidi="ar-SA"/>
        </w:rPr>
      </w:pPr>
    </w:p>
    <w:p w14:paraId="011A33F0" w14:textId="77777777" w:rsidR="0041312B" w:rsidRDefault="0041312B" w:rsidP="000B11BD">
      <w:pPr>
        <w:rPr>
          <w:sz w:val="32"/>
          <w:lang w:bidi="ar-SA"/>
        </w:rPr>
      </w:pPr>
    </w:p>
    <w:p w14:paraId="76ADDF69" w14:textId="77777777" w:rsidR="0041312B" w:rsidRDefault="0041312B" w:rsidP="000B11BD">
      <w:pPr>
        <w:rPr>
          <w:sz w:val="32"/>
          <w:lang w:bidi="ar-SA"/>
        </w:rPr>
      </w:pPr>
    </w:p>
    <w:p w14:paraId="261AE530" w14:textId="77777777" w:rsidR="0041312B" w:rsidRDefault="0041312B" w:rsidP="000B11BD">
      <w:pPr>
        <w:rPr>
          <w:sz w:val="32"/>
          <w:lang w:bidi="ar-SA"/>
        </w:rPr>
      </w:pPr>
    </w:p>
    <w:p w14:paraId="07539977" w14:textId="77777777" w:rsidR="0041312B" w:rsidRDefault="0041312B" w:rsidP="000B11BD">
      <w:pPr>
        <w:rPr>
          <w:sz w:val="32"/>
          <w:lang w:bidi="ar-SA"/>
        </w:rPr>
      </w:pPr>
    </w:p>
    <w:p w14:paraId="1FED1910" w14:textId="77777777" w:rsidR="0041312B" w:rsidRDefault="0041312B" w:rsidP="000B11BD">
      <w:pPr>
        <w:rPr>
          <w:sz w:val="32"/>
          <w:lang w:bidi="ar-SA"/>
        </w:rPr>
      </w:pPr>
    </w:p>
    <w:p w14:paraId="7A71A3D3" w14:textId="2D33310A" w:rsidR="007F30D7" w:rsidRPr="00894333" w:rsidRDefault="007F30D7" w:rsidP="000B11BD">
      <w:pPr>
        <w:rPr>
          <w:sz w:val="32"/>
          <w:lang w:bidi="ar-SA"/>
        </w:rPr>
      </w:pPr>
      <w:r w:rsidRPr="00894333">
        <w:rPr>
          <w:sz w:val="32"/>
          <w:lang w:bidi="ar-SA"/>
        </w:rPr>
        <w:t>2.3 Efficiency Analysis</w:t>
      </w:r>
    </w:p>
    <w:p w14:paraId="74A6D208" w14:textId="77777777" w:rsidR="007F30D7" w:rsidRPr="00894333" w:rsidRDefault="007F30D7" w:rsidP="000B11BD">
      <w:pPr>
        <w:rPr>
          <w:sz w:val="28"/>
        </w:rPr>
      </w:pPr>
      <w:r w:rsidRPr="00894333">
        <w:rPr>
          <w:noProof/>
          <w:sz w:val="28"/>
        </w:rPr>
        <w:drawing>
          <wp:inline distT="0" distB="0" distL="0" distR="0" wp14:anchorId="68F8F8B5" wp14:editId="725F1A88">
            <wp:extent cx="5699760" cy="3360420"/>
            <wp:effectExtent l="0" t="0" r="15240" b="11430"/>
            <wp:docPr id="1036996604" name="Chart 1">
              <a:extLst xmlns:a="http://schemas.openxmlformats.org/drawingml/2006/main">
                <a:ext uri="{FF2B5EF4-FFF2-40B4-BE49-F238E27FC236}">
                  <a16:creationId xmlns:a16="http://schemas.microsoft.com/office/drawing/2014/main" id="{C4CBCD88-B2D2-42F7-9581-3262DBBC41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p>
    <w:p w14:paraId="52098AB1" w14:textId="77777777" w:rsidR="0041312B" w:rsidRDefault="007F30D7" w:rsidP="000B11BD">
      <w:r w:rsidRPr="00894333">
        <w:rPr>
          <w:noProof/>
          <w:sz w:val="28"/>
        </w:rPr>
        <w:drawing>
          <wp:inline distT="0" distB="0" distL="0" distR="0" wp14:anchorId="2F3C6BD3" wp14:editId="3C014E20">
            <wp:extent cx="5731510" cy="1945640"/>
            <wp:effectExtent l="0" t="0" r="2540" b="0"/>
            <wp:docPr id="9632850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443198" name="Picture 2101443198"/>
                    <pic:cNvPicPr/>
                  </pic:nvPicPr>
                  <pic:blipFill>
                    <a:blip r:embed="rId16">
                      <a:extLst>
                        <a:ext uri="{28A0092B-C50C-407E-A947-70E740481C1C}">
                          <a14:useLocalDpi xmlns:a14="http://schemas.microsoft.com/office/drawing/2010/main" val="0"/>
                        </a:ext>
                      </a:extLst>
                    </a:blip>
                    <a:stretch>
                      <a:fillRect/>
                    </a:stretch>
                  </pic:blipFill>
                  <pic:spPr>
                    <a:xfrm>
                      <a:off x="0" y="0"/>
                      <a:ext cx="5731510" cy="1945640"/>
                    </a:xfrm>
                    <a:prstGeom prst="rect">
                      <a:avLst/>
                    </a:prstGeom>
                  </pic:spPr>
                </pic:pic>
              </a:graphicData>
            </a:graphic>
          </wp:inline>
        </w:drawing>
      </w:r>
      <w:r w:rsidRPr="00894333">
        <w:rPr>
          <w:noProof/>
          <w:sz w:val="28"/>
        </w:rPr>
        <w:drawing>
          <wp:inline distT="0" distB="0" distL="0" distR="0" wp14:anchorId="191EFE9D" wp14:editId="551A9078">
            <wp:extent cx="5731510" cy="1425575"/>
            <wp:effectExtent l="0" t="0" r="2540" b="3175"/>
            <wp:docPr id="15002721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478364" name="Picture 569478364"/>
                    <pic:cNvPicPr/>
                  </pic:nvPicPr>
                  <pic:blipFill>
                    <a:blip r:embed="rId17">
                      <a:extLst>
                        <a:ext uri="{28A0092B-C50C-407E-A947-70E740481C1C}">
                          <a14:useLocalDpi xmlns:a14="http://schemas.microsoft.com/office/drawing/2010/main" val="0"/>
                        </a:ext>
                      </a:extLst>
                    </a:blip>
                    <a:stretch>
                      <a:fillRect/>
                    </a:stretch>
                  </pic:blipFill>
                  <pic:spPr>
                    <a:xfrm>
                      <a:off x="0" y="0"/>
                      <a:ext cx="5731510" cy="1425575"/>
                    </a:xfrm>
                    <a:prstGeom prst="rect">
                      <a:avLst/>
                    </a:prstGeom>
                  </pic:spPr>
                </pic:pic>
              </a:graphicData>
            </a:graphic>
          </wp:inline>
        </w:drawing>
      </w:r>
      <w:r>
        <w:tab/>
      </w:r>
    </w:p>
    <w:p w14:paraId="3EAB6676" w14:textId="77777777" w:rsidR="0041312B" w:rsidRDefault="0041312B" w:rsidP="000B11BD"/>
    <w:p w14:paraId="5584589B" w14:textId="77777777" w:rsidR="0041312B" w:rsidRDefault="0041312B" w:rsidP="000B11BD"/>
    <w:p w14:paraId="579056BD" w14:textId="77777777" w:rsidR="0041312B" w:rsidRDefault="0041312B" w:rsidP="000B11BD"/>
    <w:p w14:paraId="3ED46AD4" w14:textId="514823C0" w:rsidR="007F30D7" w:rsidRPr="00894333" w:rsidRDefault="007F30D7" w:rsidP="000B11BD">
      <w:pPr>
        <w:rPr>
          <w:sz w:val="32"/>
          <w:szCs w:val="32"/>
        </w:rPr>
      </w:pPr>
      <w:r w:rsidRPr="00894333">
        <w:rPr>
          <w:sz w:val="32"/>
          <w:szCs w:val="32"/>
          <w:lang w:bidi="ar-SA"/>
        </w:rPr>
        <w:lastRenderedPageBreak/>
        <w:t xml:space="preserve">2.4 </w:t>
      </w:r>
      <w:r w:rsidRPr="00894333">
        <w:rPr>
          <w:sz w:val="32"/>
          <w:szCs w:val="32"/>
        </w:rPr>
        <w:t>Gearing Analysis</w:t>
      </w:r>
    </w:p>
    <w:p w14:paraId="76130C79" w14:textId="77777777" w:rsidR="007F30D7" w:rsidRPr="00894333" w:rsidRDefault="007F30D7" w:rsidP="000B11BD">
      <w:pPr>
        <w:rPr>
          <w:sz w:val="28"/>
        </w:rPr>
      </w:pPr>
      <w:r w:rsidRPr="00894333">
        <w:rPr>
          <w:noProof/>
          <w:sz w:val="28"/>
        </w:rPr>
        <w:drawing>
          <wp:inline distT="0" distB="0" distL="0" distR="0" wp14:anchorId="772537B6" wp14:editId="30BA6D6E">
            <wp:extent cx="5699760" cy="3055620"/>
            <wp:effectExtent l="0" t="0" r="15240" b="11430"/>
            <wp:docPr id="1002357618" name="Chart 1">
              <a:extLst xmlns:a="http://schemas.openxmlformats.org/drawingml/2006/main">
                <a:ext uri="{FF2B5EF4-FFF2-40B4-BE49-F238E27FC236}">
                  <a16:creationId xmlns:a16="http://schemas.microsoft.com/office/drawing/2014/main" id="{C3601EA3-6C69-4D08-980B-D0932B6C41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7"/>
              </a:graphicData>
            </a:graphic>
          </wp:inline>
        </w:drawing>
      </w:r>
    </w:p>
    <w:p w14:paraId="080D775B" w14:textId="77777777" w:rsidR="0041312B" w:rsidRDefault="007F30D7" w:rsidP="000B11BD">
      <w:pPr>
        <w:rPr>
          <w:sz w:val="32"/>
          <w:szCs w:val="32"/>
          <w:lang w:bidi="ar-SA"/>
        </w:rPr>
      </w:pPr>
      <w:r w:rsidRPr="00894333">
        <w:rPr>
          <w:bCs/>
          <w:noProof/>
          <w:sz w:val="28"/>
        </w:rPr>
        <w:drawing>
          <wp:inline distT="0" distB="0" distL="0" distR="0" wp14:anchorId="028FD180" wp14:editId="6264DFFC">
            <wp:extent cx="5731510" cy="1389380"/>
            <wp:effectExtent l="0" t="0" r="2540" b="1270"/>
            <wp:docPr id="196417222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93481" name="Picture 64493481"/>
                    <pic:cNvPicPr/>
                  </pic:nvPicPr>
                  <pic:blipFill>
                    <a:blip r:embed="rId19">
                      <a:extLst>
                        <a:ext uri="{28A0092B-C50C-407E-A947-70E740481C1C}">
                          <a14:useLocalDpi xmlns:a14="http://schemas.microsoft.com/office/drawing/2010/main" val="0"/>
                        </a:ext>
                      </a:extLst>
                    </a:blip>
                    <a:stretch>
                      <a:fillRect/>
                    </a:stretch>
                  </pic:blipFill>
                  <pic:spPr>
                    <a:xfrm>
                      <a:off x="0" y="0"/>
                      <a:ext cx="5731510" cy="1389380"/>
                    </a:xfrm>
                    <a:prstGeom prst="rect">
                      <a:avLst/>
                    </a:prstGeom>
                  </pic:spPr>
                </pic:pic>
              </a:graphicData>
            </a:graphic>
          </wp:inline>
        </w:drawing>
      </w:r>
      <w:r w:rsidRPr="00894333">
        <w:rPr>
          <w:bCs/>
          <w:noProof/>
          <w:sz w:val="28"/>
        </w:rPr>
        <w:drawing>
          <wp:inline distT="0" distB="0" distL="0" distR="0" wp14:anchorId="52F1A123" wp14:editId="1ABF9D59">
            <wp:extent cx="5731510" cy="1389380"/>
            <wp:effectExtent l="0" t="0" r="2540" b="1270"/>
            <wp:docPr id="175710505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93270" name="Picture 1246293270"/>
                    <pic:cNvPicPr/>
                  </pic:nvPicPr>
                  <pic:blipFill>
                    <a:blip r:embed="rId20">
                      <a:extLst>
                        <a:ext uri="{28A0092B-C50C-407E-A947-70E740481C1C}">
                          <a14:useLocalDpi xmlns:a14="http://schemas.microsoft.com/office/drawing/2010/main" val="0"/>
                        </a:ext>
                      </a:extLst>
                    </a:blip>
                    <a:stretch>
                      <a:fillRect/>
                    </a:stretch>
                  </pic:blipFill>
                  <pic:spPr>
                    <a:xfrm>
                      <a:off x="0" y="0"/>
                      <a:ext cx="5731510" cy="1389380"/>
                    </a:xfrm>
                    <a:prstGeom prst="rect">
                      <a:avLst/>
                    </a:prstGeom>
                  </pic:spPr>
                </pic:pic>
              </a:graphicData>
            </a:graphic>
          </wp:inline>
        </w:drawing>
      </w:r>
    </w:p>
    <w:p w14:paraId="67181B22" w14:textId="77777777" w:rsidR="0041312B" w:rsidRDefault="0041312B" w:rsidP="000B11BD">
      <w:pPr>
        <w:rPr>
          <w:sz w:val="32"/>
          <w:szCs w:val="32"/>
          <w:lang w:bidi="ar-SA"/>
        </w:rPr>
      </w:pPr>
    </w:p>
    <w:p w14:paraId="7E63FAD4" w14:textId="77777777" w:rsidR="0041312B" w:rsidRDefault="0041312B" w:rsidP="000B11BD">
      <w:pPr>
        <w:rPr>
          <w:sz w:val="32"/>
          <w:szCs w:val="32"/>
          <w:lang w:bidi="ar-SA"/>
        </w:rPr>
      </w:pPr>
    </w:p>
    <w:p w14:paraId="337F7BE2" w14:textId="77777777" w:rsidR="0041312B" w:rsidRDefault="0041312B" w:rsidP="000B11BD">
      <w:pPr>
        <w:rPr>
          <w:sz w:val="32"/>
          <w:szCs w:val="32"/>
          <w:lang w:bidi="ar-SA"/>
        </w:rPr>
      </w:pPr>
    </w:p>
    <w:p w14:paraId="39A7BAD7" w14:textId="77777777" w:rsidR="0041312B" w:rsidRDefault="0041312B" w:rsidP="000B11BD">
      <w:pPr>
        <w:rPr>
          <w:sz w:val="32"/>
          <w:szCs w:val="32"/>
          <w:lang w:bidi="ar-SA"/>
        </w:rPr>
      </w:pPr>
    </w:p>
    <w:p w14:paraId="07BAC7E1" w14:textId="77777777" w:rsidR="0041312B" w:rsidRDefault="0041312B" w:rsidP="000B11BD">
      <w:pPr>
        <w:rPr>
          <w:sz w:val="32"/>
          <w:szCs w:val="32"/>
          <w:lang w:bidi="ar-SA"/>
        </w:rPr>
      </w:pPr>
    </w:p>
    <w:p w14:paraId="5AED3673" w14:textId="77777777" w:rsidR="0041312B" w:rsidRDefault="0041312B" w:rsidP="000B11BD">
      <w:pPr>
        <w:rPr>
          <w:sz w:val="32"/>
          <w:szCs w:val="32"/>
          <w:lang w:bidi="ar-SA"/>
        </w:rPr>
      </w:pPr>
    </w:p>
    <w:p w14:paraId="53D26668" w14:textId="3982686F" w:rsidR="007F30D7" w:rsidRPr="00894333" w:rsidRDefault="007F30D7" w:rsidP="000B11BD">
      <w:pPr>
        <w:rPr>
          <w:sz w:val="32"/>
          <w:szCs w:val="32"/>
        </w:rPr>
      </w:pPr>
      <w:r w:rsidRPr="00894333">
        <w:rPr>
          <w:sz w:val="32"/>
          <w:szCs w:val="32"/>
          <w:lang w:bidi="ar-SA"/>
        </w:rPr>
        <w:lastRenderedPageBreak/>
        <w:t xml:space="preserve">2.5 </w:t>
      </w:r>
      <w:r w:rsidRPr="00894333">
        <w:rPr>
          <w:sz w:val="32"/>
          <w:szCs w:val="32"/>
        </w:rPr>
        <w:t>Cash Flow Analysis</w:t>
      </w:r>
    </w:p>
    <w:p w14:paraId="49AF85B6" w14:textId="77777777" w:rsidR="007F30D7" w:rsidRPr="00894333" w:rsidRDefault="007F30D7" w:rsidP="000B11BD">
      <w:pPr>
        <w:rPr>
          <w:sz w:val="28"/>
        </w:rPr>
      </w:pPr>
      <w:r w:rsidRPr="00894333">
        <w:rPr>
          <w:noProof/>
          <w:sz w:val="28"/>
        </w:rPr>
        <w:drawing>
          <wp:inline distT="0" distB="0" distL="0" distR="0" wp14:anchorId="44042CCF" wp14:editId="72513D16">
            <wp:extent cx="5615940" cy="2819400"/>
            <wp:effectExtent l="0" t="0" r="3810" b="0"/>
            <wp:docPr id="246145025" name="Chart 1">
              <a:extLst xmlns:a="http://schemas.openxmlformats.org/drawingml/2006/main">
                <a:ext uri="{FF2B5EF4-FFF2-40B4-BE49-F238E27FC236}">
                  <a16:creationId xmlns:a16="http://schemas.microsoft.com/office/drawing/2014/main" id="{F522E273-3C10-4DA4-936B-8DFB8B812B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8"/>
              </a:graphicData>
            </a:graphic>
          </wp:inline>
        </w:drawing>
      </w:r>
    </w:p>
    <w:p w14:paraId="6DA98077" w14:textId="77777777" w:rsidR="007F30D7" w:rsidRPr="00894333" w:rsidRDefault="007F30D7" w:rsidP="000B11BD">
      <w:pPr>
        <w:rPr>
          <w:sz w:val="28"/>
        </w:rPr>
      </w:pPr>
      <w:r w:rsidRPr="00894333">
        <w:rPr>
          <w:noProof/>
          <w:sz w:val="28"/>
        </w:rPr>
        <w:drawing>
          <wp:inline distT="0" distB="0" distL="0" distR="0" wp14:anchorId="4BCCAC76" wp14:editId="06010802">
            <wp:extent cx="5629275" cy="2095500"/>
            <wp:effectExtent l="0" t="0" r="9525" b="0"/>
            <wp:docPr id="29243181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649482" name="Picture 215649482"/>
                    <pic:cNvPicPr/>
                  </pic:nvPicPr>
                  <pic:blipFill>
                    <a:blip r:embed="rId22">
                      <a:extLst>
                        <a:ext uri="{28A0092B-C50C-407E-A947-70E740481C1C}">
                          <a14:useLocalDpi xmlns:a14="http://schemas.microsoft.com/office/drawing/2010/main" val="0"/>
                        </a:ext>
                      </a:extLst>
                    </a:blip>
                    <a:stretch>
                      <a:fillRect/>
                    </a:stretch>
                  </pic:blipFill>
                  <pic:spPr>
                    <a:xfrm>
                      <a:off x="0" y="0"/>
                      <a:ext cx="5629275" cy="2095500"/>
                    </a:xfrm>
                    <a:prstGeom prst="rect">
                      <a:avLst/>
                    </a:prstGeom>
                  </pic:spPr>
                </pic:pic>
              </a:graphicData>
            </a:graphic>
          </wp:inline>
        </w:drawing>
      </w:r>
    </w:p>
    <w:p w14:paraId="1B16C588" w14:textId="77777777" w:rsidR="0041312B" w:rsidRDefault="0041312B" w:rsidP="000B11BD">
      <w:pPr>
        <w:rPr>
          <w:sz w:val="32"/>
          <w:szCs w:val="32"/>
          <w:lang w:bidi="ar-SA"/>
        </w:rPr>
      </w:pPr>
    </w:p>
    <w:p w14:paraId="729B914F" w14:textId="77777777" w:rsidR="0041312B" w:rsidRDefault="0041312B" w:rsidP="000B11BD">
      <w:pPr>
        <w:rPr>
          <w:sz w:val="32"/>
          <w:szCs w:val="32"/>
          <w:lang w:bidi="ar-SA"/>
        </w:rPr>
      </w:pPr>
    </w:p>
    <w:p w14:paraId="25AA036E" w14:textId="77777777" w:rsidR="0041312B" w:rsidRDefault="0041312B" w:rsidP="000B11BD">
      <w:pPr>
        <w:rPr>
          <w:sz w:val="32"/>
          <w:szCs w:val="32"/>
          <w:lang w:bidi="ar-SA"/>
        </w:rPr>
      </w:pPr>
    </w:p>
    <w:p w14:paraId="22D169E6" w14:textId="77777777" w:rsidR="0041312B" w:rsidRDefault="0041312B" w:rsidP="000B11BD">
      <w:pPr>
        <w:rPr>
          <w:sz w:val="32"/>
          <w:szCs w:val="32"/>
          <w:lang w:bidi="ar-SA"/>
        </w:rPr>
      </w:pPr>
    </w:p>
    <w:p w14:paraId="441B6DB9" w14:textId="77777777" w:rsidR="0041312B" w:rsidRDefault="0041312B" w:rsidP="000B11BD">
      <w:pPr>
        <w:rPr>
          <w:sz w:val="32"/>
          <w:szCs w:val="32"/>
          <w:lang w:bidi="ar-SA"/>
        </w:rPr>
      </w:pPr>
    </w:p>
    <w:p w14:paraId="0C51A682" w14:textId="77777777" w:rsidR="0041312B" w:rsidRDefault="0041312B" w:rsidP="000B11BD">
      <w:pPr>
        <w:rPr>
          <w:sz w:val="32"/>
          <w:szCs w:val="32"/>
          <w:lang w:bidi="ar-SA"/>
        </w:rPr>
      </w:pPr>
    </w:p>
    <w:p w14:paraId="0902A654" w14:textId="77777777" w:rsidR="0041312B" w:rsidRDefault="0041312B" w:rsidP="000B11BD">
      <w:pPr>
        <w:rPr>
          <w:sz w:val="32"/>
          <w:szCs w:val="32"/>
          <w:lang w:bidi="ar-SA"/>
        </w:rPr>
      </w:pPr>
    </w:p>
    <w:p w14:paraId="13EC5331" w14:textId="77777777" w:rsidR="0041312B" w:rsidRDefault="0041312B" w:rsidP="000B11BD">
      <w:pPr>
        <w:rPr>
          <w:sz w:val="32"/>
          <w:szCs w:val="32"/>
          <w:lang w:bidi="ar-SA"/>
        </w:rPr>
      </w:pPr>
    </w:p>
    <w:p w14:paraId="7881C0AF" w14:textId="77777777" w:rsidR="0041312B" w:rsidRDefault="0041312B" w:rsidP="000B11BD">
      <w:pPr>
        <w:rPr>
          <w:sz w:val="32"/>
          <w:szCs w:val="32"/>
          <w:lang w:bidi="ar-SA"/>
        </w:rPr>
      </w:pPr>
    </w:p>
    <w:p w14:paraId="1AB23DE8" w14:textId="6C40441B" w:rsidR="007F30D7" w:rsidRPr="00894333" w:rsidRDefault="007F30D7" w:rsidP="000B11BD">
      <w:pPr>
        <w:rPr>
          <w:sz w:val="32"/>
          <w:szCs w:val="32"/>
        </w:rPr>
      </w:pPr>
      <w:r w:rsidRPr="00894333">
        <w:rPr>
          <w:sz w:val="32"/>
          <w:szCs w:val="32"/>
          <w:lang w:bidi="ar-SA"/>
        </w:rPr>
        <w:lastRenderedPageBreak/>
        <w:t xml:space="preserve">2.6 </w:t>
      </w:r>
      <w:r w:rsidRPr="00894333">
        <w:rPr>
          <w:sz w:val="32"/>
          <w:szCs w:val="32"/>
        </w:rPr>
        <w:t>Investment Ratio Analysis</w:t>
      </w:r>
    </w:p>
    <w:p w14:paraId="42FDBDAE" w14:textId="77777777" w:rsidR="007F30D7" w:rsidRPr="00894333" w:rsidRDefault="007F30D7" w:rsidP="000B11BD">
      <w:pPr>
        <w:rPr>
          <w:sz w:val="28"/>
        </w:rPr>
      </w:pPr>
      <w:r w:rsidRPr="00894333">
        <w:rPr>
          <w:noProof/>
          <w:sz w:val="28"/>
        </w:rPr>
        <w:drawing>
          <wp:inline distT="0" distB="0" distL="0" distR="0" wp14:anchorId="709CDFBC" wp14:editId="4717CB62">
            <wp:extent cx="5715000" cy="3307080"/>
            <wp:effectExtent l="0" t="0" r="0" b="7620"/>
            <wp:docPr id="1565106333" name="Chart 1">
              <a:extLst xmlns:a="http://schemas.openxmlformats.org/drawingml/2006/main">
                <a:ext uri="{FF2B5EF4-FFF2-40B4-BE49-F238E27FC236}">
                  <a16:creationId xmlns:a16="http://schemas.microsoft.com/office/drawing/2014/main" id="{48EBED0B-DF9B-4283-B160-53FA4E2F28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9"/>
              </a:graphicData>
            </a:graphic>
          </wp:inline>
        </w:drawing>
      </w:r>
    </w:p>
    <w:p w14:paraId="1B62923B" w14:textId="77777777" w:rsidR="007F30D7" w:rsidRPr="00894333" w:rsidRDefault="007F30D7" w:rsidP="000B11BD">
      <w:pPr>
        <w:rPr>
          <w:bCs/>
          <w:sz w:val="28"/>
        </w:rPr>
      </w:pPr>
      <w:r w:rsidRPr="00894333">
        <w:rPr>
          <w:bCs/>
          <w:noProof/>
          <w:sz w:val="28"/>
        </w:rPr>
        <w:drawing>
          <wp:inline distT="0" distB="0" distL="0" distR="0" wp14:anchorId="2E2C8422" wp14:editId="7CD5DD92">
            <wp:extent cx="5731510" cy="1647190"/>
            <wp:effectExtent l="0" t="0" r="2540" b="0"/>
            <wp:docPr id="1359628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138737" name="Picture 1340138737"/>
                    <pic:cNvPicPr/>
                  </pic:nvPicPr>
                  <pic:blipFill>
                    <a:blip r:embed="rId24">
                      <a:extLst>
                        <a:ext uri="{28A0092B-C50C-407E-A947-70E740481C1C}">
                          <a14:useLocalDpi xmlns:a14="http://schemas.microsoft.com/office/drawing/2010/main" val="0"/>
                        </a:ext>
                      </a:extLst>
                    </a:blip>
                    <a:stretch>
                      <a:fillRect/>
                    </a:stretch>
                  </pic:blipFill>
                  <pic:spPr>
                    <a:xfrm>
                      <a:off x="0" y="0"/>
                      <a:ext cx="5731510" cy="1647190"/>
                    </a:xfrm>
                    <a:prstGeom prst="rect">
                      <a:avLst/>
                    </a:prstGeom>
                  </pic:spPr>
                </pic:pic>
              </a:graphicData>
            </a:graphic>
          </wp:inline>
        </w:drawing>
      </w:r>
    </w:p>
    <w:p w14:paraId="2F90A8FE" w14:textId="77777777" w:rsidR="007F30D7" w:rsidRPr="00894333" w:rsidRDefault="007F30D7" w:rsidP="000B11BD">
      <w:pPr>
        <w:rPr>
          <w:sz w:val="28"/>
        </w:rPr>
      </w:pPr>
      <w:r w:rsidRPr="00894333">
        <w:rPr>
          <w:noProof/>
          <w:sz w:val="28"/>
        </w:rPr>
        <w:drawing>
          <wp:inline distT="0" distB="0" distL="0" distR="0" wp14:anchorId="33A22659" wp14:editId="6EA5E4FE">
            <wp:extent cx="5731510" cy="1647190"/>
            <wp:effectExtent l="0" t="0" r="2540" b="0"/>
            <wp:docPr id="23319426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379595" name="Picture 1643379595"/>
                    <pic:cNvPicPr/>
                  </pic:nvPicPr>
                  <pic:blipFill>
                    <a:blip r:embed="rId25">
                      <a:extLst>
                        <a:ext uri="{28A0092B-C50C-407E-A947-70E740481C1C}">
                          <a14:useLocalDpi xmlns:a14="http://schemas.microsoft.com/office/drawing/2010/main" val="0"/>
                        </a:ext>
                      </a:extLst>
                    </a:blip>
                    <a:stretch>
                      <a:fillRect/>
                    </a:stretch>
                  </pic:blipFill>
                  <pic:spPr>
                    <a:xfrm>
                      <a:off x="0" y="0"/>
                      <a:ext cx="5731510" cy="1647190"/>
                    </a:xfrm>
                    <a:prstGeom prst="rect">
                      <a:avLst/>
                    </a:prstGeom>
                  </pic:spPr>
                </pic:pic>
              </a:graphicData>
            </a:graphic>
          </wp:inline>
        </w:drawing>
      </w:r>
    </w:p>
    <w:p w14:paraId="6204C897" w14:textId="77777777" w:rsidR="0041312B" w:rsidRDefault="0041312B" w:rsidP="000B11BD">
      <w:pPr>
        <w:rPr>
          <w:sz w:val="32"/>
          <w:szCs w:val="32"/>
          <w:lang w:bidi="ar-SA"/>
        </w:rPr>
      </w:pPr>
    </w:p>
    <w:p w14:paraId="75A31DE1" w14:textId="77777777" w:rsidR="0041312B" w:rsidRDefault="0041312B" w:rsidP="000B11BD">
      <w:pPr>
        <w:rPr>
          <w:sz w:val="32"/>
          <w:szCs w:val="32"/>
          <w:lang w:bidi="ar-SA"/>
        </w:rPr>
      </w:pPr>
    </w:p>
    <w:p w14:paraId="5392548B" w14:textId="77777777" w:rsidR="0041312B" w:rsidRDefault="0041312B" w:rsidP="000B11BD">
      <w:pPr>
        <w:rPr>
          <w:sz w:val="32"/>
          <w:szCs w:val="32"/>
          <w:lang w:bidi="ar-SA"/>
        </w:rPr>
      </w:pPr>
    </w:p>
    <w:p w14:paraId="48AFF7CD" w14:textId="77777777" w:rsidR="0041312B" w:rsidRDefault="0041312B" w:rsidP="000B11BD">
      <w:pPr>
        <w:rPr>
          <w:sz w:val="32"/>
          <w:szCs w:val="32"/>
          <w:lang w:bidi="ar-SA"/>
        </w:rPr>
      </w:pPr>
    </w:p>
    <w:p w14:paraId="5BAFDDA8" w14:textId="2FC23675" w:rsidR="007F30D7" w:rsidRPr="00894333" w:rsidRDefault="007F30D7" w:rsidP="000B11BD">
      <w:pPr>
        <w:rPr>
          <w:sz w:val="32"/>
          <w:szCs w:val="32"/>
          <w:lang w:bidi="ar-SA"/>
        </w:rPr>
      </w:pPr>
      <w:r w:rsidRPr="00894333">
        <w:rPr>
          <w:sz w:val="32"/>
          <w:szCs w:val="32"/>
          <w:lang w:bidi="ar-SA"/>
        </w:rPr>
        <w:lastRenderedPageBreak/>
        <w:t>2.7 Altman Z-Score Analysis</w:t>
      </w:r>
    </w:p>
    <w:p w14:paraId="04D75784" w14:textId="77777777" w:rsidR="007F30D7" w:rsidRPr="00894333" w:rsidRDefault="007F30D7" w:rsidP="000B11BD">
      <w:pPr>
        <w:rPr>
          <w:bCs/>
          <w:sz w:val="28"/>
        </w:rPr>
      </w:pPr>
      <w:r w:rsidRPr="00894333">
        <w:rPr>
          <w:bCs/>
          <w:noProof/>
          <w:sz w:val="28"/>
        </w:rPr>
        <w:drawing>
          <wp:inline distT="0" distB="0" distL="0" distR="0" wp14:anchorId="6D4EDB1B" wp14:editId="05389E50">
            <wp:extent cx="5343525" cy="1381125"/>
            <wp:effectExtent l="0" t="0" r="9525" b="9525"/>
            <wp:docPr id="1891148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865310" name="Picture 575865310"/>
                    <pic:cNvPicPr/>
                  </pic:nvPicPr>
                  <pic:blipFill>
                    <a:blip r:embed="rId26">
                      <a:extLst>
                        <a:ext uri="{28A0092B-C50C-407E-A947-70E740481C1C}">
                          <a14:useLocalDpi xmlns:a14="http://schemas.microsoft.com/office/drawing/2010/main" val="0"/>
                        </a:ext>
                      </a:extLst>
                    </a:blip>
                    <a:stretch>
                      <a:fillRect/>
                    </a:stretch>
                  </pic:blipFill>
                  <pic:spPr>
                    <a:xfrm>
                      <a:off x="0" y="0"/>
                      <a:ext cx="5343525" cy="1381125"/>
                    </a:xfrm>
                    <a:prstGeom prst="rect">
                      <a:avLst/>
                    </a:prstGeom>
                  </pic:spPr>
                </pic:pic>
              </a:graphicData>
            </a:graphic>
          </wp:inline>
        </w:drawing>
      </w:r>
    </w:p>
    <w:p w14:paraId="7B4916CF" w14:textId="77777777" w:rsidR="007F30D7" w:rsidRPr="0041312B" w:rsidRDefault="007F30D7" w:rsidP="000B11BD">
      <w:pPr>
        <w:rPr>
          <w:b/>
          <w:sz w:val="28"/>
        </w:rPr>
      </w:pPr>
      <w:r w:rsidRPr="0041312B">
        <w:rPr>
          <w:b/>
          <w:sz w:val="28"/>
        </w:rPr>
        <w:t>Interpretation zones:</w:t>
      </w:r>
    </w:p>
    <w:p w14:paraId="3DFCF7A3" w14:textId="77777777" w:rsidR="007F30D7" w:rsidRPr="00894333" w:rsidRDefault="007F30D7" w:rsidP="000B11BD">
      <w:pPr>
        <w:rPr>
          <w:bCs/>
          <w:sz w:val="28"/>
        </w:rPr>
      </w:pPr>
      <w:r w:rsidRPr="00894333">
        <w:rPr>
          <w:bCs/>
          <w:noProof/>
          <w:sz w:val="28"/>
        </w:rPr>
        <w:drawing>
          <wp:inline distT="0" distB="0" distL="0" distR="0" wp14:anchorId="681E0E25" wp14:editId="64118C4A">
            <wp:extent cx="5731510" cy="1005840"/>
            <wp:effectExtent l="0" t="0" r="2540" b="3810"/>
            <wp:docPr id="19702299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208966" name="Picture 320208966"/>
                    <pic:cNvPicPr/>
                  </pic:nvPicPr>
                  <pic:blipFill>
                    <a:blip r:embed="rId27">
                      <a:extLst>
                        <a:ext uri="{28A0092B-C50C-407E-A947-70E740481C1C}">
                          <a14:useLocalDpi xmlns:a14="http://schemas.microsoft.com/office/drawing/2010/main" val="0"/>
                        </a:ext>
                      </a:extLst>
                    </a:blip>
                    <a:stretch>
                      <a:fillRect/>
                    </a:stretch>
                  </pic:blipFill>
                  <pic:spPr>
                    <a:xfrm>
                      <a:off x="0" y="0"/>
                      <a:ext cx="5731510" cy="1005840"/>
                    </a:xfrm>
                    <a:prstGeom prst="rect">
                      <a:avLst/>
                    </a:prstGeom>
                  </pic:spPr>
                </pic:pic>
              </a:graphicData>
            </a:graphic>
          </wp:inline>
        </w:drawing>
      </w:r>
    </w:p>
    <w:p w14:paraId="2CB50C8C" w14:textId="77777777" w:rsidR="007F30D7" w:rsidRPr="0041312B" w:rsidRDefault="007F30D7" w:rsidP="000B11BD">
      <w:pPr>
        <w:rPr>
          <w:b/>
          <w:sz w:val="32"/>
          <w:szCs w:val="32"/>
        </w:rPr>
      </w:pPr>
      <w:r w:rsidRPr="0041312B">
        <w:rPr>
          <w:b/>
          <w:sz w:val="32"/>
          <w:szCs w:val="32"/>
        </w:rPr>
        <w:t>Five-Year Z-Score Calculations:</w:t>
      </w:r>
    </w:p>
    <w:p w14:paraId="38AF12A7" w14:textId="77777777" w:rsidR="007F30D7" w:rsidRPr="00894333" w:rsidRDefault="007F30D7" w:rsidP="000B11BD">
      <w:pPr>
        <w:rPr>
          <w:bCs/>
          <w:sz w:val="28"/>
        </w:rPr>
      </w:pPr>
      <w:r w:rsidRPr="00894333">
        <w:rPr>
          <w:bCs/>
          <w:sz w:val="28"/>
        </w:rPr>
        <w:t>2024 Calculation (£m):</w:t>
      </w:r>
    </w:p>
    <w:p w14:paraId="2F6B688F" w14:textId="77777777" w:rsidR="007F30D7" w:rsidRPr="00894333" w:rsidRDefault="007F30D7" w:rsidP="000B11BD">
      <w:pPr>
        <w:rPr>
          <w:bCs/>
          <w:sz w:val="28"/>
        </w:rPr>
      </w:pPr>
      <w:r w:rsidRPr="00894333">
        <w:rPr>
          <w:bCs/>
          <w:noProof/>
          <w:sz w:val="28"/>
        </w:rPr>
        <w:drawing>
          <wp:inline distT="0" distB="0" distL="0" distR="0" wp14:anchorId="103FCD79" wp14:editId="7ABA6595">
            <wp:extent cx="5731510" cy="1442720"/>
            <wp:effectExtent l="0" t="0" r="2540" b="5080"/>
            <wp:docPr id="15216277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260086" name="Picture 1116260086"/>
                    <pic:cNvPicPr/>
                  </pic:nvPicPr>
                  <pic:blipFill>
                    <a:blip r:embed="rId28">
                      <a:extLst>
                        <a:ext uri="{28A0092B-C50C-407E-A947-70E740481C1C}">
                          <a14:useLocalDpi xmlns:a14="http://schemas.microsoft.com/office/drawing/2010/main" val="0"/>
                        </a:ext>
                      </a:extLst>
                    </a:blip>
                    <a:stretch>
                      <a:fillRect/>
                    </a:stretch>
                  </pic:blipFill>
                  <pic:spPr>
                    <a:xfrm>
                      <a:off x="0" y="0"/>
                      <a:ext cx="5731510" cy="1442720"/>
                    </a:xfrm>
                    <a:prstGeom prst="rect">
                      <a:avLst/>
                    </a:prstGeom>
                  </pic:spPr>
                </pic:pic>
              </a:graphicData>
            </a:graphic>
          </wp:inline>
        </w:drawing>
      </w:r>
    </w:p>
    <w:p w14:paraId="46971243" w14:textId="77777777" w:rsidR="007F30D7" w:rsidRPr="00894333" w:rsidRDefault="007F30D7" w:rsidP="000B11BD">
      <w:pPr>
        <w:rPr>
          <w:bCs/>
          <w:sz w:val="28"/>
        </w:rPr>
      </w:pPr>
      <w:r w:rsidRPr="00894333">
        <w:rPr>
          <w:bCs/>
          <w:sz w:val="28"/>
        </w:rPr>
        <w:t>2023 Calculation (£m):</w:t>
      </w:r>
    </w:p>
    <w:p w14:paraId="2CA465CA" w14:textId="77777777" w:rsidR="007F30D7" w:rsidRPr="00894333" w:rsidRDefault="007F30D7" w:rsidP="000B11BD">
      <w:pPr>
        <w:rPr>
          <w:bCs/>
          <w:sz w:val="28"/>
        </w:rPr>
      </w:pPr>
      <w:r w:rsidRPr="00894333">
        <w:rPr>
          <w:bCs/>
          <w:noProof/>
          <w:sz w:val="28"/>
        </w:rPr>
        <w:drawing>
          <wp:inline distT="0" distB="0" distL="0" distR="0" wp14:anchorId="5BD80208" wp14:editId="08D2E552">
            <wp:extent cx="5730989" cy="1442720"/>
            <wp:effectExtent l="0" t="0" r="3175" b="5080"/>
            <wp:docPr id="19360765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654233" name="Picture 4"/>
                    <pic:cNvPicPr/>
                  </pic:nvPicPr>
                  <pic:blipFill>
                    <a:blip r:embed="rId29">
                      <a:extLst>
                        <a:ext uri="{28A0092B-C50C-407E-A947-70E740481C1C}">
                          <a14:useLocalDpi xmlns:a14="http://schemas.microsoft.com/office/drawing/2010/main" val="0"/>
                        </a:ext>
                      </a:extLst>
                    </a:blip>
                    <a:stretch>
                      <a:fillRect/>
                    </a:stretch>
                  </pic:blipFill>
                  <pic:spPr>
                    <a:xfrm>
                      <a:off x="0" y="0"/>
                      <a:ext cx="5730989" cy="1442720"/>
                    </a:xfrm>
                    <a:prstGeom prst="rect">
                      <a:avLst/>
                    </a:prstGeom>
                  </pic:spPr>
                </pic:pic>
              </a:graphicData>
            </a:graphic>
          </wp:inline>
        </w:drawing>
      </w:r>
    </w:p>
    <w:p w14:paraId="3692A26F" w14:textId="77777777" w:rsidR="0041312B" w:rsidRDefault="0041312B" w:rsidP="000B11BD">
      <w:pPr>
        <w:rPr>
          <w:bCs/>
          <w:sz w:val="28"/>
        </w:rPr>
      </w:pPr>
    </w:p>
    <w:p w14:paraId="4B88167A" w14:textId="77777777" w:rsidR="0041312B" w:rsidRDefault="0041312B" w:rsidP="000B11BD">
      <w:pPr>
        <w:rPr>
          <w:bCs/>
          <w:sz w:val="28"/>
        </w:rPr>
      </w:pPr>
    </w:p>
    <w:p w14:paraId="43C4FF3B" w14:textId="77777777" w:rsidR="0041312B" w:rsidRDefault="0041312B" w:rsidP="000B11BD">
      <w:pPr>
        <w:rPr>
          <w:bCs/>
          <w:sz w:val="28"/>
        </w:rPr>
      </w:pPr>
    </w:p>
    <w:p w14:paraId="123EE6D2" w14:textId="77777777" w:rsidR="0041312B" w:rsidRDefault="0041312B" w:rsidP="000B11BD">
      <w:pPr>
        <w:rPr>
          <w:bCs/>
          <w:sz w:val="28"/>
        </w:rPr>
      </w:pPr>
    </w:p>
    <w:p w14:paraId="39E1BADE" w14:textId="77805B63" w:rsidR="007F30D7" w:rsidRPr="00894333" w:rsidRDefault="007F30D7" w:rsidP="000B11BD">
      <w:pPr>
        <w:rPr>
          <w:bCs/>
          <w:sz w:val="28"/>
        </w:rPr>
      </w:pPr>
      <w:r w:rsidRPr="00894333">
        <w:rPr>
          <w:bCs/>
          <w:sz w:val="28"/>
        </w:rPr>
        <w:lastRenderedPageBreak/>
        <w:t>2022 Calculation (£m):</w:t>
      </w:r>
    </w:p>
    <w:p w14:paraId="23CAB13D" w14:textId="77777777" w:rsidR="007F30D7" w:rsidRPr="00894333" w:rsidRDefault="007F30D7" w:rsidP="000B11BD">
      <w:pPr>
        <w:rPr>
          <w:sz w:val="28"/>
        </w:rPr>
      </w:pPr>
      <w:r w:rsidRPr="00894333">
        <w:rPr>
          <w:bCs/>
          <w:noProof/>
          <w:sz w:val="28"/>
        </w:rPr>
        <w:drawing>
          <wp:inline distT="0" distB="0" distL="0" distR="0" wp14:anchorId="1DB42A4C" wp14:editId="23C75F3B">
            <wp:extent cx="5730997" cy="1398905"/>
            <wp:effectExtent l="0" t="0" r="3175" b="0"/>
            <wp:docPr id="11854705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463887" name="Picture 5"/>
                    <pic:cNvPicPr/>
                  </pic:nvPicPr>
                  <pic:blipFill>
                    <a:blip r:embed="rId30">
                      <a:extLst>
                        <a:ext uri="{28A0092B-C50C-407E-A947-70E740481C1C}">
                          <a14:useLocalDpi xmlns:a14="http://schemas.microsoft.com/office/drawing/2010/main" val="0"/>
                        </a:ext>
                      </a:extLst>
                    </a:blip>
                    <a:stretch>
                      <a:fillRect/>
                    </a:stretch>
                  </pic:blipFill>
                  <pic:spPr>
                    <a:xfrm>
                      <a:off x="0" y="0"/>
                      <a:ext cx="5730997" cy="1398905"/>
                    </a:xfrm>
                    <a:prstGeom prst="rect">
                      <a:avLst/>
                    </a:prstGeom>
                  </pic:spPr>
                </pic:pic>
              </a:graphicData>
            </a:graphic>
          </wp:inline>
        </w:drawing>
      </w:r>
    </w:p>
    <w:p w14:paraId="5F91CD41" w14:textId="77777777" w:rsidR="007F30D7" w:rsidRPr="00894333" w:rsidRDefault="007F30D7" w:rsidP="000B11BD">
      <w:pPr>
        <w:rPr>
          <w:bCs/>
          <w:sz w:val="28"/>
        </w:rPr>
      </w:pPr>
      <w:r w:rsidRPr="00894333">
        <w:rPr>
          <w:bCs/>
          <w:sz w:val="28"/>
        </w:rPr>
        <w:t>2021 Calculation (£m):</w:t>
      </w:r>
    </w:p>
    <w:p w14:paraId="777C2235" w14:textId="77777777" w:rsidR="007F30D7" w:rsidRPr="00894333" w:rsidRDefault="007F30D7" w:rsidP="000B11BD">
      <w:pPr>
        <w:rPr>
          <w:bCs/>
          <w:sz w:val="28"/>
        </w:rPr>
      </w:pPr>
      <w:r w:rsidRPr="00894333">
        <w:rPr>
          <w:bCs/>
          <w:noProof/>
          <w:sz w:val="28"/>
        </w:rPr>
        <w:drawing>
          <wp:inline distT="0" distB="0" distL="0" distR="0" wp14:anchorId="329D280F" wp14:editId="5216A82E">
            <wp:extent cx="5731510" cy="1398905"/>
            <wp:effectExtent l="0" t="0" r="2540" b="0"/>
            <wp:docPr id="14017612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022800" name="Picture 634022800"/>
                    <pic:cNvPicPr/>
                  </pic:nvPicPr>
                  <pic:blipFill>
                    <a:blip r:embed="rId31">
                      <a:extLst>
                        <a:ext uri="{28A0092B-C50C-407E-A947-70E740481C1C}">
                          <a14:useLocalDpi xmlns:a14="http://schemas.microsoft.com/office/drawing/2010/main" val="0"/>
                        </a:ext>
                      </a:extLst>
                    </a:blip>
                    <a:stretch>
                      <a:fillRect/>
                    </a:stretch>
                  </pic:blipFill>
                  <pic:spPr>
                    <a:xfrm>
                      <a:off x="0" y="0"/>
                      <a:ext cx="5731510" cy="1398905"/>
                    </a:xfrm>
                    <a:prstGeom prst="rect">
                      <a:avLst/>
                    </a:prstGeom>
                  </pic:spPr>
                </pic:pic>
              </a:graphicData>
            </a:graphic>
          </wp:inline>
        </w:drawing>
      </w:r>
    </w:p>
    <w:p w14:paraId="70394529" w14:textId="77777777" w:rsidR="007F30D7" w:rsidRPr="00894333" w:rsidRDefault="007F30D7" w:rsidP="000B11BD">
      <w:pPr>
        <w:rPr>
          <w:bCs/>
          <w:sz w:val="28"/>
        </w:rPr>
      </w:pPr>
      <w:r w:rsidRPr="00894333">
        <w:rPr>
          <w:bCs/>
          <w:sz w:val="28"/>
        </w:rPr>
        <w:t>2020 Calculation (£m):</w:t>
      </w:r>
    </w:p>
    <w:p w14:paraId="601F241D" w14:textId="77777777" w:rsidR="007F30D7" w:rsidRPr="00894333" w:rsidRDefault="007F30D7" w:rsidP="000B11BD">
      <w:pPr>
        <w:rPr>
          <w:bCs/>
          <w:sz w:val="28"/>
        </w:rPr>
      </w:pPr>
      <w:r w:rsidRPr="00894333">
        <w:rPr>
          <w:bCs/>
          <w:noProof/>
          <w:sz w:val="28"/>
        </w:rPr>
        <w:drawing>
          <wp:inline distT="0" distB="0" distL="0" distR="0" wp14:anchorId="4A3ED9A8" wp14:editId="6830DFEA">
            <wp:extent cx="5646420" cy="1378137"/>
            <wp:effectExtent l="0" t="0" r="0" b="0"/>
            <wp:docPr id="93222883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767748" name="Picture 1152767748"/>
                    <pic:cNvPicPr/>
                  </pic:nvPicPr>
                  <pic:blipFill>
                    <a:blip r:embed="rId32">
                      <a:extLst>
                        <a:ext uri="{28A0092B-C50C-407E-A947-70E740481C1C}">
                          <a14:useLocalDpi xmlns:a14="http://schemas.microsoft.com/office/drawing/2010/main" val="0"/>
                        </a:ext>
                      </a:extLst>
                    </a:blip>
                    <a:stretch>
                      <a:fillRect/>
                    </a:stretch>
                  </pic:blipFill>
                  <pic:spPr>
                    <a:xfrm>
                      <a:off x="0" y="0"/>
                      <a:ext cx="5647965" cy="1378514"/>
                    </a:xfrm>
                    <a:prstGeom prst="rect">
                      <a:avLst/>
                    </a:prstGeom>
                  </pic:spPr>
                </pic:pic>
              </a:graphicData>
            </a:graphic>
          </wp:inline>
        </w:drawing>
      </w:r>
    </w:p>
    <w:p w14:paraId="25B94DDE" w14:textId="77777777" w:rsidR="007F30D7" w:rsidRPr="00894333" w:rsidRDefault="007F30D7" w:rsidP="000B11BD">
      <w:pPr>
        <w:rPr>
          <w:bCs/>
          <w:sz w:val="28"/>
        </w:rPr>
      </w:pPr>
      <w:r w:rsidRPr="00894333">
        <w:rPr>
          <w:bCs/>
          <w:sz w:val="28"/>
        </w:rPr>
        <w:t>Five-Year Altman Z-Score Summary (2020–2024)</w:t>
      </w:r>
    </w:p>
    <w:p w14:paraId="50ED159D" w14:textId="77777777" w:rsidR="007F30D7" w:rsidRPr="00894333" w:rsidRDefault="007F30D7" w:rsidP="000B11BD">
      <w:pPr>
        <w:rPr>
          <w:bCs/>
          <w:sz w:val="28"/>
        </w:rPr>
      </w:pPr>
      <w:r w:rsidRPr="00894333">
        <w:rPr>
          <w:bCs/>
          <w:noProof/>
          <w:sz w:val="28"/>
        </w:rPr>
        <w:drawing>
          <wp:inline distT="0" distB="0" distL="0" distR="0" wp14:anchorId="360B04B3" wp14:editId="5FC0280F">
            <wp:extent cx="5731510" cy="1219835"/>
            <wp:effectExtent l="0" t="0" r="2540" b="0"/>
            <wp:docPr id="151347322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181250" name="Picture 922181250"/>
                    <pic:cNvPicPr/>
                  </pic:nvPicPr>
                  <pic:blipFill>
                    <a:blip r:embed="rId33">
                      <a:extLst>
                        <a:ext uri="{28A0092B-C50C-407E-A947-70E740481C1C}">
                          <a14:useLocalDpi xmlns:a14="http://schemas.microsoft.com/office/drawing/2010/main" val="0"/>
                        </a:ext>
                      </a:extLst>
                    </a:blip>
                    <a:stretch>
                      <a:fillRect/>
                    </a:stretch>
                  </pic:blipFill>
                  <pic:spPr>
                    <a:xfrm>
                      <a:off x="0" y="0"/>
                      <a:ext cx="5731510" cy="1219835"/>
                    </a:xfrm>
                    <a:prstGeom prst="rect">
                      <a:avLst/>
                    </a:prstGeom>
                  </pic:spPr>
                </pic:pic>
              </a:graphicData>
            </a:graphic>
          </wp:inline>
        </w:drawing>
      </w:r>
    </w:p>
    <w:p w14:paraId="7BCB70AB" w14:textId="77777777" w:rsidR="0041312B" w:rsidRDefault="0041312B" w:rsidP="000B11BD">
      <w:pPr>
        <w:rPr>
          <w:b/>
          <w:bCs/>
          <w:sz w:val="36"/>
          <w:szCs w:val="36"/>
          <w:lang w:bidi="ar-SA"/>
        </w:rPr>
      </w:pPr>
    </w:p>
    <w:p w14:paraId="26D3C2C5" w14:textId="77777777" w:rsidR="0041312B" w:rsidRDefault="0041312B" w:rsidP="000B11BD">
      <w:pPr>
        <w:rPr>
          <w:b/>
          <w:bCs/>
          <w:sz w:val="36"/>
          <w:szCs w:val="36"/>
          <w:lang w:bidi="ar-SA"/>
        </w:rPr>
      </w:pPr>
    </w:p>
    <w:p w14:paraId="4EB19AA9" w14:textId="77777777" w:rsidR="0041312B" w:rsidRDefault="0041312B" w:rsidP="000B11BD">
      <w:pPr>
        <w:rPr>
          <w:b/>
          <w:bCs/>
          <w:sz w:val="36"/>
          <w:szCs w:val="36"/>
          <w:lang w:bidi="ar-SA"/>
        </w:rPr>
      </w:pPr>
    </w:p>
    <w:p w14:paraId="6ECF0919" w14:textId="77777777" w:rsidR="0041312B" w:rsidRDefault="0041312B" w:rsidP="000B11BD">
      <w:pPr>
        <w:rPr>
          <w:b/>
          <w:bCs/>
          <w:sz w:val="36"/>
          <w:szCs w:val="36"/>
          <w:lang w:bidi="ar-SA"/>
        </w:rPr>
      </w:pPr>
    </w:p>
    <w:p w14:paraId="32630B51" w14:textId="0E871220" w:rsidR="007F30D7" w:rsidRPr="0041312B" w:rsidRDefault="007F30D7" w:rsidP="000B11BD">
      <w:pPr>
        <w:rPr>
          <w:b/>
          <w:bCs/>
          <w:sz w:val="36"/>
          <w:szCs w:val="36"/>
          <w:lang w:bidi="ar-SA"/>
        </w:rPr>
      </w:pPr>
      <w:r w:rsidRPr="0041312B">
        <w:rPr>
          <w:b/>
          <w:bCs/>
          <w:sz w:val="36"/>
          <w:szCs w:val="36"/>
          <w:lang w:bidi="ar-SA"/>
        </w:rPr>
        <w:lastRenderedPageBreak/>
        <w:t>3. Working Capital Management Analysis</w:t>
      </w:r>
    </w:p>
    <w:p w14:paraId="1CB5EFC1" w14:textId="77777777" w:rsidR="007F30D7" w:rsidRPr="0041312B" w:rsidRDefault="007F30D7" w:rsidP="000B11BD">
      <w:pPr>
        <w:rPr>
          <w:bCs/>
          <w:sz w:val="32"/>
          <w:szCs w:val="32"/>
        </w:rPr>
      </w:pPr>
      <w:r w:rsidRPr="0041312B">
        <w:rPr>
          <w:bCs/>
          <w:sz w:val="32"/>
          <w:szCs w:val="32"/>
        </w:rPr>
        <w:t>Five-Year Calculations:</w:t>
      </w:r>
    </w:p>
    <w:p w14:paraId="0ABB83FA" w14:textId="77777777" w:rsidR="007F30D7" w:rsidRPr="00894333" w:rsidRDefault="007F30D7" w:rsidP="000B11BD">
      <w:pPr>
        <w:rPr>
          <w:sz w:val="28"/>
        </w:rPr>
      </w:pPr>
      <w:r w:rsidRPr="00894333">
        <w:rPr>
          <w:bCs/>
          <w:noProof/>
          <w:sz w:val="28"/>
        </w:rPr>
        <w:drawing>
          <wp:inline distT="0" distB="0" distL="0" distR="0" wp14:anchorId="69CDA9E7" wp14:editId="11FBF6AF">
            <wp:extent cx="5731510" cy="876300"/>
            <wp:effectExtent l="0" t="0" r="2540" b="0"/>
            <wp:docPr id="5911634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168788" name="Picture 1435168788"/>
                    <pic:cNvPicPr/>
                  </pic:nvPicPr>
                  <pic:blipFill>
                    <a:blip r:embed="rId34">
                      <a:extLst>
                        <a:ext uri="{28A0092B-C50C-407E-A947-70E740481C1C}">
                          <a14:useLocalDpi xmlns:a14="http://schemas.microsoft.com/office/drawing/2010/main" val="0"/>
                        </a:ext>
                      </a:extLst>
                    </a:blip>
                    <a:stretch>
                      <a:fillRect/>
                    </a:stretch>
                  </pic:blipFill>
                  <pic:spPr>
                    <a:xfrm>
                      <a:off x="0" y="0"/>
                      <a:ext cx="5731510" cy="876300"/>
                    </a:xfrm>
                    <a:prstGeom prst="rect">
                      <a:avLst/>
                    </a:prstGeom>
                  </pic:spPr>
                </pic:pic>
              </a:graphicData>
            </a:graphic>
          </wp:inline>
        </w:drawing>
      </w:r>
    </w:p>
    <w:p w14:paraId="570E8581" w14:textId="77777777" w:rsidR="0041312B" w:rsidRDefault="007F30D7" w:rsidP="000B11BD">
      <w:pPr>
        <w:rPr>
          <w:lang w:bidi="ar-SA"/>
        </w:rPr>
      </w:pPr>
      <w:r w:rsidRPr="00894333">
        <w:rPr>
          <w:bCs/>
          <w:noProof/>
          <w:sz w:val="28"/>
        </w:rPr>
        <w:drawing>
          <wp:inline distT="0" distB="0" distL="0" distR="0" wp14:anchorId="0A336368" wp14:editId="7079395C">
            <wp:extent cx="4469130" cy="6385560"/>
            <wp:effectExtent l="0" t="0" r="7620" b="0"/>
            <wp:docPr id="195178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414353" name="Picture 1880414353"/>
                    <pic:cNvPicPr/>
                  </pic:nvPicPr>
                  <pic:blipFill rotWithShape="1">
                    <a:blip r:embed="rId35">
                      <a:extLst>
                        <a:ext uri="{28A0092B-C50C-407E-A947-70E740481C1C}">
                          <a14:useLocalDpi xmlns:a14="http://schemas.microsoft.com/office/drawing/2010/main" val="0"/>
                        </a:ext>
                      </a:extLst>
                    </a:blip>
                    <a:srcRect t="1" b="-3863"/>
                    <a:stretch>
                      <a:fillRect/>
                    </a:stretch>
                  </pic:blipFill>
                  <pic:spPr bwMode="auto">
                    <a:xfrm>
                      <a:off x="0" y="0"/>
                      <a:ext cx="4498132" cy="6426998"/>
                    </a:xfrm>
                    <a:prstGeom prst="rect">
                      <a:avLst/>
                    </a:prstGeom>
                    <a:ln>
                      <a:noFill/>
                    </a:ln>
                    <a:extLst>
                      <a:ext uri="{53640926-AAD7-44D8-BBD7-CCE9431645EC}">
                        <a14:shadowObscured xmlns:a14="http://schemas.microsoft.com/office/drawing/2010/main"/>
                      </a:ext>
                    </a:extLst>
                  </pic:spPr>
                </pic:pic>
              </a:graphicData>
            </a:graphic>
          </wp:inline>
        </w:drawing>
      </w:r>
    </w:p>
    <w:p w14:paraId="0A131EA7" w14:textId="77777777" w:rsidR="0041312B" w:rsidRDefault="0041312B" w:rsidP="000B11BD">
      <w:pPr>
        <w:rPr>
          <w:lang w:bidi="ar-SA"/>
        </w:rPr>
      </w:pPr>
    </w:p>
    <w:p w14:paraId="77C271AC" w14:textId="77777777" w:rsidR="0041312B" w:rsidRDefault="0041312B" w:rsidP="000B11BD">
      <w:pPr>
        <w:rPr>
          <w:lang w:bidi="ar-SA"/>
        </w:rPr>
      </w:pPr>
    </w:p>
    <w:p w14:paraId="56C2BE86" w14:textId="1A8B943C" w:rsidR="007F30D7" w:rsidRPr="0041312B" w:rsidRDefault="007F30D7" w:rsidP="000B11BD">
      <w:pPr>
        <w:rPr>
          <w:b/>
          <w:bCs/>
          <w:sz w:val="36"/>
          <w:szCs w:val="44"/>
          <w:lang w:bidi="ar-SA"/>
        </w:rPr>
      </w:pPr>
      <w:r w:rsidRPr="0041312B">
        <w:rPr>
          <w:b/>
          <w:bCs/>
          <w:sz w:val="36"/>
          <w:szCs w:val="44"/>
          <w:lang w:bidi="ar-SA"/>
        </w:rPr>
        <w:lastRenderedPageBreak/>
        <w:t>5. Investment Appraisal and Capital Budgeting</w:t>
      </w:r>
    </w:p>
    <w:p w14:paraId="0813F712" w14:textId="77777777" w:rsidR="007F30D7" w:rsidRPr="00894333" w:rsidRDefault="007F30D7" w:rsidP="000B11BD">
      <w:pPr>
        <w:rPr>
          <w:sz w:val="32"/>
        </w:rPr>
      </w:pPr>
      <w:r w:rsidRPr="00894333">
        <w:rPr>
          <w:sz w:val="32"/>
        </w:rPr>
        <w:t>Detailed Calculations of Project A</w:t>
      </w:r>
    </w:p>
    <w:p w14:paraId="00FA1F98" w14:textId="77777777" w:rsidR="007F30D7" w:rsidRPr="00894333" w:rsidRDefault="007F30D7" w:rsidP="000B11BD">
      <w:pPr>
        <w:rPr>
          <w:sz w:val="28"/>
        </w:rPr>
      </w:pPr>
      <w:r w:rsidRPr="00894333">
        <w:rPr>
          <w:noProof/>
          <w:sz w:val="28"/>
        </w:rPr>
        <w:drawing>
          <wp:inline distT="0" distB="0" distL="0" distR="0" wp14:anchorId="759A818B" wp14:editId="4368ACE7">
            <wp:extent cx="4943475" cy="6648450"/>
            <wp:effectExtent l="0" t="0" r="9525" b="0"/>
            <wp:docPr id="187570628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266855" name="Picture 2119266855"/>
                    <pic:cNvPicPr/>
                  </pic:nvPicPr>
                  <pic:blipFill>
                    <a:blip r:embed="rId36">
                      <a:extLst>
                        <a:ext uri="{28A0092B-C50C-407E-A947-70E740481C1C}">
                          <a14:useLocalDpi xmlns:a14="http://schemas.microsoft.com/office/drawing/2010/main" val="0"/>
                        </a:ext>
                      </a:extLst>
                    </a:blip>
                    <a:stretch>
                      <a:fillRect/>
                    </a:stretch>
                  </pic:blipFill>
                  <pic:spPr>
                    <a:xfrm>
                      <a:off x="0" y="0"/>
                      <a:ext cx="4943475" cy="6648450"/>
                    </a:xfrm>
                    <a:prstGeom prst="rect">
                      <a:avLst/>
                    </a:prstGeom>
                  </pic:spPr>
                </pic:pic>
              </a:graphicData>
            </a:graphic>
          </wp:inline>
        </w:drawing>
      </w:r>
    </w:p>
    <w:p w14:paraId="1E1D743C" w14:textId="77777777" w:rsidR="0041312B" w:rsidRDefault="0041312B" w:rsidP="000B11BD">
      <w:pPr>
        <w:rPr>
          <w:sz w:val="32"/>
        </w:rPr>
      </w:pPr>
    </w:p>
    <w:p w14:paraId="1D6C88CA" w14:textId="77777777" w:rsidR="0041312B" w:rsidRDefault="0041312B" w:rsidP="000B11BD">
      <w:pPr>
        <w:rPr>
          <w:sz w:val="32"/>
        </w:rPr>
      </w:pPr>
    </w:p>
    <w:p w14:paraId="0F27135A" w14:textId="77777777" w:rsidR="0041312B" w:rsidRDefault="0041312B" w:rsidP="000B11BD">
      <w:pPr>
        <w:rPr>
          <w:sz w:val="32"/>
        </w:rPr>
      </w:pPr>
    </w:p>
    <w:p w14:paraId="169ACA96" w14:textId="67C86DBE" w:rsidR="007F30D7" w:rsidRPr="00894333" w:rsidRDefault="007F30D7" w:rsidP="000B11BD">
      <w:pPr>
        <w:rPr>
          <w:sz w:val="32"/>
        </w:rPr>
      </w:pPr>
      <w:r w:rsidRPr="00894333">
        <w:rPr>
          <w:sz w:val="32"/>
        </w:rPr>
        <w:lastRenderedPageBreak/>
        <w:t>Detailed Calculations of Project B</w:t>
      </w:r>
    </w:p>
    <w:p w14:paraId="4B5A9118" w14:textId="77777777" w:rsidR="007F30D7" w:rsidRPr="00894333" w:rsidRDefault="007F30D7" w:rsidP="000B11BD">
      <w:pPr>
        <w:rPr>
          <w:bCs/>
          <w:sz w:val="28"/>
        </w:rPr>
      </w:pPr>
      <w:r w:rsidRPr="00894333">
        <w:rPr>
          <w:bCs/>
          <w:noProof/>
          <w:sz w:val="28"/>
        </w:rPr>
        <w:drawing>
          <wp:inline distT="0" distB="0" distL="0" distR="0" wp14:anchorId="21BDFA0E" wp14:editId="102EA04A">
            <wp:extent cx="4867275" cy="4629150"/>
            <wp:effectExtent l="0" t="0" r="9525" b="0"/>
            <wp:docPr id="2498796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500980" name="Picture 1122500980"/>
                    <pic:cNvPicPr/>
                  </pic:nvPicPr>
                  <pic:blipFill>
                    <a:blip r:embed="rId37">
                      <a:extLst>
                        <a:ext uri="{28A0092B-C50C-407E-A947-70E740481C1C}">
                          <a14:useLocalDpi xmlns:a14="http://schemas.microsoft.com/office/drawing/2010/main" val="0"/>
                        </a:ext>
                      </a:extLst>
                    </a:blip>
                    <a:stretch>
                      <a:fillRect/>
                    </a:stretch>
                  </pic:blipFill>
                  <pic:spPr>
                    <a:xfrm>
                      <a:off x="0" y="0"/>
                      <a:ext cx="4867275" cy="4629150"/>
                    </a:xfrm>
                    <a:prstGeom prst="rect">
                      <a:avLst/>
                    </a:prstGeom>
                  </pic:spPr>
                </pic:pic>
              </a:graphicData>
            </a:graphic>
          </wp:inline>
        </w:drawing>
      </w:r>
    </w:p>
    <w:p w14:paraId="455CE2C6" w14:textId="77777777" w:rsidR="0041312B" w:rsidRDefault="0041312B" w:rsidP="000B11BD">
      <w:pPr>
        <w:rPr>
          <w:sz w:val="32"/>
        </w:rPr>
      </w:pPr>
    </w:p>
    <w:p w14:paraId="6F3C2495" w14:textId="77777777" w:rsidR="0041312B" w:rsidRDefault="0041312B" w:rsidP="000B11BD">
      <w:pPr>
        <w:rPr>
          <w:sz w:val="32"/>
        </w:rPr>
      </w:pPr>
    </w:p>
    <w:p w14:paraId="4BCC324D" w14:textId="77777777" w:rsidR="0041312B" w:rsidRDefault="0041312B" w:rsidP="000B11BD">
      <w:pPr>
        <w:rPr>
          <w:sz w:val="32"/>
        </w:rPr>
      </w:pPr>
    </w:p>
    <w:p w14:paraId="24E2EBA2" w14:textId="77777777" w:rsidR="0041312B" w:rsidRDefault="0041312B" w:rsidP="000B11BD">
      <w:pPr>
        <w:rPr>
          <w:sz w:val="32"/>
        </w:rPr>
      </w:pPr>
    </w:p>
    <w:p w14:paraId="4856314A" w14:textId="77777777" w:rsidR="0041312B" w:rsidRDefault="0041312B" w:rsidP="000B11BD">
      <w:pPr>
        <w:rPr>
          <w:sz w:val="32"/>
        </w:rPr>
      </w:pPr>
    </w:p>
    <w:p w14:paraId="7DEF6CE4" w14:textId="77777777" w:rsidR="0041312B" w:rsidRDefault="0041312B" w:rsidP="000B11BD">
      <w:pPr>
        <w:rPr>
          <w:sz w:val="32"/>
        </w:rPr>
      </w:pPr>
    </w:p>
    <w:p w14:paraId="345E633D" w14:textId="77777777" w:rsidR="0041312B" w:rsidRDefault="0041312B" w:rsidP="000B11BD">
      <w:pPr>
        <w:rPr>
          <w:sz w:val="32"/>
        </w:rPr>
      </w:pPr>
    </w:p>
    <w:p w14:paraId="5F1EFC1C" w14:textId="77777777" w:rsidR="0041312B" w:rsidRDefault="0041312B" w:rsidP="000B11BD">
      <w:pPr>
        <w:rPr>
          <w:sz w:val="32"/>
        </w:rPr>
      </w:pPr>
    </w:p>
    <w:p w14:paraId="102C25CD" w14:textId="77777777" w:rsidR="0041312B" w:rsidRDefault="0041312B" w:rsidP="000B11BD">
      <w:pPr>
        <w:rPr>
          <w:sz w:val="32"/>
        </w:rPr>
      </w:pPr>
    </w:p>
    <w:p w14:paraId="52BEB1D5" w14:textId="77777777" w:rsidR="0041312B" w:rsidRDefault="0041312B" w:rsidP="000B11BD">
      <w:pPr>
        <w:rPr>
          <w:sz w:val="32"/>
        </w:rPr>
      </w:pPr>
    </w:p>
    <w:p w14:paraId="6C7D1853" w14:textId="08B2E9C4" w:rsidR="007F30D7" w:rsidRPr="00894333" w:rsidRDefault="007F30D7" w:rsidP="000B11BD">
      <w:pPr>
        <w:rPr>
          <w:sz w:val="32"/>
        </w:rPr>
      </w:pPr>
      <w:r w:rsidRPr="00894333">
        <w:rPr>
          <w:sz w:val="32"/>
        </w:rPr>
        <w:lastRenderedPageBreak/>
        <w:t>Detailed Calculations of Project C</w:t>
      </w:r>
    </w:p>
    <w:p w14:paraId="161B1F24" w14:textId="77777777" w:rsidR="007F30D7" w:rsidRPr="00894333" w:rsidRDefault="007F30D7" w:rsidP="000B11BD">
      <w:pPr>
        <w:rPr>
          <w:sz w:val="28"/>
          <w:highlight w:val="yellow"/>
        </w:rPr>
      </w:pPr>
      <w:r w:rsidRPr="00894333">
        <w:rPr>
          <w:bCs/>
          <w:noProof/>
          <w:sz w:val="28"/>
        </w:rPr>
        <w:drawing>
          <wp:inline distT="0" distB="0" distL="0" distR="0" wp14:anchorId="67C7E902" wp14:editId="7B42DF6B">
            <wp:extent cx="5289550" cy="6629400"/>
            <wp:effectExtent l="0" t="0" r="6350" b="0"/>
            <wp:docPr id="114117735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289550" cy="6629400"/>
                    </a:xfrm>
                    <a:prstGeom prst="rect">
                      <a:avLst/>
                    </a:prstGeom>
                    <a:noFill/>
                    <a:ln>
                      <a:noFill/>
                    </a:ln>
                  </pic:spPr>
                </pic:pic>
              </a:graphicData>
            </a:graphic>
          </wp:inline>
        </w:drawing>
      </w:r>
    </w:p>
    <w:p w14:paraId="728BF704" w14:textId="77777777" w:rsidR="0041312B" w:rsidRDefault="0041312B" w:rsidP="000B11BD">
      <w:pPr>
        <w:rPr>
          <w:sz w:val="32"/>
        </w:rPr>
      </w:pPr>
    </w:p>
    <w:p w14:paraId="01B086EC" w14:textId="77777777" w:rsidR="0041312B" w:rsidRDefault="0041312B" w:rsidP="000B11BD">
      <w:pPr>
        <w:rPr>
          <w:sz w:val="32"/>
        </w:rPr>
      </w:pPr>
    </w:p>
    <w:p w14:paraId="3C596628" w14:textId="77777777" w:rsidR="0041312B" w:rsidRDefault="0041312B" w:rsidP="000B11BD">
      <w:pPr>
        <w:rPr>
          <w:sz w:val="32"/>
        </w:rPr>
      </w:pPr>
    </w:p>
    <w:p w14:paraId="39EFD745" w14:textId="77777777" w:rsidR="0041312B" w:rsidRDefault="0041312B" w:rsidP="000B11BD">
      <w:pPr>
        <w:rPr>
          <w:sz w:val="32"/>
        </w:rPr>
      </w:pPr>
    </w:p>
    <w:p w14:paraId="5B3CDB29" w14:textId="77777777" w:rsidR="0041312B" w:rsidRDefault="0041312B" w:rsidP="000B11BD">
      <w:pPr>
        <w:rPr>
          <w:sz w:val="32"/>
        </w:rPr>
      </w:pPr>
    </w:p>
    <w:p w14:paraId="29866CA4" w14:textId="4122484F" w:rsidR="007F30D7" w:rsidRPr="00894333" w:rsidRDefault="007F30D7" w:rsidP="000B11BD">
      <w:pPr>
        <w:rPr>
          <w:sz w:val="32"/>
        </w:rPr>
      </w:pPr>
      <w:r w:rsidRPr="00894333">
        <w:rPr>
          <w:sz w:val="32"/>
        </w:rPr>
        <w:lastRenderedPageBreak/>
        <w:t>Investment Appraisal Summary - All Projects</w:t>
      </w:r>
    </w:p>
    <w:p w14:paraId="25028AC6" w14:textId="77777777" w:rsidR="007F30D7" w:rsidRPr="00894333" w:rsidRDefault="007F30D7" w:rsidP="000B11BD">
      <w:pPr>
        <w:rPr>
          <w:sz w:val="28"/>
        </w:rPr>
      </w:pPr>
      <w:r w:rsidRPr="00894333">
        <w:rPr>
          <w:noProof/>
          <w:sz w:val="28"/>
        </w:rPr>
        <w:drawing>
          <wp:inline distT="0" distB="0" distL="0" distR="0" wp14:anchorId="4F820913" wp14:editId="4AA30BD2">
            <wp:extent cx="5731510" cy="1952625"/>
            <wp:effectExtent l="0" t="0" r="2540" b="9525"/>
            <wp:docPr id="21419023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257564" name="Picture 886257564"/>
                    <pic:cNvPicPr/>
                  </pic:nvPicPr>
                  <pic:blipFill>
                    <a:blip r:embed="rId39">
                      <a:extLst>
                        <a:ext uri="{28A0092B-C50C-407E-A947-70E740481C1C}">
                          <a14:useLocalDpi xmlns:a14="http://schemas.microsoft.com/office/drawing/2010/main" val="0"/>
                        </a:ext>
                      </a:extLst>
                    </a:blip>
                    <a:stretch>
                      <a:fillRect/>
                    </a:stretch>
                  </pic:blipFill>
                  <pic:spPr>
                    <a:xfrm>
                      <a:off x="0" y="0"/>
                      <a:ext cx="5731510" cy="1952625"/>
                    </a:xfrm>
                    <a:prstGeom prst="rect">
                      <a:avLst/>
                    </a:prstGeom>
                  </pic:spPr>
                </pic:pic>
              </a:graphicData>
            </a:graphic>
          </wp:inline>
        </w:drawing>
      </w:r>
    </w:p>
    <w:p w14:paraId="6D92946F" w14:textId="77777777" w:rsidR="007F30D7" w:rsidRPr="00894333" w:rsidRDefault="007F30D7" w:rsidP="000B11BD">
      <w:pPr>
        <w:rPr>
          <w:bCs/>
          <w:sz w:val="28"/>
        </w:rPr>
      </w:pPr>
    </w:p>
    <w:p w14:paraId="2B55639B" w14:textId="77777777" w:rsidR="007F30D7" w:rsidRDefault="007F30D7" w:rsidP="000B11BD"/>
    <w:p w14:paraId="1B104177" w14:textId="77777777" w:rsidR="003A5ECA" w:rsidRPr="00894333" w:rsidRDefault="003A5ECA" w:rsidP="000B11BD">
      <w:pPr>
        <w:rPr>
          <w:sz w:val="28"/>
        </w:rPr>
      </w:pPr>
    </w:p>
    <w:sectPr w:rsidR="003A5ECA" w:rsidRPr="008943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080CB9" w14:textId="77777777" w:rsidR="00DE5322" w:rsidRDefault="00DE5322" w:rsidP="009A35F6">
      <w:pPr>
        <w:spacing w:after="0" w:line="240" w:lineRule="auto"/>
      </w:pPr>
      <w:r>
        <w:separator/>
      </w:r>
    </w:p>
  </w:endnote>
  <w:endnote w:type="continuationSeparator" w:id="0">
    <w:p w14:paraId="287ED996" w14:textId="77777777" w:rsidR="00DE5322" w:rsidRDefault="00DE5322" w:rsidP="009A3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B0E496" w14:textId="77777777" w:rsidR="00DE5322" w:rsidRDefault="00DE5322" w:rsidP="009A35F6">
      <w:pPr>
        <w:spacing w:after="0" w:line="240" w:lineRule="auto"/>
      </w:pPr>
      <w:r>
        <w:separator/>
      </w:r>
    </w:p>
  </w:footnote>
  <w:footnote w:type="continuationSeparator" w:id="0">
    <w:p w14:paraId="1E5B200D" w14:textId="77777777" w:rsidR="00DE5322" w:rsidRDefault="00DE5322" w:rsidP="009A35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CB0EAB"/>
    <w:multiLevelType w:val="hybridMultilevel"/>
    <w:tmpl w:val="425294E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3F25B7"/>
    <w:multiLevelType w:val="hybridMultilevel"/>
    <w:tmpl w:val="048EF63C"/>
    <w:lvl w:ilvl="0" w:tplc="08090015">
      <w:start w:val="1"/>
      <w:numFmt w:val="upp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3424121">
    <w:abstractNumId w:val="1"/>
  </w:num>
  <w:num w:numId="2" w16cid:durableId="789282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B1A"/>
    <w:rsid w:val="00005BE7"/>
    <w:rsid w:val="00007BCE"/>
    <w:rsid w:val="00010D0E"/>
    <w:rsid w:val="00013D9F"/>
    <w:rsid w:val="000151C8"/>
    <w:rsid w:val="00020059"/>
    <w:rsid w:val="000203E9"/>
    <w:rsid w:val="00030EA7"/>
    <w:rsid w:val="0003134A"/>
    <w:rsid w:val="00034A43"/>
    <w:rsid w:val="00035986"/>
    <w:rsid w:val="00041CDD"/>
    <w:rsid w:val="000449D8"/>
    <w:rsid w:val="00046447"/>
    <w:rsid w:val="00052310"/>
    <w:rsid w:val="00053549"/>
    <w:rsid w:val="00060516"/>
    <w:rsid w:val="00062530"/>
    <w:rsid w:val="0006275A"/>
    <w:rsid w:val="00073725"/>
    <w:rsid w:val="00074950"/>
    <w:rsid w:val="00081636"/>
    <w:rsid w:val="0009508C"/>
    <w:rsid w:val="00095551"/>
    <w:rsid w:val="000A11E8"/>
    <w:rsid w:val="000A3980"/>
    <w:rsid w:val="000B11BD"/>
    <w:rsid w:val="000B5D35"/>
    <w:rsid w:val="000C036A"/>
    <w:rsid w:val="000C05E8"/>
    <w:rsid w:val="000C0E6F"/>
    <w:rsid w:val="000C20DD"/>
    <w:rsid w:val="000C7C28"/>
    <w:rsid w:val="000D2963"/>
    <w:rsid w:val="000E1DD7"/>
    <w:rsid w:val="000E4F11"/>
    <w:rsid w:val="000E6C0D"/>
    <w:rsid w:val="000F4225"/>
    <w:rsid w:val="001014F4"/>
    <w:rsid w:val="0011208D"/>
    <w:rsid w:val="00116AF8"/>
    <w:rsid w:val="001211DC"/>
    <w:rsid w:val="00122962"/>
    <w:rsid w:val="00144376"/>
    <w:rsid w:val="001447E6"/>
    <w:rsid w:val="00144CA2"/>
    <w:rsid w:val="00145B5B"/>
    <w:rsid w:val="001476E0"/>
    <w:rsid w:val="001600DC"/>
    <w:rsid w:val="00160763"/>
    <w:rsid w:val="001747A5"/>
    <w:rsid w:val="001759AD"/>
    <w:rsid w:val="00175D97"/>
    <w:rsid w:val="00180098"/>
    <w:rsid w:val="00187B1C"/>
    <w:rsid w:val="00192C6A"/>
    <w:rsid w:val="00196125"/>
    <w:rsid w:val="001A1BC4"/>
    <w:rsid w:val="001A2F95"/>
    <w:rsid w:val="001B1200"/>
    <w:rsid w:val="001B18D7"/>
    <w:rsid w:val="001B35DC"/>
    <w:rsid w:val="001B65C2"/>
    <w:rsid w:val="001B7474"/>
    <w:rsid w:val="001C0EC5"/>
    <w:rsid w:val="001C7013"/>
    <w:rsid w:val="001C7FF5"/>
    <w:rsid w:val="001D03FE"/>
    <w:rsid w:val="001D12A2"/>
    <w:rsid w:val="001D1C0F"/>
    <w:rsid w:val="001D1EF1"/>
    <w:rsid w:val="001D4087"/>
    <w:rsid w:val="001E091C"/>
    <w:rsid w:val="001E27E0"/>
    <w:rsid w:val="001E54B0"/>
    <w:rsid w:val="001E6EFC"/>
    <w:rsid w:val="001F2B41"/>
    <w:rsid w:val="001F50A5"/>
    <w:rsid w:val="002057DC"/>
    <w:rsid w:val="0021205C"/>
    <w:rsid w:val="002123C3"/>
    <w:rsid w:val="0021446E"/>
    <w:rsid w:val="002149D7"/>
    <w:rsid w:val="00221127"/>
    <w:rsid w:val="002220A2"/>
    <w:rsid w:val="00222E93"/>
    <w:rsid w:val="0023028A"/>
    <w:rsid w:val="00230FAD"/>
    <w:rsid w:val="002324A4"/>
    <w:rsid w:val="002409FC"/>
    <w:rsid w:val="00244C76"/>
    <w:rsid w:val="00245009"/>
    <w:rsid w:val="002511E3"/>
    <w:rsid w:val="00252154"/>
    <w:rsid w:val="00253856"/>
    <w:rsid w:val="002632C4"/>
    <w:rsid w:val="0026693F"/>
    <w:rsid w:val="00271CBE"/>
    <w:rsid w:val="00271D34"/>
    <w:rsid w:val="0028417D"/>
    <w:rsid w:val="002941D2"/>
    <w:rsid w:val="0029563F"/>
    <w:rsid w:val="002A1AFC"/>
    <w:rsid w:val="002A35DD"/>
    <w:rsid w:val="002A402D"/>
    <w:rsid w:val="002B6278"/>
    <w:rsid w:val="002B688F"/>
    <w:rsid w:val="002C0EC6"/>
    <w:rsid w:val="002C3E5A"/>
    <w:rsid w:val="002D7394"/>
    <w:rsid w:val="002E4863"/>
    <w:rsid w:val="002E71E6"/>
    <w:rsid w:val="002E74D6"/>
    <w:rsid w:val="002E7E99"/>
    <w:rsid w:val="002F01FF"/>
    <w:rsid w:val="002F0DF9"/>
    <w:rsid w:val="002F5734"/>
    <w:rsid w:val="002F62B9"/>
    <w:rsid w:val="002F69B0"/>
    <w:rsid w:val="00300DA9"/>
    <w:rsid w:val="00311177"/>
    <w:rsid w:val="00311FC1"/>
    <w:rsid w:val="003233F5"/>
    <w:rsid w:val="00324535"/>
    <w:rsid w:val="0032475C"/>
    <w:rsid w:val="00330009"/>
    <w:rsid w:val="00330C89"/>
    <w:rsid w:val="00330C9A"/>
    <w:rsid w:val="00334D7F"/>
    <w:rsid w:val="003354C1"/>
    <w:rsid w:val="003358BE"/>
    <w:rsid w:val="00344646"/>
    <w:rsid w:val="003506EB"/>
    <w:rsid w:val="00352645"/>
    <w:rsid w:val="003540B5"/>
    <w:rsid w:val="00355E6B"/>
    <w:rsid w:val="00367C9A"/>
    <w:rsid w:val="003750B6"/>
    <w:rsid w:val="003767A4"/>
    <w:rsid w:val="00385C69"/>
    <w:rsid w:val="00393B45"/>
    <w:rsid w:val="0039492A"/>
    <w:rsid w:val="0039649B"/>
    <w:rsid w:val="003A3EE8"/>
    <w:rsid w:val="003A5ECA"/>
    <w:rsid w:val="003B60DB"/>
    <w:rsid w:val="003C1EB6"/>
    <w:rsid w:val="003C4BFE"/>
    <w:rsid w:val="003D084F"/>
    <w:rsid w:val="003D0D6D"/>
    <w:rsid w:val="003D7004"/>
    <w:rsid w:val="003E0DED"/>
    <w:rsid w:val="003E4B34"/>
    <w:rsid w:val="003E577D"/>
    <w:rsid w:val="003F2C0D"/>
    <w:rsid w:val="004049A3"/>
    <w:rsid w:val="004077B0"/>
    <w:rsid w:val="00407E22"/>
    <w:rsid w:val="0041312B"/>
    <w:rsid w:val="00414C86"/>
    <w:rsid w:val="004236A7"/>
    <w:rsid w:val="00424A1A"/>
    <w:rsid w:val="00430705"/>
    <w:rsid w:val="00435A45"/>
    <w:rsid w:val="00436B99"/>
    <w:rsid w:val="00450791"/>
    <w:rsid w:val="00450C72"/>
    <w:rsid w:val="00452AAA"/>
    <w:rsid w:val="00454754"/>
    <w:rsid w:val="00463BF4"/>
    <w:rsid w:val="00466CE1"/>
    <w:rsid w:val="00467BD8"/>
    <w:rsid w:val="0047324F"/>
    <w:rsid w:val="004735D8"/>
    <w:rsid w:val="00482CAF"/>
    <w:rsid w:val="00482DFE"/>
    <w:rsid w:val="00483B52"/>
    <w:rsid w:val="004913F3"/>
    <w:rsid w:val="004A2425"/>
    <w:rsid w:val="004A269E"/>
    <w:rsid w:val="004A38D5"/>
    <w:rsid w:val="004A724E"/>
    <w:rsid w:val="004B6C20"/>
    <w:rsid w:val="004B7663"/>
    <w:rsid w:val="004C0EDB"/>
    <w:rsid w:val="004C122B"/>
    <w:rsid w:val="004C6562"/>
    <w:rsid w:val="004D10FE"/>
    <w:rsid w:val="004E3BD5"/>
    <w:rsid w:val="004E6B7D"/>
    <w:rsid w:val="00505772"/>
    <w:rsid w:val="00511C53"/>
    <w:rsid w:val="005129E1"/>
    <w:rsid w:val="005144D8"/>
    <w:rsid w:val="00515145"/>
    <w:rsid w:val="0052142A"/>
    <w:rsid w:val="00521EFD"/>
    <w:rsid w:val="0052572A"/>
    <w:rsid w:val="00527B79"/>
    <w:rsid w:val="00530AFB"/>
    <w:rsid w:val="00532BC2"/>
    <w:rsid w:val="0053366C"/>
    <w:rsid w:val="00533AAE"/>
    <w:rsid w:val="00534629"/>
    <w:rsid w:val="00534887"/>
    <w:rsid w:val="00536AD2"/>
    <w:rsid w:val="00544A71"/>
    <w:rsid w:val="00551287"/>
    <w:rsid w:val="00551A42"/>
    <w:rsid w:val="00554A31"/>
    <w:rsid w:val="005551FE"/>
    <w:rsid w:val="00562B99"/>
    <w:rsid w:val="00563A88"/>
    <w:rsid w:val="00575C6E"/>
    <w:rsid w:val="00584D61"/>
    <w:rsid w:val="00593B23"/>
    <w:rsid w:val="00595AE4"/>
    <w:rsid w:val="00596D61"/>
    <w:rsid w:val="00597CE2"/>
    <w:rsid w:val="005A1AB4"/>
    <w:rsid w:val="005A6107"/>
    <w:rsid w:val="005B7F03"/>
    <w:rsid w:val="005C1786"/>
    <w:rsid w:val="005C7242"/>
    <w:rsid w:val="005D40D5"/>
    <w:rsid w:val="005E08BB"/>
    <w:rsid w:val="005E30A6"/>
    <w:rsid w:val="005E4DCB"/>
    <w:rsid w:val="005E6542"/>
    <w:rsid w:val="005E6907"/>
    <w:rsid w:val="005F177F"/>
    <w:rsid w:val="005F39B6"/>
    <w:rsid w:val="005F607F"/>
    <w:rsid w:val="005F706B"/>
    <w:rsid w:val="006031B9"/>
    <w:rsid w:val="006046CD"/>
    <w:rsid w:val="00610F5E"/>
    <w:rsid w:val="00614FC1"/>
    <w:rsid w:val="0063329A"/>
    <w:rsid w:val="006357A2"/>
    <w:rsid w:val="006441BA"/>
    <w:rsid w:val="00652BF9"/>
    <w:rsid w:val="00653615"/>
    <w:rsid w:val="00655092"/>
    <w:rsid w:val="0066208E"/>
    <w:rsid w:val="00663A22"/>
    <w:rsid w:val="00665BC5"/>
    <w:rsid w:val="00666878"/>
    <w:rsid w:val="00676191"/>
    <w:rsid w:val="00682FC9"/>
    <w:rsid w:val="006833B9"/>
    <w:rsid w:val="00683A28"/>
    <w:rsid w:val="006843CB"/>
    <w:rsid w:val="0069078C"/>
    <w:rsid w:val="0069522B"/>
    <w:rsid w:val="006A44B2"/>
    <w:rsid w:val="006A5955"/>
    <w:rsid w:val="006A5C3B"/>
    <w:rsid w:val="006B4158"/>
    <w:rsid w:val="006B5AA1"/>
    <w:rsid w:val="006B5B4D"/>
    <w:rsid w:val="006B5D6E"/>
    <w:rsid w:val="006E13FA"/>
    <w:rsid w:val="006E195A"/>
    <w:rsid w:val="006E7CF9"/>
    <w:rsid w:val="006F56D4"/>
    <w:rsid w:val="006F5CBE"/>
    <w:rsid w:val="006F7075"/>
    <w:rsid w:val="006F77D6"/>
    <w:rsid w:val="006F7E2E"/>
    <w:rsid w:val="00700F16"/>
    <w:rsid w:val="00703800"/>
    <w:rsid w:val="00705380"/>
    <w:rsid w:val="00710990"/>
    <w:rsid w:val="007208CC"/>
    <w:rsid w:val="0072410D"/>
    <w:rsid w:val="00726B7D"/>
    <w:rsid w:val="00731DE9"/>
    <w:rsid w:val="00760644"/>
    <w:rsid w:val="00761AB0"/>
    <w:rsid w:val="00761DA5"/>
    <w:rsid w:val="00763096"/>
    <w:rsid w:val="00763557"/>
    <w:rsid w:val="00763ADD"/>
    <w:rsid w:val="007656BA"/>
    <w:rsid w:val="00770FE8"/>
    <w:rsid w:val="00781BBC"/>
    <w:rsid w:val="00787318"/>
    <w:rsid w:val="007903BF"/>
    <w:rsid w:val="00792B1A"/>
    <w:rsid w:val="00796D25"/>
    <w:rsid w:val="00797180"/>
    <w:rsid w:val="00797B0F"/>
    <w:rsid w:val="007A1AAB"/>
    <w:rsid w:val="007A1C73"/>
    <w:rsid w:val="007A3D1A"/>
    <w:rsid w:val="007A740F"/>
    <w:rsid w:val="007B0193"/>
    <w:rsid w:val="007B0488"/>
    <w:rsid w:val="007B082C"/>
    <w:rsid w:val="007B2B9C"/>
    <w:rsid w:val="007C08A8"/>
    <w:rsid w:val="007C4925"/>
    <w:rsid w:val="007D132F"/>
    <w:rsid w:val="007D55B5"/>
    <w:rsid w:val="007D718C"/>
    <w:rsid w:val="007E1F6D"/>
    <w:rsid w:val="007E49AC"/>
    <w:rsid w:val="007F0B1B"/>
    <w:rsid w:val="007F30D7"/>
    <w:rsid w:val="007F6D1C"/>
    <w:rsid w:val="0081140F"/>
    <w:rsid w:val="00814DBC"/>
    <w:rsid w:val="00823337"/>
    <w:rsid w:val="00827D92"/>
    <w:rsid w:val="0083085D"/>
    <w:rsid w:val="0083378D"/>
    <w:rsid w:val="00841C5E"/>
    <w:rsid w:val="00843316"/>
    <w:rsid w:val="008448E2"/>
    <w:rsid w:val="00845E8D"/>
    <w:rsid w:val="00851A4A"/>
    <w:rsid w:val="00874F7C"/>
    <w:rsid w:val="00883941"/>
    <w:rsid w:val="00890D6F"/>
    <w:rsid w:val="00891E2A"/>
    <w:rsid w:val="00894333"/>
    <w:rsid w:val="00896BA1"/>
    <w:rsid w:val="008A1ED0"/>
    <w:rsid w:val="008A4B84"/>
    <w:rsid w:val="008B2914"/>
    <w:rsid w:val="008B6176"/>
    <w:rsid w:val="008D556F"/>
    <w:rsid w:val="008D648A"/>
    <w:rsid w:val="008D73FC"/>
    <w:rsid w:val="008E6C13"/>
    <w:rsid w:val="008F009E"/>
    <w:rsid w:val="008F413F"/>
    <w:rsid w:val="008F69D5"/>
    <w:rsid w:val="008F7658"/>
    <w:rsid w:val="008F7F7F"/>
    <w:rsid w:val="009013DE"/>
    <w:rsid w:val="00903936"/>
    <w:rsid w:val="00907976"/>
    <w:rsid w:val="009143CB"/>
    <w:rsid w:val="00925B95"/>
    <w:rsid w:val="00932CF0"/>
    <w:rsid w:val="009348DE"/>
    <w:rsid w:val="00940AED"/>
    <w:rsid w:val="00941799"/>
    <w:rsid w:val="00943224"/>
    <w:rsid w:val="00943945"/>
    <w:rsid w:val="00953302"/>
    <w:rsid w:val="00953D95"/>
    <w:rsid w:val="00967F42"/>
    <w:rsid w:val="009701CA"/>
    <w:rsid w:val="00970B6C"/>
    <w:rsid w:val="00972A04"/>
    <w:rsid w:val="0099720C"/>
    <w:rsid w:val="009A1EBD"/>
    <w:rsid w:val="009A35F6"/>
    <w:rsid w:val="009B267E"/>
    <w:rsid w:val="009B3451"/>
    <w:rsid w:val="009B50C6"/>
    <w:rsid w:val="009B5993"/>
    <w:rsid w:val="009C5BC4"/>
    <w:rsid w:val="009C78DC"/>
    <w:rsid w:val="009D1AC5"/>
    <w:rsid w:val="009D3331"/>
    <w:rsid w:val="009D4B86"/>
    <w:rsid w:val="009D5EF1"/>
    <w:rsid w:val="009D78B9"/>
    <w:rsid w:val="009E4527"/>
    <w:rsid w:val="009F1BA2"/>
    <w:rsid w:val="009F252C"/>
    <w:rsid w:val="009F5DDA"/>
    <w:rsid w:val="009F75BA"/>
    <w:rsid w:val="00A108B1"/>
    <w:rsid w:val="00A21049"/>
    <w:rsid w:val="00A3634D"/>
    <w:rsid w:val="00A43589"/>
    <w:rsid w:val="00A45ABD"/>
    <w:rsid w:val="00A46171"/>
    <w:rsid w:val="00A50770"/>
    <w:rsid w:val="00A60A41"/>
    <w:rsid w:val="00A61695"/>
    <w:rsid w:val="00A73DCA"/>
    <w:rsid w:val="00A76217"/>
    <w:rsid w:val="00A77CF4"/>
    <w:rsid w:val="00A823C8"/>
    <w:rsid w:val="00A836BE"/>
    <w:rsid w:val="00A86AD7"/>
    <w:rsid w:val="00A93B29"/>
    <w:rsid w:val="00AA4E73"/>
    <w:rsid w:val="00AA5766"/>
    <w:rsid w:val="00AA583E"/>
    <w:rsid w:val="00AA6032"/>
    <w:rsid w:val="00AB1582"/>
    <w:rsid w:val="00AB4B1A"/>
    <w:rsid w:val="00AB6460"/>
    <w:rsid w:val="00AB6902"/>
    <w:rsid w:val="00AC5A73"/>
    <w:rsid w:val="00AD07F4"/>
    <w:rsid w:val="00AD7887"/>
    <w:rsid w:val="00AE0273"/>
    <w:rsid w:val="00AE0B47"/>
    <w:rsid w:val="00AE25E9"/>
    <w:rsid w:val="00AE2EF7"/>
    <w:rsid w:val="00AE33D0"/>
    <w:rsid w:val="00AE59A8"/>
    <w:rsid w:val="00AE5F50"/>
    <w:rsid w:val="00AF2E50"/>
    <w:rsid w:val="00AF2EDD"/>
    <w:rsid w:val="00B03D82"/>
    <w:rsid w:val="00B051C0"/>
    <w:rsid w:val="00B05554"/>
    <w:rsid w:val="00B06F8F"/>
    <w:rsid w:val="00B0779E"/>
    <w:rsid w:val="00B116A0"/>
    <w:rsid w:val="00B11832"/>
    <w:rsid w:val="00B12CBD"/>
    <w:rsid w:val="00B25058"/>
    <w:rsid w:val="00B27E3A"/>
    <w:rsid w:val="00B31A94"/>
    <w:rsid w:val="00B32207"/>
    <w:rsid w:val="00B34F48"/>
    <w:rsid w:val="00B35CC0"/>
    <w:rsid w:val="00B41D5F"/>
    <w:rsid w:val="00B643B9"/>
    <w:rsid w:val="00B64BA7"/>
    <w:rsid w:val="00B64DFF"/>
    <w:rsid w:val="00B65BCF"/>
    <w:rsid w:val="00B74B54"/>
    <w:rsid w:val="00B75761"/>
    <w:rsid w:val="00B77659"/>
    <w:rsid w:val="00B80B82"/>
    <w:rsid w:val="00B81C12"/>
    <w:rsid w:val="00B844CB"/>
    <w:rsid w:val="00B93D07"/>
    <w:rsid w:val="00B94B90"/>
    <w:rsid w:val="00BA085C"/>
    <w:rsid w:val="00BA0B90"/>
    <w:rsid w:val="00BC0224"/>
    <w:rsid w:val="00BC3E62"/>
    <w:rsid w:val="00BE1FB5"/>
    <w:rsid w:val="00BE3AFD"/>
    <w:rsid w:val="00BF3C2D"/>
    <w:rsid w:val="00BF4AC0"/>
    <w:rsid w:val="00C036A8"/>
    <w:rsid w:val="00C0441E"/>
    <w:rsid w:val="00C12DAE"/>
    <w:rsid w:val="00C200CD"/>
    <w:rsid w:val="00C255A8"/>
    <w:rsid w:val="00C269BA"/>
    <w:rsid w:val="00C26BFA"/>
    <w:rsid w:val="00C301FB"/>
    <w:rsid w:val="00C32DEE"/>
    <w:rsid w:val="00C402D4"/>
    <w:rsid w:val="00C41172"/>
    <w:rsid w:val="00C416D4"/>
    <w:rsid w:val="00C46B7D"/>
    <w:rsid w:val="00C46E47"/>
    <w:rsid w:val="00C504CC"/>
    <w:rsid w:val="00C6405E"/>
    <w:rsid w:val="00C6533B"/>
    <w:rsid w:val="00C76848"/>
    <w:rsid w:val="00C803A7"/>
    <w:rsid w:val="00C80B72"/>
    <w:rsid w:val="00C82268"/>
    <w:rsid w:val="00C83004"/>
    <w:rsid w:val="00C84560"/>
    <w:rsid w:val="00C87901"/>
    <w:rsid w:val="00CB0825"/>
    <w:rsid w:val="00CB49B7"/>
    <w:rsid w:val="00CB6294"/>
    <w:rsid w:val="00CC0821"/>
    <w:rsid w:val="00CC3311"/>
    <w:rsid w:val="00CD38B0"/>
    <w:rsid w:val="00CE62DE"/>
    <w:rsid w:val="00CE6B29"/>
    <w:rsid w:val="00CF07FF"/>
    <w:rsid w:val="00CF4F6B"/>
    <w:rsid w:val="00D046E6"/>
    <w:rsid w:val="00D206F3"/>
    <w:rsid w:val="00D21AB8"/>
    <w:rsid w:val="00D3344B"/>
    <w:rsid w:val="00D33FCA"/>
    <w:rsid w:val="00D40773"/>
    <w:rsid w:val="00D57243"/>
    <w:rsid w:val="00D60065"/>
    <w:rsid w:val="00D911DF"/>
    <w:rsid w:val="00D953CC"/>
    <w:rsid w:val="00DB09DA"/>
    <w:rsid w:val="00DB36C0"/>
    <w:rsid w:val="00DB3CD0"/>
    <w:rsid w:val="00DC086D"/>
    <w:rsid w:val="00DC2319"/>
    <w:rsid w:val="00DC5E6E"/>
    <w:rsid w:val="00DD1E33"/>
    <w:rsid w:val="00DD2342"/>
    <w:rsid w:val="00DD2344"/>
    <w:rsid w:val="00DD623C"/>
    <w:rsid w:val="00DE5322"/>
    <w:rsid w:val="00DE6943"/>
    <w:rsid w:val="00DF3E12"/>
    <w:rsid w:val="00DF6737"/>
    <w:rsid w:val="00E00AA3"/>
    <w:rsid w:val="00E1061E"/>
    <w:rsid w:val="00E11161"/>
    <w:rsid w:val="00E134DF"/>
    <w:rsid w:val="00E13D26"/>
    <w:rsid w:val="00E35A9F"/>
    <w:rsid w:val="00E371C2"/>
    <w:rsid w:val="00E408B1"/>
    <w:rsid w:val="00E448B1"/>
    <w:rsid w:val="00E44FEE"/>
    <w:rsid w:val="00E45475"/>
    <w:rsid w:val="00E471BB"/>
    <w:rsid w:val="00E55A15"/>
    <w:rsid w:val="00E56D07"/>
    <w:rsid w:val="00E577B3"/>
    <w:rsid w:val="00E65F9A"/>
    <w:rsid w:val="00E6767A"/>
    <w:rsid w:val="00E7363D"/>
    <w:rsid w:val="00E751C0"/>
    <w:rsid w:val="00E8039C"/>
    <w:rsid w:val="00E85FB8"/>
    <w:rsid w:val="00E902D9"/>
    <w:rsid w:val="00E91318"/>
    <w:rsid w:val="00E94B41"/>
    <w:rsid w:val="00E94B66"/>
    <w:rsid w:val="00EB0EFB"/>
    <w:rsid w:val="00EB10D9"/>
    <w:rsid w:val="00EB2A34"/>
    <w:rsid w:val="00EB4D9F"/>
    <w:rsid w:val="00EC2F46"/>
    <w:rsid w:val="00EC4863"/>
    <w:rsid w:val="00EC61D0"/>
    <w:rsid w:val="00ED118E"/>
    <w:rsid w:val="00ED4AF7"/>
    <w:rsid w:val="00EE2DFA"/>
    <w:rsid w:val="00EE3197"/>
    <w:rsid w:val="00EE7287"/>
    <w:rsid w:val="00EF0694"/>
    <w:rsid w:val="00F03AB1"/>
    <w:rsid w:val="00F05805"/>
    <w:rsid w:val="00F07DE9"/>
    <w:rsid w:val="00F07EEE"/>
    <w:rsid w:val="00F1761A"/>
    <w:rsid w:val="00F20AF3"/>
    <w:rsid w:val="00F227C0"/>
    <w:rsid w:val="00F37A15"/>
    <w:rsid w:val="00F4106F"/>
    <w:rsid w:val="00F4283D"/>
    <w:rsid w:val="00F43139"/>
    <w:rsid w:val="00F45EAA"/>
    <w:rsid w:val="00F47C2D"/>
    <w:rsid w:val="00F502D3"/>
    <w:rsid w:val="00F65825"/>
    <w:rsid w:val="00F719B8"/>
    <w:rsid w:val="00F720F1"/>
    <w:rsid w:val="00F82CBC"/>
    <w:rsid w:val="00F87CDE"/>
    <w:rsid w:val="00FA0515"/>
    <w:rsid w:val="00FA5C2C"/>
    <w:rsid w:val="00FB34B6"/>
    <w:rsid w:val="00FB5556"/>
    <w:rsid w:val="00FB7324"/>
    <w:rsid w:val="00FB7389"/>
    <w:rsid w:val="00FC04C3"/>
    <w:rsid w:val="00FC0D8D"/>
    <w:rsid w:val="00FC0EBE"/>
    <w:rsid w:val="00FC1833"/>
    <w:rsid w:val="00FC2F0E"/>
    <w:rsid w:val="00FD133E"/>
    <w:rsid w:val="00FD15CC"/>
    <w:rsid w:val="00FD1B8A"/>
    <w:rsid w:val="00FD205A"/>
    <w:rsid w:val="00FD385F"/>
    <w:rsid w:val="00FE2074"/>
    <w:rsid w:val="00FF0A09"/>
    <w:rsid w:val="00FF2826"/>
    <w:rsid w:val="00FF716C"/>
  </w:rsids>
  <m:mathPr>
    <m:mathFont m:val="Cambria Math"/>
    <m:brkBin m:val="before"/>
    <m:brkBinSub m:val="--"/>
    <m:smallFrac m:val="0"/>
    <m:dispDef/>
    <m:lMargin m:val="0"/>
    <m:rMargin m:val="0"/>
    <m:defJc m:val="centerGroup"/>
    <m:wrapIndent m:val="1440"/>
    <m:intLim m:val="subSup"/>
    <m:naryLim m:val="undOvr"/>
  </m:mathPr>
  <w:themeFontLang w:val="en-GB"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FBC62"/>
  <w15:chartTrackingRefBased/>
  <w15:docId w15:val="{11C089C0-29D6-484C-B383-35459C16F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GB"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2B1A"/>
    <w:pPr>
      <w:keepNext/>
      <w:keepLines/>
      <w:spacing w:before="360" w:after="80"/>
      <w:outlineLvl w:val="0"/>
    </w:pPr>
    <w:rPr>
      <w:rFonts w:asciiTheme="majorHAnsi" w:eastAsiaTheme="majorEastAsia" w:hAnsiTheme="majorHAnsi" w:cstheme="majorBidi"/>
      <w:color w:val="2F5496" w:themeColor="accent1" w:themeShade="BF"/>
      <w:sz w:val="40"/>
      <w:szCs w:val="50"/>
    </w:rPr>
  </w:style>
  <w:style w:type="paragraph" w:styleId="Heading2">
    <w:name w:val="heading 2"/>
    <w:basedOn w:val="Normal"/>
    <w:next w:val="Normal"/>
    <w:link w:val="Heading2Char"/>
    <w:uiPriority w:val="9"/>
    <w:unhideWhenUsed/>
    <w:qFormat/>
    <w:rsid w:val="00792B1A"/>
    <w:pPr>
      <w:keepNext/>
      <w:keepLines/>
      <w:spacing w:before="160" w:after="80"/>
      <w:outlineLvl w:val="1"/>
    </w:pPr>
    <w:rPr>
      <w:rFonts w:asciiTheme="majorHAnsi" w:eastAsiaTheme="majorEastAsia" w:hAnsiTheme="majorHAnsi" w:cstheme="majorBidi"/>
      <w:color w:val="2F5496" w:themeColor="accent1" w:themeShade="BF"/>
      <w:sz w:val="32"/>
      <w:szCs w:val="40"/>
    </w:rPr>
  </w:style>
  <w:style w:type="paragraph" w:styleId="Heading3">
    <w:name w:val="heading 3"/>
    <w:basedOn w:val="Normal"/>
    <w:next w:val="Normal"/>
    <w:link w:val="Heading3Char"/>
    <w:uiPriority w:val="9"/>
    <w:unhideWhenUsed/>
    <w:qFormat/>
    <w:rsid w:val="00792B1A"/>
    <w:pPr>
      <w:keepNext/>
      <w:keepLines/>
      <w:spacing w:before="160" w:after="80"/>
      <w:outlineLvl w:val="2"/>
    </w:pPr>
    <w:rPr>
      <w:rFonts w:eastAsiaTheme="majorEastAsia"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792B1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92B1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2B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2B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2B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2B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B1A"/>
    <w:rPr>
      <w:rFonts w:asciiTheme="majorHAnsi" w:eastAsiaTheme="majorEastAsia" w:hAnsiTheme="majorHAnsi" w:cstheme="majorBidi"/>
      <w:color w:val="2F5496" w:themeColor="accent1" w:themeShade="BF"/>
      <w:sz w:val="40"/>
      <w:szCs w:val="50"/>
    </w:rPr>
  </w:style>
  <w:style w:type="character" w:customStyle="1" w:styleId="Heading2Char">
    <w:name w:val="Heading 2 Char"/>
    <w:basedOn w:val="DefaultParagraphFont"/>
    <w:link w:val="Heading2"/>
    <w:uiPriority w:val="9"/>
    <w:rsid w:val="00792B1A"/>
    <w:rPr>
      <w:rFonts w:asciiTheme="majorHAnsi" w:eastAsiaTheme="majorEastAsia" w:hAnsiTheme="majorHAnsi" w:cstheme="majorBidi"/>
      <w:color w:val="2F5496" w:themeColor="accent1" w:themeShade="BF"/>
      <w:sz w:val="32"/>
      <w:szCs w:val="40"/>
    </w:rPr>
  </w:style>
  <w:style w:type="character" w:customStyle="1" w:styleId="Heading3Char">
    <w:name w:val="Heading 3 Char"/>
    <w:basedOn w:val="DefaultParagraphFont"/>
    <w:link w:val="Heading3"/>
    <w:uiPriority w:val="9"/>
    <w:rsid w:val="00792B1A"/>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792B1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92B1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92B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2B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2B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2B1A"/>
    <w:rPr>
      <w:rFonts w:eastAsiaTheme="majorEastAsia" w:cstheme="majorBidi"/>
      <w:color w:val="272727" w:themeColor="text1" w:themeTint="D8"/>
    </w:rPr>
  </w:style>
  <w:style w:type="paragraph" w:styleId="Title">
    <w:name w:val="Title"/>
    <w:basedOn w:val="Normal"/>
    <w:next w:val="Normal"/>
    <w:link w:val="TitleChar"/>
    <w:uiPriority w:val="10"/>
    <w:qFormat/>
    <w:rsid w:val="00792B1A"/>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792B1A"/>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792B1A"/>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792B1A"/>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792B1A"/>
    <w:pPr>
      <w:spacing w:before="160"/>
      <w:jc w:val="center"/>
    </w:pPr>
    <w:rPr>
      <w:i/>
      <w:iCs/>
      <w:color w:val="404040" w:themeColor="text1" w:themeTint="BF"/>
    </w:rPr>
  </w:style>
  <w:style w:type="character" w:customStyle="1" w:styleId="QuoteChar">
    <w:name w:val="Quote Char"/>
    <w:basedOn w:val="DefaultParagraphFont"/>
    <w:link w:val="Quote"/>
    <w:uiPriority w:val="29"/>
    <w:rsid w:val="00792B1A"/>
    <w:rPr>
      <w:i/>
      <w:iCs/>
      <w:color w:val="404040" w:themeColor="text1" w:themeTint="BF"/>
    </w:rPr>
  </w:style>
  <w:style w:type="paragraph" w:styleId="ListParagraph">
    <w:name w:val="List Paragraph"/>
    <w:basedOn w:val="Normal"/>
    <w:uiPriority w:val="34"/>
    <w:qFormat/>
    <w:rsid w:val="00792B1A"/>
    <w:pPr>
      <w:ind w:left="720"/>
      <w:contextualSpacing/>
    </w:pPr>
  </w:style>
  <w:style w:type="character" w:styleId="IntenseEmphasis">
    <w:name w:val="Intense Emphasis"/>
    <w:basedOn w:val="DefaultParagraphFont"/>
    <w:uiPriority w:val="21"/>
    <w:qFormat/>
    <w:rsid w:val="00792B1A"/>
    <w:rPr>
      <w:i/>
      <w:iCs/>
      <w:color w:val="2F5496" w:themeColor="accent1" w:themeShade="BF"/>
    </w:rPr>
  </w:style>
  <w:style w:type="paragraph" w:styleId="IntenseQuote">
    <w:name w:val="Intense Quote"/>
    <w:basedOn w:val="Normal"/>
    <w:next w:val="Normal"/>
    <w:link w:val="IntenseQuoteChar"/>
    <w:uiPriority w:val="30"/>
    <w:qFormat/>
    <w:rsid w:val="00792B1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92B1A"/>
    <w:rPr>
      <w:i/>
      <w:iCs/>
      <w:color w:val="2F5496" w:themeColor="accent1" w:themeShade="BF"/>
    </w:rPr>
  </w:style>
  <w:style w:type="character" w:styleId="IntenseReference">
    <w:name w:val="Intense Reference"/>
    <w:basedOn w:val="DefaultParagraphFont"/>
    <w:uiPriority w:val="32"/>
    <w:qFormat/>
    <w:rsid w:val="00792B1A"/>
    <w:rPr>
      <w:b/>
      <w:bCs/>
      <w:smallCaps/>
      <w:color w:val="2F5496" w:themeColor="accent1" w:themeShade="BF"/>
      <w:spacing w:val="5"/>
    </w:rPr>
  </w:style>
  <w:style w:type="paragraph" w:styleId="TOCHeading">
    <w:name w:val="TOC Heading"/>
    <w:basedOn w:val="Heading1"/>
    <w:next w:val="Normal"/>
    <w:uiPriority w:val="39"/>
    <w:unhideWhenUsed/>
    <w:qFormat/>
    <w:rsid w:val="00E7363D"/>
    <w:pPr>
      <w:spacing w:before="240" w:after="0"/>
      <w:outlineLvl w:val="9"/>
    </w:pPr>
    <w:rPr>
      <w:kern w:val="0"/>
      <w:sz w:val="32"/>
      <w:szCs w:val="32"/>
      <w:lang w:val="en-US" w:bidi="ar-SA"/>
      <w14:ligatures w14:val="none"/>
    </w:rPr>
  </w:style>
  <w:style w:type="paragraph" w:styleId="TOC1">
    <w:name w:val="toc 1"/>
    <w:basedOn w:val="Normal"/>
    <w:next w:val="Normal"/>
    <w:autoRedefine/>
    <w:uiPriority w:val="39"/>
    <w:unhideWhenUsed/>
    <w:rsid w:val="00B75761"/>
    <w:pPr>
      <w:spacing w:after="100"/>
    </w:pPr>
  </w:style>
  <w:style w:type="paragraph" w:styleId="TOC2">
    <w:name w:val="toc 2"/>
    <w:basedOn w:val="Normal"/>
    <w:next w:val="Normal"/>
    <w:autoRedefine/>
    <w:uiPriority w:val="39"/>
    <w:unhideWhenUsed/>
    <w:rsid w:val="00B75761"/>
    <w:pPr>
      <w:spacing w:after="100"/>
      <w:ind w:left="220"/>
    </w:pPr>
  </w:style>
  <w:style w:type="paragraph" w:styleId="TOC3">
    <w:name w:val="toc 3"/>
    <w:basedOn w:val="Normal"/>
    <w:next w:val="Normal"/>
    <w:autoRedefine/>
    <w:uiPriority w:val="39"/>
    <w:unhideWhenUsed/>
    <w:rsid w:val="00B75761"/>
    <w:pPr>
      <w:spacing w:after="100"/>
      <w:ind w:left="440"/>
    </w:pPr>
  </w:style>
  <w:style w:type="character" w:styleId="Hyperlink">
    <w:name w:val="Hyperlink"/>
    <w:basedOn w:val="DefaultParagraphFont"/>
    <w:uiPriority w:val="99"/>
    <w:unhideWhenUsed/>
    <w:rsid w:val="00B75761"/>
    <w:rPr>
      <w:color w:val="0563C1" w:themeColor="hyperlink"/>
      <w:u w:val="single"/>
    </w:rPr>
  </w:style>
  <w:style w:type="paragraph" w:styleId="Header">
    <w:name w:val="header"/>
    <w:basedOn w:val="Normal"/>
    <w:link w:val="HeaderChar"/>
    <w:uiPriority w:val="99"/>
    <w:unhideWhenUsed/>
    <w:rsid w:val="009A35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5F6"/>
  </w:style>
  <w:style w:type="paragraph" w:styleId="Footer">
    <w:name w:val="footer"/>
    <w:basedOn w:val="Normal"/>
    <w:link w:val="FooterChar"/>
    <w:uiPriority w:val="99"/>
    <w:unhideWhenUsed/>
    <w:rsid w:val="009A35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5F6"/>
  </w:style>
  <w:style w:type="character" w:styleId="UnresolvedMention">
    <w:name w:val="Unresolved Mention"/>
    <w:basedOn w:val="DefaultParagraphFont"/>
    <w:uiPriority w:val="99"/>
    <w:semiHidden/>
    <w:unhideWhenUsed/>
    <w:rsid w:val="00DD23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jpg"/><Relationship Id="rId21" Type="http://schemas.openxmlformats.org/officeDocument/2006/relationships/chart" Target="charts/chart4.xml"/><Relationship Id="rId42" Type="http://schemas.openxmlformats.org/officeDocument/2006/relationships/hyperlink" Target="https://doi.org/10.3934/nar.2021012" TargetMode="External"/><Relationship Id="rId47" Type="http://schemas.openxmlformats.org/officeDocument/2006/relationships/hyperlink" Target="https://www.jpmorgan.com/content/dam/jpmorgan/images/payments/working-capital-index/increasing-efficiency-working-capital-index-2024-ada.pdf" TargetMode="External"/><Relationship Id="rId63" Type="http://schemas.openxmlformats.org/officeDocument/2006/relationships/image" Target="media/image29.jpeg"/><Relationship Id="rId68" Type="http://schemas.openxmlformats.org/officeDocument/2006/relationships/chart" Target="charts/chart9.xm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jpg"/><Relationship Id="rId29" Type="http://schemas.openxmlformats.org/officeDocument/2006/relationships/image" Target="media/image17.jpg"/><Relationship Id="rId11" Type="http://schemas.openxmlformats.org/officeDocument/2006/relationships/image" Target="media/image4.jpg"/><Relationship Id="rId24" Type="http://schemas.openxmlformats.org/officeDocument/2006/relationships/image" Target="media/image12.jpg"/><Relationship Id="rId32" Type="http://schemas.openxmlformats.org/officeDocument/2006/relationships/image" Target="media/image20.jpg"/><Relationship Id="rId37" Type="http://schemas.openxmlformats.org/officeDocument/2006/relationships/image" Target="media/image25.jpg"/><Relationship Id="rId40" Type="http://schemas.openxmlformats.org/officeDocument/2006/relationships/hyperlink" Target="https://ideas.repec.org/h/elg/eechap/14545_17.html" TargetMode="External"/><Relationship Id="rId45" Type="http://schemas.openxmlformats.org/officeDocument/2006/relationships/hyperlink" Target="http://journalsglobal.com/index.php/jgeb/article/view/173" TargetMode="External"/><Relationship Id="rId53" Type="http://schemas.openxmlformats.org/officeDocument/2006/relationships/hyperlink" Target="https://doi.org/10.2139/ssrn.5044057" TargetMode="External"/><Relationship Id="rId58" Type="http://schemas.openxmlformats.org/officeDocument/2006/relationships/hyperlink" Target="https://doi.org/10.1111/1467-8551.00193" TargetMode="External"/><Relationship Id="rId66" Type="http://schemas.openxmlformats.org/officeDocument/2006/relationships/chart" Target="charts/chart7.xml"/><Relationship Id="rId5" Type="http://schemas.openxmlformats.org/officeDocument/2006/relationships/webSettings" Target="webSettings.xml"/><Relationship Id="rId61" Type="http://schemas.openxmlformats.org/officeDocument/2006/relationships/hyperlink" Target="https://doi.org/10.1080/23311975.2025.2473033" TargetMode="External"/><Relationship Id="rId19" Type="http://schemas.openxmlformats.org/officeDocument/2006/relationships/image" Target="media/image9.jpg"/><Relationship Id="rId14" Type="http://schemas.openxmlformats.org/officeDocument/2006/relationships/image" Target="media/image6.jpg"/><Relationship Id="rId22" Type="http://schemas.openxmlformats.org/officeDocument/2006/relationships/image" Target="media/image11.jpg"/><Relationship Id="rId27" Type="http://schemas.openxmlformats.org/officeDocument/2006/relationships/image" Target="media/image15.jpg"/><Relationship Id="rId30" Type="http://schemas.openxmlformats.org/officeDocument/2006/relationships/image" Target="media/image18.jpg"/><Relationship Id="rId35" Type="http://schemas.openxmlformats.org/officeDocument/2006/relationships/image" Target="media/image23.jpg"/><Relationship Id="rId43" Type="http://schemas.openxmlformats.org/officeDocument/2006/relationships/hyperlink" Target="https://www.deloitte.com/us/en/services/consulting/articles/turnaround-and-restructuring-outlook.html" TargetMode="External"/><Relationship Id="rId48" Type="http://schemas.openxmlformats.org/officeDocument/2006/relationships/hyperlink" Target="https://doi.org/10.1016/j.bir.2024.03.004" TargetMode="External"/><Relationship Id="rId56" Type="http://schemas.openxmlformats.org/officeDocument/2006/relationships/hyperlink" Target="https://doi.org/10.1016/j.jmateco.2024.102992" TargetMode="External"/><Relationship Id="rId64" Type="http://schemas.openxmlformats.org/officeDocument/2006/relationships/image" Target="media/image30.jpeg"/><Relationship Id="rId69" Type="http://schemas.openxmlformats.org/officeDocument/2006/relationships/chart" Target="charts/chart10.xml"/><Relationship Id="rId8" Type="http://schemas.openxmlformats.org/officeDocument/2006/relationships/image" Target="media/image1.png"/><Relationship Id="rId51" Type="http://schemas.openxmlformats.org/officeDocument/2006/relationships/hyperlink" Target="https://papers.ssrn.com/sol3/papers.cfm?abstract_id=3326312" TargetMode="External"/><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image" Target="media/image8.jpg"/><Relationship Id="rId25" Type="http://schemas.openxmlformats.org/officeDocument/2006/relationships/image" Target="media/image13.jpg"/><Relationship Id="rId33" Type="http://schemas.openxmlformats.org/officeDocument/2006/relationships/image" Target="media/image21.jpg"/><Relationship Id="rId38" Type="http://schemas.openxmlformats.org/officeDocument/2006/relationships/image" Target="media/image26.jpeg"/><Relationship Id="rId46" Type="http://schemas.openxmlformats.org/officeDocument/2006/relationships/hyperlink" Target="https://doi.org/10.55942/jebl.v4i2.308" TargetMode="External"/><Relationship Id="rId59" Type="http://schemas.openxmlformats.org/officeDocument/2006/relationships/hyperlink" Target="https://doi.org/10.18034/abr.v15i2.754" TargetMode="External"/><Relationship Id="rId67" Type="http://schemas.openxmlformats.org/officeDocument/2006/relationships/chart" Target="charts/chart8.xml"/><Relationship Id="rId20" Type="http://schemas.openxmlformats.org/officeDocument/2006/relationships/image" Target="media/image10.jpg"/><Relationship Id="rId41" Type="http://schemas.openxmlformats.org/officeDocument/2006/relationships/hyperlink" Target="https://doi.org/10.1111/jifm.12053" TargetMode="External"/><Relationship Id="rId54" Type="http://schemas.openxmlformats.org/officeDocument/2006/relationships/hyperlink" Target="https://ideas.repec.org/a/jfr/afr111/v13y2024i2p142.html" TargetMode="External"/><Relationship Id="rId62" Type="http://schemas.openxmlformats.org/officeDocument/2006/relationships/image" Target="media/image28.jpe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chart" Target="charts/chart5.xml"/><Relationship Id="rId28" Type="http://schemas.openxmlformats.org/officeDocument/2006/relationships/image" Target="media/image16.jpg"/><Relationship Id="rId36" Type="http://schemas.openxmlformats.org/officeDocument/2006/relationships/image" Target="media/image24.jpg"/><Relationship Id="rId49" Type="http://schemas.openxmlformats.org/officeDocument/2006/relationships/hyperlink" Target="https://onlinelibrary.wiley.com/doi/full/10.1111/acfi.13174" TargetMode="External"/><Relationship Id="rId57" Type="http://schemas.openxmlformats.org/officeDocument/2006/relationships/hyperlink" Target="https://doi.org/10.3390/jrfm18040208" TargetMode="External"/><Relationship Id="rId10" Type="http://schemas.openxmlformats.org/officeDocument/2006/relationships/image" Target="media/image3.jpg"/><Relationship Id="rId31" Type="http://schemas.openxmlformats.org/officeDocument/2006/relationships/image" Target="media/image19.jpg"/><Relationship Id="rId44" Type="http://schemas.openxmlformats.org/officeDocument/2006/relationships/hyperlink" Target="https://doi.org/10.1016/j.pacfin.2025.102791" TargetMode="External"/><Relationship Id="rId52" Type="http://schemas.openxmlformats.org/officeDocument/2006/relationships/hyperlink" Target="https://doi.org/10.2139/ssrn.5126504" TargetMode="External"/><Relationship Id="rId60" Type="http://schemas.openxmlformats.org/officeDocument/2006/relationships/hyperlink" Target="https://ecapital.com/blog/charting-a-new-course-navigating-the-corporate-restructuring-landscape/" TargetMode="External"/><Relationship Id="rId65" Type="http://schemas.openxmlformats.org/officeDocument/2006/relationships/chart" Target="charts/chart6.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jpg"/><Relationship Id="rId18" Type="http://schemas.openxmlformats.org/officeDocument/2006/relationships/chart" Target="charts/chart3.xml"/><Relationship Id="rId39" Type="http://schemas.openxmlformats.org/officeDocument/2006/relationships/image" Target="media/image27.jpg"/><Relationship Id="rId34" Type="http://schemas.openxmlformats.org/officeDocument/2006/relationships/image" Target="media/image22.jpg"/><Relationship Id="rId50" Type="http://schemas.openxmlformats.org/officeDocument/2006/relationships/hyperlink" Target="https://doi.org/10.1186/s13731-024-00379-3" TargetMode="External"/><Relationship Id="rId55" Type="http://schemas.openxmlformats.org/officeDocument/2006/relationships/hyperlink" Target="https://doi.org/10.1007/s40685-016-0041-8"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D:\Assignments\4.%20Finance\HS\Calculations.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Liquidity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'Liquidity Analysis'!$M$1</c:f>
              <c:strCache>
                <c:ptCount val="1"/>
                <c:pt idx="0">
                  <c:v>Current Ratio</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'Liquidity Analysis'!$I$2:$I$7</c:f>
              <c:numCache>
                <c:formatCode>General</c:formatCode>
                <c:ptCount val="6"/>
                <c:pt idx="1">
                  <c:v>2020</c:v>
                </c:pt>
                <c:pt idx="2">
                  <c:v>2021</c:v>
                </c:pt>
                <c:pt idx="3">
                  <c:v>2022</c:v>
                </c:pt>
                <c:pt idx="4">
                  <c:v>2023</c:v>
                </c:pt>
                <c:pt idx="5">
                  <c:v>2024</c:v>
                </c:pt>
              </c:numCache>
            </c:numRef>
          </c:xVal>
          <c:yVal>
            <c:numRef>
              <c:f>'Liquidity Analysis'!$M$2:$M$7</c:f>
              <c:numCache>
                <c:formatCode>0.00%</c:formatCode>
                <c:ptCount val="6"/>
                <c:pt idx="1">
                  <c:v>1.8207509330956492E-2</c:v>
                </c:pt>
                <c:pt idx="2">
                  <c:v>1.5551947303113194E-2</c:v>
                </c:pt>
                <c:pt idx="3">
                  <c:v>1.5615804280441441E-2</c:v>
                </c:pt>
                <c:pt idx="4">
                  <c:v>1.6062935934668753E-2</c:v>
                </c:pt>
                <c:pt idx="5">
                  <c:v>1.5319506478574272E-2</c:v>
                </c:pt>
              </c:numCache>
            </c:numRef>
          </c:yVal>
          <c:smooth val="0"/>
          <c:extLst>
            <c:ext xmlns:c16="http://schemas.microsoft.com/office/drawing/2014/chart" uri="{C3380CC4-5D6E-409C-BE32-E72D297353CC}">
              <c16:uniqueId val="{00000000-A03E-4B61-89A6-412A643DB95F}"/>
            </c:ext>
          </c:extLst>
        </c:ser>
        <c:ser>
          <c:idx val="1"/>
          <c:order val="1"/>
          <c:tx>
            <c:strRef>
              <c:f>'Liquidity Analysis'!$N$1</c:f>
              <c:strCache>
                <c:ptCount val="1"/>
                <c:pt idx="0">
                  <c:v>Quick Ratio</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'Liquidity Analysis'!$I$2:$I$7</c:f>
              <c:numCache>
                <c:formatCode>General</c:formatCode>
                <c:ptCount val="6"/>
                <c:pt idx="1">
                  <c:v>2020</c:v>
                </c:pt>
                <c:pt idx="2">
                  <c:v>2021</c:v>
                </c:pt>
                <c:pt idx="3">
                  <c:v>2022</c:v>
                </c:pt>
                <c:pt idx="4">
                  <c:v>2023</c:v>
                </c:pt>
                <c:pt idx="5">
                  <c:v>2024</c:v>
                </c:pt>
              </c:numCache>
            </c:numRef>
          </c:xVal>
          <c:yVal>
            <c:numRef>
              <c:f>'Liquidity Analysis'!$N$2:$N$7</c:f>
              <c:numCache>
                <c:formatCode>0.00%</c:formatCode>
                <c:ptCount val="6"/>
                <c:pt idx="1">
                  <c:v>1.1498690880730878E-2</c:v>
                </c:pt>
                <c:pt idx="2">
                  <c:v>9.349130713557547E-3</c:v>
                </c:pt>
                <c:pt idx="3">
                  <c:v>9.1401237105782247E-3</c:v>
                </c:pt>
                <c:pt idx="4">
                  <c:v>1.0585176359619728E-2</c:v>
                </c:pt>
                <c:pt idx="5">
                  <c:v>1.0306271360974409E-2</c:v>
                </c:pt>
              </c:numCache>
            </c:numRef>
          </c:yVal>
          <c:smooth val="0"/>
          <c:extLst>
            <c:ext xmlns:c16="http://schemas.microsoft.com/office/drawing/2014/chart" uri="{C3380CC4-5D6E-409C-BE32-E72D297353CC}">
              <c16:uniqueId val="{00000001-A03E-4B61-89A6-412A643DB95F}"/>
            </c:ext>
          </c:extLst>
        </c:ser>
        <c:dLbls>
          <c:showLegendKey val="0"/>
          <c:showVal val="0"/>
          <c:showCatName val="0"/>
          <c:showSerName val="0"/>
          <c:showPercent val="0"/>
          <c:showBubbleSize val="0"/>
        </c:dLbls>
        <c:axId val="1393742495"/>
        <c:axId val="1393733855"/>
      </c:scatterChart>
      <c:valAx>
        <c:axId val="1393742495"/>
        <c:scaling>
          <c:orientation val="minMax"/>
          <c:max val="2024"/>
          <c:min val="202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3733855"/>
        <c:crosses val="autoZero"/>
        <c:crossBetween val="midCat"/>
        <c:majorUnit val="1"/>
        <c:minorUnit val="1"/>
      </c:valAx>
      <c:valAx>
        <c:axId val="13937338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Margin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374249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Efficiency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'Efficiency Analysis'!$L$2</c:f>
              <c:strCache>
                <c:ptCount val="1"/>
                <c:pt idx="0">
                  <c:v>Inventory Turnover 
(times)</c:v>
                </c:pt>
              </c:strCache>
            </c:strRef>
          </c:tx>
          <c:spPr>
            <a:ln w="28575" cap="rnd">
              <a:solidFill>
                <a:schemeClr val="accent1"/>
              </a:solidFill>
              <a:round/>
            </a:ln>
            <a:effectLst/>
          </c:spPr>
          <c:marker>
            <c:symbol val="none"/>
          </c:marker>
          <c:cat>
            <c:numRef>
              <c:f>'Efficiency Analysis'!$K$3:$K$7</c:f>
              <c:numCache>
                <c:formatCode>General</c:formatCode>
                <c:ptCount val="5"/>
                <c:pt idx="0">
                  <c:v>2020</c:v>
                </c:pt>
                <c:pt idx="1">
                  <c:v>2021</c:v>
                </c:pt>
                <c:pt idx="2">
                  <c:v>2022</c:v>
                </c:pt>
                <c:pt idx="3">
                  <c:v>2023</c:v>
                </c:pt>
                <c:pt idx="4">
                  <c:v>2024</c:v>
                </c:pt>
              </c:numCache>
            </c:numRef>
          </c:cat>
          <c:val>
            <c:numRef>
              <c:f>'Efficiency Analysis'!$L$3:$L$7</c:f>
              <c:numCache>
                <c:formatCode>General</c:formatCode>
                <c:ptCount val="5"/>
                <c:pt idx="0">
                  <c:v>3.74</c:v>
                </c:pt>
                <c:pt idx="1">
                  <c:v>3.36</c:v>
                </c:pt>
                <c:pt idx="2">
                  <c:v>2.84</c:v>
                </c:pt>
                <c:pt idx="3">
                  <c:v>2.83</c:v>
                </c:pt>
                <c:pt idx="4">
                  <c:v>3.35</c:v>
                </c:pt>
              </c:numCache>
            </c:numRef>
          </c:val>
          <c:smooth val="0"/>
          <c:extLst>
            <c:ext xmlns:c16="http://schemas.microsoft.com/office/drawing/2014/chart" uri="{C3380CC4-5D6E-409C-BE32-E72D297353CC}">
              <c16:uniqueId val="{00000000-619B-49DB-A9C8-01E953F712E8}"/>
            </c:ext>
          </c:extLst>
        </c:ser>
        <c:ser>
          <c:idx val="1"/>
          <c:order val="1"/>
          <c:tx>
            <c:strRef>
              <c:f>'Efficiency Analysis'!$M$2</c:f>
              <c:strCache>
                <c:ptCount val="1"/>
                <c:pt idx="0">
                  <c:v>Receivables Turnover (times)</c:v>
                </c:pt>
              </c:strCache>
            </c:strRef>
          </c:tx>
          <c:spPr>
            <a:ln w="28575" cap="rnd">
              <a:solidFill>
                <a:schemeClr val="accent2"/>
              </a:solidFill>
              <a:round/>
            </a:ln>
            <a:effectLst/>
          </c:spPr>
          <c:marker>
            <c:symbol val="none"/>
          </c:marker>
          <c:cat>
            <c:numRef>
              <c:f>'Efficiency Analysis'!$K$3:$K$7</c:f>
              <c:numCache>
                <c:formatCode>General</c:formatCode>
                <c:ptCount val="5"/>
                <c:pt idx="0">
                  <c:v>2020</c:v>
                </c:pt>
                <c:pt idx="1">
                  <c:v>2021</c:v>
                </c:pt>
                <c:pt idx="2">
                  <c:v>2022</c:v>
                </c:pt>
                <c:pt idx="3">
                  <c:v>2023</c:v>
                </c:pt>
                <c:pt idx="4">
                  <c:v>2024</c:v>
                </c:pt>
              </c:numCache>
            </c:numRef>
          </c:cat>
          <c:val>
            <c:numRef>
              <c:f>'Efficiency Analysis'!$M$3:$M$7</c:f>
              <c:numCache>
                <c:formatCode>0.00</c:formatCode>
                <c:ptCount val="5"/>
                <c:pt idx="0">
                  <c:v>4.8317441851324903</c:v>
                </c:pt>
                <c:pt idx="1">
                  <c:v>4.6518975596177041</c:v>
                </c:pt>
                <c:pt idx="2">
                  <c:v>4.4936786415081844</c:v>
                </c:pt>
                <c:pt idx="3">
                  <c:v>3.738359221488206</c:v>
                </c:pt>
                <c:pt idx="4">
                  <c:v>3.4825159406997153</c:v>
                </c:pt>
              </c:numCache>
            </c:numRef>
          </c:val>
          <c:smooth val="0"/>
          <c:extLst>
            <c:ext xmlns:c16="http://schemas.microsoft.com/office/drawing/2014/chart" uri="{C3380CC4-5D6E-409C-BE32-E72D297353CC}">
              <c16:uniqueId val="{00000001-619B-49DB-A9C8-01E953F712E8}"/>
            </c:ext>
          </c:extLst>
        </c:ser>
        <c:dLbls>
          <c:showLegendKey val="0"/>
          <c:showVal val="0"/>
          <c:showCatName val="0"/>
          <c:showSerName val="0"/>
          <c:showPercent val="0"/>
          <c:showBubbleSize val="0"/>
        </c:dLbls>
        <c:smooth val="0"/>
        <c:axId val="1400405663"/>
        <c:axId val="1400409503"/>
      </c:lineChart>
      <c:catAx>
        <c:axId val="140040566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0409503"/>
        <c:crosses val="autoZero"/>
        <c:auto val="1"/>
        <c:lblAlgn val="ctr"/>
        <c:lblOffset val="100"/>
        <c:noMultiLvlLbl val="0"/>
      </c:catAx>
      <c:valAx>
        <c:axId val="14004095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Turnover (times)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04056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Gearing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'Gearing Analysis'!$E$21</c:f>
              <c:strCache>
                <c:ptCount val="1"/>
                <c:pt idx="0">
                  <c:v>Debt-to-Equity Ratio</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'Gearing Analysis'!$D$22:$D$26</c:f>
              <c:numCache>
                <c:formatCode>General</c:formatCode>
                <c:ptCount val="5"/>
                <c:pt idx="0">
                  <c:v>2020</c:v>
                </c:pt>
                <c:pt idx="1">
                  <c:v>2021</c:v>
                </c:pt>
                <c:pt idx="2">
                  <c:v>2022</c:v>
                </c:pt>
                <c:pt idx="3">
                  <c:v>2023</c:v>
                </c:pt>
                <c:pt idx="4">
                  <c:v>2024</c:v>
                </c:pt>
              </c:numCache>
            </c:numRef>
          </c:xVal>
          <c:yVal>
            <c:numRef>
              <c:f>'Gearing Analysis'!$E$22:$E$26</c:f>
              <c:numCache>
                <c:formatCode>0.00</c:formatCode>
                <c:ptCount val="5"/>
                <c:pt idx="0">
                  <c:v>0.62875317984941004</c:v>
                </c:pt>
                <c:pt idx="1">
                  <c:v>0.84942869878129657</c:v>
                </c:pt>
                <c:pt idx="2">
                  <c:v>0.87835964918817011</c:v>
                </c:pt>
                <c:pt idx="3">
                  <c:v>0.98900067069081155</c:v>
                </c:pt>
                <c:pt idx="4">
                  <c:v>1.1119754416903431</c:v>
                </c:pt>
              </c:numCache>
            </c:numRef>
          </c:yVal>
          <c:smooth val="0"/>
          <c:extLst>
            <c:ext xmlns:c16="http://schemas.microsoft.com/office/drawing/2014/chart" uri="{C3380CC4-5D6E-409C-BE32-E72D297353CC}">
              <c16:uniqueId val="{00000000-B536-4D64-8444-9CD9A4B55663}"/>
            </c:ext>
          </c:extLst>
        </c:ser>
        <c:ser>
          <c:idx val="1"/>
          <c:order val="1"/>
          <c:tx>
            <c:strRef>
              <c:f>'Gearing Analysis'!$F$21</c:f>
              <c:strCache>
                <c:ptCount val="1"/>
                <c:pt idx="0">
                  <c:v>Interest Coverage Ratio</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'Gearing Analysis'!$D$22:$D$26</c:f>
              <c:numCache>
                <c:formatCode>General</c:formatCode>
                <c:ptCount val="5"/>
                <c:pt idx="0">
                  <c:v>2020</c:v>
                </c:pt>
                <c:pt idx="1">
                  <c:v>2021</c:v>
                </c:pt>
                <c:pt idx="2">
                  <c:v>2022</c:v>
                </c:pt>
                <c:pt idx="3">
                  <c:v>2023</c:v>
                </c:pt>
                <c:pt idx="4">
                  <c:v>2024</c:v>
                </c:pt>
              </c:numCache>
            </c:numRef>
          </c:xVal>
          <c:yVal>
            <c:numRef>
              <c:f>'Gearing Analysis'!$F$22:$F$26</c:f>
              <c:numCache>
                <c:formatCode>0.00</c:formatCode>
                <c:ptCount val="5"/>
                <c:pt idx="0">
                  <c:v>26.20745428973277</c:v>
                </c:pt>
                <c:pt idx="1">
                  <c:v>41.083038869257948</c:v>
                </c:pt>
                <c:pt idx="2">
                  <c:v>6.6127272727272723</c:v>
                </c:pt>
                <c:pt idx="3">
                  <c:v>-19.690904893813482</c:v>
                </c:pt>
                <c:pt idx="4">
                  <c:v>-4.5513240107110979</c:v>
                </c:pt>
              </c:numCache>
            </c:numRef>
          </c:yVal>
          <c:smooth val="0"/>
          <c:extLst>
            <c:ext xmlns:c16="http://schemas.microsoft.com/office/drawing/2014/chart" uri="{C3380CC4-5D6E-409C-BE32-E72D297353CC}">
              <c16:uniqueId val="{00000001-B536-4D64-8444-9CD9A4B55663}"/>
            </c:ext>
          </c:extLst>
        </c:ser>
        <c:dLbls>
          <c:showLegendKey val="0"/>
          <c:showVal val="0"/>
          <c:showCatName val="0"/>
          <c:showSerName val="0"/>
          <c:showPercent val="0"/>
          <c:showBubbleSize val="0"/>
        </c:dLbls>
        <c:axId val="1569703071"/>
        <c:axId val="1569704991"/>
      </c:scatterChart>
      <c:valAx>
        <c:axId val="1569703071"/>
        <c:scaling>
          <c:orientation val="minMax"/>
          <c:max val="2024"/>
          <c:min val="202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in"/>
        <c:minorTickMark val="out"/>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9704991"/>
        <c:crosses val="autoZero"/>
        <c:crossBetween val="midCat"/>
        <c:majorUnit val="1"/>
        <c:minorUnit val="0.5"/>
      </c:valAx>
      <c:valAx>
        <c:axId val="15697049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Ratios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9703071"/>
        <c:crosses val="autoZero"/>
        <c:crossBetween val="midCat"/>
        <c:majorUnit val="15"/>
        <c:minorUnit val="3"/>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CASH FLOW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'CASH FLOW ANALYSIS'!$J$2</c:f>
              <c:strCache>
                <c:ptCount val="1"/>
                <c:pt idx="0">
                  <c:v>Operating 
Cash Flow 
(OCF)</c:v>
                </c:pt>
              </c:strCache>
            </c:strRef>
          </c:tx>
          <c:spPr>
            <a:ln w="28575" cap="rnd">
              <a:solidFill>
                <a:schemeClr val="accent1"/>
              </a:solidFill>
              <a:round/>
            </a:ln>
            <a:effectLst/>
          </c:spPr>
          <c:marker>
            <c:symbol val="none"/>
          </c:marker>
          <c:cat>
            <c:numRef>
              <c:f>'CASH FLOW ANALYSIS'!$I$3:$I$7</c:f>
              <c:numCache>
                <c:formatCode>General</c:formatCode>
                <c:ptCount val="5"/>
                <c:pt idx="0">
                  <c:v>2024</c:v>
                </c:pt>
                <c:pt idx="1">
                  <c:v>2023</c:v>
                </c:pt>
                <c:pt idx="2">
                  <c:v>2022</c:v>
                </c:pt>
                <c:pt idx="3">
                  <c:v>2021</c:v>
                </c:pt>
                <c:pt idx="4">
                  <c:v>2020</c:v>
                </c:pt>
              </c:numCache>
            </c:numRef>
          </c:cat>
          <c:val>
            <c:numRef>
              <c:f>'CASH FLOW ANALYSIS'!$J$3:$J$7</c:f>
              <c:numCache>
                <c:formatCode>#,##0</c:formatCode>
                <c:ptCount val="5"/>
                <c:pt idx="0">
                  <c:v>14822</c:v>
                </c:pt>
                <c:pt idx="1">
                  <c:v>25190</c:v>
                </c:pt>
                <c:pt idx="2">
                  <c:v>10926</c:v>
                </c:pt>
                <c:pt idx="3">
                  <c:v>40283</c:v>
                </c:pt>
                <c:pt idx="4">
                  <c:v>73392</c:v>
                </c:pt>
              </c:numCache>
            </c:numRef>
          </c:val>
          <c:smooth val="0"/>
          <c:extLst>
            <c:ext xmlns:c16="http://schemas.microsoft.com/office/drawing/2014/chart" uri="{C3380CC4-5D6E-409C-BE32-E72D297353CC}">
              <c16:uniqueId val="{00000000-FE1D-4CC9-95E3-6021F9AE7619}"/>
            </c:ext>
          </c:extLst>
        </c:ser>
        <c:ser>
          <c:idx val="1"/>
          <c:order val="1"/>
          <c:tx>
            <c:strRef>
              <c:f>'CASH FLOW ANALYSIS'!$K$2</c:f>
              <c:strCache>
                <c:ptCount val="1"/>
                <c:pt idx="0">
                  <c:v>Investing 
Cash Flow 
(ICF)</c:v>
                </c:pt>
              </c:strCache>
            </c:strRef>
          </c:tx>
          <c:spPr>
            <a:ln w="28575" cap="rnd">
              <a:solidFill>
                <a:schemeClr val="accent2"/>
              </a:solidFill>
              <a:round/>
            </a:ln>
            <a:effectLst/>
          </c:spPr>
          <c:marker>
            <c:symbol val="none"/>
          </c:marker>
          <c:cat>
            <c:numRef>
              <c:f>'CASH FLOW ANALYSIS'!$I$3:$I$7</c:f>
              <c:numCache>
                <c:formatCode>General</c:formatCode>
                <c:ptCount val="5"/>
                <c:pt idx="0">
                  <c:v>2024</c:v>
                </c:pt>
                <c:pt idx="1">
                  <c:v>2023</c:v>
                </c:pt>
                <c:pt idx="2">
                  <c:v>2022</c:v>
                </c:pt>
                <c:pt idx="3">
                  <c:v>2021</c:v>
                </c:pt>
                <c:pt idx="4">
                  <c:v>2020</c:v>
                </c:pt>
              </c:numCache>
            </c:numRef>
          </c:cat>
          <c:val>
            <c:numRef>
              <c:f>'CASH FLOW ANALYSIS'!$K$3:$K$7</c:f>
              <c:numCache>
                <c:formatCode>#,##0</c:formatCode>
                <c:ptCount val="5"/>
                <c:pt idx="0">
                  <c:v>-8428</c:v>
                </c:pt>
                <c:pt idx="1">
                  <c:v>-13877</c:v>
                </c:pt>
                <c:pt idx="2">
                  <c:v>-21208</c:v>
                </c:pt>
                <c:pt idx="3">
                  <c:v>-17041</c:v>
                </c:pt>
                <c:pt idx="4">
                  <c:v>-23734</c:v>
                </c:pt>
              </c:numCache>
            </c:numRef>
          </c:val>
          <c:smooth val="0"/>
          <c:extLst>
            <c:ext xmlns:c16="http://schemas.microsoft.com/office/drawing/2014/chart" uri="{C3380CC4-5D6E-409C-BE32-E72D297353CC}">
              <c16:uniqueId val="{00000001-FE1D-4CC9-95E3-6021F9AE7619}"/>
            </c:ext>
          </c:extLst>
        </c:ser>
        <c:ser>
          <c:idx val="2"/>
          <c:order val="2"/>
          <c:tx>
            <c:strRef>
              <c:f>'CASH FLOW ANALYSIS'!$L$2</c:f>
              <c:strCache>
                <c:ptCount val="1"/>
                <c:pt idx="0">
                  <c:v>Financing 
Cash Flow 
(FCF)</c:v>
                </c:pt>
              </c:strCache>
            </c:strRef>
          </c:tx>
          <c:spPr>
            <a:ln w="28575" cap="rnd">
              <a:solidFill>
                <a:schemeClr val="accent3"/>
              </a:solidFill>
              <a:round/>
            </a:ln>
            <a:effectLst/>
          </c:spPr>
          <c:marker>
            <c:symbol val="none"/>
          </c:marker>
          <c:cat>
            <c:numRef>
              <c:f>'CASH FLOW ANALYSIS'!$I$3:$I$7</c:f>
              <c:numCache>
                <c:formatCode>General</c:formatCode>
                <c:ptCount val="5"/>
                <c:pt idx="0">
                  <c:v>2024</c:v>
                </c:pt>
                <c:pt idx="1">
                  <c:v>2023</c:v>
                </c:pt>
                <c:pt idx="2">
                  <c:v>2022</c:v>
                </c:pt>
                <c:pt idx="3">
                  <c:v>2021</c:v>
                </c:pt>
                <c:pt idx="4">
                  <c:v>2020</c:v>
                </c:pt>
              </c:numCache>
            </c:numRef>
          </c:cat>
          <c:val>
            <c:numRef>
              <c:f>'CASH FLOW ANALYSIS'!$L$3:$L$7</c:f>
              <c:numCache>
                <c:formatCode>#,##0</c:formatCode>
                <c:ptCount val="5"/>
                <c:pt idx="0">
                  <c:v>-19764</c:v>
                </c:pt>
                <c:pt idx="1">
                  <c:v>-34779</c:v>
                </c:pt>
                <c:pt idx="2">
                  <c:v>20501</c:v>
                </c:pt>
                <c:pt idx="3">
                  <c:v>-22026</c:v>
                </c:pt>
                <c:pt idx="4">
                  <c:v>65964</c:v>
                </c:pt>
              </c:numCache>
            </c:numRef>
          </c:val>
          <c:smooth val="0"/>
          <c:extLst>
            <c:ext xmlns:c16="http://schemas.microsoft.com/office/drawing/2014/chart" uri="{C3380CC4-5D6E-409C-BE32-E72D297353CC}">
              <c16:uniqueId val="{00000002-FE1D-4CC9-95E3-6021F9AE7619}"/>
            </c:ext>
          </c:extLst>
        </c:ser>
        <c:ser>
          <c:idx val="3"/>
          <c:order val="3"/>
          <c:tx>
            <c:strRef>
              <c:f>'CASH FLOW ANALYSIS'!$M$2</c:f>
              <c:strCache>
                <c:ptCount val="1"/>
                <c:pt idx="0">
                  <c:v>Net Change 
in Cash</c:v>
                </c:pt>
              </c:strCache>
            </c:strRef>
          </c:tx>
          <c:spPr>
            <a:ln w="28575" cap="rnd">
              <a:solidFill>
                <a:schemeClr val="accent4"/>
              </a:solidFill>
              <a:round/>
            </a:ln>
            <a:effectLst/>
          </c:spPr>
          <c:marker>
            <c:symbol val="none"/>
          </c:marker>
          <c:cat>
            <c:numRef>
              <c:f>'CASH FLOW ANALYSIS'!$I$3:$I$7</c:f>
              <c:numCache>
                <c:formatCode>General</c:formatCode>
                <c:ptCount val="5"/>
                <c:pt idx="0">
                  <c:v>2024</c:v>
                </c:pt>
                <c:pt idx="1">
                  <c:v>2023</c:v>
                </c:pt>
                <c:pt idx="2">
                  <c:v>2022</c:v>
                </c:pt>
                <c:pt idx="3">
                  <c:v>2021</c:v>
                </c:pt>
                <c:pt idx="4">
                  <c:v>2020</c:v>
                </c:pt>
              </c:numCache>
            </c:numRef>
          </c:cat>
          <c:val>
            <c:numRef>
              <c:f>'CASH FLOW ANALYSIS'!$M$3:$M$7</c:f>
              <c:numCache>
                <c:formatCode>#,##0</c:formatCode>
                <c:ptCount val="5"/>
                <c:pt idx="0">
                  <c:v>-15968</c:v>
                </c:pt>
                <c:pt idx="1">
                  <c:v>-23989</c:v>
                </c:pt>
                <c:pt idx="2">
                  <c:v>5927</c:v>
                </c:pt>
                <c:pt idx="3">
                  <c:v>3660</c:v>
                </c:pt>
                <c:pt idx="4">
                  <c:v>-17149</c:v>
                </c:pt>
              </c:numCache>
            </c:numRef>
          </c:val>
          <c:smooth val="0"/>
          <c:extLst>
            <c:ext xmlns:c16="http://schemas.microsoft.com/office/drawing/2014/chart" uri="{C3380CC4-5D6E-409C-BE32-E72D297353CC}">
              <c16:uniqueId val="{00000003-FE1D-4CC9-95E3-6021F9AE7619}"/>
            </c:ext>
          </c:extLst>
        </c:ser>
        <c:ser>
          <c:idx val="4"/>
          <c:order val="4"/>
          <c:tx>
            <c:strRef>
              <c:f>'CASH FLOW ANALYSIS'!$N$2</c:f>
              <c:strCache>
                <c:ptCount val="1"/>
                <c:pt idx="0">
                  <c:v>Closing 
Cash Balance</c:v>
                </c:pt>
              </c:strCache>
            </c:strRef>
          </c:tx>
          <c:spPr>
            <a:ln w="28575" cap="rnd">
              <a:solidFill>
                <a:schemeClr val="accent5"/>
              </a:solidFill>
              <a:round/>
            </a:ln>
            <a:effectLst/>
          </c:spPr>
          <c:marker>
            <c:symbol val="none"/>
          </c:marker>
          <c:cat>
            <c:numRef>
              <c:f>'CASH FLOW ANALYSIS'!$I$3:$I$7</c:f>
              <c:numCache>
                <c:formatCode>General</c:formatCode>
                <c:ptCount val="5"/>
                <c:pt idx="0">
                  <c:v>2024</c:v>
                </c:pt>
                <c:pt idx="1">
                  <c:v>2023</c:v>
                </c:pt>
                <c:pt idx="2">
                  <c:v>2022</c:v>
                </c:pt>
                <c:pt idx="3">
                  <c:v>2021</c:v>
                </c:pt>
                <c:pt idx="4">
                  <c:v>2020</c:v>
                </c:pt>
              </c:numCache>
            </c:numRef>
          </c:cat>
          <c:val>
            <c:numRef>
              <c:f>'CASH FLOW ANALYSIS'!$N$3:$N$7</c:f>
              <c:numCache>
                <c:formatCode>#,##0</c:formatCode>
                <c:ptCount val="5"/>
                <c:pt idx="0">
                  <c:v>26783</c:v>
                </c:pt>
                <c:pt idx="1">
                  <c:v>42751</c:v>
                </c:pt>
                <c:pt idx="2">
                  <c:v>66740</c:v>
                </c:pt>
                <c:pt idx="3">
                  <c:v>60813</c:v>
                </c:pt>
                <c:pt idx="4">
                  <c:v>57153</c:v>
                </c:pt>
              </c:numCache>
            </c:numRef>
          </c:val>
          <c:smooth val="0"/>
          <c:extLst>
            <c:ext xmlns:c16="http://schemas.microsoft.com/office/drawing/2014/chart" uri="{C3380CC4-5D6E-409C-BE32-E72D297353CC}">
              <c16:uniqueId val="{00000004-FE1D-4CC9-95E3-6021F9AE7619}"/>
            </c:ext>
          </c:extLst>
        </c:ser>
        <c:dLbls>
          <c:showLegendKey val="0"/>
          <c:showVal val="0"/>
          <c:showCatName val="0"/>
          <c:showSerName val="0"/>
          <c:showPercent val="0"/>
          <c:showBubbleSize val="0"/>
        </c:dLbls>
        <c:smooth val="0"/>
        <c:axId val="1346095999"/>
        <c:axId val="1346091199"/>
      </c:lineChart>
      <c:catAx>
        <c:axId val="13460959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6091199"/>
        <c:crosses val="autoZero"/>
        <c:auto val="1"/>
        <c:lblAlgn val="ctr"/>
        <c:lblOffset val="100"/>
        <c:noMultiLvlLbl val="0"/>
      </c:catAx>
      <c:valAx>
        <c:axId val="13460911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Cash Flow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60959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Investment Ratios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lineChart>
        <c:grouping val="standard"/>
        <c:varyColors val="0"/>
        <c:ser>
          <c:idx val="0"/>
          <c:order val="2"/>
          <c:tx>
            <c:strRef>
              <c:f>'Investment Ratios'!$D$18</c:f>
              <c:strCache>
                <c:ptCount val="1"/>
                <c:pt idx="0">
                  <c:v> Earnings Per Share EPS (£)</c:v>
                </c:pt>
              </c:strCache>
            </c:strRef>
          </c:tx>
          <c:spPr>
            <a:ln w="31750" cap="rnd">
              <a:solidFill>
                <a:schemeClr val="accent1"/>
              </a:solidFill>
              <a:round/>
            </a:ln>
            <a:effectLst/>
          </c:spPr>
          <c:marker>
            <c:symbol val="none"/>
          </c:marker>
          <c:cat>
            <c:numRef>
              <c:f>'Investment Ratios'!$C$19:$C$23</c:f>
              <c:numCache>
                <c:formatCode>General</c:formatCode>
                <c:ptCount val="5"/>
                <c:pt idx="0">
                  <c:v>2020</c:v>
                </c:pt>
                <c:pt idx="1">
                  <c:v>2021</c:v>
                </c:pt>
                <c:pt idx="2">
                  <c:v>2022</c:v>
                </c:pt>
                <c:pt idx="3">
                  <c:v>2023</c:v>
                </c:pt>
                <c:pt idx="4">
                  <c:v>2024</c:v>
                </c:pt>
              </c:numCache>
            </c:numRef>
          </c:cat>
          <c:val>
            <c:numRef>
              <c:f>'Investment Ratios'!$D$19:$D$23</c:f>
              <c:numCache>
                <c:formatCode>General</c:formatCode>
                <c:ptCount val="5"/>
                <c:pt idx="0">
                  <c:v>2.78</c:v>
                </c:pt>
                <c:pt idx="1">
                  <c:v>0.39</c:v>
                </c:pt>
                <c:pt idx="2">
                  <c:v>0.03</c:v>
                </c:pt>
                <c:pt idx="3">
                  <c:v>-7.64</c:v>
                </c:pt>
                <c:pt idx="4">
                  <c:v>-1.85</c:v>
                </c:pt>
              </c:numCache>
            </c:numRef>
          </c:val>
          <c:smooth val="0"/>
          <c:extLst>
            <c:ext xmlns:c16="http://schemas.microsoft.com/office/drawing/2014/chart" uri="{C3380CC4-5D6E-409C-BE32-E72D297353CC}">
              <c16:uniqueId val="{00000000-0A00-46B8-A794-74579B05C8D8}"/>
            </c:ext>
          </c:extLst>
        </c:ser>
        <c:ser>
          <c:idx val="1"/>
          <c:order val="3"/>
          <c:tx>
            <c:strRef>
              <c:f>'Investment Ratios'!$E$18</c:f>
              <c:strCache>
                <c:ptCount val="1"/>
                <c:pt idx="0">
                  <c:v>Return on Equity ROE (%)</c:v>
                </c:pt>
              </c:strCache>
            </c:strRef>
          </c:tx>
          <c:spPr>
            <a:ln w="31750" cap="rnd">
              <a:solidFill>
                <a:schemeClr val="accent2"/>
              </a:solidFill>
              <a:round/>
            </a:ln>
            <a:effectLst/>
          </c:spPr>
          <c:marker>
            <c:symbol val="none"/>
          </c:marker>
          <c:cat>
            <c:numRef>
              <c:f>'Investment Ratios'!$C$19:$C$23</c:f>
              <c:numCache>
                <c:formatCode>General</c:formatCode>
                <c:ptCount val="5"/>
                <c:pt idx="0">
                  <c:v>2020</c:v>
                </c:pt>
                <c:pt idx="1">
                  <c:v>2021</c:v>
                </c:pt>
                <c:pt idx="2">
                  <c:v>2022</c:v>
                </c:pt>
                <c:pt idx="3">
                  <c:v>2023</c:v>
                </c:pt>
                <c:pt idx="4">
                  <c:v>2024</c:v>
                </c:pt>
              </c:numCache>
            </c:numRef>
          </c:cat>
          <c:val>
            <c:numRef>
              <c:f>'Investment Ratios'!$E$19:$E$23</c:f>
              <c:numCache>
                <c:formatCode>0.00%</c:formatCode>
                <c:ptCount val="5"/>
                <c:pt idx="0">
                  <c:v>0.12479999999999999</c:v>
                </c:pt>
                <c:pt idx="1">
                  <c:v>1.7999999999999999E-2</c:v>
                </c:pt>
                <c:pt idx="2">
                  <c:v>1.5E-3</c:v>
                </c:pt>
                <c:pt idx="3">
                  <c:v>-0.43919999999999998</c:v>
                </c:pt>
                <c:pt idx="4">
                  <c:v>-0.14480000000000001</c:v>
                </c:pt>
              </c:numCache>
            </c:numRef>
          </c:val>
          <c:smooth val="0"/>
          <c:extLst>
            <c:ext xmlns:c16="http://schemas.microsoft.com/office/drawing/2014/chart" uri="{C3380CC4-5D6E-409C-BE32-E72D297353CC}">
              <c16:uniqueId val="{00000001-0A00-46B8-A794-74579B05C8D8}"/>
            </c:ext>
          </c:extLst>
        </c:ser>
        <c:dLbls>
          <c:showLegendKey val="0"/>
          <c:showVal val="0"/>
          <c:showCatName val="0"/>
          <c:showSerName val="0"/>
          <c:showPercent val="0"/>
          <c:showBubbleSize val="0"/>
        </c:dLbls>
        <c:smooth val="0"/>
        <c:axId val="1400421023"/>
        <c:axId val="1400420063"/>
        <c:extLst>
          <c:ext xmlns:c15="http://schemas.microsoft.com/office/drawing/2012/chart" uri="{02D57815-91ED-43cb-92C2-25804820EDAC}">
            <c15:filteredLineSeries>
              <c15:ser>
                <c:idx val="2"/>
                <c:order val="0"/>
                <c:tx>
                  <c:strRef>
                    <c:extLst>
                      <c:ext uri="{02D57815-91ED-43cb-92C2-25804820EDAC}">
                        <c15:formulaRef>
                          <c15:sqref>'Investment Ratios'!$D$18</c15:sqref>
                        </c15:formulaRef>
                      </c:ext>
                    </c:extLst>
                    <c:strCache>
                      <c:ptCount val="1"/>
                      <c:pt idx="0">
                        <c:v> Earnings Per Share EPS (£)</c:v>
                      </c:pt>
                    </c:strCache>
                  </c:strRef>
                </c:tx>
                <c:spPr>
                  <a:ln w="31750" cap="rnd">
                    <a:solidFill>
                      <a:schemeClr val="accent3"/>
                    </a:solidFill>
                    <a:round/>
                  </a:ln>
                  <a:effectLst/>
                </c:spPr>
                <c:marker>
                  <c:symbol val="none"/>
                </c:marker>
                <c:cat>
                  <c:numRef>
                    <c:extLst>
                      <c:ext uri="{02D57815-91ED-43cb-92C2-25804820EDAC}">
                        <c15:formulaRef>
                          <c15:sqref>'Investment Ratios'!$C$19:$C$23</c15:sqref>
                        </c15:formulaRef>
                      </c:ext>
                    </c:extLst>
                    <c:numCache>
                      <c:formatCode>General</c:formatCode>
                      <c:ptCount val="5"/>
                      <c:pt idx="0">
                        <c:v>2020</c:v>
                      </c:pt>
                      <c:pt idx="1">
                        <c:v>2021</c:v>
                      </c:pt>
                      <c:pt idx="2">
                        <c:v>2022</c:v>
                      </c:pt>
                      <c:pt idx="3">
                        <c:v>2023</c:v>
                      </c:pt>
                      <c:pt idx="4">
                        <c:v>2024</c:v>
                      </c:pt>
                    </c:numCache>
                  </c:numRef>
                </c:cat>
                <c:val>
                  <c:numRef>
                    <c:extLst>
                      <c:ext uri="{02D57815-91ED-43cb-92C2-25804820EDAC}">
                        <c15:formulaRef>
                          <c15:sqref>'Investment Ratios'!$D$19:$D$23</c15:sqref>
                        </c15:formulaRef>
                      </c:ext>
                    </c:extLst>
                    <c:numCache>
                      <c:formatCode>General</c:formatCode>
                      <c:ptCount val="5"/>
                      <c:pt idx="0">
                        <c:v>2.78</c:v>
                      </c:pt>
                      <c:pt idx="1">
                        <c:v>0.39</c:v>
                      </c:pt>
                      <c:pt idx="2">
                        <c:v>0.03</c:v>
                      </c:pt>
                      <c:pt idx="3">
                        <c:v>-7.64</c:v>
                      </c:pt>
                      <c:pt idx="4">
                        <c:v>-1.85</c:v>
                      </c:pt>
                    </c:numCache>
                  </c:numRef>
                </c:val>
                <c:smooth val="0"/>
                <c:extLst>
                  <c:ext xmlns:c16="http://schemas.microsoft.com/office/drawing/2014/chart" uri="{C3380CC4-5D6E-409C-BE32-E72D297353CC}">
                    <c16:uniqueId val="{00000002-0A00-46B8-A794-74579B05C8D8}"/>
                  </c:ext>
                </c:extLst>
              </c15:ser>
            </c15:filteredLineSeries>
            <c15:filteredLineSeries>
              <c15:ser>
                <c:idx val="3"/>
                <c:order val="1"/>
                <c:tx>
                  <c:strRef>
                    <c:extLst xmlns:c15="http://schemas.microsoft.com/office/drawing/2012/chart">
                      <c:ext xmlns:c15="http://schemas.microsoft.com/office/drawing/2012/chart" uri="{02D57815-91ED-43cb-92C2-25804820EDAC}">
                        <c15:formulaRef>
                          <c15:sqref>'Investment Ratios'!$E$18</c15:sqref>
                        </c15:formulaRef>
                      </c:ext>
                    </c:extLst>
                    <c:strCache>
                      <c:ptCount val="1"/>
                      <c:pt idx="0">
                        <c:v>Return on Equity ROE (%)</c:v>
                      </c:pt>
                    </c:strCache>
                  </c:strRef>
                </c:tx>
                <c:spPr>
                  <a:ln w="31750" cap="rnd">
                    <a:solidFill>
                      <a:schemeClr val="accent4"/>
                    </a:solidFill>
                    <a:round/>
                  </a:ln>
                  <a:effectLst/>
                </c:spPr>
                <c:marker>
                  <c:symbol val="none"/>
                </c:marker>
                <c:cat>
                  <c:numRef>
                    <c:extLst xmlns:c15="http://schemas.microsoft.com/office/drawing/2012/chart">
                      <c:ext xmlns:c15="http://schemas.microsoft.com/office/drawing/2012/chart" uri="{02D57815-91ED-43cb-92C2-25804820EDAC}">
                        <c15:formulaRef>
                          <c15:sqref>'Investment Ratios'!$C$19:$C$23</c15:sqref>
                        </c15:formulaRef>
                      </c:ext>
                    </c:extLst>
                    <c:numCache>
                      <c:formatCode>General</c:formatCode>
                      <c:ptCount val="5"/>
                      <c:pt idx="0">
                        <c:v>2020</c:v>
                      </c:pt>
                      <c:pt idx="1">
                        <c:v>2021</c:v>
                      </c:pt>
                      <c:pt idx="2">
                        <c:v>2022</c:v>
                      </c:pt>
                      <c:pt idx="3">
                        <c:v>2023</c:v>
                      </c:pt>
                      <c:pt idx="4">
                        <c:v>2024</c:v>
                      </c:pt>
                    </c:numCache>
                  </c:numRef>
                </c:cat>
                <c:val>
                  <c:numRef>
                    <c:extLst xmlns:c15="http://schemas.microsoft.com/office/drawing/2012/chart">
                      <c:ext xmlns:c15="http://schemas.microsoft.com/office/drawing/2012/chart" uri="{02D57815-91ED-43cb-92C2-25804820EDAC}">
                        <c15:formulaRef>
                          <c15:sqref>'Investment Ratios'!$E$19:$E$23</c15:sqref>
                        </c15:formulaRef>
                      </c:ext>
                    </c:extLst>
                    <c:numCache>
                      <c:formatCode>0.00%</c:formatCode>
                      <c:ptCount val="5"/>
                      <c:pt idx="0">
                        <c:v>0.12479999999999999</c:v>
                      </c:pt>
                      <c:pt idx="1">
                        <c:v>1.7999999999999999E-2</c:v>
                      </c:pt>
                      <c:pt idx="2">
                        <c:v>1.5E-3</c:v>
                      </c:pt>
                      <c:pt idx="3">
                        <c:v>-0.43919999999999998</c:v>
                      </c:pt>
                      <c:pt idx="4">
                        <c:v>-0.14480000000000001</c:v>
                      </c:pt>
                    </c:numCache>
                  </c:numRef>
                </c:val>
                <c:smooth val="0"/>
                <c:extLst xmlns:c15="http://schemas.microsoft.com/office/drawing/2012/chart">
                  <c:ext xmlns:c16="http://schemas.microsoft.com/office/drawing/2014/chart" uri="{C3380CC4-5D6E-409C-BE32-E72D297353CC}">
                    <c16:uniqueId val="{00000003-0A00-46B8-A794-74579B05C8D8}"/>
                  </c:ext>
                </c:extLst>
              </c15:ser>
            </c15:filteredLineSeries>
          </c:ext>
        </c:extLst>
      </c:lineChart>
      <c:catAx>
        <c:axId val="1400421023"/>
        <c:scaling>
          <c:orientation val="minMax"/>
        </c:scaling>
        <c:delete val="0"/>
        <c:axPos val="b"/>
        <c:numFmt formatCode="General" sourceLinked="1"/>
        <c:majorTickMark val="none"/>
        <c:minorTickMark val="none"/>
        <c:tickLblPos val="low"/>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400420063"/>
        <c:crosses val="autoZero"/>
        <c:auto val="1"/>
        <c:lblAlgn val="ctr"/>
        <c:lblOffset val="100"/>
        <c:noMultiLvlLbl val="0"/>
      </c:catAx>
      <c:valAx>
        <c:axId val="1400420063"/>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4004210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Liquidity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'Liquidity Analysis'!$M$1</c:f>
              <c:strCache>
                <c:ptCount val="1"/>
                <c:pt idx="0">
                  <c:v>Current Ratio</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'Liquidity Analysis'!$I$2:$I$7</c:f>
              <c:numCache>
                <c:formatCode>General</c:formatCode>
                <c:ptCount val="6"/>
                <c:pt idx="1">
                  <c:v>2020</c:v>
                </c:pt>
                <c:pt idx="2">
                  <c:v>2021</c:v>
                </c:pt>
                <c:pt idx="3">
                  <c:v>2022</c:v>
                </c:pt>
                <c:pt idx="4">
                  <c:v>2023</c:v>
                </c:pt>
                <c:pt idx="5">
                  <c:v>2024</c:v>
                </c:pt>
              </c:numCache>
            </c:numRef>
          </c:xVal>
          <c:yVal>
            <c:numRef>
              <c:f>'Liquidity Analysis'!$M$2:$M$7</c:f>
              <c:numCache>
                <c:formatCode>0.00%</c:formatCode>
                <c:ptCount val="6"/>
                <c:pt idx="1">
                  <c:v>1.8207509330956492E-2</c:v>
                </c:pt>
                <c:pt idx="2">
                  <c:v>1.5551947303113194E-2</c:v>
                </c:pt>
                <c:pt idx="3">
                  <c:v>1.5615804280441441E-2</c:v>
                </c:pt>
                <c:pt idx="4">
                  <c:v>1.6062935934668753E-2</c:v>
                </c:pt>
                <c:pt idx="5">
                  <c:v>1.5319506478574272E-2</c:v>
                </c:pt>
              </c:numCache>
            </c:numRef>
          </c:yVal>
          <c:smooth val="0"/>
          <c:extLst>
            <c:ext xmlns:c16="http://schemas.microsoft.com/office/drawing/2014/chart" uri="{C3380CC4-5D6E-409C-BE32-E72D297353CC}">
              <c16:uniqueId val="{00000000-4216-4C65-809C-486A15DAB715}"/>
            </c:ext>
          </c:extLst>
        </c:ser>
        <c:ser>
          <c:idx val="1"/>
          <c:order val="1"/>
          <c:tx>
            <c:strRef>
              <c:f>'Liquidity Analysis'!$N$1</c:f>
              <c:strCache>
                <c:ptCount val="1"/>
                <c:pt idx="0">
                  <c:v>Quick Ratio</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'Liquidity Analysis'!$I$2:$I$7</c:f>
              <c:numCache>
                <c:formatCode>General</c:formatCode>
                <c:ptCount val="6"/>
                <c:pt idx="1">
                  <c:v>2020</c:v>
                </c:pt>
                <c:pt idx="2">
                  <c:v>2021</c:v>
                </c:pt>
                <c:pt idx="3">
                  <c:v>2022</c:v>
                </c:pt>
                <c:pt idx="4">
                  <c:v>2023</c:v>
                </c:pt>
                <c:pt idx="5">
                  <c:v>2024</c:v>
                </c:pt>
              </c:numCache>
            </c:numRef>
          </c:xVal>
          <c:yVal>
            <c:numRef>
              <c:f>'Liquidity Analysis'!$N$2:$N$7</c:f>
              <c:numCache>
                <c:formatCode>0.00%</c:formatCode>
                <c:ptCount val="6"/>
                <c:pt idx="1">
                  <c:v>1.1498690880730878E-2</c:v>
                </c:pt>
                <c:pt idx="2">
                  <c:v>9.349130713557547E-3</c:v>
                </c:pt>
                <c:pt idx="3">
                  <c:v>9.1401237105782247E-3</c:v>
                </c:pt>
                <c:pt idx="4">
                  <c:v>1.0585176359619728E-2</c:v>
                </c:pt>
                <c:pt idx="5">
                  <c:v>1.0306271360974409E-2</c:v>
                </c:pt>
              </c:numCache>
            </c:numRef>
          </c:yVal>
          <c:smooth val="0"/>
          <c:extLst>
            <c:ext xmlns:c16="http://schemas.microsoft.com/office/drawing/2014/chart" uri="{C3380CC4-5D6E-409C-BE32-E72D297353CC}">
              <c16:uniqueId val="{00000001-4216-4C65-809C-486A15DAB715}"/>
            </c:ext>
          </c:extLst>
        </c:ser>
        <c:dLbls>
          <c:showLegendKey val="0"/>
          <c:showVal val="0"/>
          <c:showCatName val="0"/>
          <c:showSerName val="0"/>
          <c:showPercent val="0"/>
          <c:showBubbleSize val="0"/>
        </c:dLbls>
        <c:axId val="1393742495"/>
        <c:axId val="1393733855"/>
      </c:scatterChart>
      <c:valAx>
        <c:axId val="1393742495"/>
        <c:scaling>
          <c:orientation val="minMax"/>
          <c:max val="2024"/>
          <c:min val="202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3733855"/>
        <c:crosses val="autoZero"/>
        <c:crossBetween val="midCat"/>
        <c:majorUnit val="1"/>
        <c:minorUnit val="1"/>
      </c:valAx>
      <c:valAx>
        <c:axId val="13937338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Margin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374249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Efficiency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'Efficiency Analysis'!$L$2</c:f>
              <c:strCache>
                <c:ptCount val="1"/>
                <c:pt idx="0">
                  <c:v>Inventory Turnover 
(times)</c:v>
                </c:pt>
              </c:strCache>
            </c:strRef>
          </c:tx>
          <c:spPr>
            <a:ln w="28575" cap="rnd">
              <a:solidFill>
                <a:schemeClr val="accent1"/>
              </a:solidFill>
              <a:round/>
            </a:ln>
            <a:effectLst/>
          </c:spPr>
          <c:marker>
            <c:symbol val="none"/>
          </c:marker>
          <c:cat>
            <c:numRef>
              <c:f>'Efficiency Analysis'!$K$3:$K$7</c:f>
              <c:numCache>
                <c:formatCode>General</c:formatCode>
                <c:ptCount val="5"/>
                <c:pt idx="0">
                  <c:v>2020</c:v>
                </c:pt>
                <c:pt idx="1">
                  <c:v>2021</c:v>
                </c:pt>
                <c:pt idx="2">
                  <c:v>2022</c:v>
                </c:pt>
                <c:pt idx="3">
                  <c:v>2023</c:v>
                </c:pt>
                <c:pt idx="4">
                  <c:v>2024</c:v>
                </c:pt>
              </c:numCache>
            </c:numRef>
          </c:cat>
          <c:val>
            <c:numRef>
              <c:f>'Efficiency Analysis'!$L$3:$L$7</c:f>
              <c:numCache>
                <c:formatCode>General</c:formatCode>
                <c:ptCount val="5"/>
                <c:pt idx="0">
                  <c:v>3.74</c:v>
                </c:pt>
                <c:pt idx="1">
                  <c:v>3.36</c:v>
                </c:pt>
                <c:pt idx="2">
                  <c:v>2.84</c:v>
                </c:pt>
                <c:pt idx="3">
                  <c:v>2.83</c:v>
                </c:pt>
                <c:pt idx="4">
                  <c:v>3.35</c:v>
                </c:pt>
              </c:numCache>
            </c:numRef>
          </c:val>
          <c:smooth val="0"/>
          <c:extLst>
            <c:ext xmlns:c16="http://schemas.microsoft.com/office/drawing/2014/chart" uri="{C3380CC4-5D6E-409C-BE32-E72D297353CC}">
              <c16:uniqueId val="{00000000-3A40-4AD8-8C13-2D087731F785}"/>
            </c:ext>
          </c:extLst>
        </c:ser>
        <c:ser>
          <c:idx val="1"/>
          <c:order val="1"/>
          <c:tx>
            <c:strRef>
              <c:f>'Efficiency Analysis'!$M$2</c:f>
              <c:strCache>
                <c:ptCount val="1"/>
                <c:pt idx="0">
                  <c:v>Receivables Turnover (times)</c:v>
                </c:pt>
              </c:strCache>
            </c:strRef>
          </c:tx>
          <c:spPr>
            <a:ln w="28575" cap="rnd">
              <a:solidFill>
                <a:schemeClr val="accent2"/>
              </a:solidFill>
              <a:round/>
            </a:ln>
            <a:effectLst/>
          </c:spPr>
          <c:marker>
            <c:symbol val="none"/>
          </c:marker>
          <c:cat>
            <c:numRef>
              <c:f>'Efficiency Analysis'!$K$3:$K$7</c:f>
              <c:numCache>
                <c:formatCode>General</c:formatCode>
                <c:ptCount val="5"/>
                <c:pt idx="0">
                  <c:v>2020</c:v>
                </c:pt>
                <c:pt idx="1">
                  <c:v>2021</c:v>
                </c:pt>
                <c:pt idx="2">
                  <c:v>2022</c:v>
                </c:pt>
                <c:pt idx="3">
                  <c:v>2023</c:v>
                </c:pt>
                <c:pt idx="4">
                  <c:v>2024</c:v>
                </c:pt>
              </c:numCache>
            </c:numRef>
          </c:cat>
          <c:val>
            <c:numRef>
              <c:f>'Efficiency Analysis'!$M$3:$M$7</c:f>
              <c:numCache>
                <c:formatCode>0.00</c:formatCode>
                <c:ptCount val="5"/>
                <c:pt idx="0">
                  <c:v>4.8317441851324903</c:v>
                </c:pt>
                <c:pt idx="1">
                  <c:v>4.6518975596177041</c:v>
                </c:pt>
                <c:pt idx="2">
                  <c:v>4.4936786415081844</c:v>
                </c:pt>
                <c:pt idx="3">
                  <c:v>3.738359221488206</c:v>
                </c:pt>
                <c:pt idx="4">
                  <c:v>3.4825159406997153</c:v>
                </c:pt>
              </c:numCache>
            </c:numRef>
          </c:val>
          <c:smooth val="0"/>
          <c:extLst>
            <c:ext xmlns:c16="http://schemas.microsoft.com/office/drawing/2014/chart" uri="{C3380CC4-5D6E-409C-BE32-E72D297353CC}">
              <c16:uniqueId val="{00000001-3A40-4AD8-8C13-2D087731F785}"/>
            </c:ext>
          </c:extLst>
        </c:ser>
        <c:dLbls>
          <c:showLegendKey val="0"/>
          <c:showVal val="0"/>
          <c:showCatName val="0"/>
          <c:showSerName val="0"/>
          <c:showPercent val="0"/>
          <c:showBubbleSize val="0"/>
        </c:dLbls>
        <c:smooth val="0"/>
        <c:axId val="1400405663"/>
        <c:axId val="1400409503"/>
      </c:lineChart>
      <c:catAx>
        <c:axId val="140040566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0409503"/>
        <c:crosses val="autoZero"/>
        <c:auto val="1"/>
        <c:lblAlgn val="ctr"/>
        <c:lblOffset val="100"/>
        <c:noMultiLvlLbl val="0"/>
      </c:catAx>
      <c:valAx>
        <c:axId val="14004095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Turnover (times)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04056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Gearing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'Gearing Analysis'!$E$21</c:f>
              <c:strCache>
                <c:ptCount val="1"/>
                <c:pt idx="0">
                  <c:v>Debt-to-Equity Ratio</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'Gearing Analysis'!$D$22:$D$26</c:f>
              <c:numCache>
                <c:formatCode>General</c:formatCode>
                <c:ptCount val="5"/>
                <c:pt idx="0">
                  <c:v>2020</c:v>
                </c:pt>
                <c:pt idx="1">
                  <c:v>2021</c:v>
                </c:pt>
                <c:pt idx="2">
                  <c:v>2022</c:v>
                </c:pt>
                <c:pt idx="3">
                  <c:v>2023</c:v>
                </c:pt>
                <c:pt idx="4">
                  <c:v>2024</c:v>
                </c:pt>
              </c:numCache>
            </c:numRef>
          </c:xVal>
          <c:yVal>
            <c:numRef>
              <c:f>'Gearing Analysis'!$E$22:$E$26</c:f>
              <c:numCache>
                <c:formatCode>0.00</c:formatCode>
                <c:ptCount val="5"/>
                <c:pt idx="0">
                  <c:v>0.62875317984941004</c:v>
                </c:pt>
                <c:pt idx="1">
                  <c:v>0.84942869878129657</c:v>
                </c:pt>
                <c:pt idx="2">
                  <c:v>0.87835964918817011</c:v>
                </c:pt>
                <c:pt idx="3">
                  <c:v>0.98900067069081155</c:v>
                </c:pt>
                <c:pt idx="4">
                  <c:v>1.1119754416903431</c:v>
                </c:pt>
              </c:numCache>
            </c:numRef>
          </c:yVal>
          <c:smooth val="0"/>
          <c:extLst>
            <c:ext xmlns:c16="http://schemas.microsoft.com/office/drawing/2014/chart" uri="{C3380CC4-5D6E-409C-BE32-E72D297353CC}">
              <c16:uniqueId val="{00000000-E0BB-41BE-A8D8-507E3B257FD5}"/>
            </c:ext>
          </c:extLst>
        </c:ser>
        <c:ser>
          <c:idx val="1"/>
          <c:order val="1"/>
          <c:tx>
            <c:strRef>
              <c:f>'Gearing Analysis'!$F$21</c:f>
              <c:strCache>
                <c:ptCount val="1"/>
                <c:pt idx="0">
                  <c:v>Interest Coverage Ratio</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'Gearing Analysis'!$D$22:$D$26</c:f>
              <c:numCache>
                <c:formatCode>General</c:formatCode>
                <c:ptCount val="5"/>
                <c:pt idx="0">
                  <c:v>2020</c:v>
                </c:pt>
                <c:pt idx="1">
                  <c:v>2021</c:v>
                </c:pt>
                <c:pt idx="2">
                  <c:v>2022</c:v>
                </c:pt>
                <c:pt idx="3">
                  <c:v>2023</c:v>
                </c:pt>
                <c:pt idx="4">
                  <c:v>2024</c:v>
                </c:pt>
              </c:numCache>
            </c:numRef>
          </c:xVal>
          <c:yVal>
            <c:numRef>
              <c:f>'Gearing Analysis'!$F$22:$F$26</c:f>
              <c:numCache>
                <c:formatCode>0.00</c:formatCode>
                <c:ptCount val="5"/>
                <c:pt idx="0">
                  <c:v>26.20745428973277</c:v>
                </c:pt>
                <c:pt idx="1">
                  <c:v>41.083038869257948</c:v>
                </c:pt>
                <c:pt idx="2">
                  <c:v>6.6127272727272723</c:v>
                </c:pt>
                <c:pt idx="3">
                  <c:v>-19.690904893813482</c:v>
                </c:pt>
                <c:pt idx="4">
                  <c:v>-4.5513240107110979</c:v>
                </c:pt>
              </c:numCache>
            </c:numRef>
          </c:yVal>
          <c:smooth val="0"/>
          <c:extLst>
            <c:ext xmlns:c16="http://schemas.microsoft.com/office/drawing/2014/chart" uri="{C3380CC4-5D6E-409C-BE32-E72D297353CC}">
              <c16:uniqueId val="{00000001-E0BB-41BE-A8D8-507E3B257FD5}"/>
            </c:ext>
          </c:extLst>
        </c:ser>
        <c:dLbls>
          <c:showLegendKey val="0"/>
          <c:showVal val="0"/>
          <c:showCatName val="0"/>
          <c:showSerName val="0"/>
          <c:showPercent val="0"/>
          <c:showBubbleSize val="0"/>
        </c:dLbls>
        <c:axId val="1569703071"/>
        <c:axId val="1569704991"/>
      </c:scatterChart>
      <c:valAx>
        <c:axId val="1569703071"/>
        <c:scaling>
          <c:orientation val="minMax"/>
          <c:max val="2024"/>
          <c:min val="202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in"/>
        <c:minorTickMark val="out"/>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9704991"/>
        <c:crosses val="autoZero"/>
        <c:crossBetween val="midCat"/>
        <c:majorUnit val="1"/>
        <c:minorUnit val="0.5"/>
      </c:valAx>
      <c:valAx>
        <c:axId val="15697049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Ratios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9703071"/>
        <c:crosses val="autoZero"/>
        <c:crossBetween val="midCat"/>
        <c:majorUnit val="15"/>
        <c:minorUnit val="3"/>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CASH FLOW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'CASH FLOW ANALYSIS'!$J$2</c:f>
              <c:strCache>
                <c:ptCount val="1"/>
                <c:pt idx="0">
                  <c:v>Operating 
Cash Flow 
(OCF)</c:v>
                </c:pt>
              </c:strCache>
            </c:strRef>
          </c:tx>
          <c:spPr>
            <a:ln w="28575" cap="rnd">
              <a:solidFill>
                <a:schemeClr val="accent1"/>
              </a:solidFill>
              <a:round/>
            </a:ln>
            <a:effectLst/>
          </c:spPr>
          <c:marker>
            <c:symbol val="none"/>
          </c:marker>
          <c:cat>
            <c:numRef>
              <c:f>'CASH FLOW ANALYSIS'!$I$3:$I$7</c:f>
              <c:numCache>
                <c:formatCode>General</c:formatCode>
                <c:ptCount val="5"/>
                <c:pt idx="0">
                  <c:v>2024</c:v>
                </c:pt>
                <c:pt idx="1">
                  <c:v>2023</c:v>
                </c:pt>
                <c:pt idx="2">
                  <c:v>2022</c:v>
                </c:pt>
                <c:pt idx="3">
                  <c:v>2021</c:v>
                </c:pt>
                <c:pt idx="4">
                  <c:v>2020</c:v>
                </c:pt>
              </c:numCache>
            </c:numRef>
          </c:cat>
          <c:val>
            <c:numRef>
              <c:f>'CASH FLOW ANALYSIS'!$J$3:$J$7</c:f>
              <c:numCache>
                <c:formatCode>#,##0</c:formatCode>
                <c:ptCount val="5"/>
                <c:pt idx="0">
                  <c:v>14822</c:v>
                </c:pt>
                <c:pt idx="1">
                  <c:v>25190</c:v>
                </c:pt>
                <c:pt idx="2">
                  <c:v>10926</c:v>
                </c:pt>
                <c:pt idx="3">
                  <c:v>40283</c:v>
                </c:pt>
                <c:pt idx="4">
                  <c:v>73392</c:v>
                </c:pt>
              </c:numCache>
            </c:numRef>
          </c:val>
          <c:smooth val="0"/>
          <c:extLst>
            <c:ext xmlns:c16="http://schemas.microsoft.com/office/drawing/2014/chart" uri="{C3380CC4-5D6E-409C-BE32-E72D297353CC}">
              <c16:uniqueId val="{00000000-ED4B-497B-A271-017EAFA5A689}"/>
            </c:ext>
          </c:extLst>
        </c:ser>
        <c:ser>
          <c:idx val="1"/>
          <c:order val="1"/>
          <c:tx>
            <c:strRef>
              <c:f>'CASH FLOW ANALYSIS'!$K$2</c:f>
              <c:strCache>
                <c:ptCount val="1"/>
                <c:pt idx="0">
                  <c:v>Investing 
Cash Flow 
(ICF)</c:v>
                </c:pt>
              </c:strCache>
            </c:strRef>
          </c:tx>
          <c:spPr>
            <a:ln w="28575" cap="rnd">
              <a:solidFill>
                <a:schemeClr val="accent2"/>
              </a:solidFill>
              <a:round/>
            </a:ln>
            <a:effectLst/>
          </c:spPr>
          <c:marker>
            <c:symbol val="none"/>
          </c:marker>
          <c:cat>
            <c:numRef>
              <c:f>'CASH FLOW ANALYSIS'!$I$3:$I$7</c:f>
              <c:numCache>
                <c:formatCode>General</c:formatCode>
                <c:ptCount val="5"/>
                <c:pt idx="0">
                  <c:v>2024</c:v>
                </c:pt>
                <c:pt idx="1">
                  <c:v>2023</c:v>
                </c:pt>
                <c:pt idx="2">
                  <c:v>2022</c:v>
                </c:pt>
                <c:pt idx="3">
                  <c:v>2021</c:v>
                </c:pt>
                <c:pt idx="4">
                  <c:v>2020</c:v>
                </c:pt>
              </c:numCache>
            </c:numRef>
          </c:cat>
          <c:val>
            <c:numRef>
              <c:f>'CASH FLOW ANALYSIS'!$K$3:$K$7</c:f>
              <c:numCache>
                <c:formatCode>#,##0</c:formatCode>
                <c:ptCount val="5"/>
                <c:pt idx="0">
                  <c:v>-8428</c:v>
                </c:pt>
                <c:pt idx="1">
                  <c:v>-13877</c:v>
                </c:pt>
                <c:pt idx="2">
                  <c:v>-21208</c:v>
                </c:pt>
                <c:pt idx="3">
                  <c:v>-17041</c:v>
                </c:pt>
                <c:pt idx="4">
                  <c:v>-23734</c:v>
                </c:pt>
              </c:numCache>
            </c:numRef>
          </c:val>
          <c:smooth val="0"/>
          <c:extLst>
            <c:ext xmlns:c16="http://schemas.microsoft.com/office/drawing/2014/chart" uri="{C3380CC4-5D6E-409C-BE32-E72D297353CC}">
              <c16:uniqueId val="{00000001-ED4B-497B-A271-017EAFA5A689}"/>
            </c:ext>
          </c:extLst>
        </c:ser>
        <c:ser>
          <c:idx val="2"/>
          <c:order val="2"/>
          <c:tx>
            <c:strRef>
              <c:f>'CASH FLOW ANALYSIS'!$L$2</c:f>
              <c:strCache>
                <c:ptCount val="1"/>
                <c:pt idx="0">
                  <c:v>Financing 
Cash Flow 
(FCF)</c:v>
                </c:pt>
              </c:strCache>
            </c:strRef>
          </c:tx>
          <c:spPr>
            <a:ln w="28575" cap="rnd">
              <a:solidFill>
                <a:schemeClr val="accent3"/>
              </a:solidFill>
              <a:round/>
            </a:ln>
            <a:effectLst/>
          </c:spPr>
          <c:marker>
            <c:symbol val="none"/>
          </c:marker>
          <c:cat>
            <c:numRef>
              <c:f>'CASH FLOW ANALYSIS'!$I$3:$I$7</c:f>
              <c:numCache>
                <c:formatCode>General</c:formatCode>
                <c:ptCount val="5"/>
                <c:pt idx="0">
                  <c:v>2024</c:v>
                </c:pt>
                <c:pt idx="1">
                  <c:v>2023</c:v>
                </c:pt>
                <c:pt idx="2">
                  <c:v>2022</c:v>
                </c:pt>
                <c:pt idx="3">
                  <c:v>2021</c:v>
                </c:pt>
                <c:pt idx="4">
                  <c:v>2020</c:v>
                </c:pt>
              </c:numCache>
            </c:numRef>
          </c:cat>
          <c:val>
            <c:numRef>
              <c:f>'CASH FLOW ANALYSIS'!$L$3:$L$7</c:f>
              <c:numCache>
                <c:formatCode>#,##0</c:formatCode>
                <c:ptCount val="5"/>
                <c:pt idx="0">
                  <c:v>-19764</c:v>
                </c:pt>
                <c:pt idx="1">
                  <c:v>-34779</c:v>
                </c:pt>
                <c:pt idx="2">
                  <c:v>20501</c:v>
                </c:pt>
                <c:pt idx="3">
                  <c:v>-22026</c:v>
                </c:pt>
                <c:pt idx="4">
                  <c:v>65964</c:v>
                </c:pt>
              </c:numCache>
            </c:numRef>
          </c:val>
          <c:smooth val="0"/>
          <c:extLst>
            <c:ext xmlns:c16="http://schemas.microsoft.com/office/drawing/2014/chart" uri="{C3380CC4-5D6E-409C-BE32-E72D297353CC}">
              <c16:uniqueId val="{00000002-ED4B-497B-A271-017EAFA5A689}"/>
            </c:ext>
          </c:extLst>
        </c:ser>
        <c:ser>
          <c:idx val="3"/>
          <c:order val="3"/>
          <c:tx>
            <c:strRef>
              <c:f>'CASH FLOW ANALYSIS'!$M$2</c:f>
              <c:strCache>
                <c:ptCount val="1"/>
                <c:pt idx="0">
                  <c:v>Net Change 
in Cash</c:v>
                </c:pt>
              </c:strCache>
            </c:strRef>
          </c:tx>
          <c:spPr>
            <a:ln w="28575" cap="rnd">
              <a:solidFill>
                <a:schemeClr val="accent4"/>
              </a:solidFill>
              <a:round/>
            </a:ln>
            <a:effectLst/>
          </c:spPr>
          <c:marker>
            <c:symbol val="none"/>
          </c:marker>
          <c:cat>
            <c:numRef>
              <c:f>'CASH FLOW ANALYSIS'!$I$3:$I$7</c:f>
              <c:numCache>
                <c:formatCode>General</c:formatCode>
                <c:ptCount val="5"/>
                <c:pt idx="0">
                  <c:v>2024</c:v>
                </c:pt>
                <c:pt idx="1">
                  <c:v>2023</c:v>
                </c:pt>
                <c:pt idx="2">
                  <c:v>2022</c:v>
                </c:pt>
                <c:pt idx="3">
                  <c:v>2021</c:v>
                </c:pt>
                <c:pt idx="4">
                  <c:v>2020</c:v>
                </c:pt>
              </c:numCache>
            </c:numRef>
          </c:cat>
          <c:val>
            <c:numRef>
              <c:f>'CASH FLOW ANALYSIS'!$M$3:$M$7</c:f>
              <c:numCache>
                <c:formatCode>#,##0</c:formatCode>
                <c:ptCount val="5"/>
                <c:pt idx="0">
                  <c:v>-15968</c:v>
                </c:pt>
                <c:pt idx="1">
                  <c:v>-23989</c:v>
                </c:pt>
                <c:pt idx="2">
                  <c:v>5927</c:v>
                </c:pt>
                <c:pt idx="3">
                  <c:v>3660</c:v>
                </c:pt>
                <c:pt idx="4">
                  <c:v>-17149</c:v>
                </c:pt>
              </c:numCache>
            </c:numRef>
          </c:val>
          <c:smooth val="0"/>
          <c:extLst>
            <c:ext xmlns:c16="http://schemas.microsoft.com/office/drawing/2014/chart" uri="{C3380CC4-5D6E-409C-BE32-E72D297353CC}">
              <c16:uniqueId val="{00000003-ED4B-497B-A271-017EAFA5A689}"/>
            </c:ext>
          </c:extLst>
        </c:ser>
        <c:ser>
          <c:idx val="4"/>
          <c:order val="4"/>
          <c:tx>
            <c:strRef>
              <c:f>'CASH FLOW ANALYSIS'!$N$2</c:f>
              <c:strCache>
                <c:ptCount val="1"/>
                <c:pt idx="0">
                  <c:v>Closing 
Cash Balance</c:v>
                </c:pt>
              </c:strCache>
            </c:strRef>
          </c:tx>
          <c:spPr>
            <a:ln w="28575" cap="rnd">
              <a:solidFill>
                <a:schemeClr val="accent5"/>
              </a:solidFill>
              <a:round/>
            </a:ln>
            <a:effectLst/>
          </c:spPr>
          <c:marker>
            <c:symbol val="none"/>
          </c:marker>
          <c:cat>
            <c:numRef>
              <c:f>'CASH FLOW ANALYSIS'!$I$3:$I$7</c:f>
              <c:numCache>
                <c:formatCode>General</c:formatCode>
                <c:ptCount val="5"/>
                <c:pt idx="0">
                  <c:v>2024</c:v>
                </c:pt>
                <c:pt idx="1">
                  <c:v>2023</c:v>
                </c:pt>
                <c:pt idx="2">
                  <c:v>2022</c:v>
                </c:pt>
                <c:pt idx="3">
                  <c:v>2021</c:v>
                </c:pt>
                <c:pt idx="4">
                  <c:v>2020</c:v>
                </c:pt>
              </c:numCache>
            </c:numRef>
          </c:cat>
          <c:val>
            <c:numRef>
              <c:f>'CASH FLOW ANALYSIS'!$N$3:$N$7</c:f>
              <c:numCache>
                <c:formatCode>#,##0</c:formatCode>
                <c:ptCount val="5"/>
                <c:pt idx="0">
                  <c:v>26783</c:v>
                </c:pt>
                <c:pt idx="1">
                  <c:v>42751</c:v>
                </c:pt>
                <c:pt idx="2">
                  <c:v>66740</c:v>
                </c:pt>
                <c:pt idx="3">
                  <c:v>60813</c:v>
                </c:pt>
                <c:pt idx="4">
                  <c:v>57153</c:v>
                </c:pt>
              </c:numCache>
            </c:numRef>
          </c:val>
          <c:smooth val="0"/>
          <c:extLst>
            <c:ext xmlns:c16="http://schemas.microsoft.com/office/drawing/2014/chart" uri="{C3380CC4-5D6E-409C-BE32-E72D297353CC}">
              <c16:uniqueId val="{00000004-ED4B-497B-A271-017EAFA5A689}"/>
            </c:ext>
          </c:extLst>
        </c:ser>
        <c:dLbls>
          <c:showLegendKey val="0"/>
          <c:showVal val="0"/>
          <c:showCatName val="0"/>
          <c:showSerName val="0"/>
          <c:showPercent val="0"/>
          <c:showBubbleSize val="0"/>
        </c:dLbls>
        <c:smooth val="0"/>
        <c:axId val="1346095999"/>
        <c:axId val="1346091199"/>
      </c:lineChart>
      <c:catAx>
        <c:axId val="13460959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6091199"/>
        <c:crosses val="autoZero"/>
        <c:auto val="1"/>
        <c:lblAlgn val="ctr"/>
        <c:lblOffset val="100"/>
        <c:noMultiLvlLbl val="0"/>
      </c:catAx>
      <c:valAx>
        <c:axId val="13460911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Cash Flow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60959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Investment Ratios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lineChart>
        <c:grouping val="standard"/>
        <c:varyColors val="0"/>
        <c:ser>
          <c:idx val="0"/>
          <c:order val="2"/>
          <c:tx>
            <c:strRef>
              <c:f>'Investment Ratios'!$D$18</c:f>
              <c:strCache>
                <c:ptCount val="1"/>
                <c:pt idx="0">
                  <c:v> Earnings Per Share EPS (£)</c:v>
                </c:pt>
              </c:strCache>
            </c:strRef>
          </c:tx>
          <c:spPr>
            <a:ln w="31750" cap="rnd">
              <a:solidFill>
                <a:schemeClr val="accent1"/>
              </a:solidFill>
              <a:round/>
            </a:ln>
            <a:effectLst/>
          </c:spPr>
          <c:marker>
            <c:symbol val="none"/>
          </c:marker>
          <c:cat>
            <c:numRef>
              <c:f>'Investment Ratios'!$C$19:$C$23</c:f>
              <c:numCache>
                <c:formatCode>General</c:formatCode>
                <c:ptCount val="5"/>
                <c:pt idx="0">
                  <c:v>2020</c:v>
                </c:pt>
                <c:pt idx="1">
                  <c:v>2021</c:v>
                </c:pt>
                <c:pt idx="2">
                  <c:v>2022</c:v>
                </c:pt>
                <c:pt idx="3">
                  <c:v>2023</c:v>
                </c:pt>
                <c:pt idx="4">
                  <c:v>2024</c:v>
                </c:pt>
              </c:numCache>
            </c:numRef>
          </c:cat>
          <c:val>
            <c:numRef>
              <c:f>'Investment Ratios'!$D$19:$D$23</c:f>
              <c:numCache>
                <c:formatCode>General</c:formatCode>
                <c:ptCount val="5"/>
                <c:pt idx="0">
                  <c:v>2.78</c:v>
                </c:pt>
                <c:pt idx="1">
                  <c:v>0.39</c:v>
                </c:pt>
                <c:pt idx="2">
                  <c:v>0.03</c:v>
                </c:pt>
                <c:pt idx="3">
                  <c:v>-7.64</c:v>
                </c:pt>
                <c:pt idx="4">
                  <c:v>-1.85</c:v>
                </c:pt>
              </c:numCache>
            </c:numRef>
          </c:val>
          <c:smooth val="0"/>
          <c:extLst>
            <c:ext xmlns:c16="http://schemas.microsoft.com/office/drawing/2014/chart" uri="{C3380CC4-5D6E-409C-BE32-E72D297353CC}">
              <c16:uniqueId val="{00000000-FF62-4D9B-84A0-885B50917EED}"/>
            </c:ext>
          </c:extLst>
        </c:ser>
        <c:ser>
          <c:idx val="1"/>
          <c:order val="3"/>
          <c:tx>
            <c:strRef>
              <c:f>'Investment Ratios'!$E$18</c:f>
              <c:strCache>
                <c:ptCount val="1"/>
                <c:pt idx="0">
                  <c:v>Return on Equity ROE (%)</c:v>
                </c:pt>
              </c:strCache>
            </c:strRef>
          </c:tx>
          <c:spPr>
            <a:ln w="31750" cap="rnd">
              <a:solidFill>
                <a:schemeClr val="accent2"/>
              </a:solidFill>
              <a:round/>
            </a:ln>
            <a:effectLst/>
          </c:spPr>
          <c:marker>
            <c:symbol val="none"/>
          </c:marker>
          <c:cat>
            <c:numRef>
              <c:f>'Investment Ratios'!$C$19:$C$23</c:f>
              <c:numCache>
                <c:formatCode>General</c:formatCode>
                <c:ptCount val="5"/>
                <c:pt idx="0">
                  <c:v>2020</c:v>
                </c:pt>
                <c:pt idx="1">
                  <c:v>2021</c:v>
                </c:pt>
                <c:pt idx="2">
                  <c:v>2022</c:v>
                </c:pt>
                <c:pt idx="3">
                  <c:v>2023</c:v>
                </c:pt>
                <c:pt idx="4">
                  <c:v>2024</c:v>
                </c:pt>
              </c:numCache>
            </c:numRef>
          </c:cat>
          <c:val>
            <c:numRef>
              <c:f>'Investment Ratios'!$E$19:$E$23</c:f>
              <c:numCache>
                <c:formatCode>0.00%</c:formatCode>
                <c:ptCount val="5"/>
                <c:pt idx="0">
                  <c:v>0.12479999999999999</c:v>
                </c:pt>
                <c:pt idx="1">
                  <c:v>1.7999999999999999E-2</c:v>
                </c:pt>
                <c:pt idx="2">
                  <c:v>1.5E-3</c:v>
                </c:pt>
                <c:pt idx="3">
                  <c:v>-0.43919999999999998</c:v>
                </c:pt>
                <c:pt idx="4">
                  <c:v>-0.14480000000000001</c:v>
                </c:pt>
              </c:numCache>
            </c:numRef>
          </c:val>
          <c:smooth val="0"/>
          <c:extLst>
            <c:ext xmlns:c16="http://schemas.microsoft.com/office/drawing/2014/chart" uri="{C3380CC4-5D6E-409C-BE32-E72D297353CC}">
              <c16:uniqueId val="{00000001-FF62-4D9B-84A0-885B50917EED}"/>
            </c:ext>
          </c:extLst>
        </c:ser>
        <c:dLbls>
          <c:showLegendKey val="0"/>
          <c:showVal val="0"/>
          <c:showCatName val="0"/>
          <c:showSerName val="0"/>
          <c:showPercent val="0"/>
          <c:showBubbleSize val="0"/>
        </c:dLbls>
        <c:smooth val="0"/>
        <c:axId val="1400421023"/>
        <c:axId val="1400420063"/>
        <c:extLst>
          <c:ext xmlns:c15="http://schemas.microsoft.com/office/drawing/2012/chart" uri="{02D57815-91ED-43cb-92C2-25804820EDAC}">
            <c15:filteredLineSeries>
              <c15:ser>
                <c:idx val="2"/>
                <c:order val="0"/>
                <c:tx>
                  <c:strRef>
                    <c:extLst>
                      <c:ext uri="{02D57815-91ED-43cb-92C2-25804820EDAC}">
                        <c15:formulaRef>
                          <c15:sqref>'Investment Ratios'!$D$18</c15:sqref>
                        </c15:formulaRef>
                      </c:ext>
                    </c:extLst>
                    <c:strCache>
                      <c:ptCount val="1"/>
                      <c:pt idx="0">
                        <c:v> Earnings Per Share EPS (£)</c:v>
                      </c:pt>
                    </c:strCache>
                  </c:strRef>
                </c:tx>
                <c:spPr>
                  <a:ln w="31750" cap="rnd">
                    <a:solidFill>
                      <a:schemeClr val="accent3"/>
                    </a:solidFill>
                    <a:round/>
                  </a:ln>
                  <a:effectLst/>
                </c:spPr>
                <c:marker>
                  <c:symbol val="none"/>
                </c:marker>
                <c:cat>
                  <c:numRef>
                    <c:extLst>
                      <c:ext uri="{02D57815-91ED-43cb-92C2-25804820EDAC}">
                        <c15:formulaRef>
                          <c15:sqref>'Investment Ratios'!$C$19:$C$23</c15:sqref>
                        </c15:formulaRef>
                      </c:ext>
                    </c:extLst>
                    <c:numCache>
                      <c:formatCode>General</c:formatCode>
                      <c:ptCount val="5"/>
                      <c:pt idx="0">
                        <c:v>2020</c:v>
                      </c:pt>
                      <c:pt idx="1">
                        <c:v>2021</c:v>
                      </c:pt>
                      <c:pt idx="2">
                        <c:v>2022</c:v>
                      </c:pt>
                      <c:pt idx="3">
                        <c:v>2023</c:v>
                      </c:pt>
                      <c:pt idx="4">
                        <c:v>2024</c:v>
                      </c:pt>
                    </c:numCache>
                  </c:numRef>
                </c:cat>
                <c:val>
                  <c:numRef>
                    <c:extLst>
                      <c:ext uri="{02D57815-91ED-43cb-92C2-25804820EDAC}">
                        <c15:formulaRef>
                          <c15:sqref>'Investment Ratios'!$D$19:$D$23</c15:sqref>
                        </c15:formulaRef>
                      </c:ext>
                    </c:extLst>
                    <c:numCache>
                      <c:formatCode>General</c:formatCode>
                      <c:ptCount val="5"/>
                      <c:pt idx="0">
                        <c:v>2.78</c:v>
                      </c:pt>
                      <c:pt idx="1">
                        <c:v>0.39</c:v>
                      </c:pt>
                      <c:pt idx="2">
                        <c:v>0.03</c:v>
                      </c:pt>
                      <c:pt idx="3">
                        <c:v>-7.64</c:v>
                      </c:pt>
                      <c:pt idx="4">
                        <c:v>-1.85</c:v>
                      </c:pt>
                    </c:numCache>
                  </c:numRef>
                </c:val>
                <c:smooth val="0"/>
                <c:extLst>
                  <c:ext xmlns:c16="http://schemas.microsoft.com/office/drawing/2014/chart" uri="{C3380CC4-5D6E-409C-BE32-E72D297353CC}">
                    <c16:uniqueId val="{00000002-FF62-4D9B-84A0-885B50917EED}"/>
                  </c:ext>
                </c:extLst>
              </c15:ser>
            </c15:filteredLineSeries>
            <c15:filteredLineSeries>
              <c15:ser>
                <c:idx val="3"/>
                <c:order val="1"/>
                <c:tx>
                  <c:strRef>
                    <c:extLst xmlns:c15="http://schemas.microsoft.com/office/drawing/2012/chart">
                      <c:ext xmlns:c15="http://schemas.microsoft.com/office/drawing/2012/chart" uri="{02D57815-91ED-43cb-92C2-25804820EDAC}">
                        <c15:formulaRef>
                          <c15:sqref>'Investment Ratios'!$E$18</c15:sqref>
                        </c15:formulaRef>
                      </c:ext>
                    </c:extLst>
                    <c:strCache>
                      <c:ptCount val="1"/>
                      <c:pt idx="0">
                        <c:v>Return on Equity ROE (%)</c:v>
                      </c:pt>
                    </c:strCache>
                  </c:strRef>
                </c:tx>
                <c:spPr>
                  <a:ln w="31750" cap="rnd">
                    <a:solidFill>
                      <a:schemeClr val="accent4"/>
                    </a:solidFill>
                    <a:round/>
                  </a:ln>
                  <a:effectLst/>
                </c:spPr>
                <c:marker>
                  <c:symbol val="none"/>
                </c:marker>
                <c:cat>
                  <c:numRef>
                    <c:extLst xmlns:c15="http://schemas.microsoft.com/office/drawing/2012/chart">
                      <c:ext xmlns:c15="http://schemas.microsoft.com/office/drawing/2012/chart" uri="{02D57815-91ED-43cb-92C2-25804820EDAC}">
                        <c15:formulaRef>
                          <c15:sqref>'Investment Ratios'!$C$19:$C$23</c15:sqref>
                        </c15:formulaRef>
                      </c:ext>
                    </c:extLst>
                    <c:numCache>
                      <c:formatCode>General</c:formatCode>
                      <c:ptCount val="5"/>
                      <c:pt idx="0">
                        <c:v>2020</c:v>
                      </c:pt>
                      <c:pt idx="1">
                        <c:v>2021</c:v>
                      </c:pt>
                      <c:pt idx="2">
                        <c:v>2022</c:v>
                      </c:pt>
                      <c:pt idx="3">
                        <c:v>2023</c:v>
                      </c:pt>
                      <c:pt idx="4">
                        <c:v>2024</c:v>
                      </c:pt>
                    </c:numCache>
                  </c:numRef>
                </c:cat>
                <c:val>
                  <c:numRef>
                    <c:extLst xmlns:c15="http://schemas.microsoft.com/office/drawing/2012/chart">
                      <c:ext xmlns:c15="http://schemas.microsoft.com/office/drawing/2012/chart" uri="{02D57815-91ED-43cb-92C2-25804820EDAC}">
                        <c15:formulaRef>
                          <c15:sqref>'Investment Ratios'!$E$19:$E$23</c15:sqref>
                        </c15:formulaRef>
                      </c:ext>
                    </c:extLst>
                    <c:numCache>
                      <c:formatCode>0.00%</c:formatCode>
                      <c:ptCount val="5"/>
                      <c:pt idx="0">
                        <c:v>0.12479999999999999</c:v>
                      </c:pt>
                      <c:pt idx="1">
                        <c:v>1.7999999999999999E-2</c:v>
                      </c:pt>
                      <c:pt idx="2">
                        <c:v>1.5E-3</c:v>
                      </c:pt>
                      <c:pt idx="3">
                        <c:v>-0.43919999999999998</c:v>
                      </c:pt>
                      <c:pt idx="4">
                        <c:v>-0.14480000000000001</c:v>
                      </c:pt>
                    </c:numCache>
                  </c:numRef>
                </c:val>
                <c:smooth val="0"/>
                <c:extLst xmlns:c15="http://schemas.microsoft.com/office/drawing/2012/chart">
                  <c:ext xmlns:c16="http://schemas.microsoft.com/office/drawing/2014/chart" uri="{C3380CC4-5D6E-409C-BE32-E72D297353CC}">
                    <c16:uniqueId val="{00000003-FF62-4D9B-84A0-885B50917EED}"/>
                  </c:ext>
                </c:extLst>
              </c15:ser>
            </c15:filteredLineSeries>
          </c:ext>
        </c:extLst>
      </c:lineChart>
      <c:catAx>
        <c:axId val="1400421023"/>
        <c:scaling>
          <c:orientation val="minMax"/>
        </c:scaling>
        <c:delete val="0"/>
        <c:axPos val="b"/>
        <c:numFmt formatCode="General" sourceLinked="1"/>
        <c:majorTickMark val="none"/>
        <c:minorTickMark val="none"/>
        <c:tickLblPos val="low"/>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400420063"/>
        <c:crosses val="autoZero"/>
        <c:auto val="1"/>
        <c:lblAlgn val="ctr"/>
        <c:lblOffset val="100"/>
        <c:noMultiLvlLbl val="0"/>
      </c:catAx>
      <c:valAx>
        <c:axId val="1400420063"/>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4004210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2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dk1">
            <a:lumMod val="75000"/>
            <a:lumOff val="25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dk1">
            <a:lumMod val="75000"/>
            <a:lumOff val="25000"/>
          </a:schemeClr>
        </a:solidFill>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32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dk1">
            <a:lumMod val="75000"/>
            <a:lumOff val="25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dk1">
            <a:lumMod val="75000"/>
            <a:lumOff val="25000"/>
          </a:schemeClr>
        </a:solidFill>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E055A0-4518-4D07-929F-83BC5B613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TotalTime>
  <Pages>49</Pages>
  <Words>7220</Words>
  <Characters>41158</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Hitarth Girishbhai Sorathiya (2506577)</dc:creator>
  <cp:keywords/>
  <dc:description/>
  <cp:lastModifiedBy>Hitarth Girishbhai Sorathiya (2506577)</cp:lastModifiedBy>
  <cp:revision>299556</cp:revision>
  <dcterms:created xsi:type="dcterms:W3CDTF">2025-12-10T16:58:00Z</dcterms:created>
  <dcterms:modified xsi:type="dcterms:W3CDTF">2025-12-19T14:26:00Z</dcterms:modified>
</cp:coreProperties>
</file>