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31386991"/>
        <w:docPartObj>
          <w:docPartGallery w:val="Cover Pages"/>
          <w:docPartUnique/>
        </w:docPartObj>
      </w:sdtPr>
      <w:sdtEndPr>
        <w:rPr>
          <w:color w:val="auto"/>
        </w:rPr>
      </w:sdtEndPr>
      <w:sdtContent>
        <w:p w14:paraId="0B4F57B0" w14:textId="77777777" w:rsidR="001A26EF" w:rsidRDefault="001A26EF">
          <w:pPr>
            <w:pStyle w:val="NoSpacing"/>
            <w:spacing w:before="1540" w:after="240"/>
            <w:jc w:val="center"/>
            <w:rPr>
              <w:color w:val="4472C4" w:themeColor="accent1"/>
            </w:rPr>
          </w:pPr>
          <w:r>
            <w:rPr>
              <w:noProof/>
              <w:color w:val="4472C4" w:themeColor="accent1"/>
            </w:rPr>
            <w:drawing>
              <wp:inline distT="0" distB="0" distL="0" distR="0" wp14:anchorId="3B78780F" wp14:editId="17A2A7B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b/>
              <w:bCs/>
              <w:sz w:val="48"/>
              <w:szCs w:val="48"/>
              <w:u w:val="single"/>
            </w:rPr>
            <w:alias w:val="Title"/>
            <w:tag w:val=""/>
            <w:id w:val="1735040861"/>
            <w:placeholder>
              <w:docPart w:val="72DB2E7E1AD942E38F3CFF91FC0CE15D"/>
            </w:placeholder>
            <w:dataBinding w:prefixMappings="xmlns:ns0='http://purl.org/dc/elements/1.1/' xmlns:ns1='http://schemas.openxmlformats.org/package/2006/metadata/core-properties' " w:xpath="/ns1:coreProperties[1]/ns0:title[1]" w:storeItemID="{6C3C8BC8-F283-45AE-878A-BAB7291924A1}"/>
            <w:text/>
          </w:sdtPr>
          <w:sdtEndPr/>
          <w:sdtContent>
            <w:p w14:paraId="7DE3C1D1" w14:textId="3932B06B" w:rsidR="001A26EF" w:rsidRPr="001A26EF" w:rsidRDefault="001A26E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48"/>
                  <w:szCs w:val="48"/>
                  <w:u w:val="single"/>
                </w:rPr>
              </w:pPr>
              <w:r w:rsidRPr="001A26EF">
                <w:rPr>
                  <w:rFonts w:cstheme="minorHAnsi"/>
                  <w:b/>
                  <w:bCs/>
                  <w:sz w:val="48"/>
                  <w:szCs w:val="48"/>
                  <w:u w:val="single"/>
                </w:rPr>
                <w:t xml:space="preserve">Policing in 2022 – The </w:t>
              </w:r>
              <w:r>
                <w:rPr>
                  <w:rFonts w:cstheme="minorHAnsi"/>
                  <w:b/>
                  <w:bCs/>
                  <w:sz w:val="48"/>
                  <w:szCs w:val="48"/>
                  <w:u w:val="single"/>
                </w:rPr>
                <w:t>I</w:t>
              </w:r>
              <w:r w:rsidRPr="001A26EF">
                <w:rPr>
                  <w:rFonts w:cstheme="minorHAnsi"/>
                  <w:b/>
                  <w:bCs/>
                  <w:sz w:val="48"/>
                  <w:szCs w:val="48"/>
                  <w:u w:val="single"/>
                </w:rPr>
                <w:t xml:space="preserve">mpact of </w:t>
              </w:r>
              <w:r>
                <w:rPr>
                  <w:rFonts w:cstheme="minorHAnsi"/>
                  <w:b/>
                  <w:bCs/>
                  <w:sz w:val="48"/>
                  <w:szCs w:val="48"/>
                  <w:u w:val="single"/>
                </w:rPr>
                <w:t>T</w:t>
              </w:r>
              <w:r w:rsidRPr="001A26EF">
                <w:rPr>
                  <w:rFonts w:cstheme="minorHAnsi"/>
                  <w:b/>
                  <w:bCs/>
                  <w:sz w:val="48"/>
                  <w:szCs w:val="48"/>
                  <w:u w:val="single"/>
                </w:rPr>
                <w:t>echnology</w:t>
              </w:r>
            </w:p>
          </w:sdtContent>
        </w:sdt>
        <w:sdt>
          <w:sdtPr>
            <w:rPr>
              <w:b/>
              <w:bCs/>
              <w:sz w:val="36"/>
              <w:szCs w:val="36"/>
            </w:rPr>
            <w:alias w:val="Subtitle"/>
            <w:tag w:val=""/>
            <w:id w:val="328029620"/>
            <w:placeholder>
              <w:docPart w:val="B2243DD29EBF4CFC8941F670E4A8BA1C"/>
            </w:placeholder>
            <w:dataBinding w:prefixMappings="xmlns:ns0='http://purl.org/dc/elements/1.1/' xmlns:ns1='http://schemas.openxmlformats.org/package/2006/metadata/core-properties' " w:xpath="/ns1:coreProperties[1]/ns0:subject[1]" w:storeItemID="{6C3C8BC8-F283-45AE-878A-BAB7291924A1}"/>
            <w:text/>
          </w:sdtPr>
          <w:sdtEndPr/>
          <w:sdtContent>
            <w:p w14:paraId="258F68B0" w14:textId="2EBCCBDD" w:rsidR="001A26EF" w:rsidRDefault="001A26EF">
              <w:pPr>
                <w:pStyle w:val="NoSpacing"/>
                <w:jc w:val="center"/>
                <w:rPr>
                  <w:color w:val="4472C4" w:themeColor="accent1"/>
                  <w:sz w:val="28"/>
                  <w:szCs w:val="28"/>
                </w:rPr>
              </w:pPr>
              <w:r w:rsidRPr="001A26EF">
                <w:rPr>
                  <w:b/>
                  <w:bCs/>
                  <w:sz w:val="36"/>
                  <w:szCs w:val="36"/>
                </w:rPr>
                <w:t>Jack Jones</w:t>
              </w:r>
            </w:p>
          </w:sdtContent>
        </w:sdt>
        <w:p w14:paraId="7D15C745" w14:textId="1DA08EDB" w:rsidR="007F29E7" w:rsidRDefault="001A26EF" w:rsidP="001A26EF">
          <w:pPr>
            <w:pStyle w:val="NoSpacing"/>
            <w:spacing w:before="480"/>
            <w:jc w:val="center"/>
            <w:rPr>
              <w:color w:val="4472C4" w:themeColor="accent1"/>
            </w:rPr>
          </w:pPr>
          <w:r>
            <w:rPr>
              <w:noProof/>
              <w:color w:val="4472C4" w:themeColor="accent1"/>
            </w:rPr>
            <w:drawing>
              <wp:inline distT="0" distB="0" distL="0" distR="0" wp14:anchorId="58B26817" wp14:editId="4AB76C8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33952347" w14:textId="47E80B21" w:rsidR="001A26EF" w:rsidRPr="001A26EF" w:rsidRDefault="001A26EF" w:rsidP="001A26EF">
      <w:pPr>
        <w:rPr>
          <w:lang w:val="en-US"/>
        </w:rPr>
      </w:pPr>
    </w:p>
    <w:p w14:paraId="2BFFC7D5" w14:textId="0EA1FDDD" w:rsidR="001A26EF" w:rsidRPr="001A26EF" w:rsidRDefault="001A26EF" w:rsidP="001A26EF">
      <w:pPr>
        <w:rPr>
          <w:lang w:val="en-US"/>
        </w:rPr>
      </w:pPr>
    </w:p>
    <w:p w14:paraId="7794C5B3" w14:textId="217149A2" w:rsidR="001A26EF" w:rsidRPr="001A26EF" w:rsidRDefault="001A26EF" w:rsidP="001A26EF">
      <w:pPr>
        <w:rPr>
          <w:lang w:val="en-US"/>
        </w:rPr>
      </w:pPr>
    </w:p>
    <w:p w14:paraId="12228B05" w14:textId="523BF703" w:rsidR="001A26EF" w:rsidRPr="001A26EF" w:rsidRDefault="001A26EF" w:rsidP="001A26EF">
      <w:pPr>
        <w:rPr>
          <w:lang w:val="en-US"/>
        </w:rPr>
      </w:pPr>
    </w:p>
    <w:p w14:paraId="618010C5" w14:textId="091037E0" w:rsidR="001A26EF" w:rsidRDefault="001A26EF" w:rsidP="001A26EF">
      <w:pPr>
        <w:rPr>
          <w:rFonts w:eastAsiaTheme="minorEastAsia"/>
          <w:color w:val="4472C4" w:themeColor="accent1"/>
          <w:lang w:val="en-US"/>
        </w:rPr>
      </w:pPr>
    </w:p>
    <w:p w14:paraId="0FEECF8C" w14:textId="77777777" w:rsidR="001A26EF" w:rsidRDefault="001A26EF" w:rsidP="001A26EF">
      <w:pPr>
        <w:rPr>
          <w:b/>
          <w:bCs/>
          <w:sz w:val="40"/>
          <w:szCs w:val="40"/>
        </w:rPr>
      </w:pPr>
      <w:r>
        <w:rPr>
          <w:lang w:val="en-US"/>
        </w:rPr>
        <w:tab/>
      </w:r>
    </w:p>
    <w:p w14:paraId="13147ED4" w14:textId="77777777" w:rsidR="001A26EF" w:rsidRDefault="001A26EF" w:rsidP="001A26EF">
      <w:pPr>
        <w:rPr>
          <w:b/>
          <w:bCs/>
          <w:sz w:val="40"/>
          <w:szCs w:val="40"/>
        </w:rPr>
      </w:pPr>
    </w:p>
    <w:p w14:paraId="579CEB60" w14:textId="24029B82" w:rsidR="001A26EF" w:rsidRPr="005A13D8" w:rsidRDefault="001A26EF" w:rsidP="001A26EF">
      <w:pPr>
        <w:rPr>
          <w:b/>
          <w:bCs/>
          <w:sz w:val="56"/>
          <w:szCs w:val="56"/>
          <w:u w:val="single"/>
        </w:rPr>
      </w:pPr>
      <w:r w:rsidRPr="00384CAB">
        <w:rPr>
          <w:b/>
          <w:bCs/>
          <w:sz w:val="40"/>
          <w:szCs w:val="40"/>
        </w:rPr>
        <w:t xml:space="preserve">Student Number: 1902835 </w:t>
      </w:r>
    </w:p>
    <w:p w14:paraId="39FEA096" w14:textId="79614066" w:rsidR="001A26EF" w:rsidRDefault="001A26EF" w:rsidP="001A26EF">
      <w:pPr>
        <w:rPr>
          <w:b/>
          <w:bCs/>
          <w:sz w:val="40"/>
          <w:szCs w:val="40"/>
        </w:rPr>
      </w:pPr>
      <w:r w:rsidRPr="00384CAB">
        <w:rPr>
          <w:b/>
          <w:bCs/>
          <w:sz w:val="40"/>
          <w:szCs w:val="40"/>
        </w:rPr>
        <w:t>Word count:</w:t>
      </w:r>
      <w:r>
        <w:rPr>
          <w:b/>
          <w:bCs/>
          <w:sz w:val="40"/>
          <w:szCs w:val="40"/>
        </w:rPr>
        <w:t xml:space="preserve"> </w:t>
      </w:r>
      <w:r w:rsidR="008A1F46">
        <w:rPr>
          <w:b/>
          <w:bCs/>
          <w:sz w:val="40"/>
          <w:szCs w:val="40"/>
        </w:rPr>
        <w:t>1</w:t>
      </w:r>
      <w:r w:rsidR="00D74E0D">
        <w:rPr>
          <w:b/>
          <w:bCs/>
          <w:sz w:val="40"/>
          <w:szCs w:val="40"/>
        </w:rPr>
        <w:t>09</w:t>
      </w:r>
      <w:r w:rsidR="00B63977">
        <w:rPr>
          <w:b/>
          <w:bCs/>
          <w:sz w:val="40"/>
          <w:szCs w:val="40"/>
        </w:rPr>
        <w:t>4</w:t>
      </w:r>
    </w:p>
    <w:p w14:paraId="786364BE" w14:textId="77777777" w:rsidR="001A26EF" w:rsidRDefault="001A26EF" w:rsidP="001A26EF">
      <w:pPr>
        <w:rPr>
          <w:b/>
          <w:bCs/>
          <w:sz w:val="40"/>
          <w:szCs w:val="40"/>
        </w:rPr>
      </w:pPr>
      <w:r w:rsidRPr="00AC60D5">
        <w:rPr>
          <w:b/>
          <w:bCs/>
          <w:sz w:val="40"/>
          <w:szCs w:val="40"/>
        </w:rPr>
        <w:t>Module Code:</w:t>
      </w:r>
      <w:r w:rsidRPr="00AC60D5">
        <w:t xml:space="preserve"> </w:t>
      </w:r>
      <w:r w:rsidRPr="00E0606F">
        <w:rPr>
          <w:b/>
          <w:bCs/>
          <w:sz w:val="40"/>
          <w:szCs w:val="40"/>
        </w:rPr>
        <w:t>BMPL600</w:t>
      </w:r>
      <w:r>
        <w:rPr>
          <w:b/>
          <w:bCs/>
          <w:sz w:val="40"/>
          <w:szCs w:val="40"/>
        </w:rPr>
        <w:t>1</w:t>
      </w:r>
    </w:p>
    <w:p w14:paraId="4E3C4BD7" w14:textId="3BBC774B" w:rsidR="001A26EF" w:rsidRDefault="001A26EF" w:rsidP="001A26EF">
      <w:pPr>
        <w:tabs>
          <w:tab w:val="left" w:pos="1455"/>
        </w:tabs>
        <w:rPr>
          <w:lang w:val="en-US"/>
        </w:rPr>
      </w:pPr>
    </w:p>
    <w:p w14:paraId="48395322" w14:textId="5A3725DA" w:rsidR="00516D71" w:rsidRDefault="00516D71" w:rsidP="001A26EF">
      <w:pPr>
        <w:tabs>
          <w:tab w:val="left" w:pos="1455"/>
        </w:tabs>
        <w:rPr>
          <w:lang w:val="en-US"/>
        </w:rPr>
      </w:pPr>
    </w:p>
    <w:p w14:paraId="10B4089F" w14:textId="65BB68DE" w:rsidR="00516D71" w:rsidRDefault="00516D71" w:rsidP="001A26EF">
      <w:pPr>
        <w:tabs>
          <w:tab w:val="left" w:pos="1455"/>
        </w:tabs>
        <w:rPr>
          <w:lang w:val="en-US"/>
        </w:rPr>
      </w:pPr>
    </w:p>
    <w:p w14:paraId="61B2F3D3" w14:textId="2940C410" w:rsidR="00516D71" w:rsidRDefault="00516D71" w:rsidP="001A26EF">
      <w:pPr>
        <w:tabs>
          <w:tab w:val="left" w:pos="1455"/>
        </w:tabs>
        <w:rPr>
          <w:lang w:val="en-US"/>
        </w:rPr>
      </w:pPr>
    </w:p>
    <w:p w14:paraId="34AE6E8F" w14:textId="22D42823" w:rsidR="00516D71" w:rsidRDefault="00516D71" w:rsidP="001A26EF">
      <w:pPr>
        <w:tabs>
          <w:tab w:val="left" w:pos="1455"/>
        </w:tabs>
        <w:rPr>
          <w:lang w:val="en-US"/>
        </w:rPr>
      </w:pPr>
    </w:p>
    <w:p w14:paraId="4014856E" w14:textId="6E4FA812" w:rsidR="00516D71" w:rsidRDefault="00516D71" w:rsidP="001A26EF">
      <w:pPr>
        <w:tabs>
          <w:tab w:val="left" w:pos="1455"/>
        </w:tabs>
        <w:rPr>
          <w:lang w:val="en-US"/>
        </w:rPr>
      </w:pPr>
    </w:p>
    <w:p w14:paraId="30B2E815" w14:textId="60C000C2" w:rsidR="0078731B" w:rsidRPr="0078731B" w:rsidRDefault="0078731B" w:rsidP="00BC468F">
      <w:pPr>
        <w:spacing w:line="480" w:lineRule="auto"/>
        <w:rPr>
          <w:rFonts w:cstheme="minorHAnsi"/>
        </w:rPr>
      </w:pPr>
      <w:r w:rsidRPr="0078731B">
        <w:rPr>
          <w:rFonts w:cstheme="minorHAnsi"/>
        </w:rPr>
        <w:lastRenderedPageBreak/>
        <w:t xml:space="preserve">The core </w:t>
      </w:r>
      <w:r w:rsidR="006A1F08" w:rsidRPr="0078731B">
        <w:rPr>
          <w:rFonts w:cstheme="minorHAnsi"/>
        </w:rPr>
        <w:t>techn</w:t>
      </w:r>
      <w:r w:rsidR="006A1F08">
        <w:rPr>
          <w:rFonts w:cstheme="minorHAnsi"/>
        </w:rPr>
        <w:t>ological</w:t>
      </w:r>
      <w:r w:rsidRPr="0078731B">
        <w:rPr>
          <w:rFonts w:cstheme="minorHAnsi"/>
        </w:rPr>
        <w:t xml:space="preserve"> aim of the Policing Vision 2025 is </w:t>
      </w:r>
      <w:r w:rsidR="002221F2">
        <w:rPr>
          <w:rFonts w:cstheme="minorHAnsi"/>
        </w:rPr>
        <w:t>to</w:t>
      </w:r>
      <w:r w:rsidRPr="0078731B">
        <w:rPr>
          <w:rFonts w:cstheme="minorHAnsi"/>
        </w:rPr>
        <w:t xml:space="preserve"> use body-worn cameras (BWCs) </w:t>
      </w:r>
      <w:r w:rsidR="006A1F08">
        <w:rPr>
          <w:rFonts w:cstheme="minorHAnsi"/>
        </w:rPr>
        <w:t>in order to</w:t>
      </w:r>
      <w:r w:rsidRPr="0078731B">
        <w:rPr>
          <w:rFonts w:cstheme="minorHAnsi"/>
        </w:rPr>
        <w:t xml:space="preserve"> send all material in an electronic medium to the Criminal Justice System (CJS), thereby collaborating more jointly to make policing more efficient (Digital Services Division, 2017). This includes multimedia evidence that is significant to a prosecution that has been digitally acquired, recorded, and protected </w:t>
      </w:r>
      <w:r w:rsidR="00BE22C5">
        <w:rPr>
          <w:rFonts w:cstheme="minorHAnsi"/>
        </w:rPr>
        <w:t>which improves the</w:t>
      </w:r>
      <w:r w:rsidRPr="0078731B">
        <w:rPr>
          <w:rFonts w:cstheme="minorHAnsi"/>
        </w:rPr>
        <w:t xml:space="preserve"> evidentiary integrity (Lone &amp; Mir, 2019; Horsman, 2021).  </w:t>
      </w:r>
    </w:p>
    <w:p w14:paraId="5A7E2839" w14:textId="2BD363D0" w:rsidR="0078731B" w:rsidRPr="0078731B" w:rsidRDefault="0078731B" w:rsidP="00BC468F">
      <w:pPr>
        <w:spacing w:line="480" w:lineRule="auto"/>
        <w:ind w:firstLine="720"/>
        <w:rPr>
          <w:rFonts w:cstheme="minorHAnsi"/>
        </w:rPr>
      </w:pPr>
      <w:r w:rsidRPr="0078731B">
        <w:rPr>
          <w:rFonts w:cstheme="minorHAnsi"/>
        </w:rPr>
        <w:t>According to the Police and Crime Commissioner (2020), all efforts to enhance the effectiveness of digital policing must address the Joint Digital Vision Model, which aims to make the technology approaches 'JPLANE,' which is justifiable, proportionate, legal, accountable, necessary, and ethical. Furthermore, HMICFRS (2022) implies that the model considers Peel's efficiency recommendations, which include</w:t>
      </w:r>
      <w:r w:rsidR="003F24D5">
        <w:rPr>
          <w:rFonts w:cstheme="minorHAnsi"/>
        </w:rPr>
        <w:t>s the</w:t>
      </w:r>
      <w:r w:rsidRPr="0078731B">
        <w:rPr>
          <w:rFonts w:cstheme="minorHAnsi"/>
        </w:rPr>
        <w:t xml:space="preserve"> preventative and safeguarding aims, to generate technological developments for policing. BWCs were introduced following this model (Digital Services Division, 2017), as well as guidelines from the College of Policing (2020), which state that the use of BWCs must be lawful, fair, transparent, necessary for a stated purpose, and the data must be securely stored and retained appropriately.</w:t>
      </w:r>
    </w:p>
    <w:p w14:paraId="34D9EE32" w14:textId="3F549B2A" w:rsidR="0078731B" w:rsidRPr="0078731B" w:rsidRDefault="0078731B" w:rsidP="00432441">
      <w:pPr>
        <w:spacing w:line="480" w:lineRule="auto"/>
        <w:ind w:firstLine="720"/>
        <w:rPr>
          <w:rFonts w:cstheme="minorHAnsi"/>
        </w:rPr>
      </w:pPr>
      <w:r w:rsidRPr="0078731B">
        <w:rPr>
          <w:rFonts w:cstheme="minorHAnsi"/>
        </w:rPr>
        <w:t xml:space="preserve">Miscarriage of justice, according to McKenzie and Irving (1987), can never be completely remedied, but the police must continue to lower the odds in a given situation. To that objective, Skinns (2021) claims that BWCs have decreased miscarriage of justice by 43%. The BWCs were initially implemented in 2017 for police forces in Wales to enhance police safety, increase evidence quality, effectively consider public complaints, and improve the agencies' responsibility (Hyland, 2018). Before the adoption, Ariel (2016) suggested that suspects demur during police-public confrontations, which </w:t>
      </w:r>
      <w:r w:rsidR="007F7695">
        <w:rPr>
          <w:rFonts w:cstheme="minorHAnsi"/>
        </w:rPr>
        <w:t>was</w:t>
      </w:r>
      <w:r w:rsidRPr="0078731B">
        <w:rPr>
          <w:rFonts w:cstheme="minorHAnsi"/>
        </w:rPr>
        <w:t xml:space="preserve"> expected to change as a result of the encounter being </w:t>
      </w:r>
      <w:r w:rsidR="007F7695">
        <w:rPr>
          <w:rFonts w:cstheme="minorHAnsi"/>
        </w:rPr>
        <w:t>recorded</w:t>
      </w:r>
      <w:r w:rsidRPr="0078731B">
        <w:rPr>
          <w:rFonts w:cstheme="minorHAnsi"/>
        </w:rPr>
        <w:t xml:space="preserve">. </w:t>
      </w:r>
      <w:r w:rsidR="00432441" w:rsidRPr="00432441">
        <w:rPr>
          <w:rFonts w:cstheme="minorHAnsi"/>
        </w:rPr>
        <w:t xml:space="preserve">The deterrence theory and the self-awareness hypothesis are two notions that the implementation of the cameras hoped would emerge, prohibiting the police </w:t>
      </w:r>
      <w:r w:rsidR="00505F12">
        <w:rPr>
          <w:rFonts w:cstheme="minorHAnsi"/>
        </w:rPr>
        <w:t xml:space="preserve">and the public </w:t>
      </w:r>
      <w:r w:rsidR="00432441" w:rsidRPr="00432441">
        <w:rPr>
          <w:rFonts w:cstheme="minorHAnsi"/>
        </w:rPr>
        <w:t xml:space="preserve">from using excessive </w:t>
      </w:r>
      <w:r w:rsidR="00505F12">
        <w:rPr>
          <w:rFonts w:cstheme="minorHAnsi"/>
        </w:rPr>
        <w:t>behaviour</w:t>
      </w:r>
      <w:r w:rsidR="00432441" w:rsidRPr="00432441">
        <w:rPr>
          <w:rFonts w:cstheme="minorHAnsi"/>
        </w:rPr>
        <w:t xml:space="preserve"> and therefore safeguarding both parties</w:t>
      </w:r>
      <w:r w:rsidR="00432441">
        <w:rPr>
          <w:rFonts w:cstheme="minorHAnsi"/>
        </w:rPr>
        <w:t xml:space="preserve"> </w:t>
      </w:r>
      <w:r w:rsidRPr="0078731B">
        <w:rPr>
          <w:rFonts w:cstheme="minorHAnsi"/>
        </w:rPr>
        <w:t xml:space="preserve">(Lum et al, 2020). On the hand, it is argued by </w:t>
      </w:r>
      <w:r w:rsidRPr="0078731B">
        <w:rPr>
          <w:rFonts w:cstheme="minorHAnsi"/>
        </w:rPr>
        <w:lastRenderedPageBreak/>
        <w:t xml:space="preserve">Lockhart (2019) that </w:t>
      </w:r>
      <w:r w:rsidR="00505F12">
        <w:rPr>
          <w:rFonts w:cstheme="minorHAnsi"/>
        </w:rPr>
        <w:t xml:space="preserve">the worn </w:t>
      </w:r>
      <w:r w:rsidRPr="0078731B">
        <w:rPr>
          <w:rFonts w:cstheme="minorHAnsi"/>
        </w:rPr>
        <w:t xml:space="preserve">cameras should not be expected to improve police accountability on their own. Additionally, other methods of problem-oriented policing (POP) based </w:t>
      </w:r>
      <w:r w:rsidR="00505F12">
        <w:rPr>
          <w:rFonts w:cstheme="minorHAnsi"/>
        </w:rPr>
        <w:t>around the</w:t>
      </w:r>
      <w:r w:rsidRPr="0078731B">
        <w:rPr>
          <w:rFonts w:cstheme="minorHAnsi"/>
        </w:rPr>
        <w:t xml:space="preserve"> ‘OSARA’ model and the ‘problem analysis triangle’ should be developed alongside the BWC (College of Policing, 2019). </w:t>
      </w:r>
    </w:p>
    <w:p w14:paraId="2793C5B0" w14:textId="512A3A62" w:rsidR="0078731B" w:rsidRPr="0078731B" w:rsidRDefault="0078731B" w:rsidP="00BC468F">
      <w:pPr>
        <w:spacing w:line="480" w:lineRule="auto"/>
        <w:ind w:firstLine="720"/>
        <w:rPr>
          <w:rFonts w:cstheme="minorHAnsi"/>
        </w:rPr>
      </w:pPr>
      <w:r w:rsidRPr="0078731B">
        <w:rPr>
          <w:rFonts w:cstheme="minorHAnsi"/>
        </w:rPr>
        <w:t xml:space="preserve">However, according to both South Wales Police (2021) and Gwent Police (2021), developments in </w:t>
      </w:r>
      <w:r w:rsidR="00574C02">
        <w:rPr>
          <w:rFonts w:cstheme="minorHAnsi"/>
        </w:rPr>
        <w:t xml:space="preserve">the </w:t>
      </w:r>
      <w:r w:rsidRPr="0078731B">
        <w:rPr>
          <w:rFonts w:cstheme="minorHAnsi"/>
        </w:rPr>
        <w:t xml:space="preserve">camera-based technology have resulted in a significant revolution in both </w:t>
      </w:r>
      <w:r w:rsidR="00574C02">
        <w:rPr>
          <w:rFonts w:cstheme="minorHAnsi"/>
        </w:rPr>
        <w:t>f</w:t>
      </w:r>
      <w:r w:rsidRPr="0078731B">
        <w:rPr>
          <w:rFonts w:cstheme="minorHAnsi"/>
        </w:rPr>
        <w:t>orces' implementation of digital policing throughout the last two years. Body Worn Cameras (BWC) ha</w:t>
      </w:r>
      <w:r w:rsidR="00574C02">
        <w:rPr>
          <w:rFonts w:cstheme="minorHAnsi"/>
        </w:rPr>
        <w:t>ve</w:t>
      </w:r>
      <w:r w:rsidRPr="0078731B">
        <w:rPr>
          <w:rFonts w:cstheme="minorHAnsi"/>
        </w:rPr>
        <w:t xml:space="preserve"> been issued to all operational officers, and a Digital Evidence Management system (DEMs) has been developed to reliably control and process the evidentiary data (Hampshire Constabulary, 2018). Gorman et al. (2020) believe</w:t>
      </w:r>
      <w:r w:rsidR="00574C02">
        <w:rPr>
          <w:rFonts w:cstheme="minorHAnsi"/>
        </w:rPr>
        <w:t>s</w:t>
      </w:r>
      <w:r w:rsidRPr="0078731B">
        <w:rPr>
          <w:rFonts w:cstheme="minorHAnsi"/>
        </w:rPr>
        <w:t xml:space="preserve"> that the DEMs </w:t>
      </w:r>
      <w:r w:rsidR="00574C02">
        <w:rPr>
          <w:rFonts w:cstheme="minorHAnsi"/>
        </w:rPr>
        <w:t>is a</w:t>
      </w:r>
      <w:r w:rsidRPr="0078731B">
        <w:rPr>
          <w:rFonts w:cstheme="minorHAnsi"/>
        </w:rPr>
        <w:t xml:space="preserve"> flexible</w:t>
      </w:r>
      <w:r w:rsidR="00574C02">
        <w:rPr>
          <w:rFonts w:cstheme="minorHAnsi"/>
        </w:rPr>
        <w:t xml:space="preserve"> software</w:t>
      </w:r>
      <w:r w:rsidRPr="0078731B">
        <w:rPr>
          <w:rFonts w:cstheme="minorHAnsi"/>
        </w:rPr>
        <w:t>, offering an adequate service for both the police and the CJS.</w:t>
      </w:r>
    </w:p>
    <w:p w14:paraId="6B13BC63" w14:textId="60A4829B" w:rsidR="0078731B" w:rsidRPr="0078731B" w:rsidRDefault="0078731B" w:rsidP="00BC468F">
      <w:pPr>
        <w:spacing w:line="480" w:lineRule="auto"/>
        <w:ind w:firstLine="720"/>
        <w:rPr>
          <w:rFonts w:cstheme="minorHAnsi"/>
        </w:rPr>
      </w:pPr>
      <w:r w:rsidRPr="0078731B">
        <w:rPr>
          <w:rFonts w:cstheme="minorHAnsi"/>
        </w:rPr>
        <w:t xml:space="preserve">The BWCs are said to vastly enhance the stop and search procedures (Nawaz &amp; Tankebe, 2018; Bowling &amp; Iyer, 2019). It is argued </w:t>
      </w:r>
      <w:r w:rsidR="00522B36">
        <w:rPr>
          <w:rFonts w:cstheme="minorHAnsi"/>
        </w:rPr>
        <w:t xml:space="preserve">that </w:t>
      </w:r>
      <w:r w:rsidRPr="0078731B">
        <w:rPr>
          <w:rFonts w:cstheme="minorHAnsi"/>
        </w:rPr>
        <w:t xml:space="preserve">BWCs </w:t>
      </w:r>
      <w:r w:rsidR="00522B36">
        <w:rPr>
          <w:rFonts w:cstheme="minorHAnsi"/>
        </w:rPr>
        <w:t xml:space="preserve">have </w:t>
      </w:r>
      <w:r w:rsidRPr="0078731B">
        <w:rPr>
          <w:rFonts w:cstheme="minorHAnsi"/>
        </w:rPr>
        <w:t xml:space="preserve">assisted officers in developing reasonable grounds for suspecting that the individual has committed or will commit an offence, making the officers' justifications more trustworthy when challenged following Code A of </w:t>
      </w:r>
      <w:r w:rsidR="00522B36">
        <w:rPr>
          <w:rFonts w:cstheme="minorHAnsi"/>
        </w:rPr>
        <w:t xml:space="preserve">the </w:t>
      </w:r>
      <w:r w:rsidRPr="0078731B">
        <w:rPr>
          <w:rFonts w:cstheme="minorHAnsi"/>
        </w:rPr>
        <w:t>P</w:t>
      </w:r>
      <w:r w:rsidR="00522B36">
        <w:rPr>
          <w:rFonts w:cstheme="minorHAnsi"/>
        </w:rPr>
        <w:t xml:space="preserve">olice and </w:t>
      </w:r>
      <w:r w:rsidRPr="0078731B">
        <w:rPr>
          <w:rFonts w:cstheme="minorHAnsi"/>
        </w:rPr>
        <w:t>C</w:t>
      </w:r>
      <w:r w:rsidR="00522B36">
        <w:rPr>
          <w:rFonts w:cstheme="minorHAnsi"/>
        </w:rPr>
        <w:t xml:space="preserve">riminal </w:t>
      </w:r>
      <w:r w:rsidRPr="0078731B">
        <w:rPr>
          <w:rFonts w:cstheme="minorHAnsi"/>
        </w:rPr>
        <w:t>E</w:t>
      </w:r>
      <w:r w:rsidR="00522B36">
        <w:rPr>
          <w:rFonts w:cstheme="minorHAnsi"/>
        </w:rPr>
        <w:t xml:space="preserve">vidence Act </w:t>
      </w:r>
      <w:r w:rsidRPr="0078731B">
        <w:rPr>
          <w:rFonts w:cstheme="minorHAnsi"/>
        </w:rPr>
        <w:t>(1984</w:t>
      </w:r>
      <w:r w:rsidR="00522B36">
        <w:rPr>
          <w:rFonts w:cstheme="minorHAnsi"/>
        </w:rPr>
        <w:t>) (</w:t>
      </w:r>
      <w:r w:rsidRPr="0078731B">
        <w:rPr>
          <w:rFonts w:cstheme="minorHAnsi"/>
        </w:rPr>
        <w:t xml:space="preserve">Thomas, 2018). Furthermore, Braga, MacDonald, &amp; McCabe (2022) implies that searches are now being conducted with </w:t>
      </w:r>
      <w:r w:rsidR="00A10FD6">
        <w:rPr>
          <w:rFonts w:cstheme="minorHAnsi"/>
        </w:rPr>
        <w:t>greater</w:t>
      </w:r>
      <w:r w:rsidRPr="0078731B">
        <w:rPr>
          <w:rFonts w:cstheme="minorHAnsi"/>
        </w:rPr>
        <w:t xml:space="preserve"> morals and considerations for the person's situation and privacy, including the use of appropriate gender-specific officers and the location of where the searches are conducted; for example, female officers to female offenders and more thorough searches (MTS) taking place out of public view. All of which have reduced police complaints by 17% </w:t>
      </w:r>
      <w:r>
        <w:rPr>
          <w:rFonts w:cstheme="minorHAnsi"/>
        </w:rPr>
        <w:t>(</w:t>
      </w:r>
      <w:r w:rsidRPr="0078731B">
        <w:rPr>
          <w:rFonts w:cstheme="minorHAnsi"/>
        </w:rPr>
        <w:t>White</w:t>
      </w:r>
      <w:r>
        <w:rPr>
          <w:rFonts w:cstheme="minorHAnsi"/>
        </w:rPr>
        <w:t xml:space="preserve">, </w:t>
      </w:r>
      <w:r w:rsidRPr="0078731B">
        <w:rPr>
          <w:rFonts w:cstheme="minorHAnsi"/>
        </w:rPr>
        <w:t xml:space="preserve">2019). </w:t>
      </w:r>
    </w:p>
    <w:p w14:paraId="6F2F1ECB" w14:textId="3BCC2293" w:rsidR="0078731B" w:rsidRPr="0078731B" w:rsidRDefault="005D5835" w:rsidP="00BC468F">
      <w:pPr>
        <w:spacing w:line="480" w:lineRule="auto"/>
        <w:ind w:firstLine="720"/>
        <w:rPr>
          <w:rFonts w:cstheme="minorHAnsi"/>
        </w:rPr>
      </w:pPr>
      <w:r w:rsidRPr="005D5835">
        <w:rPr>
          <w:rFonts w:cstheme="minorHAnsi"/>
        </w:rPr>
        <w:t>Despite this, young, black, Asian, and minority ethnic (BAME) individuals continue to be treated disproportionately by police forces who utilise stop and search whilst wearing BWC, with 83</w:t>
      </w:r>
      <w:r>
        <w:rPr>
          <w:rFonts w:cstheme="minorHAnsi"/>
        </w:rPr>
        <w:t>%</w:t>
      </w:r>
      <w:r w:rsidRPr="005D5835">
        <w:rPr>
          <w:rFonts w:cstheme="minorHAnsi"/>
        </w:rPr>
        <w:t xml:space="preserve"> of stop and searches still impacting BAME people compared to 74</w:t>
      </w:r>
      <w:r>
        <w:rPr>
          <w:rFonts w:cstheme="minorHAnsi"/>
        </w:rPr>
        <w:t>%</w:t>
      </w:r>
      <w:r w:rsidRPr="005D5835">
        <w:rPr>
          <w:rFonts w:cstheme="minorHAnsi"/>
        </w:rPr>
        <w:t xml:space="preserve"> previous to the implementation</w:t>
      </w:r>
      <w:r>
        <w:rPr>
          <w:rFonts w:cstheme="minorHAnsi"/>
        </w:rPr>
        <w:t xml:space="preserve"> </w:t>
      </w:r>
      <w:r w:rsidR="0078731B" w:rsidRPr="0078731B">
        <w:rPr>
          <w:rFonts w:cstheme="minorHAnsi"/>
        </w:rPr>
        <w:t xml:space="preserve">(Keeling, 2017; Equality Human Rights, 2020). Furthermore, it is claimed that since </w:t>
      </w:r>
      <w:r w:rsidR="0078731B" w:rsidRPr="0078731B">
        <w:rPr>
          <w:rFonts w:cstheme="minorHAnsi"/>
        </w:rPr>
        <w:lastRenderedPageBreak/>
        <w:t xml:space="preserve">the installation of the cameras, the number of stop and search operations in England and Wales has decreased from 1.2 million to 380,000 a year with no detrimental effect on crime levels (Home Office, 2021). To counter this, South Wales Police has introduced a strong and extensive internal review of the use of force and stop and search through random BWC reviews which have been discovered to statistically increase the force's </w:t>
      </w:r>
      <w:r w:rsidR="00683DA5">
        <w:rPr>
          <w:rFonts w:cstheme="minorHAnsi"/>
        </w:rPr>
        <w:t xml:space="preserve">effectiveness, </w:t>
      </w:r>
      <w:r w:rsidR="0078731B" w:rsidRPr="0078731B">
        <w:rPr>
          <w:rFonts w:cstheme="minorHAnsi"/>
        </w:rPr>
        <w:t xml:space="preserve">accountability and legitimacy (South Wales Police, 2022). </w:t>
      </w:r>
    </w:p>
    <w:p w14:paraId="7DBD4342" w14:textId="29119C8C" w:rsidR="0078731B" w:rsidRPr="0078731B" w:rsidRDefault="0078731B" w:rsidP="00BC468F">
      <w:pPr>
        <w:spacing w:line="480" w:lineRule="auto"/>
        <w:ind w:firstLine="720"/>
        <w:rPr>
          <w:rFonts w:cstheme="minorHAnsi"/>
        </w:rPr>
      </w:pPr>
      <w:r w:rsidRPr="0078731B">
        <w:rPr>
          <w:rFonts w:cstheme="minorHAnsi"/>
        </w:rPr>
        <w:t>In addition, BWCs were implemented with the primary goal of improving evidence in favour of both defendants and victims, depending on the case (Chapman, 2018; Paterson &amp; Kemp, 2019; College of Policing, 2021). BWCs are al</w:t>
      </w:r>
      <w:r w:rsidR="00251181">
        <w:rPr>
          <w:rFonts w:cstheme="minorHAnsi"/>
        </w:rPr>
        <w:t>ways</w:t>
      </w:r>
      <w:r w:rsidRPr="0078731B">
        <w:rPr>
          <w:rFonts w:cstheme="minorHAnsi"/>
        </w:rPr>
        <w:t xml:space="preserve"> considered during a trial as ‘relevant evidence’ (Crown Prosecution Service, 2019)</w:t>
      </w:r>
      <w:r w:rsidR="00644F40">
        <w:rPr>
          <w:rFonts w:cstheme="minorHAnsi"/>
        </w:rPr>
        <w:t>,</w:t>
      </w:r>
      <w:r w:rsidRPr="0078731B">
        <w:rPr>
          <w:rFonts w:cstheme="minorHAnsi"/>
        </w:rPr>
        <w:t xml:space="preserve"> </w:t>
      </w:r>
      <w:r w:rsidR="00644F40">
        <w:rPr>
          <w:rFonts w:cstheme="minorHAnsi"/>
        </w:rPr>
        <w:t>t</w:t>
      </w:r>
      <w:r w:rsidRPr="0078731B">
        <w:rPr>
          <w:rFonts w:cstheme="minorHAnsi"/>
        </w:rPr>
        <w:t>he definition of relevant evidence is “evidence that will be relevant if it proves or disapproves a fact in an issue” (Blue Light, 2022, p.43). Furthermore, Taruffo (2021) claims that the cameras record the facts in issue, including the actus rea, men's rea, and any defence from the defendant, to provide a fair perspective of the case. Moreover, BWCs capture 50% of the post-offense defences, which include</w:t>
      </w:r>
      <w:r w:rsidR="00C74D7E">
        <w:rPr>
          <w:rFonts w:cstheme="minorHAnsi"/>
        </w:rPr>
        <w:t>s</w:t>
      </w:r>
      <w:r w:rsidRPr="0078731B">
        <w:rPr>
          <w:rFonts w:cstheme="minorHAnsi"/>
        </w:rPr>
        <w:t xml:space="preserve"> diminished responsibilities, intoxication, mistake, and duress from threats</w:t>
      </w:r>
      <w:r w:rsidR="00C74D7E">
        <w:rPr>
          <w:rFonts w:cstheme="minorHAnsi"/>
        </w:rPr>
        <w:t xml:space="preserve">; all of </w:t>
      </w:r>
      <w:r w:rsidRPr="0078731B">
        <w:rPr>
          <w:rFonts w:cstheme="minorHAnsi"/>
        </w:rPr>
        <w:t xml:space="preserve">which has proven significant during a trial (Blue Light, 2022). Additionally, according to Cubitt (2017) since the implementation of the cameras, it has increased the likelihood of an early guilty plea by 47%. </w:t>
      </w:r>
      <w:r w:rsidR="00C74D7E" w:rsidRPr="00C74D7E">
        <w:rPr>
          <w:rFonts w:cstheme="minorHAnsi"/>
        </w:rPr>
        <w:t>In summary, Wilson (2022) concludes that the cameras are being used neutrally, and that because they cannot be manipulated, they are reliable proof for all parties involved.</w:t>
      </w:r>
    </w:p>
    <w:p w14:paraId="60CA425F" w14:textId="6418D374" w:rsidR="0078731B" w:rsidRPr="0078731B" w:rsidRDefault="0078731B" w:rsidP="00BC468F">
      <w:pPr>
        <w:spacing w:line="480" w:lineRule="auto"/>
        <w:ind w:firstLine="720"/>
        <w:rPr>
          <w:rFonts w:cstheme="minorHAnsi"/>
        </w:rPr>
      </w:pPr>
      <w:r w:rsidRPr="0078731B">
        <w:rPr>
          <w:rFonts w:cstheme="minorHAnsi"/>
        </w:rPr>
        <w:t xml:space="preserve">However, on the other hand, there is concern over </w:t>
      </w:r>
      <w:r w:rsidR="00B63977">
        <w:rPr>
          <w:rFonts w:cstheme="minorHAnsi"/>
        </w:rPr>
        <w:t xml:space="preserve">the </w:t>
      </w:r>
      <w:r w:rsidRPr="0078731B">
        <w:rPr>
          <w:rFonts w:cstheme="minorHAnsi"/>
        </w:rPr>
        <w:t>police</w:t>
      </w:r>
      <w:r w:rsidR="00B63977">
        <w:rPr>
          <w:rFonts w:cstheme="minorHAnsi"/>
        </w:rPr>
        <w:t xml:space="preserve"> officers</w:t>
      </w:r>
      <w:r w:rsidRPr="0078731B">
        <w:rPr>
          <w:rFonts w:cstheme="minorHAnsi"/>
        </w:rPr>
        <w:t xml:space="preserve"> not turning on the cameras efficiently, putting the evidence in jeopardy (Lawrence, 2017). Furthermore, there have been instances of the cameras being switched off too early during police responses, demonstrating that the cameras are only as reliable as the person controlling them (Barlow, 2022).</w:t>
      </w:r>
    </w:p>
    <w:p w14:paraId="69E9BA24" w14:textId="022A2AB2" w:rsidR="000256F8" w:rsidRDefault="0078731B" w:rsidP="00BC468F">
      <w:pPr>
        <w:spacing w:line="480" w:lineRule="auto"/>
        <w:ind w:firstLine="720"/>
        <w:rPr>
          <w:rFonts w:cstheme="minorHAnsi"/>
        </w:rPr>
      </w:pPr>
      <w:r w:rsidRPr="0078731B">
        <w:rPr>
          <w:rFonts w:cstheme="minorHAnsi"/>
        </w:rPr>
        <w:t xml:space="preserve">To conclude, BWCs have been introduced as a result of </w:t>
      </w:r>
      <w:r w:rsidR="00B63977">
        <w:rPr>
          <w:rFonts w:cstheme="minorHAnsi"/>
        </w:rPr>
        <w:t xml:space="preserve">attempting to improve </w:t>
      </w:r>
      <w:r w:rsidRPr="0078731B">
        <w:rPr>
          <w:rFonts w:cstheme="minorHAnsi"/>
        </w:rPr>
        <w:t xml:space="preserve">public confidence in policing (Wright &amp; Headley, 2021). Since their introduction, </w:t>
      </w:r>
      <w:r w:rsidR="00B63977">
        <w:rPr>
          <w:rFonts w:cstheme="minorHAnsi"/>
        </w:rPr>
        <w:t xml:space="preserve">the </w:t>
      </w:r>
      <w:r w:rsidRPr="0078731B">
        <w:rPr>
          <w:rFonts w:cstheme="minorHAnsi"/>
        </w:rPr>
        <w:t xml:space="preserve">wearable cameras have had the greatest influence on the stop and search procedure and </w:t>
      </w:r>
      <w:r w:rsidR="00B63977">
        <w:rPr>
          <w:rFonts w:cstheme="minorHAnsi"/>
        </w:rPr>
        <w:t xml:space="preserve">improving </w:t>
      </w:r>
      <w:r w:rsidRPr="0078731B">
        <w:rPr>
          <w:rFonts w:cstheme="minorHAnsi"/>
        </w:rPr>
        <w:t xml:space="preserve">evidence by </w:t>
      </w:r>
      <w:r w:rsidRPr="0078731B">
        <w:rPr>
          <w:rFonts w:cstheme="minorHAnsi"/>
        </w:rPr>
        <w:lastRenderedPageBreak/>
        <w:t xml:space="preserve">increasing police legitimacy and </w:t>
      </w:r>
      <w:r w:rsidR="00B63977">
        <w:rPr>
          <w:rFonts w:cstheme="minorHAnsi"/>
        </w:rPr>
        <w:t xml:space="preserve">their </w:t>
      </w:r>
      <w:r w:rsidRPr="0078731B">
        <w:rPr>
          <w:rFonts w:cstheme="minorHAnsi"/>
        </w:rPr>
        <w:t>transparency</w:t>
      </w:r>
      <w:r w:rsidR="00B63977">
        <w:rPr>
          <w:rFonts w:cstheme="minorHAnsi"/>
        </w:rPr>
        <w:t xml:space="preserve"> </w:t>
      </w:r>
      <w:r w:rsidRPr="0078731B">
        <w:rPr>
          <w:rFonts w:cstheme="minorHAnsi"/>
        </w:rPr>
        <w:t xml:space="preserve">(College of Policing, 2020). Furthermore, according to White (2020), </w:t>
      </w:r>
      <w:r w:rsidR="00B63977">
        <w:rPr>
          <w:rFonts w:cstheme="minorHAnsi"/>
        </w:rPr>
        <w:t xml:space="preserve">the evidence is </w:t>
      </w:r>
      <w:r w:rsidRPr="0078731B">
        <w:rPr>
          <w:rFonts w:cstheme="minorHAnsi"/>
        </w:rPr>
        <w:t xml:space="preserve">significant </w:t>
      </w:r>
      <w:r w:rsidR="00B63977">
        <w:rPr>
          <w:rFonts w:cstheme="minorHAnsi"/>
        </w:rPr>
        <w:t>to the</w:t>
      </w:r>
      <w:r w:rsidRPr="0078731B">
        <w:rPr>
          <w:rFonts w:cstheme="minorHAnsi"/>
        </w:rPr>
        <w:t xml:space="preserve"> CJS as a result of the acquisition of live audio and video. Moreover, there is evidence that BWCs have had a significant influence on the stop and search approach, making it more proportionate and justifiable, however, there is still potential for improvement on the ethical side of the procedure, with only one in every eight suspects being of white ethnicity (Lammy, 2018).</w:t>
      </w:r>
    </w:p>
    <w:p w14:paraId="778904D9"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3A1FE88D"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4C7CDD49"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193895C1"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67219D51"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182857CE"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1DD30175"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64725A2E"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5263045F"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42908635"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77F96175"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2A2A55E7"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49F0EB9C"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5BA86CB1" w14:textId="77777777" w:rsid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p>
    <w:p w14:paraId="212EE875" w14:textId="4781DA81" w:rsidR="00BC468F" w:rsidRPr="00BC468F" w:rsidRDefault="00BC468F" w:rsidP="00BC468F">
      <w:pPr>
        <w:pStyle w:val="NormalWeb"/>
        <w:shd w:val="clear" w:color="auto" w:fill="FFFFFF"/>
        <w:spacing w:before="0" w:beforeAutospacing="0" w:after="240" w:afterAutospacing="0" w:line="495" w:lineRule="atLeast"/>
        <w:rPr>
          <w:rFonts w:ascii="Calibri" w:hAnsi="Calibri" w:cs="Calibri"/>
          <w:b/>
          <w:bCs/>
          <w:color w:val="000000"/>
          <w:u w:val="single"/>
        </w:rPr>
      </w:pPr>
      <w:r w:rsidRPr="00BC468F">
        <w:rPr>
          <w:rFonts w:ascii="Calibri" w:hAnsi="Calibri" w:cs="Calibri"/>
          <w:b/>
          <w:bCs/>
          <w:color w:val="000000"/>
          <w:u w:val="single"/>
        </w:rPr>
        <w:lastRenderedPageBreak/>
        <w:t xml:space="preserve">Reference </w:t>
      </w:r>
      <w:r>
        <w:rPr>
          <w:rFonts w:ascii="Calibri" w:hAnsi="Calibri" w:cs="Calibri"/>
          <w:b/>
          <w:bCs/>
          <w:color w:val="000000"/>
          <w:u w:val="single"/>
        </w:rPr>
        <w:t>L</w:t>
      </w:r>
      <w:r w:rsidRPr="00BC468F">
        <w:rPr>
          <w:rFonts w:ascii="Calibri" w:hAnsi="Calibri" w:cs="Calibri"/>
          <w:b/>
          <w:bCs/>
          <w:color w:val="000000"/>
          <w:u w:val="single"/>
        </w:rPr>
        <w:t>ist</w:t>
      </w:r>
    </w:p>
    <w:p w14:paraId="2D7CB12D"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Pr>
          <w:rFonts w:ascii="Calibri" w:hAnsi="Calibri" w:cs="Calibri"/>
          <w:color w:val="000000"/>
          <w:sz w:val="22"/>
          <w:szCs w:val="22"/>
        </w:rPr>
        <w:t>Ariel, B (2016) Police body cameras in large police departments. </w:t>
      </w:r>
      <w:r>
        <w:rPr>
          <w:rFonts w:ascii="Calibri" w:hAnsi="Calibri" w:cs="Calibri"/>
          <w:i/>
          <w:iCs/>
          <w:color w:val="000000"/>
          <w:sz w:val="22"/>
          <w:szCs w:val="22"/>
        </w:rPr>
        <w:t>The Journal of Criminal Law and Criminology</w:t>
      </w:r>
      <w:r>
        <w:rPr>
          <w:rFonts w:ascii="Calibri" w:hAnsi="Calibri" w:cs="Calibri"/>
          <w:color w:val="000000"/>
          <w:sz w:val="22"/>
          <w:szCs w:val="22"/>
        </w:rPr>
        <w:t>, pp.729-768.</w:t>
      </w:r>
    </w:p>
    <w:p w14:paraId="6CC51F19"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Barlow, C (2022) ‘How can you capture what is hidden?’ Police body-worn cameras and coercive control. </w:t>
      </w:r>
      <w:r w:rsidRPr="00BC468F">
        <w:rPr>
          <w:rFonts w:ascii="Calibri" w:hAnsi="Calibri" w:cs="Calibri"/>
          <w:i/>
          <w:iCs/>
          <w:color w:val="000000"/>
          <w:sz w:val="22"/>
          <w:szCs w:val="22"/>
        </w:rPr>
        <w:t>Journal of Gender-Based Violence</w:t>
      </w:r>
      <w:r w:rsidRPr="00BC468F">
        <w:rPr>
          <w:rFonts w:ascii="Calibri" w:hAnsi="Calibri" w:cs="Calibri"/>
          <w:color w:val="000000"/>
          <w:sz w:val="22"/>
          <w:szCs w:val="22"/>
        </w:rPr>
        <w:t>.</w:t>
      </w:r>
    </w:p>
    <w:p w14:paraId="678D24FA"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Blue Light (2022). </w:t>
      </w:r>
      <w:r w:rsidRPr="00BC468F">
        <w:rPr>
          <w:rFonts w:ascii="Calibri" w:hAnsi="Calibri" w:cs="Calibri"/>
          <w:i/>
          <w:iCs/>
          <w:color w:val="000000"/>
          <w:sz w:val="22"/>
          <w:szCs w:val="22"/>
        </w:rPr>
        <w:t>Police Guide for Sergeants and Inspectors</w:t>
      </w:r>
      <w:r w:rsidRPr="00BC468F">
        <w:rPr>
          <w:rFonts w:ascii="Calibri" w:hAnsi="Calibri" w:cs="Calibri"/>
          <w:color w:val="000000"/>
          <w:sz w:val="22"/>
          <w:szCs w:val="22"/>
        </w:rPr>
        <w:t>. 6th ed. London: Pearson, pp.43–49.</w:t>
      </w:r>
    </w:p>
    <w:p w14:paraId="2EDCE01F"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Bowling, B. and Iyer, S (2019) Automated policing: the case of body-worn video. </w:t>
      </w:r>
      <w:r w:rsidRPr="00BC468F">
        <w:rPr>
          <w:rFonts w:ascii="Calibri" w:hAnsi="Calibri" w:cs="Calibri"/>
          <w:i/>
          <w:iCs/>
          <w:color w:val="000000"/>
          <w:sz w:val="22"/>
          <w:szCs w:val="22"/>
        </w:rPr>
        <w:t>International Journal of Law in Context</w:t>
      </w:r>
      <w:r w:rsidRPr="00BC468F">
        <w:rPr>
          <w:rFonts w:ascii="Calibri" w:hAnsi="Calibri" w:cs="Calibri"/>
          <w:color w:val="000000"/>
          <w:sz w:val="22"/>
          <w:szCs w:val="22"/>
        </w:rPr>
        <w:t>, </w:t>
      </w:r>
      <w:r w:rsidRPr="00BC468F">
        <w:rPr>
          <w:rFonts w:ascii="Calibri" w:hAnsi="Calibri" w:cs="Calibri"/>
          <w:i/>
          <w:iCs/>
          <w:color w:val="000000"/>
          <w:sz w:val="22"/>
          <w:szCs w:val="22"/>
        </w:rPr>
        <w:t>15</w:t>
      </w:r>
      <w:r w:rsidRPr="00BC468F">
        <w:rPr>
          <w:rFonts w:ascii="Calibri" w:hAnsi="Calibri" w:cs="Calibri"/>
          <w:color w:val="000000"/>
          <w:sz w:val="22"/>
          <w:szCs w:val="22"/>
        </w:rPr>
        <w:t>(2), pp.140 - 161.</w:t>
      </w:r>
    </w:p>
    <w:p w14:paraId="4BF1746C"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Braga A, MacDonald, J and McCabe, J (2022) Body‐worn cameras, lawful police stops: A cluster randomized controlled trial. </w:t>
      </w:r>
      <w:r w:rsidRPr="00BC468F">
        <w:rPr>
          <w:rFonts w:ascii="Calibri" w:hAnsi="Calibri" w:cs="Calibri"/>
          <w:i/>
          <w:iCs/>
          <w:color w:val="000000"/>
          <w:sz w:val="22"/>
          <w:szCs w:val="22"/>
        </w:rPr>
        <w:t>Criminology</w:t>
      </w:r>
      <w:r w:rsidRPr="00BC468F">
        <w:rPr>
          <w:rFonts w:ascii="Calibri" w:hAnsi="Calibri" w:cs="Calibri"/>
          <w:color w:val="000000"/>
          <w:sz w:val="22"/>
          <w:szCs w:val="22"/>
        </w:rPr>
        <w:t>, </w:t>
      </w:r>
      <w:r w:rsidRPr="00BC468F">
        <w:rPr>
          <w:rFonts w:ascii="Calibri" w:hAnsi="Calibri" w:cs="Calibri"/>
          <w:i/>
          <w:iCs/>
          <w:color w:val="000000"/>
          <w:sz w:val="22"/>
          <w:szCs w:val="22"/>
        </w:rPr>
        <w:t>60</w:t>
      </w:r>
      <w:r w:rsidRPr="00BC468F">
        <w:rPr>
          <w:rFonts w:ascii="Calibri" w:hAnsi="Calibri" w:cs="Calibri"/>
          <w:color w:val="000000"/>
          <w:sz w:val="22"/>
          <w:szCs w:val="22"/>
        </w:rPr>
        <w:t>(1), pp.124-158.</w:t>
      </w:r>
    </w:p>
    <w:p w14:paraId="7F12C7A0"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Chapman, B (2018) Body-worn cameras: What the evidence tells us. </w:t>
      </w:r>
      <w:r w:rsidRPr="00BC468F">
        <w:rPr>
          <w:rFonts w:ascii="Calibri" w:hAnsi="Calibri" w:cs="Calibri"/>
          <w:i/>
          <w:iCs/>
          <w:color w:val="000000"/>
          <w:sz w:val="22"/>
          <w:szCs w:val="22"/>
        </w:rPr>
        <w:t>National Institute of Justice. pp. 12 - 19. </w:t>
      </w:r>
    </w:p>
    <w:p w14:paraId="08048974" w14:textId="0332FDDA"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 xml:space="preserve">College of Policing (2019). CCTV. [online] Police.uk. Available at: </w:t>
      </w:r>
      <w:hyperlink r:id="rId7" w:history="1">
        <w:r w:rsidR="00546ED4" w:rsidRPr="00546ED4">
          <w:rPr>
            <w:rStyle w:val="Hyperlink"/>
            <w:rFonts w:ascii="Calibri" w:hAnsi="Calibri" w:cs="Calibri"/>
            <w:i/>
            <w:iCs/>
            <w:sz w:val="22"/>
            <w:szCs w:val="22"/>
          </w:rPr>
          <w:t>https://whatworks.college.police.uk/toolkit/Pages/Intervention.aspx?InterventionID=1</w:t>
        </w:r>
      </w:hyperlink>
      <w:r w:rsidR="00546ED4" w:rsidRPr="00546ED4">
        <w:rPr>
          <w:rFonts w:ascii="Calibri" w:hAnsi="Calibri" w:cs="Calibri"/>
          <w:i/>
          <w:iCs/>
          <w:color w:val="000000"/>
          <w:sz w:val="22"/>
          <w:szCs w:val="22"/>
        </w:rPr>
        <w:t xml:space="preserve"> </w:t>
      </w:r>
      <w:r w:rsidRPr="00BC468F">
        <w:rPr>
          <w:rFonts w:ascii="Calibri" w:hAnsi="Calibri" w:cs="Calibri"/>
          <w:color w:val="000000"/>
          <w:sz w:val="22"/>
          <w:szCs w:val="22"/>
        </w:rPr>
        <w:t>(Accessed 1 Mar. 2022).</w:t>
      </w:r>
    </w:p>
    <w:p w14:paraId="450E265F" w14:textId="53F10288"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 xml:space="preserve">College of Policing (2020). Detention and Custody. [online] Police.uk. Available at: </w:t>
      </w:r>
      <w:hyperlink r:id="rId8" w:history="1">
        <w:r w:rsidR="00546ED4" w:rsidRPr="00546ED4">
          <w:rPr>
            <w:rStyle w:val="Hyperlink"/>
            <w:rFonts w:ascii="Calibri" w:hAnsi="Calibri" w:cs="Calibri"/>
            <w:i/>
            <w:iCs/>
            <w:sz w:val="22"/>
            <w:szCs w:val="22"/>
          </w:rPr>
          <w:t>https://www.app.college.police.uk/app-content/detention-and-custody-2/buildings-and-facilities/cctv/</w:t>
        </w:r>
      </w:hyperlink>
      <w:r w:rsidR="00546ED4" w:rsidRPr="00546ED4">
        <w:rPr>
          <w:rFonts w:ascii="Calibri" w:hAnsi="Calibri" w:cs="Calibri"/>
          <w:i/>
          <w:iCs/>
          <w:color w:val="000000"/>
          <w:sz w:val="22"/>
          <w:szCs w:val="22"/>
        </w:rPr>
        <w:t xml:space="preserve"> </w:t>
      </w:r>
      <w:r w:rsidRPr="00BC468F">
        <w:rPr>
          <w:rFonts w:ascii="Calibri" w:hAnsi="Calibri" w:cs="Calibri"/>
          <w:color w:val="000000"/>
          <w:sz w:val="22"/>
          <w:szCs w:val="22"/>
        </w:rPr>
        <w:t>(Accessed 2 Mar. 2022).</w:t>
      </w:r>
    </w:p>
    <w:p w14:paraId="6A566F60" w14:textId="40989262"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College of Policing (2021). </w:t>
      </w:r>
      <w:r w:rsidRPr="00BC468F">
        <w:rPr>
          <w:rFonts w:ascii="Calibri" w:hAnsi="Calibri" w:cs="Calibri"/>
          <w:i/>
          <w:iCs/>
          <w:color w:val="000000"/>
          <w:sz w:val="22"/>
          <w:szCs w:val="22"/>
        </w:rPr>
        <w:t>Body-worn Cameras</w:t>
      </w:r>
      <w:r w:rsidRPr="00BC468F">
        <w:rPr>
          <w:rFonts w:ascii="Calibri" w:hAnsi="Calibri" w:cs="Calibri"/>
          <w:color w:val="000000"/>
          <w:sz w:val="22"/>
          <w:szCs w:val="22"/>
        </w:rPr>
        <w:t xml:space="preserve">. [online] College of Policing. Available at: </w:t>
      </w:r>
      <w:hyperlink r:id="rId9" w:history="1">
        <w:r w:rsidR="00546ED4" w:rsidRPr="00546ED4">
          <w:rPr>
            <w:rStyle w:val="Hyperlink"/>
            <w:rFonts w:ascii="Calibri" w:hAnsi="Calibri" w:cs="Calibri"/>
            <w:i/>
            <w:iCs/>
            <w:sz w:val="22"/>
            <w:szCs w:val="22"/>
          </w:rPr>
          <w:t>https://www.college.police.uk/research/crime-reduction-toolkit/body-worn-cameras</w:t>
        </w:r>
      </w:hyperlink>
      <w:r w:rsidR="00546ED4" w:rsidRPr="00546ED4">
        <w:rPr>
          <w:rFonts w:ascii="Calibri" w:hAnsi="Calibri" w:cs="Calibri"/>
          <w:color w:val="000000"/>
          <w:sz w:val="22"/>
          <w:szCs w:val="22"/>
        </w:rPr>
        <w:t xml:space="preserve"> </w:t>
      </w:r>
      <w:r w:rsidRPr="00546ED4">
        <w:rPr>
          <w:rFonts w:ascii="Calibri" w:hAnsi="Calibri" w:cs="Calibri"/>
          <w:color w:val="000000"/>
          <w:sz w:val="22"/>
          <w:szCs w:val="22"/>
        </w:rPr>
        <w:t xml:space="preserve"> </w:t>
      </w:r>
      <w:r w:rsidR="00546ED4">
        <w:rPr>
          <w:rFonts w:ascii="Calibri" w:hAnsi="Calibri" w:cs="Calibri"/>
          <w:color w:val="000000"/>
          <w:sz w:val="22"/>
          <w:szCs w:val="22"/>
        </w:rPr>
        <w:t>(</w:t>
      </w:r>
      <w:r w:rsidRPr="00BC468F">
        <w:rPr>
          <w:rFonts w:ascii="Calibri" w:hAnsi="Calibri" w:cs="Calibri"/>
          <w:color w:val="000000"/>
          <w:sz w:val="22"/>
          <w:szCs w:val="22"/>
        </w:rPr>
        <w:t xml:space="preserve">Accessed </w:t>
      </w:r>
      <w:r w:rsidR="00546ED4">
        <w:rPr>
          <w:rFonts w:ascii="Calibri" w:hAnsi="Calibri" w:cs="Calibri"/>
          <w:color w:val="000000"/>
          <w:sz w:val="22"/>
          <w:szCs w:val="22"/>
        </w:rPr>
        <w:t>6</w:t>
      </w:r>
      <w:r w:rsidRPr="00BC468F">
        <w:rPr>
          <w:rFonts w:ascii="Calibri" w:hAnsi="Calibri" w:cs="Calibri"/>
          <w:color w:val="000000"/>
          <w:sz w:val="22"/>
          <w:szCs w:val="22"/>
        </w:rPr>
        <w:t xml:space="preserve"> Apr. 2022</w:t>
      </w:r>
      <w:r w:rsidR="00546ED4">
        <w:rPr>
          <w:rFonts w:ascii="Calibri" w:hAnsi="Calibri" w:cs="Calibri"/>
          <w:color w:val="000000"/>
          <w:sz w:val="22"/>
          <w:szCs w:val="22"/>
        </w:rPr>
        <w:t>)</w:t>
      </w:r>
      <w:r w:rsidRPr="00BC468F">
        <w:rPr>
          <w:rFonts w:ascii="Calibri" w:hAnsi="Calibri" w:cs="Calibri"/>
          <w:color w:val="000000"/>
          <w:sz w:val="22"/>
          <w:szCs w:val="22"/>
        </w:rPr>
        <w:t>.</w:t>
      </w:r>
    </w:p>
    <w:p w14:paraId="7A6D3A45" w14:textId="704E063E"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Crown Prosecution Service (2019). </w:t>
      </w:r>
      <w:r w:rsidRPr="00BC468F">
        <w:rPr>
          <w:rFonts w:ascii="Calibri" w:hAnsi="Calibri" w:cs="Calibri"/>
          <w:i/>
          <w:iCs/>
          <w:color w:val="000000"/>
          <w:sz w:val="22"/>
          <w:szCs w:val="22"/>
        </w:rPr>
        <w:t>Relevant Evidence Body Worn Videos</w:t>
      </w:r>
      <w:r w:rsidRPr="00BC468F">
        <w:rPr>
          <w:rFonts w:ascii="Calibri" w:hAnsi="Calibri" w:cs="Calibri"/>
          <w:color w:val="000000"/>
          <w:sz w:val="22"/>
          <w:szCs w:val="22"/>
        </w:rPr>
        <w:t xml:space="preserve">. [online] www.cps.gov.uk. Available at: </w:t>
      </w:r>
      <w:hyperlink r:id="rId10" w:history="1">
        <w:r w:rsidR="00546ED4" w:rsidRPr="00546ED4">
          <w:rPr>
            <w:rStyle w:val="Hyperlink"/>
            <w:rFonts w:ascii="Calibri" w:hAnsi="Calibri" w:cs="Calibri"/>
            <w:i/>
            <w:iCs/>
            <w:sz w:val="22"/>
            <w:szCs w:val="22"/>
          </w:rPr>
          <w:t>https://www.cps.gov.uk/legal-guidance/live-links</w:t>
        </w:r>
      </w:hyperlink>
      <w:r w:rsidR="00546ED4">
        <w:rPr>
          <w:rFonts w:ascii="Calibri" w:hAnsi="Calibri" w:cs="Calibri"/>
          <w:color w:val="000000"/>
          <w:sz w:val="22"/>
          <w:szCs w:val="22"/>
        </w:rPr>
        <w:t xml:space="preserve"> (</w:t>
      </w:r>
      <w:r w:rsidRPr="00BC468F">
        <w:rPr>
          <w:rFonts w:ascii="Calibri" w:hAnsi="Calibri" w:cs="Calibri"/>
          <w:color w:val="000000"/>
          <w:sz w:val="22"/>
          <w:szCs w:val="22"/>
        </w:rPr>
        <w:t>Accessed 1 Apr. 2022</w:t>
      </w:r>
      <w:r w:rsidR="00546ED4">
        <w:rPr>
          <w:rFonts w:ascii="Calibri" w:hAnsi="Calibri" w:cs="Calibri"/>
          <w:color w:val="000000"/>
          <w:sz w:val="22"/>
          <w:szCs w:val="22"/>
        </w:rPr>
        <w:t>)</w:t>
      </w:r>
      <w:r w:rsidRPr="00BC468F">
        <w:rPr>
          <w:rFonts w:ascii="Calibri" w:hAnsi="Calibri" w:cs="Calibri"/>
          <w:color w:val="000000"/>
          <w:sz w:val="22"/>
          <w:szCs w:val="22"/>
        </w:rPr>
        <w:t>.</w:t>
      </w:r>
    </w:p>
    <w:p w14:paraId="452693CF"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 xml:space="preserve">Cubitt, T. (2017) Body-worn video: A systematic review of literature. </w:t>
      </w:r>
      <w:r w:rsidRPr="00546ED4">
        <w:rPr>
          <w:rFonts w:ascii="Calibri" w:hAnsi="Calibri" w:cs="Calibri"/>
          <w:i/>
          <w:iCs/>
          <w:color w:val="000000"/>
          <w:sz w:val="22"/>
          <w:szCs w:val="22"/>
        </w:rPr>
        <w:t>Australian &amp; New Zealand Journal of Criminology</w:t>
      </w:r>
      <w:r w:rsidRPr="00BC468F">
        <w:rPr>
          <w:rFonts w:ascii="Calibri" w:hAnsi="Calibri" w:cs="Calibri"/>
          <w:color w:val="000000"/>
          <w:sz w:val="22"/>
          <w:szCs w:val="22"/>
        </w:rPr>
        <w:t>, 50(3), pp.379-396.</w:t>
      </w:r>
    </w:p>
    <w:p w14:paraId="2E6FEAA6" w14:textId="62EFC3E8"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lastRenderedPageBreak/>
        <w:t>Digital Services Division (2017). </w:t>
      </w:r>
      <w:r w:rsidRPr="00BC468F">
        <w:rPr>
          <w:rFonts w:ascii="Calibri" w:hAnsi="Calibri" w:cs="Calibri"/>
          <w:i/>
          <w:iCs/>
          <w:color w:val="000000"/>
          <w:sz w:val="22"/>
          <w:szCs w:val="22"/>
        </w:rPr>
        <w:t>Digital &amp; Retail Technologies - a Freedom of Information Request to Gwent Police</w:t>
      </w:r>
      <w:r w:rsidRPr="00BC468F">
        <w:rPr>
          <w:rFonts w:ascii="Calibri" w:hAnsi="Calibri" w:cs="Calibri"/>
          <w:color w:val="000000"/>
          <w:sz w:val="22"/>
          <w:szCs w:val="22"/>
        </w:rPr>
        <w:t>. [online] WhatDoTheyKnow. Available at: </w:t>
      </w:r>
      <w:hyperlink r:id="rId11" w:history="1">
        <w:r w:rsidR="00546ED4" w:rsidRPr="009B0BC5">
          <w:rPr>
            <w:rStyle w:val="Hyperlink"/>
            <w:rFonts w:ascii="Calibri" w:hAnsi="Calibri" w:cs="Calibri"/>
            <w:i/>
            <w:iCs/>
            <w:sz w:val="22"/>
            <w:szCs w:val="22"/>
          </w:rPr>
          <w:t>https://www.whatdotheyknow.com/request/735711/response/1790241/attach/9/Digital%20Services%20Strategy%202025.pdf?cookie_passthrough=1</w:t>
        </w:r>
      </w:hyperlink>
      <w:r w:rsidR="00546ED4">
        <w:rPr>
          <w:rFonts w:ascii="Calibri" w:hAnsi="Calibri" w:cs="Calibri"/>
          <w:i/>
          <w:iCs/>
          <w:color w:val="000000"/>
          <w:sz w:val="22"/>
          <w:szCs w:val="22"/>
        </w:rPr>
        <w:t xml:space="preserve"> </w:t>
      </w:r>
      <w:r w:rsidRPr="00BC468F">
        <w:rPr>
          <w:rFonts w:ascii="Calibri" w:hAnsi="Calibri" w:cs="Calibri"/>
          <w:color w:val="000000"/>
          <w:sz w:val="22"/>
          <w:szCs w:val="22"/>
        </w:rPr>
        <w:t xml:space="preserve">(Accessed 3 </w:t>
      </w:r>
      <w:r w:rsidR="00546ED4">
        <w:rPr>
          <w:rFonts w:ascii="Calibri" w:hAnsi="Calibri" w:cs="Calibri"/>
          <w:color w:val="000000"/>
          <w:sz w:val="22"/>
          <w:szCs w:val="22"/>
        </w:rPr>
        <w:t>Apr</w:t>
      </w:r>
      <w:r w:rsidRPr="00BC468F">
        <w:rPr>
          <w:rFonts w:ascii="Calibri" w:hAnsi="Calibri" w:cs="Calibri"/>
          <w:color w:val="000000"/>
          <w:sz w:val="22"/>
          <w:szCs w:val="22"/>
        </w:rPr>
        <w:t>. 2022).</w:t>
      </w:r>
    </w:p>
    <w:p w14:paraId="3E0AD45E" w14:textId="5DB03EB6"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Equality Human Rights (2020). </w:t>
      </w:r>
      <w:r w:rsidRPr="00BC468F">
        <w:rPr>
          <w:rFonts w:ascii="Calibri" w:hAnsi="Calibri" w:cs="Calibri"/>
          <w:i/>
          <w:iCs/>
          <w:color w:val="000000"/>
          <w:sz w:val="22"/>
          <w:szCs w:val="22"/>
        </w:rPr>
        <w:t>Stop and Think a Critical Review of the Use of Stop and Search Powers in England and Wales Equality and Human Rights Commission Foreword Acknowledgements</w:t>
      </w:r>
      <w:r w:rsidRPr="00BC468F">
        <w:rPr>
          <w:rFonts w:ascii="Calibri" w:hAnsi="Calibri" w:cs="Calibri"/>
          <w:color w:val="000000"/>
          <w:sz w:val="22"/>
          <w:szCs w:val="22"/>
        </w:rPr>
        <w:t xml:space="preserve">. [online] Available at: </w:t>
      </w:r>
      <w:hyperlink r:id="rId12" w:history="1">
        <w:r w:rsidR="00546ED4" w:rsidRPr="00546ED4">
          <w:rPr>
            <w:rStyle w:val="Hyperlink"/>
            <w:rFonts w:ascii="Calibri" w:hAnsi="Calibri" w:cs="Calibri"/>
            <w:i/>
            <w:iCs/>
            <w:sz w:val="21"/>
            <w:szCs w:val="21"/>
          </w:rPr>
          <w:t>https://www.equalityhumanrights.com/sites/default/files/ehrc_stop_and_search_report.pdf</w:t>
        </w:r>
      </w:hyperlink>
      <w:r w:rsidR="00546ED4" w:rsidRPr="00546ED4">
        <w:rPr>
          <w:rFonts w:ascii="Calibri" w:hAnsi="Calibri" w:cs="Calibri"/>
          <w:i/>
          <w:iCs/>
          <w:color w:val="000000"/>
          <w:sz w:val="21"/>
          <w:szCs w:val="21"/>
        </w:rPr>
        <w:t xml:space="preserve"> </w:t>
      </w:r>
      <w:r w:rsidRPr="00546ED4">
        <w:rPr>
          <w:rFonts w:ascii="Calibri" w:hAnsi="Calibri" w:cs="Calibri"/>
          <w:i/>
          <w:iCs/>
          <w:color w:val="000000"/>
          <w:sz w:val="21"/>
          <w:szCs w:val="21"/>
        </w:rPr>
        <w:t xml:space="preserve"> </w:t>
      </w:r>
      <w:r w:rsidR="00546ED4">
        <w:rPr>
          <w:rFonts w:ascii="Calibri" w:hAnsi="Calibri" w:cs="Calibri"/>
          <w:color w:val="000000"/>
          <w:sz w:val="22"/>
          <w:szCs w:val="22"/>
        </w:rPr>
        <w:t>(</w:t>
      </w:r>
      <w:r w:rsidRPr="00BC468F">
        <w:rPr>
          <w:rFonts w:ascii="Calibri" w:hAnsi="Calibri" w:cs="Calibri"/>
          <w:color w:val="000000"/>
          <w:sz w:val="22"/>
          <w:szCs w:val="22"/>
        </w:rPr>
        <w:t>Accessed 1 Apr. 2022</w:t>
      </w:r>
      <w:r w:rsidR="00546ED4">
        <w:rPr>
          <w:rFonts w:ascii="Calibri" w:hAnsi="Calibri" w:cs="Calibri"/>
          <w:color w:val="000000"/>
          <w:sz w:val="22"/>
          <w:szCs w:val="22"/>
        </w:rPr>
        <w:t>)</w:t>
      </w:r>
      <w:r w:rsidRPr="00BC468F">
        <w:rPr>
          <w:rFonts w:ascii="Calibri" w:hAnsi="Calibri" w:cs="Calibri"/>
          <w:color w:val="000000"/>
          <w:sz w:val="22"/>
          <w:szCs w:val="22"/>
        </w:rPr>
        <w:t>.</w:t>
      </w:r>
    </w:p>
    <w:p w14:paraId="7E8D9B89" w14:textId="6461B14E"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Gwent Police (2021). </w:t>
      </w:r>
      <w:r w:rsidRPr="00BC468F">
        <w:rPr>
          <w:rFonts w:ascii="Calibri" w:hAnsi="Calibri" w:cs="Calibri"/>
          <w:i/>
          <w:iCs/>
          <w:color w:val="000000"/>
          <w:sz w:val="22"/>
          <w:szCs w:val="22"/>
        </w:rPr>
        <w:t>Body Worn Video 2021</w:t>
      </w:r>
      <w:r w:rsidRPr="00BC468F">
        <w:rPr>
          <w:rFonts w:ascii="Calibri" w:hAnsi="Calibri" w:cs="Calibri"/>
          <w:color w:val="000000"/>
          <w:sz w:val="22"/>
          <w:szCs w:val="22"/>
        </w:rPr>
        <w:t xml:space="preserve">. [online] Available at: </w:t>
      </w:r>
      <w:hyperlink r:id="rId13" w:history="1">
        <w:r w:rsidR="00546ED4" w:rsidRPr="00546ED4">
          <w:rPr>
            <w:rStyle w:val="Hyperlink"/>
            <w:rFonts w:ascii="Calibri" w:hAnsi="Calibri" w:cs="Calibri"/>
            <w:i/>
            <w:iCs/>
            <w:sz w:val="22"/>
            <w:szCs w:val="22"/>
          </w:rPr>
          <w:t>https://www.gwent.police.uk/foi-ai/gwent-police/disclosure2/2021/09---september/202124484---body-worn-video/</w:t>
        </w:r>
      </w:hyperlink>
      <w:r w:rsidR="00546ED4">
        <w:rPr>
          <w:rFonts w:ascii="Calibri" w:hAnsi="Calibri" w:cs="Calibri"/>
          <w:color w:val="000000"/>
          <w:sz w:val="22"/>
          <w:szCs w:val="22"/>
        </w:rPr>
        <w:t xml:space="preserve"> (</w:t>
      </w:r>
      <w:r w:rsidRPr="00BC468F">
        <w:rPr>
          <w:rFonts w:ascii="Calibri" w:hAnsi="Calibri" w:cs="Calibri"/>
          <w:color w:val="000000"/>
          <w:sz w:val="22"/>
          <w:szCs w:val="22"/>
        </w:rPr>
        <w:t xml:space="preserve">Accessed </w:t>
      </w:r>
      <w:r w:rsidR="00546ED4">
        <w:rPr>
          <w:rFonts w:ascii="Calibri" w:hAnsi="Calibri" w:cs="Calibri"/>
          <w:color w:val="000000"/>
          <w:sz w:val="22"/>
          <w:szCs w:val="22"/>
        </w:rPr>
        <w:t>5</w:t>
      </w:r>
      <w:r w:rsidRPr="00BC468F">
        <w:rPr>
          <w:rFonts w:ascii="Calibri" w:hAnsi="Calibri" w:cs="Calibri"/>
          <w:color w:val="000000"/>
          <w:sz w:val="22"/>
          <w:szCs w:val="22"/>
        </w:rPr>
        <w:t xml:space="preserve"> Apr. 2022</w:t>
      </w:r>
      <w:r w:rsidR="00546ED4">
        <w:rPr>
          <w:rFonts w:ascii="Calibri" w:hAnsi="Calibri" w:cs="Calibri"/>
          <w:color w:val="000000"/>
          <w:sz w:val="22"/>
          <w:szCs w:val="22"/>
        </w:rPr>
        <w:t>)</w:t>
      </w:r>
      <w:r w:rsidRPr="00BC468F">
        <w:rPr>
          <w:rFonts w:ascii="Calibri" w:hAnsi="Calibri" w:cs="Calibri"/>
          <w:color w:val="000000"/>
          <w:sz w:val="22"/>
          <w:szCs w:val="22"/>
        </w:rPr>
        <w:t>.</w:t>
      </w:r>
    </w:p>
    <w:p w14:paraId="568E9BE8"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Gorman C, Smith S, Holm D, Planet K &amp; Hanson P (2020) DEMS—an electronic management system. </w:t>
      </w:r>
      <w:r w:rsidRPr="00BC468F">
        <w:rPr>
          <w:rFonts w:ascii="Calibri" w:hAnsi="Calibri" w:cs="Calibri"/>
          <w:i/>
          <w:iCs/>
          <w:color w:val="000000"/>
          <w:sz w:val="22"/>
          <w:szCs w:val="22"/>
        </w:rPr>
        <w:t>Computer methods and programmes</w:t>
      </w:r>
      <w:r w:rsidRPr="00BC468F">
        <w:rPr>
          <w:rFonts w:ascii="Calibri" w:hAnsi="Calibri" w:cs="Calibri"/>
          <w:color w:val="000000"/>
          <w:sz w:val="22"/>
          <w:szCs w:val="22"/>
        </w:rPr>
        <w:t>, </w:t>
      </w:r>
      <w:r w:rsidRPr="00BC468F">
        <w:rPr>
          <w:rFonts w:ascii="Calibri" w:hAnsi="Calibri" w:cs="Calibri"/>
          <w:i/>
          <w:iCs/>
          <w:color w:val="000000"/>
          <w:sz w:val="22"/>
          <w:szCs w:val="22"/>
        </w:rPr>
        <w:t>62</w:t>
      </w:r>
      <w:r w:rsidRPr="00BC468F">
        <w:rPr>
          <w:rFonts w:ascii="Calibri" w:hAnsi="Calibri" w:cs="Calibri"/>
          <w:color w:val="000000"/>
          <w:sz w:val="22"/>
          <w:szCs w:val="22"/>
        </w:rPr>
        <w:t>(2), pp.127-140.</w:t>
      </w:r>
    </w:p>
    <w:p w14:paraId="17B573CD" w14:textId="43D13788"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Hampshire Constabulary (2018). </w:t>
      </w:r>
      <w:r w:rsidRPr="00BC468F">
        <w:rPr>
          <w:rFonts w:ascii="Calibri" w:hAnsi="Calibri" w:cs="Calibri"/>
          <w:i/>
          <w:iCs/>
          <w:color w:val="000000"/>
          <w:sz w:val="22"/>
          <w:szCs w:val="22"/>
        </w:rPr>
        <w:t>Digital Evidence Management System (DEMS) Privacy Notice</w:t>
      </w:r>
      <w:r w:rsidRPr="00BC468F">
        <w:rPr>
          <w:rFonts w:ascii="Calibri" w:hAnsi="Calibri" w:cs="Calibri"/>
          <w:color w:val="000000"/>
          <w:sz w:val="22"/>
          <w:szCs w:val="22"/>
        </w:rPr>
        <w:t xml:space="preserve">. [online] Available at: </w:t>
      </w:r>
      <w:hyperlink r:id="rId14" w:history="1">
        <w:r w:rsidR="0009418E" w:rsidRPr="0009418E">
          <w:rPr>
            <w:rStyle w:val="Hyperlink"/>
            <w:rFonts w:ascii="Calibri" w:hAnsi="Calibri" w:cs="Calibri"/>
            <w:i/>
            <w:iCs/>
            <w:sz w:val="22"/>
            <w:szCs w:val="22"/>
          </w:rPr>
          <w:t>https://www.hampshire.police.uk/SysSiteAssets/foi-media/hampshire-constabulary/other_information/dems-citizens-portal-privacy-notice.pdf</w:t>
        </w:r>
      </w:hyperlink>
      <w:r w:rsidR="0009418E">
        <w:rPr>
          <w:rFonts w:ascii="Calibri" w:hAnsi="Calibri" w:cs="Calibri"/>
          <w:color w:val="000000"/>
          <w:sz w:val="22"/>
          <w:szCs w:val="22"/>
        </w:rPr>
        <w:t xml:space="preserve"> </w:t>
      </w:r>
      <w:r w:rsidRPr="00BC468F">
        <w:rPr>
          <w:rFonts w:ascii="Calibri" w:hAnsi="Calibri" w:cs="Calibri"/>
          <w:color w:val="000000"/>
          <w:sz w:val="22"/>
          <w:szCs w:val="22"/>
        </w:rPr>
        <w:t xml:space="preserve"> </w:t>
      </w:r>
      <w:r w:rsidR="0009418E">
        <w:rPr>
          <w:rFonts w:ascii="Calibri" w:hAnsi="Calibri" w:cs="Calibri"/>
          <w:color w:val="000000"/>
          <w:sz w:val="22"/>
          <w:szCs w:val="22"/>
        </w:rPr>
        <w:t>(</w:t>
      </w:r>
      <w:r w:rsidRPr="00BC468F">
        <w:rPr>
          <w:rFonts w:ascii="Calibri" w:hAnsi="Calibri" w:cs="Calibri"/>
          <w:color w:val="000000"/>
          <w:sz w:val="22"/>
          <w:szCs w:val="22"/>
        </w:rPr>
        <w:t xml:space="preserve">Accessed </w:t>
      </w:r>
      <w:r w:rsidR="0009418E">
        <w:rPr>
          <w:rFonts w:ascii="Calibri" w:hAnsi="Calibri" w:cs="Calibri"/>
          <w:color w:val="000000"/>
          <w:sz w:val="22"/>
          <w:szCs w:val="22"/>
        </w:rPr>
        <w:t>6</w:t>
      </w:r>
      <w:r w:rsidRPr="00BC468F">
        <w:rPr>
          <w:rFonts w:ascii="Calibri" w:hAnsi="Calibri" w:cs="Calibri"/>
          <w:color w:val="000000"/>
          <w:sz w:val="22"/>
          <w:szCs w:val="22"/>
        </w:rPr>
        <w:t xml:space="preserve"> Apr. 2022</w:t>
      </w:r>
      <w:r w:rsidR="0009418E">
        <w:rPr>
          <w:rFonts w:ascii="Calibri" w:hAnsi="Calibri" w:cs="Calibri"/>
          <w:color w:val="000000"/>
          <w:sz w:val="22"/>
          <w:szCs w:val="22"/>
        </w:rPr>
        <w:t>)</w:t>
      </w:r>
      <w:r w:rsidRPr="00BC468F">
        <w:rPr>
          <w:rFonts w:ascii="Calibri" w:hAnsi="Calibri" w:cs="Calibri"/>
          <w:color w:val="000000"/>
          <w:sz w:val="22"/>
          <w:szCs w:val="22"/>
        </w:rPr>
        <w:t>.</w:t>
      </w:r>
    </w:p>
    <w:p w14:paraId="37787928" w14:textId="6724C1F6"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HMICFRS (2022). </w:t>
      </w:r>
      <w:r w:rsidRPr="00BC468F">
        <w:rPr>
          <w:rFonts w:ascii="Calibri" w:hAnsi="Calibri" w:cs="Calibri"/>
          <w:i/>
          <w:iCs/>
          <w:color w:val="000000"/>
          <w:sz w:val="22"/>
          <w:szCs w:val="22"/>
        </w:rPr>
        <w:t>Digital Crime and Policing</w:t>
      </w:r>
      <w:r w:rsidRPr="00BC468F">
        <w:rPr>
          <w:rFonts w:ascii="Calibri" w:hAnsi="Calibri" w:cs="Calibri"/>
          <w:color w:val="000000"/>
          <w:sz w:val="22"/>
          <w:szCs w:val="22"/>
        </w:rPr>
        <w:t xml:space="preserve">. [online] HMICFRS. Available at: </w:t>
      </w:r>
      <w:hyperlink r:id="rId15" w:history="1">
        <w:r w:rsidR="0009418E" w:rsidRPr="0009418E">
          <w:rPr>
            <w:rStyle w:val="Hyperlink"/>
            <w:rFonts w:ascii="Calibri" w:hAnsi="Calibri" w:cs="Calibri"/>
            <w:i/>
            <w:iCs/>
            <w:sz w:val="22"/>
            <w:szCs w:val="22"/>
          </w:rPr>
          <w:t>https://www.justiceinspectorates.gov.uk/hmicfrs/our-work/article/digital-crime-and-policing/</w:t>
        </w:r>
      </w:hyperlink>
      <w:r w:rsidR="0009418E" w:rsidRPr="0009418E">
        <w:rPr>
          <w:rFonts w:ascii="Calibri" w:hAnsi="Calibri" w:cs="Calibri"/>
          <w:i/>
          <w:iCs/>
          <w:color w:val="000000"/>
          <w:sz w:val="22"/>
          <w:szCs w:val="22"/>
        </w:rPr>
        <w:t xml:space="preserve"> </w:t>
      </w:r>
      <w:r w:rsidR="0009418E">
        <w:rPr>
          <w:rFonts w:ascii="Calibri" w:hAnsi="Calibri" w:cs="Calibri"/>
          <w:color w:val="000000"/>
          <w:sz w:val="22"/>
          <w:szCs w:val="22"/>
        </w:rPr>
        <w:t>(</w:t>
      </w:r>
      <w:r w:rsidRPr="00BC468F">
        <w:rPr>
          <w:rFonts w:ascii="Calibri" w:hAnsi="Calibri" w:cs="Calibri"/>
          <w:color w:val="000000"/>
          <w:sz w:val="22"/>
          <w:szCs w:val="22"/>
        </w:rPr>
        <w:t xml:space="preserve">Accessed </w:t>
      </w:r>
      <w:r w:rsidR="0009418E">
        <w:rPr>
          <w:rFonts w:ascii="Calibri" w:hAnsi="Calibri" w:cs="Calibri"/>
          <w:color w:val="000000"/>
          <w:sz w:val="22"/>
          <w:szCs w:val="22"/>
        </w:rPr>
        <w:t>4</w:t>
      </w:r>
      <w:r w:rsidRPr="00BC468F">
        <w:rPr>
          <w:rFonts w:ascii="Calibri" w:hAnsi="Calibri" w:cs="Calibri"/>
          <w:color w:val="000000"/>
          <w:sz w:val="22"/>
          <w:szCs w:val="22"/>
        </w:rPr>
        <w:t xml:space="preserve"> Apr. 2022</w:t>
      </w:r>
      <w:r w:rsidR="0009418E">
        <w:rPr>
          <w:rFonts w:ascii="Calibri" w:hAnsi="Calibri" w:cs="Calibri"/>
          <w:color w:val="000000"/>
          <w:sz w:val="22"/>
          <w:szCs w:val="22"/>
        </w:rPr>
        <w:t>)</w:t>
      </w:r>
      <w:r w:rsidRPr="00BC468F">
        <w:rPr>
          <w:rFonts w:ascii="Calibri" w:hAnsi="Calibri" w:cs="Calibri"/>
          <w:color w:val="000000"/>
          <w:sz w:val="22"/>
          <w:szCs w:val="22"/>
        </w:rPr>
        <w:t>.</w:t>
      </w:r>
    </w:p>
    <w:p w14:paraId="35BCE383" w14:textId="08815DA9"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Home Office (2021). </w:t>
      </w:r>
      <w:r w:rsidRPr="00BC468F">
        <w:rPr>
          <w:rFonts w:ascii="Calibri" w:hAnsi="Calibri" w:cs="Calibri"/>
          <w:i/>
          <w:iCs/>
          <w:color w:val="000000"/>
          <w:sz w:val="22"/>
          <w:szCs w:val="22"/>
        </w:rPr>
        <w:t>Stop and Search</w:t>
      </w:r>
      <w:r w:rsidRPr="00BC468F">
        <w:rPr>
          <w:rFonts w:ascii="Calibri" w:hAnsi="Calibri" w:cs="Calibri"/>
          <w:color w:val="000000"/>
          <w:sz w:val="22"/>
          <w:szCs w:val="22"/>
        </w:rPr>
        <w:t xml:space="preserve">. [online] Service.gov.uk. Available at: </w:t>
      </w:r>
      <w:hyperlink r:id="rId16" w:history="1">
        <w:r w:rsidR="0009418E" w:rsidRPr="0009418E">
          <w:rPr>
            <w:rStyle w:val="Hyperlink"/>
            <w:rFonts w:ascii="Calibri" w:hAnsi="Calibri" w:cs="Calibri"/>
            <w:i/>
            <w:iCs/>
            <w:sz w:val="22"/>
            <w:szCs w:val="22"/>
          </w:rPr>
          <w:t>https://www.ethnicity-facts-figures.service.gov.uk/crime-justice-and-the-law/policing/stop-and-search/latest</w:t>
        </w:r>
      </w:hyperlink>
      <w:r w:rsidR="0009418E">
        <w:rPr>
          <w:rFonts w:ascii="Calibri" w:hAnsi="Calibri" w:cs="Calibri"/>
          <w:color w:val="000000"/>
          <w:sz w:val="22"/>
          <w:szCs w:val="22"/>
        </w:rPr>
        <w:t xml:space="preserve"> (</w:t>
      </w:r>
      <w:r w:rsidRPr="00BC468F">
        <w:rPr>
          <w:rFonts w:ascii="Calibri" w:hAnsi="Calibri" w:cs="Calibri"/>
          <w:color w:val="000000"/>
          <w:sz w:val="22"/>
          <w:szCs w:val="22"/>
        </w:rPr>
        <w:t xml:space="preserve">Accessed </w:t>
      </w:r>
      <w:r w:rsidR="0009418E">
        <w:rPr>
          <w:rFonts w:ascii="Calibri" w:hAnsi="Calibri" w:cs="Calibri"/>
          <w:color w:val="000000"/>
          <w:sz w:val="22"/>
          <w:szCs w:val="22"/>
        </w:rPr>
        <w:t>2</w:t>
      </w:r>
      <w:r w:rsidRPr="00BC468F">
        <w:rPr>
          <w:rFonts w:ascii="Calibri" w:hAnsi="Calibri" w:cs="Calibri"/>
          <w:color w:val="000000"/>
          <w:sz w:val="22"/>
          <w:szCs w:val="22"/>
        </w:rPr>
        <w:t xml:space="preserve"> Apr. 2022</w:t>
      </w:r>
      <w:r w:rsidR="0009418E">
        <w:rPr>
          <w:rFonts w:ascii="Calibri" w:hAnsi="Calibri" w:cs="Calibri"/>
          <w:color w:val="000000"/>
          <w:sz w:val="22"/>
          <w:szCs w:val="22"/>
        </w:rPr>
        <w:t>)</w:t>
      </w:r>
      <w:r w:rsidRPr="00BC468F">
        <w:rPr>
          <w:rFonts w:ascii="Calibri" w:hAnsi="Calibri" w:cs="Calibri"/>
          <w:color w:val="000000"/>
          <w:sz w:val="22"/>
          <w:szCs w:val="22"/>
        </w:rPr>
        <w:t>.</w:t>
      </w:r>
    </w:p>
    <w:p w14:paraId="4278C277" w14:textId="312400C2"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Horsman, G. (2021). Digital Evidence and the Crime Scene. </w:t>
      </w:r>
      <w:r w:rsidRPr="00BC468F">
        <w:rPr>
          <w:rFonts w:ascii="Calibri" w:hAnsi="Calibri" w:cs="Calibri"/>
          <w:i/>
          <w:iCs/>
          <w:color w:val="000000"/>
          <w:sz w:val="22"/>
          <w:szCs w:val="22"/>
        </w:rPr>
        <w:t>Science &amp; Justice</w:t>
      </w:r>
      <w:r w:rsidRPr="00BC468F">
        <w:rPr>
          <w:rFonts w:ascii="Calibri" w:hAnsi="Calibri" w:cs="Calibri"/>
          <w:color w:val="000000"/>
          <w:sz w:val="22"/>
          <w:szCs w:val="22"/>
        </w:rPr>
        <w:t>, 61(6), pp.</w:t>
      </w:r>
      <w:r w:rsidR="0009418E">
        <w:rPr>
          <w:rFonts w:ascii="Calibri" w:hAnsi="Calibri" w:cs="Calibri"/>
          <w:color w:val="000000"/>
          <w:sz w:val="22"/>
          <w:szCs w:val="22"/>
        </w:rPr>
        <w:t xml:space="preserve"> </w:t>
      </w:r>
      <w:r w:rsidRPr="00BC468F">
        <w:rPr>
          <w:rFonts w:ascii="Calibri" w:hAnsi="Calibri" w:cs="Calibri"/>
          <w:color w:val="000000"/>
          <w:sz w:val="22"/>
          <w:szCs w:val="22"/>
        </w:rPr>
        <w:t>761</w:t>
      </w:r>
      <w:r w:rsidR="0009418E">
        <w:rPr>
          <w:rFonts w:ascii="Calibri" w:hAnsi="Calibri" w:cs="Calibri"/>
          <w:color w:val="000000"/>
          <w:sz w:val="22"/>
          <w:szCs w:val="22"/>
        </w:rPr>
        <w:t xml:space="preserve"> </w:t>
      </w:r>
      <w:r w:rsidRPr="00BC468F">
        <w:rPr>
          <w:rFonts w:ascii="Calibri" w:hAnsi="Calibri" w:cs="Calibri"/>
          <w:color w:val="000000"/>
          <w:sz w:val="22"/>
          <w:szCs w:val="22"/>
        </w:rPr>
        <w:t>–</w:t>
      </w:r>
      <w:r w:rsidR="0009418E">
        <w:rPr>
          <w:rFonts w:ascii="Calibri" w:hAnsi="Calibri" w:cs="Calibri"/>
          <w:color w:val="000000"/>
          <w:sz w:val="22"/>
          <w:szCs w:val="22"/>
        </w:rPr>
        <w:t xml:space="preserve"> </w:t>
      </w:r>
      <w:r w:rsidRPr="00BC468F">
        <w:rPr>
          <w:rFonts w:ascii="Calibri" w:hAnsi="Calibri" w:cs="Calibri"/>
          <w:color w:val="000000"/>
          <w:sz w:val="22"/>
          <w:szCs w:val="22"/>
        </w:rPr>
        <w:t>770.</w:t>
      </w:r>
    </w:p>
    <w:p w14:paraId="0CAF5F93" w14:textId="5BCDB2F3"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 xml:space="preserve">Hyland, S (2018) Body-worn cameras in law enforcement agencies, 2016. Department of Justice, Office of Justice Programs, </w:t>
      </w:r>
      <w:r w:rsidRPr="0009418E">
        <w:rPr>
          <w:rFonts w:ascii="Calibri" w:hAnsi="Calibri" w:cs="Calibri"/>
          <w:i/>
          <w:iCs/>
          <w:color w:val="000000"/>
          <w:sz w:val="22"/>
          <w:szCs w:val="22"/>
        </w:rPr>
        <w:t>Bureau of Justice Statistics</w:t>
      </w:r>
      <w:r w:rsidRPr="00BC468F">
        <w:rPr>
          <w:rFonts w:ascii="Calibri" w:hAnsi="Calibri" w:cs="Calibri"/>
          <w:color w:val="000000"/>
          <w:sz w:val="22"/>
          <w:szCs w:val="22"/>
        </w:rPr>
        <w:t>.</w:t>
      </w:r>
    </w:p>
    <w:p w14:paraId="2911CCA9"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lastRenderedPageBreak/>
        <w:t>Keeling, P (2017) No respect: Young BAME men, the police and stop and search. </w:t>
      </w:r>
      <w:r w:rsidRPr="00BC468F">
        <w:rPr>
          <w:rFonts w:ascii="Calibri" w:hAnsi="Calibri" w:cs="Calibri"/>
          <w:i/>
          <w:iCs/>
          <w:color w:val="000000"/>
          <w:sz w:val="22"/>
          <w:szCs w:val="22"/>
        </w:rPr>
        <w:t>Criminal justice alliance</w:t>
      </w:r>
      <w:r w:rsidRPr="00BC468F">
        <w:rPr>
          <w:rFonts w:ascii="Calibri" w:hAnsi="Calibri" w:cs="Calibri"/>
          <w:color w:val="000000"/>
          <w:sz w:val="22"/>
          <w:szCs w:val="22"/>
        </w:rPr>
        <w:t>.</w:t>
      </w:r>
    </w:p>
    <w:p w14:paraId="47916BEF" w14:textId="52B474B9"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Lammy, D (2018) ‘Stop and search is inherently unfair, unjust and ineffectual’. The Guardian. Available at:</w:t>
      </w:r>
      <w:r w:rsidRPr="0009418E">
        <w:rPr>
          <w:rFonts w:ascii="Calibri" w:hAnsi="Calibri" w:cs="Calibri"/>
          <w:i/>
          <w:iCs/>
          <w:color w:val="000000"/>
          <w:sz w:val="22"/>
          <w:szCs w:val="22"/>
        </w:rPr>
        <w:t xml:space="preserve"> </w:t>
      </w:r>
      <w:hyperlink r:id="rId17" w:history="1">
        <w:r w:rsidR="0009418E" w:rsidRPr="0009418E">
          <w:rPr>
            <w:rStyle w:val="Hyperlink"/>
            <w:rFonts w:ascii="Calibri" w:hAnsi="Calibri" w:cs="Calibri"/>
            <w:i/>
            <w:iCs/>
            <w:sz w:val="22"/>
            <w:szCs w:val="22"/>
          </w:rPr>
          <w:t>https://www.theguardian.com/law/2018/oct/13/stop-and-search-is-unjust-unfair-ineffectual-david-lammy</w:t>
        </w:r>
      </w:hyperlink>
      <w:r w:rsidR="0009418E">
        <w:rPr>
          <w:rFonts w:ascii="Calibri" w:hAnsi="Calibri" w:cs="Calibri"/>
          <w:color w:val="000000"/>
          <w:sz w:val="22"/>
          <w:szCs w:val="22"/>
        </w:rPr>
        <w:t xml:space="preserve"> </w:t>
      </w:r>
      <w:r w:rsidRPr="00BC468F">
        <w:rPr>
          <w:rFonts w:ascii="Calibri" w:hAnsi="Calibri" w:cs="Calibri"/>
          <w:color w:val="000000"/>
          <w:sz w:val="22"/>
          <w:szCs w:val="22"/>
        </w:rPr>
        <w:t>(Accessed:</w:t>
      </w:r>
      <w:r w:rsidR="0009418E">
        <w:rPr>
          <w:rFonts w:ascii="Calibri" w:hAnsi="Calibri" w:cs="Calibri"/>
          <w:color w:val="000000"/>
          <w:sz w:val="22"/>
          <w:szCs w:val="22"/>
        </w:rPr>
        <w:t xml:space="preserve"> 6 Apr. </w:t>
      </w:r>
      <w:r w:rsidRPr="00BC468F">
        <w:rPr>
          <w:rFonts w:ascii="Calibri" w:hAnsi="Calibri" w:cs="Calibri"/>
          <w:color w:val="000000"/>
          <w:sz w:val="22"/>
          <w:szCs w:val="22"/>
        </w:rPr>
        <w:t>2022).</w:t>
      </w:r>
    </w:p>
    <w:p w14:paraId="6814322B"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Lawrence, D (2017) How body cameras affect community members’ perceptions of police. </w:t>
      </w:r>
      <w:r w:rsidRPr="00BC468F">
        <w:rPr>
          <w:rFonts w:ascii="Calibri" w:hAnsi="Calibri" w:cs="Calibri"/>
          <w:i/>
          <w:iCs/>
          <w:color w:val="000000"/>
          <w:sz w:val="22"/>
          <w:szCs w:val="22"/>
        </w:rPr>
        <w:t>Results from a randomized controlled trial of one agency’s pilot. Washington, DC: Urban Institute</w:t>
      </w:r>
      <w:r w:rsidRPr="00BC468F">
        <w:rPr>
          <w:rFonts w:ascii="Calibri" w:hAnsi="Calibri" w:cs="Calibri"/>
          <w:color w:val="000000"/>
          <w:sz w:val="22"/>
          <w:szCs w:val="22"/>
        </w:rPr>
        <w:t>.</w:t>
      </w:r>
    </w:p>
    <w:p w14:paraId="73597702" w14:textId="7C387054"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Lockhart, P (2019). Police Body Cameras Haven’t Been as Effective as Their Supporters Hoped. [online] Vox. Available at:</w:t>
      </w:r>
      <w:r w:rsidRPr="0009418E">
        <w:rPr>
          <w:rFonts w:ascii="Calibri" w:hAnsi="Calibri" w:cs="Calibri"/>
          <w:i/>
          <w:iCs/>
          <w:color w:val="000000"/>
          <w:sz w:val="22"/>
          <w:szCs w:val="22"/>
        </w:rPr>
        <w:t xml:space="preserve"> </w:t>
      </w:r>
      <w:hyperlink r:id="rId18" w:history="1">
        <w:r w:rsidR="0009418E" w:rsidRPr="0009418E">
          <w:rPr>
            <w:rStyle w:val="Hyperlink"/>
            <w:rFonts w:ascii="Calibri" w:hAnsi="Calibri" w:cs="Calibri"/>
            <w:i/>
            <w:iCs/>
            <w:sz w:val="22"/>
            <w:szCs w:val="22"/>
          </w:rPr>
          <w:t>https://www.vox.com/2019/3/27/18282737/body-camera-police-effectiveness-study-george-mason</w:t>
        </w:r>
      </w:hyperlink>
      <w:r w:rsidR="0009418E">
        <w:rPr>
          <w:rFonts w:ascii="Calibri" w:hAnsi="Calibri" w:cs="Calibri"/>
          <w:color w:val="000000"/>
          <w:sz w:val="22"/>
          <w:szCs w:val="22"/>
        </w:rPr>
        <w:t xml:space="preserve"> </w:t>
      </w:r>
      <w:r w:rsidRPr="00BC468F">
        <w:rPr>
          <w:rFonts w:ascii="Calibri" w:hAnsi="Calibri" w:cs="Calibri"/>
          <w:color w:val="000000"/>
          <w:sz w:val="22"/>
          <w:szCs w:val="22"/>
        </w:rPr>
        <w:t xml:space="preserve">(Accessed 3 </w:t>
      </w:r>
      <w:r w:rsidR="0009418E">
        <w:rPr>
          <w:rFonts w:ascii="Calibri" w:hAnsi="Calibri" w:cs="Calibri"/>
          <w:color w:val="000000"/>
          <w:sz w:val="22"/>
          <w:szCs w:val="22"/>
        </w:rPr>
        <w:t>Apr</w:t>
      </w:r>
      <w:r w:rsidRPr="00BC468F">
        <w:rPr>
          <w:rFonts w:ascii="Calibri" w:hAnsi="Calibri" w:cs="Calibri"/>
          <w:color w:val="000000"/>
          <w:sz w:val="22"/>
          <w:szCs w:val="22"/>
        </w:rPr>
        <w:t>. 2022).</w:t>
      </w:r>
    </w:p>
    <w:p w14:paraId="7C2C1261" w14:textId="02CED18F"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 xml:space="preserve">Lone, A and Mir, R (2019) </w:t>
      </w:r>
      <w:r w:rsidR="0009418E" w:rsidRPr="00BC468F">
        <w:rPr>
          <w:rFonts w:ascii="Calibri" w:hAnsi="Calibri" w:cs="Calibri"/>
          <w:color w:val="000000"/>
          <w:sz w:val="22"/>
          <w:szCs w:val="22"/>
        </w:rPr>
        <w:t>Forensic chain</w:t>
      </w:r>
      <w:r w:rsidRPr="00BC468F">
        <w:rPr>
          <w:rFonts w:ascii="Calibri" w:hAnsi="Calibri" w:cs="Calibri"/>
          <w:color w:val="000000"/>
          <w:sz w:val="22"/>
          <w:szCs w:val="22"/>
        </w:rPr>
        <w:t>: Blockchain based digital forensics chain of custody. </w:t>
      </w:r>
      <w:r w:rsidRPr="00BC468F">
        <w:rPr>
          <w:rFonts w:ascii="Calibri" w:hAnsi="Calibri" w:cs="Calibri"/>
          <w:i/>
          <w:iCs/>
          <w:color w:val="000000"/>
          <w:sz w:val="22"/>
          <w:szCs w:val="22"/>
        </w:rPr>
        <w:t>Digital investigation</w:t>
      </w:r>
      <w:r w:rsidRPr="00BC468F">
        <w:rPr>
          <w:rFonts w:ascii="Calibri" w:hAnsi="Calibri" w:cs="Calibri"/>
          <w:color w:val="000000"/>
          <w:sz w:val="22"/>
          <w:szCs w:val="22"/>
        </w:rPr>
        <w:t>, </w:t>
      </w:r>
      <w:r w:rsidRPr="00BC468F">
        <w:rPr>
          <w:rFonts w:ascii="Calibri" w:hAnsi="Calibri" w:cs="Calibri"/>
          <w:i/>
          <w:iCs/>
          <w:color w:val="000000"/>
          <w:sz w:val="22"/>
          <w:szCs w:val="22"/>
        </w:rPr>
        <w:t>28</w:t>
      </w:r>
      <w:r w:rsidRPr="00BC468F">
        <w:rPr>
          <w:rFonts w:ascii="Calibri" w:hAnsi="Calibri" w:cs="Calibri"/>
          <w:color w:val="000000"/>
          <w:sz w:val="22"/>
          <w:szCs w:val="22"/>
        </w:rPr>
        <w:t>, pp.44-55.</w:t>
      </w:r>
    </w:p>
    <w:p w14:paraId="1D27D152" w14:textId="39798F9A"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 xml:space="preserve">Lum, C., Koper, C.S., Wilson, D.B., Stoltz, M., Goodier, M., Eggins, E., Higginson, A. and Mazerolle, L. (2020). Body‐worn Cameras’ Effects on Police Officers and Citizen behaviour: a Systematic Review. Campbell Systematic Reviews, [online] 16(3). Available at: </w:t>
      </w:r>
      <w:hyperlink r:id="rId19" w:history="1">
        <w:r w:rsidR="0009418E" w:rsidRPr="0009418E">
          <w:rPr>
            <w:rStyle w:val="Hyperlink"/>
            <w:rFonts w:ascii="Calibri" w:hAnsi="Calibri" w:cs="Calibri"/>
            <w:i/>
            <w:iCs/>
            <w:sz w:val="22"/>
            <w:szCs w:val="22"/>
          </w:rPr>
          <w:t>https://onlinelibrary.wiley.com/doi/10.1002/cl2.1112</w:t>
        </w:r>
      </w:hyperlink>
      <w:r w:rsidR="0009418E">
        <w:rPr>
          <w:rFonts w:ascii="Calibri" w:hAnsi="Calibri" w:cs="Calibri"/>
          <w:color w:val="000000"/>
          <w:sz w:val="22"/>
          <w:szCs w:val="22"/>
        </w:rPr>
        <w:t xml:space="preserve"> (</w:t>
      </w:r>
      <w:r w:rsidRPr="00BC468F">
        <w:rPr>
          <w:rFonts w:ascii="Calibri" w:hAnsi="Calibri" w:cs="Calibri"/>
          <w:color w:val="000000"/>
          <w:sz w:val="22"/>
          <w:szCs w:val="22"/>
        </w:rPr>
        <w:t xml:space="preserve">Accessed </w:t>
      </w:r>
      <w:r w:rsidR="0009418E">
        <w:rPr>
          <w:rFonts w:ascii="Calibri" w:hAnsi="Calibri" w:cs="Calibri"/>
          <w:color w:val="000000"/>
          <w:sz w:val="22"/>
          <w:szCs w:val="22"/>
        </w:rPr>
        <w:t>5 Apr</w:t>
      </w:r>
      <w:r w:rsidRPr="00BC468F">
        <w:rPr>
          <w:rFonts w:ascii="Calibri" w:hAnsi="Calibri" w:cs="Calibri"/>
          <w:color w:val="000000"/>
          <w:sz w:val="22"/>
          <w:szCs w:val="22"/>
        </w:rPr>
        <w:t>. 2022</w:t>
      </w:r>
      <w:r w:rsidR="0009418E">
        <w:rPr>
          <w:rFonts w:ascii="Calibri" w:hAnsi="Calibri" w:cs="Calibri"/>
          <w:color w:val="000000"/>
          <w:sz w:val="22"/>
          <w:szCs w:val="22"/>
        </w:rPr>
        <w:t>)</w:t>
      </w:r>
      <w:r w:rsidRPr="00BC468F">
        <w:rPr>
          <w:rFonts w:ascii="Calibri" w:hAnsi="Calibri" w:cs="Calibri"/>
          <w:color w:val="000000"/>
          <w:sz w:val="22"/>
          <w:szCs w:val="22"/>
        </w:rPr>
        <w:t>.</w:t>
      </w:r>
    </w:p>
    <w:p w14:paraId="33EAD238"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McKenzie, I &amp; Irving, B (1987) ‘Police Interrogation - The Effects of PACE’. 3(1). pp. 4 – 22.</w:t>
      </w:r>
    </w:p>
    <w:p w14:paraId="5B8B4B3A"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Nawaz, A. and Tankebe, J (2018) Tracking procedural justice in stop and search encounters: coding evidence from body-worn video cameras. </w:t>
      </w:r>
      <w:r w:rsidRPr="00BC468F">
        <w:rPr>
          <w:rFonts w:ascii="Calibri" w:hAnsi="Calibri" w:cs="Calibri"/>
          <w:i/>
          <w:iCs/>
          <w:color w:val="000000"/>
          <w:sz w:val="22"/>
          <w:szCs w:val="22"/>
        </w:rPr>
        <w:t>Cambridge journal of evidence-based policing</w:t>
      </w:r>
      <w:r w:rsidRPr="00BC468F">
        <w:rPr>
          <w:rFonts w:ascii="Calibri" w:hAnsi="Calibri" w:cs="Calibri"/>
          <w:color w:val="000000"/>
          <w:sz w:val="22"/>
          <w:szCs w:val="22"/>
        </w:rPr>
        <w:t>, </w:t>
      </w:r>
      <w:r w:rsidRPr="00BC468F">
        <w:rPr>
          <w:rFonts w:ascii="Calibri" w:hAnsi="Calibri" w:cs="Calibri"/>
          <w:i/>
          <w:iCs/>
          <w:color w:val="000000"/>
          <w:sz w:val="22"/>
          <w:szCs w:val="22"/>
        </w:rPr>
        <w:t>2</w:t>
      </w:r>
      <w:r w:rsidRPr="00BC468F">
        <w:rPr>
          <w:rFonts w:ascii="Calibri" w:hAnsi="Calibri" w:cs="Calibri"/>
          <w:color w:val="000000"/>
          <w:sz w:val="22"/>
          <w:szCs w:val="22"/>
        </w:rPr>
        <w:t>(3), pp.139-163.</w:t>
      </w:r>
    </w:p>
    <w:p w14:paraId="706D0D36"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Paterson, H and Kemp, R (2019) Body-worn cameras: evidence-base and implications. </w:t>
      </w:r>
      <w:r w:rsidRPr="00BC468F">
        <w:rPr>
          <w:rFonts w:ascii="Calibri" w:hAnsi="Calibri" w:cs="Calibri"/>
          <w:i/>
          <w:iCs/>
          <w:color w:val="000000"/>
          <w:sz w:val="22"/>
          <w:szCs w:val="22"/>
        </w:rPr>
        <w:t>Current Issues in Criminal Justice</w:t>
      </w:r>
      <w:r w:rsidRPr="00BC468F">
        <w:rPr>
          <w:rFonts w:ascii="Calibri" w:hAnsi="Calibri" w:cs="Calibri"/>
          <w:color w:val="000000"/>
          <w:sz w:val="22"/>
          <w:szCs w:val="22"/>
        </w:rPr>
        <w:t>, </w:t>
      </w:r>
      <w:r w:rsidRPr="00BC468F">
        <w:rPr>
          <w:rFonts w:ascii="Calibri" w:hAnsi="Calibri" w:cs="Calibri"/>
          <w:i/>
          <w:iCs/>
          <w:color w:val="000000"/>
          <w:sz w:val="22"/>
          <w:szCs w:val="22"/>
        </w:rPr>
        <w:t>31</w:t>
      </w:r>
      <w:r w:rsidRPr="00BC468F">
        <w:rPr>
          <w:rFonts w:ascii="Calibri" w:hAnsi="Calibri" w:cs="Calibri"/>
          <w:color w:val="000000"/>
          <w:sz w:val="22"/>
          <w:szCs w:val="22"/>
        </w:rPr>
        <w:t>(4), pp.513-524.</w:t>
      </w:r>
    </w:p>
    <w:p w14:paraId="1609662B" w14:textId="399D449F"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Police and Crime Commissioner (2020). </w:t>
      </w:r>
      <w:r w:rsidRPr="00BC468F">
        <w:rPr>
          <w:rFonts w:ascii="Calibri" w:hAnsi="Calibri" w:cs="Calibri"/>
          <w:i/>
          <w:iCs/>
          <w:color w:val="000000"/>
          <w:sz w:val="22"/>
          <w:szCs w:val="22"/>
        </w:rPr>
        <w:t>FORMULATING THE JOINT DIGITAL VISION</w:t>
      </w:r>
      <w:r w:rsidRPr="00BC468F">
        <w:rPr>
          <w:rFonts w:ascii="Calibri" w:hAnsi="Calibri" w:cs="Calibri"/>
          <w:color w:val="000000"/>
          <w:sz w:val="22"/>
          <w:szCs w:val="22"/>
        </w:rPr>
        <w:t xml:space="preserve">. [online] Available at: </w:t>
      </w:r>
      <w:hyperlink r:id="rId20" w:history="1">
        <w:r w:rsidR="0009418E" w:rsidRPr="0009418E">
          <w:rPr>
            <w:rStyle w:val="Hyperlink"/>
            <w:rFonts w:ascii="Calibri" w:hAnsi="Calibri" w:cs="Calibri"/>
            <w:i/>
            <w:iCs/>
            <w:sz w:val="22"/>
            <w:szCs w:val="22"/>
          </w:rPr>
          <w:t>https://www.gwent.pcc.police.uk/media/pzbfnvnw/8_ict_annual_report_ap2-1_2_.pdf</w:t>
        </w:r>
      </w:hyperlink>
      <w:r w:rsidR="0009418E" w:rsidRPr="0009418E">
        <w:rPr>
          <w:rFonts w:ascii="Calibri" w:hAnsi="Calibri" w:cs="Calibri"/>
          <w:i/>
          <w:iCs/>
          <w:color w:val="000000"/>
          <w:sz w:val="22"/>
          <w:szCs w:val="22"/>
        </w:rPr>
        <w:t xml:space="preserve"> </w:t>
      </w:r>
      <w:r w:rsidR="0009418E">
        <w:rPr>
          <w:rFonts w:ascii="Calibri" w:hAnsi="Calibri" w:cs="Calibri"/>
          <w:color w:val="000000"/>
          <w:sz w:val="22"/>
          <w:szCs w:val="22"/>
        </w:rPr>
        <w:t xml:space="preserve"> (</w:t>
      </w:r>
      <w:r w:rsidRPr="00BC468F">
        <w:rPr>
          <w:rFonts w:ascii="Calibri" w:hAnsi="Calibri" w:cs="Calibri"/>
          <w:color w:val="000000"/>
          <w:sz w:val="22"/>
          <w:szCs w:val="22"/>
        </w:rPr>
        <w:t>Accessed 1 Apr. 2022</w:t>
      </w:r>
      <w:r w:rsidR="0009418E">
        <w:rPr>
          <w:rFonts w:ascii="Calibri" w:hAnsi="Calibri" w:cs="Calibri"/>
          <w:color w:val="000000"/>
          <w:sz w:val="22"/>
          <w:szCs w:val="22"/>
        </w:rPr>
        <w:t>)</w:t>
      </w:r>
      <w:r w:rsidRPr="00BC468F">
        <w:rPr>
          <w:rFonts w:ascii="Calibri" w:hAnsi="Calibri" w:cs="Calibri"/>
          <w:color w:val="000000"/>
          <w:sz w:val="22"/>
          <w:szCs w:val="22"/>
        </w:rPr>
        <w:t>.</w:t>
      </w:r>
    </w:p>
    <w:p w14:paraId="618579EE" w14:textId="43485088"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lastRenderedPageBreak/>
        <w:t>Skinns, L (2021) A formal interview tool in an informal setting? An exploratory study of the use of body-worn camera at the scene of an alleged crime</w:t>
      </w:r>
      <w:r w:rsidRPr="0009418E">
        <w:rPr>
          <w:rFonts w:ascii="Calibri" w:hAnsi="Calibri" w:cs="Calibri"/>
          <w:i/>
          <w:iCs/>
          <w:color w:val="000000"/>
          <w:sz w:val="22"/>
          <w:szCs w:val="22"/>
        </w:rPr>
        <w:t>. Criminal law review</w:t>
      </w:r>
      <w:r w:rsidR="0009418E">
        <w:rPr>
          <w:rFonts w:ascii="Calibri" w:hAnsi="Calibri" w:cs="Calibri"/>
          <w:color w:val="000000"/>
          <w:sz w:val="22"/>
          <w:szCs w:val="22"/>
        </w:rPr>
        <w:t>.</w:t>
      </w:r>
      <w:r w:rsidRPr="00BC468F">
        <w:rPr>
          <w:rFonts w:ascii="Calibri" w:hAnsi="Calibri" w:cs="Calibri"/>
          <w:color w:val="000000"/>
          <w:sz w:val="22"/>
          <w:szCs w:val="22"/>
        </w:rPr>
        <w:t xml:space="preserve"> London, England, 20(8), pp.644-661.</w:t>
      </w:r>
    </w:p>
    <w:p w14:paraId="15E4F0A7" w14:textId="18B459F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South Wales Police (2021). </w:t>
      </w:r>
      <w:r w:rsidRPr="00BC468F">
        <w:rPr>
          <w:rFonts w:ascii="Calibri" w:hAnsi="Calibri" w:cs="Calibri"/>
          <w:i/>
          <w:iCs/>
          <w:color w:val="000000"/>
          <w:sz w:val="22"/>
          <w:szCs w:val="22"/>
        </w:rPr>
        <w:t>Use of Police Powers</w:t>
      </w:r>
      <w:r w:rsidRPr="00BC468F">
        <w:rPr>
          <w:rFonts w:ascii="Calibri" w:hAnsi="Calibri" w:cs="Calibri"/>
          <w:color w:val="000000"/>
          <w:sz w:val="22"/>
          <w:szCs w:val="22"/>
        </w:rPr>
        <w:t>. [online] Available at:</w:t>
      </w:r>
      <w:r w:rsidRPr="0009418E">
        <w:rPr>
          <w:rFonts w:ascii="Calibri" w:hAnsi="Calibri" w:cs="Calibri"/>
          <w:i/>
          <w:iCs/>
          <w:color w:val="000000"/>
          <w:sz w:val="22"/>
          <w:szCs w:val="22"/>
        </w:rPr>
        <w:t xml:space="preserve"> </w:t>
      </w:r>
      <w:hyperlink r:id="rId21" w:history="1">
        <w:r w:rsidR="0009418E" w:rsidRPr="0009418E">
          <w:rPr>
            <w:rStyle w:val="Hyperlink"/>
            <w:rFonts w:ascii="Calibri" w:hAnsi="Calibri" w:cs="Calibri"/>
            <w:i/>
            <w:iCs/>
            <w:sz w:val="22"/>
            <w:szCs w:val="22"/>
          </w:rPr>
          <w:t>https://www.south-wales.police.uk/police-forces/south-wales-police/areas/campaigns/campaigns/use-of-police-powers/</w:t>
        </w:r>
      </w:hyperlink>
      <w:r w:rsidR="0009418E" w:rsidRPr="0009418E">
        <w:rPr>
          <w:rFonts w:ascii="Calibri" w:hAnsi="Calibri" w:cs="Calibri"/>
          <w:color w:val="000000"/>
          <w:sz w:val="22"/>
          <w:szCs w:val="22"/>
        </w:rPr>
        <w:t xml:space="preserve"> (</w:t>
      </w:r>
      <w:r w:rsidRPr="00BC468F">
        <w:rPr>
          <w:rFonts w:ascii="Calibri" w:hAnsi="Calibri" w:cs="Calibri"/>
          <w:color w:val="000000"/>
          <w:sz w:val="22"/>
          <w:szCs w:val="22"/>
        </w:rPr>
        <w:t>Accessed 1 Apr. 2022</w:t>
      </w:r>
      <w:r w:rsidR="0009418E">
        <w:rPr>
          <w:rFonts w:ascii="Calibri" w:hAnsi="Calibri" w:cs="Calibri"/>
          <w:color w:val="000000"/>
          <w:sz w:val="22"/>
          <w:szCs w:val="22"/>
        </w:rPr>
        <w:t>)</w:t>
      </w:r>
      <w:r w:rsidRPr="00BC468F">
        <w:rPr>
          <w:rFonts w:ascii="Calibri" w:hAnsi="Calibri" w:cs="Calibri"/>
          <w:color w:val="000000"/>
          <w:sz w:val="22"/>
          <w:szCs w:val="22"/>
        </w:rPr>
        <w:t>.</w:t>
      </w:r>
    </w:p>
    <w:p w14:paraId="6EED1010" w14:textId="0EC613CE"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South Wales Police (2022). </w:t>
      </w:r>
      <w:r w:rsidRPr="00BC468F">
        <w:rPr>
          <w:rFonts w:ascii="Calibri" w:hAnsi="Calibri" w:cs="Calibri"/>
          <w:i/>
          <w:iCs/>
          <w:color w:val="000000"/>
          <w:sz w:val="22"/>
          <w:szCs w:val="22"/>
        </w:rPr>
        <w:t>The Stop and Search Process</w:t>
      </w:r>
      <w:r w:rsidRPr="00BC468F">
        <w:rPr>
          <w:rFonts w:ascii="Calibri" w:hAnsi="Calibri" w:cs="Calibri"/>
          <w:color w:val="000000"/>
          <w:sz w:val="22"/>
          <w:szCs w:val="22"/>
        </w:rPr>
        <w:t xml:space="preserve">. [online] Available at: </w:t>
      </w:r>
      <w:hyperlink r:id="rId22" w:history="1">
        <w:r w:rsidR="0009418E" w:rsidRPr="009B0BC5">
          <w:rPr>
            <w:rStyle w:val="Hyperlink"/>
            <w:rFonts w:ascii="Calibri" w:hAnsi="Calibri" w:cs="Calibri"/>
            <w:sz w:val="22"/>
            <w:szCs w:val="22"/>
          </w:rPr>
          <w:t>https://www.south-wales.police.uk/advice/advice-and-information/st-s/stop-and-search/stop-and-search-process/</w:t>
        </w:r>
      </w:hyperlink>
      <w:r w:rsidR="0009418E">
        <w:rPr>
          <w:rFonts w:ascii="Calibri" w:hAnsi="Calibri" w:cs="Calibri"/>
          <w:color w:val="000000"/>
          <w:sz w:val="22"/>
          <w:szCs w:val="22"/>
        </w:rPr>
        <w:t xml:space="preserve"> (</w:t>
      </w:r>
      <w:r w:rsidRPr="00BC468F">
        <w:rPr>
          <w:rFonts w:ascii="Calibri" w:hAnsi="Calibri" w:cs="Calibri"/>
          <w:color w:val="000000"/>
          <w:sz w:val="22"/>
          <w:szCs w:val="22"/>
        </w:rPr>
        <w:t xml:space="preserve">Accessed </w:t>
      </w:r>
      <w:r w:rsidR="0009418E">
        <w:rPr>
          <w:rFonts w:ascii="Calibri" w:hAnsi="Calibri" w:cs="Calibri"/>
          <w:color w:val="000000"/>
          <w:sz w:val="22"/>
          <w:szCs w:val="22"/>
        </w:rPr>
        <w:t>3</w:t>
      </w:r>
      <w:r w:rsidRPr="00BC468F">
        <w:rPr>
          <w:rFonts w:ascii="Calibri" w:hAnsi="Calibri" w:cs="Calibri"/>
          <w:color w:val="000000"/>
          <w:sz w:val="22"/>
          <w:szCs w:val="22"/>
        </w:rPr>
        <w:t xml:space="preserve"> Apr. 2022</w:t>
      </w:r>
      <w:r w:rsidR="0009418E">
        <w:rPr>
          <w:rFonts w:ascii="Calibri" w:hAnsi="Calibri" w:cs="Calibri"/>
          <w:color w:val="000000"/>
          <w:sz w:val="22"/>
          <w:szCs w:val="22"/>
        </w:rPr>
        <w:t>)</w:t>
      </w:r>
      <w:r w:rsidRPr="00BC468F">
        <w:rPr>
          <w:rFonts w:ascii="Calibri" w:hAnsi="Calibri" w:cs="Calibri"/>
          <w:color w:val="000000"/>
          <w:sz w:val="22"/>
          <w:szCs w:val="22"/>
        </w:rPr>
        <w:t>.</w:t>
      </w:r>
    </w:p>
    <w:p w14:paraId="2A401ED0"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Taruffo, M (2021) Facts, Evidence and Truth in Judicial Decisions. In </w:t>
      </w:r>
      <w:r w:rsidRPr="00BC468F">
        <w:rPr>
          <w:rFonts w:ascii="Calibri" w:hAnsi="Calibri" w:cs="Calibri"/>
          <w:i/>
          <w:iCs/>
          <w:color w:val="000000"/>
          <w:sz w:val="22"/>
          <w:szCs w:val="22"/>
        </w:rPr>
        <w:t>Facts and Evidence.</w:t>
      </w:r>
      <w:r w:rsidRPr="00BC468F">
        <w:rPr>
          <w:rFonts w:ascii="Calibri" w:hAnsi="Calibri" w:cs="Calibri"/>
          <w:color w:val="000000"/>
          <w:sz w:val="22"/>
          <w:szCs w:val="22"/>
        </w:rPr>
        <w:t> Springer, Singapore. pp. 119 - 128. </w:t>
      </w:r>
    </w:p>
    <w:p w14:paraId="151350C1"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Thomas, M (2018) ‘Reasonable Cause to Suspect’: In the Absence of Knowledge and Actual Suspicion. </w:t>
      </w:r>
      <w:r w:rsidRPr="00BC468F">
        <w:rPr>
          <w:rFonts w:ascii="Calibri" w:hAnsi="Calibri" w:cs="Calibri"/>
          <w:i/>
          <w:iCs/>
          <w:color w:val="000000"/>
          <w:sz w:val="22"/>
          <w:szCs w:val="22"/>
        </w:rPr>
        <w:t>The Journal of Criminal Law</w:t>
      </w:r>
      <w:r w:rsidRPr="00BC468F">
        <w:rPr>
          <w:rFonts w:ascii="Calibri" w:hAnsi="Calibri" w:cs="Calibri"/>
          <w:color w:val="000000"/>
          <w:sz w:val="22"/>
          <w:szCs w:val="22"/>
        </w:rPr>
        <w:t>, </w:t>
      </w:r>
      <w:r w:rsidRPr="00BC468F">
        <w:rPr>
          <w:rFonts w:ascii="Calibri" w:hAnsi="Calibri" w:cs="Calibri"/>
          <w:i/>
          <w:iCs/>
          <w:color w:val="000000"/>
          <w:sz w:val="22"/>
          <w:szCs w:val="22"/>
        </w:rPr>
        <w:t>82</w:t>
      </w:r>
      <w:r w:rsidRPr="00BC468F">
        <w:rPr>
          <w:rFonts w:ascii="Calibri" w:hAnsi="Calibri" w:cs="Calibri"/>
          <w:color w:val="000000"/>
          <w:sz w:val="22"/>
          <w:szCs w:val="22"/>
        </w:rPr>
        <w:t>(6), pp.423-430.</w:t>
      </w:r>
    </w:p>
    <w:p w14:paraId="08E41EF2"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White, D (2020) Open to interpretation: Confronting the challenges of understanding the current state of body-worn camera research. </w:t>
      </w:r>
      <w:r w:rsidRPr="00BC468F">
        <w:rPr>
          <w:rFonts w:ascii="Calibri" w:hAnsi="Calibri" w:cs="Calibri"/>
          <w:i/>
          <w:iCs/>
          <w:color w:val="000000"/>
          <w:sz w:val="22"/>
          <w:szCs w:val="22"/>
        </w:rPr>
        <w:t>American journal of criminal justice</w:t>
      </w:r>
      <w:r w:rsidRPr="00BC468F">
        <w:rPr>
          <w:rFonts w:ascii="Calibri" w:hAnsi="Calibri" w:cs="Calibri"/>
          <w:color w:val="000000"/>
          <w:sz w:val="22"/>
          <w:szCs w:val="22"/>
        </w:rPr>
        <w:t>, </w:t>
      </w:r>
      <w:r w:rsidRPr="00BC468F">
        <w:rPr>
          <w:rFonts w:ascii="Calibri" w:hAnsi="Calibri" w:cs="Calibri"/>
          <w:i/>
          <w:iCs/>
          <w:color w:val="000000"/>
          <w:sz w:val="22"/>
          <w:szCs w:val="22"/>
        </w:rPr>
        <w:t>45</w:t>
      </w:r>
      <w:r w:rsidRPr="00BC468F">
        <w:rPr>
          <w:rFonts w:ascii="Calibri" w:hAnsi="Calibri" w:cs="Calibri"/>
          <w:color w:val="000000"/>
          <w:sz w:val="22"/>
          <w:szCs w:val="22"/>
        </w:rPr>
        <w:t>(5), pp.899-913.</w:t>
      </w:r>
    </w:p>
    <w:p w14:paraId="3E9099FF"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White, M (2019) Translating the story on body-worn cameras. </w:t>
      </w:r>
      <w:r w:rsidRPr="0009418E">
        <w:rPr>
          <w:rFonts w:ascii="Calibri" w:hAnsi="Calibri" w:cs="Calibri"/>
          <w:i/>
          <w:iCs/>
          <w:color w:val="000000"/>
          <w:sz w:val="22"/>
          <w:szCs w:val="22"/>
        </w:rPr>
        <w:t>Criminology &amp; Policies</w:t>
      </w:r>
      <w:r w:rsidRPr="00BC468F">
        <w:rPr>
          <w:rFonts w:ascii="Calibri" w:hAnsi="Calibri" w:cs="Calibri"/>
          <w:color w:val="000000"/>
          <w:sz w:val="22"/>
          <w:szCs w:val="22"/>
        </w:rPr>
        <w:t>, 18, pp.89.</w:t>
      </w:r>
    </w:p>
    <w:p w14:paraId="06A10DCB" w14:textId="77777777" w:rsid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Wilson, K (2022) What evidence supports the use of Body Worn Cameras? A systematic review and narrative synthesis of the effects of Body Worn Cameras in public sector services. </w:t>
      </w:r>
      <w:r w:rsidRPr="00BC468F">
        <w:rPr>
          <w:rFonts w:ascii="Calibri" w:hAnsi="Calibri" w:cs="Calibri"/>
          <w:i/>
          <w:iCs/>
          <w:color w:val="000000"/>
          <w:sz w:val="22"/>
          <w:szCs w:val="22"/>
        </w:rPr>
        <w:t>International journal</w:t>
      </w:r>
      <w:r w:rsidRPr="00BC468F">
        <w:rPr>
          <w:rFonts w:ascii="Calibri" w:hAnsi="Calibri" w:cs="Calibri"/>
          <w:color w:val="000000"/>
          <w:sz w:val="22"/>
          <w:szCs w:val="22"/>
        </w:rPr>
        <w:t>, </w:t>
      </w:r>
      <w:r w:rsidRPr="00BC468F">
        <w:rPr>
          <w:rFonts w:ascii="Calibri" w:hAnsi="Calibri" w:cs="Calibri"/>
          <w:i/>
          <w:iCs/>
          <w:color w:val="000000"/>
          <w:sz w:val="22"/>
          <w:szCs w:val="22"/>
        </w:rPr>
        <w:t>31</w:t>
      </w:r>
      <w:r w:rsidRPr="00BC468F">
        <w:rPr>
          <w:rFonts w:ascii="Calibri" w:hAnsi="Calibri" w:cs="Calibri"/>
          <w:color w:val="000000"/>
          <w:sz w:val="22"/>
          <w:szCs w:val="22"/>
        </w:rPr>
        <w:t>(2), pp.260-277.</w:t>
      </w:r>
    </w:p>
    <w:p w14:paraId="751DD0EA" w14:textId="31042235" w:rsidR="00BC468F" w:rsidRPr="00BC468F" w:rsidRDefault="00BC468F" w:rsidP="006A258E">
      <w:pPr>
        <w:pStyle w:val="NormalWeb"/>
        <w:numPr>
          <w:ilvl w:val="0"/>
          <w:numId w:val="2"/>
        </w:numPr>
        <w:shd w:val="clear" w:color="auto" w:fill="FFFFFF"/>
        <w:spacing w:before="0" w:beforeAutospacing="0" w:after="240" w:afterAutospacing="0" w:line="360" w:lineRule="auto"/>
        <w:rPr>
          <w:rFonts w:ascii="Calibri" w:hAnsi="Calibri" w:cs="Calibri"/>
          <w:color w:val="000000"/>
          <w:sz w:val="22"/>
          <w:szCs w:val="22"/>
        </w:rPr>
      </w:pPr>
      <w:r w:rsidRPr="00BC468F">
        <w:rPr>
          <w:rFonts w:ascii="Calibri" w:hAnsi="Calibri" w:cs="Calibri"/>
          <w:color w:val="000000"/>
          <w:sz w:val="22"/>
          <w:szCs w:val="22"/>
        </w:rPr>
        <w:t>Wright, J and Headley, A (2021) Can technology work for policing? Citizen perceptions of police-body worn cameras. </w:t>
      </w:r>
      <w:r w:rsidRPr="00BC468F">
        <w:rPr>
          <w:rFonts w:ascii="Calibri" w:hAnsi="Calibri" w:cs="Calibri"/>
          <w:i/>
          <w:iCs/>
          <w:color w:val="000000"/>
          <w:sz w:val="22"/>
          <w:szCs w:val="22"/>
        </w:rPr>
        <w:t>The American Review of Public Administration</w:t>
      </w:r>
      <w:r w:rsidRPr="00BC468F">
        <w:rPr>
          <w:rFonts w:ascii="Calibri" w:hAnsi="Calibri" w:cs="Calibri"/>
          <w:color w:val="000000"/>
          <w:sz w:val="22"/>
          <w:szCs w:val="22"/>
        </w:rPr>
        <w:t>, </w:t>
      </w:r>
      <w:r w:rsidRPr="00BC468F">
        <w:rPr>
          <w:rFonts w:ascii="Calibri" w:hAnsi="Calibri" w:cs="Calibri"/>
          <w:i/>
          <w:iCs/>
          <w:color w:val="000000"/>
          <w:sz w:val="22"/>
          <w:szCs w:val="22"/>
        </w:rPr>
        <w:t>51</w:t>
      </w:r>
      <w:r w:rsidRPr="00BC468F">
        <w:rPr>
          <w:rFonts w:ascii="Calibri" w:hAnsi="Calibri" w:cs="Calibri"/>
          <w:color w:val="000000"/>
          <w:sz w:val="22"/>
          <w:szCs w:val="22"/>
        </w:rPr>
        <w:t>(1), pp.17-27.</w:t>
      </w:r>
    </w:p>
    <w:p w14:paraId="3FC17F40" w14:textId="77777777" w:rsidR="00BC468F" w:rsidRPr="003B7A5B" w:rsidRDefault="00BC468F" w:rsidP="006A258E">
      <w:pPr>
        <w:spacing w:line="360" w:lineRule="auto"/>
        <w:rPr>
          <w:rFonts w:cstheme="minorHAnsi"/>
          <w:color w:val="000000"/>
          <w:shd w:val="clear" w:color="auto" w:fill="FFFFFF"/>
        </w:rPr>
      </w:pPr>
    </w:p>
    <w:sectPr w:rsidR="00BC468F" w:rsidRPr="003B7A5B" w:rsidSect="001A26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B148E"/>
    <w:multiLevelType w:val="hybridMultilevel"/>
    <w:tmpl w:val="78DC0134"/>
    <w:lvl w:ilvl="0" w:tplc="6D9EB3DE">
      <w:start w:val="1"/>
      <w:numFmt w:val="bullet"/>
      <w:lvlText w:val="•"/>
      <w:lvlJc w:val="left"/>
      <w:pPr>
        <w:tabs>
          <w:tab w:val="num" w:pos="720"/>
        </w:tabs>
        <w:ind w:left="720" w:hanging="360"/>
      </w:pPr>
      <w:rPr>
        <w:rFonts w:ascii="Arial" w:hAnsi="Arial" w:hint="default"/>
      </w:rPr>
    </w:lvl>
    <w:lvl w:ilvl="1" w:tplc="EB5A9A36" w:tentative="1">
      <w:start w:val="1"/>
      <w:numFmt w:val="bullet"/>
      <w:lvlText w:val="•"/>
      <w:lvlJc w:val="left"/>
      <w:pPr>
        <w:tabs>
          <w:tab w:val="num" w:pos="1440"/>
        </w:tabs>
        <w:ind w:left="1440" w:hanging="360"/>
      </w:pPr>
      <w:rPr>
        <w:rFonts w:ascii="Arial" w:hAnsi="Arial" w:hint="default"/>
      </w:rPr>
    </w:lvl>
    <w:lvl w:ilvl="2" w:tplc="84066E0C" w:tentative="1">
      <w:start w:val="1"/>
      <w:numFmt w:val="bullet"/>
      <w:lvlText w:val="•"/>
      <w:lvlJc w:val="left"/>
      <w:pPr>
        <w:tabs>
          <w:tab w:val="num" w:pos="2160"/>
        </w:tabs>
        <w:ind w:left="2160" w:hanging="360"/>
      </w:pPr>
      <w:rPr>
        <w:rFonts w:ascii="Arial" w:hAnsi="Arial" w:hint="default"/>
      </w:rPr>
    </w:lvl>
    <w:lvl w:ilvl="3" w:tplc="620E202A" w:tentative="1">
      <w:start w:val="1"/>
      <w:numFmt w:val="bullet"/>
      <w:lvlText w:val="•"/>
      <w:lvlJc w:val="left"/>
      <w:pPr>
        <w:tabs>
          <w:tab w:val="num" w:pos="2880"/>
        </w:tabs>
        <w:ind w:left="2880" w:hanging="360"/>
      </w:pPr>
      <w:rPr>
        <w:rFonts w:ascii="Arial" w:hAnsi="Arial" w:hint="default"/>
      </w:rPr>
    </w:lvl>
    <w:lvl w:ilvl="4" w:tplc="60867690" w:tentative="1">
      <w:start w:val="1"/>
      <w:numFmt w:val="bullet"/>
      <w:lvlText w:val="•"/>
      <w:lvlJc w:val="left"/>
      <w:pPr>
        <w:tabs>
          <w:tab w:val="num" w:pos="3600"/>
        </w:tabs>
        <w:ind w:left="3600" w:hanging="360"/>
      </w:pPr>
      <w:rPr>
        <w:rFonts w:ascii="Arial" w:hAnsi="Arial" w:hint="default"/>
      </w:rPr>
    </w:lvl>
    <w:lvl w:ilvl="5" w:tplc="F40CFD48" w:tentative="1">
      <w:start w:val="1"/>
      <w:numFmt w:val="bullet"/>
      <w:lvlText w:val="•"/>
      <w:lvlJc w:val="left"/>
      <w:pPr>
        <w:tabs>
          <w:tab w:val="num" w:pos="4320"/>
        </w:tabs>
        <w:ind w:left="4320" w:hanging="360"/>
      </w:pPr>
      <w:rPr>
        <w:rFonts w:ascii="Arial" w:hAnsi="Arial" w:hint="default"/>
      </w:rPr>
    </w:lvl>
    <w:lvl w:ilvl="6" w:tplc="7346AC38" w:tentative="1">
      <w:start w:val="1"/>
      <w:numFmt w:val="bullet"/>
      <w:lvlText w:val="•"/>
      <w:lvlJc w:val="left"/>
      <w:pPr>
        <w:tabs>
          <w:tab w:val="num" w:pos="5040"/>
        </w:tabs>
        <w:ind w:left="5040" w:hanging="360"/>
      </w:pPr>
      <w:rPr>
        <w:rFonts w:ascii="Arial" w:hAnsi="Arial" w:hint="default"/>
      </w:rPr>
    </w:lvl>
    <w:lvl w:ilvl="7" w:tplc="67EC47B2" w:tentative="1">
      <w:start w:val="1"/>
      <w:numFmt w:val="bullet"/>
      <w:lvlText w:val="•"/>
      <w:lvlJc w:val="left"/>
      <w:pPr>
        <w:tabs>
          <w:tab w:val="num" w:pos="5760"/>
        </w:tabs>
        <w:ind w:left="5760" w:hanging="360"/>
      </w:pPr>
      <w:rPr>
        <w:rFonts w:ascii="Arial" w:hAnsi="Arial" w:hint="default"/>
      </w:rPr>
    </w:lvl>
    <w:lvl w:ilvl="8" w:tplc="E2FA16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75D32BB"/>
    <w:multiLevelType w:val="hybridMultilevel"/>
    <w:tmpl w:val="C0225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6EF"/>
    <w:rsid w:val="0001239B"/>
    <w:rsid w:val="0001662A"/>
    <w:rsid w:val="00022337"/>
    <w:rsid w:val="000256F8"/>
    <w:rsid w:val="0009418E"/>
    <w:rsid w:val="00144E4A"/>
    <w:rsid w:val="00195634"/>
    <w:rsid w:val="001A26EF"/>
    <w:rsid w:val="001D7C55"/>
    <w:rsid w:val="001F0451"/>
    <w:rsid w:val="00220513"/>
    <w:rsid w:val="002221F2"/>
    <w:rsid w:val="00251181"/>
    <w:rsid w:val="002D7780"/>
    <w:rsid w:val="003009FA"/>
    <w:rsid w:val="00313D0D"/>
    <w:rsid w:val="00364491"/>
    <w:rsid w:val="0037232A"/>
    <w:rsid w:val="003A760A"/>
    <w:rsid w:val="003B7A5B"/>
    <w:rsid w:val="003F24D5"/>
    <w:rsid w:val="00432441"/>
    <w:rsid w:val="004C187D"/>
    <w:rsid w:val="004E0A5B"/>
    <w:rsid w:val="004F5987"/>
    <w:rsid w:val="00505F12"/>
    <w:rsid w:val="00516D71"/>
    <w:rsid w:val="00522B36"/>
    <w:rsid w:val="00524212"/>
    <w:rsid w:val="00546ED4"/>
    <w:rsid w:val="00574C02"/>
    <w:rsid w:val="005B161A"/>
    <w:rsid w:val="005D5835"/>
    <w:rsid w:val="005D5FA1"/>
    <w:rsid w:val="00627D62"/>
    <w:rsid w:val="00641456"/>
    <w:rsid w:val="00644F40"/>
    <w:rsid w:val="0064500D"/>
    <w:rsid w:val="00654CCB"/>
    <w:rsid w:val="00666BEA"/>
    <w:rsid w:val="00673006"/>
    <w:rsid w:val="00683DA5"/>
    <w:rsid w:val="006A1F08"/>
    <w:rsid w:val="006A258E"/>
    <w:rsid w:val="006C409A"/>
    <w:rsid w:val="006D770A"/>
    <w:rsid w:val="006E00D5"/>
    <w:rsid w:val="006E6348"/>
    <w:rsid w:val="007047DC"/>
    <w:rsid w:val="00743782"/>
    <w:rsid w:val="00753CC3"/>
    <w:rsid w:val="007807BE"/>
    <w:rsid w:val="0078731B"/>
    <w:rsid w:val="007D447C"/>
    <w:rsid w:val="007F7695"/>
    <w:rsid w:val="008029A1"/>
    <w:rsid w:val="00814410"/>
    <w:rsid w:val="008A1F46"/>
    <w:rsid w:val="008A7383"/>
    <w:rsid w:val="008D25ED"/>
    <w:rsid w:val="008D3477"/>
    <w:rsid w:val="008F1445"/>
    <w:rsid w:val="00924095"/>
    <w:rsid w:val="00946B6A"/>
    <w:rsid w:val="0098730F"/>
    <w:rsid w:val="00996E0B"/>
    <w:rsid w:val="009C6868"/>
    <w:rsid w:val="009E5069"/>
    <w:rsid w:val="009F13DC"/>
    <w:rsid w:val="009F5925"/>
    <w:rsid w:val="009F73F0"/>
    <w:rsid w:val="00A073DA"/>
    <w:rsid w:val="00A10FD6"/>
    <w:rsid w:val="00A1743D"/>
    <w:rsid w:val="00A639ED"/>
    <w:rsid w:val="00A876E0"/>
    <w:rsid w:val="00B412AC"/>
    <w:rsid w:val="00B55625"/>
    <w:rsid w:val="00B63977"/>
    <w:rsid w:val="00B953B6"/>
    <w:rsid w:val="00BB4D9B"/>
    <w:rsid w:val="00BC468F"/>
    <w:rsid w:val="00BE22C5"/>
    <w:rsid w:val="00C54593"/>
    <w:rsid w:val="00C74D7E"/>
    <w:rsid w:val="00D16F58"/>
    <w:rsid w:val="00D50929"/>
    <w:rsid w:val="00D50BBC"/>
    <w:rsid w:val="00D51469"/>
    <w:rsid w:val="00D6044C"/>
    <w:rsid w:val="00D710B2"/>
    <w:rsid w:val="00D74E0D"/>
    <w:rsid w:val="00D85461"/>
    <w:rsid w:val="00DC6826"/>
    <w:rsid w:val="00E10AC2"/>
    <w:rsid w:val="00E55500"/>
    <w:rsid w:val="00E60FD5"/>
    <w:rsid w:val="00E8149A"/>
    <w:rsid w:val="00F27944"/>
    <w:rsid w:val="00F777AC"/>
    <w:rsid w:val="00FA0222"/>
    <w:rsid w:val="00FA1561"/>
    <w:rsid w:val="00FA4A15"/>
    <w:rsid w:val="00FE6C0C"/>
    <w:rsid w:val="00FE76BB"/>
    <w:rsid w:val="00FF0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85548"/>
  <w15:chartTrackingRefBased/>
  <w15:docId w15:val="{561C51CA-9BA2-47BD-B156-7066B7EF5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26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26EF"/>
    <w:rPr>
      <w:rFonts w:eastAsiaTheme="minorEastAsia"/>
      <w:lang w:val="en-US"/>
    </w:rPr>
  </w:style>
  <w:style w:type="paragraph" w:styleId="ListParagraph">
    <w:name w:val="List Paragraph"/>
    <w:basedOn w:val="Normal"/>
    <w:uiPriority w:val="34"/>
    <w:qFormat/>
    <w:rsid w:val="00FF0DEA"/>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009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6ED4"/>
    <w:rPr>
      <w:color w:val="0563C1" w:themeColor="hyperlink"/>
      <w:u w:val="single"/>
    </w:rPr>
  </w:style>
  <w:style w:type="character" w:styleId="UnresolvedMention">
    <w:name w:val="Unresolved Mention"/>
    <w:basedOn w:val="DefaultParagraphFont"/>
    <w:uiPriority w:val="99"/>
    <w:semiHidden/>
    <w:unhideWhenUsed/>
    <w:rsid w:val="00546E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613581">
      <w:bodyDiv w:val="1"/>
      <w:marLeft w:val="0"/>
      <w:marRight w:val="0"/>
      <w:marTop w:val="0"/>
      <w:marBottom w:val="0"/>
      <w:divBdr>
        <w:top w:val="none" w:sz="0" w:space="0" w:color="auto"/>
        <w:left w:val="none" w:sz="0" w:space="0" w:color="auto"/>
        <w:bottom w:val="none" w:sz="0" w:space="0" w:color="auto"/>
        <w:right w:val="none" w:sz="0" w:space="0" w:color="auto"/>
      </w:divBdr>
    </w:div>
    <w:div w:id="1119880452">
      <w:bodyDiv w:val="1"/>
      <w:marLeft w:val="0"/>
      <w:marRight w:val="0"/>
      <w:marTop w:val="0"/>
      <w:marBottom w:val="0"/>
      <w:divBdr>
        <w:top w:val="none" w:sz="0" w:space="0" w:color="auto"/>
        <w:left w:val="none" w:sz="0" w:space="0" w:color="auto"/>
        <w:bottom w:val="none" w:sz="0" w:space="0" w:color="auto"/>
        <w:right w:val="none" w:sz="0" w:space="0" w:color="auto"/>
      </w:divBdr>
    </w:div>
    <w:div w:id="1840921697">
      <w:bodyDiv w:val="1"/>
      <w:marLeft w:val="0"/>
      <w:marRight w:val="0"/>
      <w:marTop w:val="0"/>
      <w:marBottom w:val="0"/>
      <w:divBdr>
        <w:top w:val="none" w:sz="0" w:space="0" w:color="auto"/>
        <w:left w:val="none" w:sz="0" w:space="0" w:color="auto"/>
        <w:bottom w:val="none" w:sz="0" w:space="0" w:color="auto"/>
        <w:right w:val="none" w:sz="0" w:space="0" w:color="auto"/>
      </w:divBdr>
    </w:div>
    <w:div w:id="1931966341">
      <w:bodyDiv w:val="1"/>
      <w:marLeft w:val="0"/>
      <w:marRight w:val="0"/>
      <w:marTop w:val="0"/>
      <w:marBottom w:val="0"/>
      <w:divBdr>
        <w:top w:val="none" w:sz="0" w:space="0" w:color="auto"/>
        <w:left w:val="none" w:sz="0" w:space="0" w:color="auto"/>
        <w:bottom w:val="none" w:sz="0" w:space="0" w:color="auto"/>
        <w:right w:val="none" w:sz="0" w:space="0" w:color="auto"/>
      </w:divBdr>
      <w:divsChild>
        <w:div w:id="128280009">
          <w:marLeft w:val="360"/>
          <w:marRight w:val="0"/>
          <w:marTop w:val="200"/>
          <w:marBottom w:val="0"/>
          <w:divBdr>
            <w:top w:val="none" w:sz="0" w:space="0" w:color="auto"/>
            <w:left w:val="none" w:sz="0" w:space="0" w:color="auto"/>
            <w:bottom w:val="none" w:sz="0" w:space="0" w:color="auto"/>
            <w:right w:val="none" w:sz="0" w:space="0" w:color="auto"/>
          </w:divBdr>
        </w:div>
      </w:divsChild>
    </w:div>
    <w:div w:id="2054037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detention-and-custody-2/buildings-and-facilities/cctv/" TargetMode="External"/><Relationship Id="rId13" Type="http://schemas.openxmlformats.org/officeDocument/2006/relationships/hyperlink" Target="https://www.gwent.police.uk/foi-ai/gwent-police/disclosure2/2021/09---september/202124484---body-worn-video/" TargetMode="External"/><Relationship Id="rId18" Type="http://schemas.openxmlformats.org/officeDocument/2006/relationships/hyperlink" Target="https://www.vox.com/2019/3/27/18282737/body-camera-police-effectiveness-study-george-mason" TargetMode="External"/><Relationship Id="rId3" Type="http://schemas.openxmlformats.org/officeDocument/2006/relationships/settings" Target="settings.xml"/><Relationship Id="rId21" Type="http://schemas.openxmlformats.org/officeDocument/2006/relationships/hyperlink" Target="https://www.south-wales.police.uk/police-forces/south-wales-police/areas/campaigns/campaigns/use-of-police-powers/" TargetMode="External"/><Relationship Id="rId7" Type="http://schemas.openxmlformats.org/officeDocument/2006/relationships/hyperlink" Target="https://whatworks.college.police.uk/toolkit/Pages/Intervention.aspx?InterventionID=1" TargetMode="External"/><Relationship Id="rId12" Type="http://schemas.openxmlformats.org/officeDocument/2006/relationships/hyperlink" Target="https://www.equalityhumanrights.com/sites/default/files/ehrc_stop_and_search_report.pdf" TargetMode="External"/><Relationship Id="rId17" Type="http://schemas.openxmlformats.org/officeDocument/2006/relationships/hyperlink" Target="https://www.theguardian.com/law/2018/oct/13/stop-and-search-is-unjust-unfair-ineffectual-david-lamm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thnicity-facts-figures.service.gov.uk/crime-justice-and-the-law/policing/stop-and-search/latest" TargetMode="External"/><Relationship Id="rId20" Type="http://schemas.openxmlformats.org/officeDocument/2006/relationships/hyperlink" Target="https://www.gwent.pcc.police.uk/media/pzbfnvnw/8_ict_annual_report_ap2-1_2_.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whatdotheyknow.com/request/735711/response/1790241/attach/9/Digital%20Services%20Strategy%202025.pdf?cookie_passthrough=1" TargetMode="External"/><Relationship Id="rId24"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www.justiceinspectorates.gov.uk/hmicfrs/our-work/article/digital-crime-and-policing/" TargetMode="External"/><Relationship Id="rId23" Type="http://schemas.openxmlformats.org/officeDocument/2006/relationships/fontTable" Target="fontTable.xml"/><Relationship Id="rId10" Type="http://schemas.openxmlformats.org/officeDocument/2006/relationships/hyperlink" Target="https://www.cps.gov.uk/legal-guidance/live-links" TargetMode="External"/><Relationship Id="rId19" Type="http://schemas.openxmlformats.org/officeDocument/2006/relationships/hyperlink" Target="https://onlinelibrary.wiley.com/doi/10.1002/cl2.1112"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www.hampshire.police.uk/SysSiteAssets/foi-media/hampshire-constabulary/other_information/dems-citizens-portal-privacy-notice.pdf" TargetMode="External"/><Relationship Id="rId22" Type="http://schemas.openxmlformats.org/officeDocument/2006/relationships/hyperlink" Target="https://www.south-wales.police.uk/advice/advice-and-information/st-s/stop-and-search/stop-and-search-proces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DB2E7E1AD942E38F3CFF91FC0CE15D"/>
        <w:category>
          <w:name w:val="General"/>
          <w:gallery w:val="placeholder"/>
        </w:category>
        <w:types>
          <w:type w:val="bbPlcHdr"/>
        </w:types>
        <w:behaviors>
          <w:behavior w:val="content"/>
        </w:behaviors>
        <w:guid w:val="{9F518673-2D7F-4B2C-AB16-36B11B330EC3}"/>
      </w:docPartPr>
      <w:docPartBody>
        <w:p w:rsidR="005B2E20" w:rsidRDefault="00ED1306" w:rsidP="00ED1306">
          <w:pPr>
            <w:pStyle w:val="72DB2E7E1AD942E38F3CFF91FC0CE15D"/>
          </w:pPr>
          <w:r>
            <w:rPr>
              <w:rFonts w:asciiTheme="majorHAnsi" w:eastAsiaTheme="majorEastAsia" w:hAnsiTheme="majorHAnsi" w:cstheme="majorBidi"/>
              <w:caps/>
              <w:color w:val="4472C4" w:themeColor="accent1"/>
              <w:sz w:val="80"/>
              <w:szCs w:val="80"/>
            </w:rPr>
            <w:t>[Document title]</w:t>
          </w:r>
        </w:p>
      </w:docPartBody>
    </w:docPart>
    <w:docPart>
      <w:docPartPr>
        <w:name w:val="B2243DD29EBF4CFC8941F670E4A8BA1C"/>
        <w:category>
          <w:name w:val="General"/>
          <w:gallery w:val="placeholder"/>
        </w:category>
        <w:types>
          <w:type w:val="bbPlcHdr"/>
        </w:types>
        <w:behaviors>
          <w:behavior w:val="content"/>
        </w:behaviors>
        <w:guid w:val="{C824AF08-947B-4C22-AC56-8EFB59A80F62}"/>
      </w:docPartPr>
      <w:docPartBody>
        <w:p w:rsidR="005B2E20" w:rsidRDefault="00ED1306" w:rsidP="00ED1306">
          <w:pPr>
            <w:pStyle w:val="B2243DD29EBF4CFC8941F670E4A8BA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306"/>
    <w:rsid w:val="005B2E20"/>
    <w:rsid w:val="008E75F9"/>
    <w:rsid w:val="00A622D5"/>
    <w:rsid w:val="00ED1306"/>
    <w:rsid w:val="00EE6F6B"/>
    <w:rsid w:val="00F65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DB2E7E1AD942E38F3CFF91FC0CE15D">
    <w:name w:val="72DB2E7E1AD942E38F3CFF91FC0CE15D"/>
    <w:rsid w:val="00ED1306"/>
  </w:style>
  <w:style w:type="paragraph" w:customStyle="1" w:styleId="B2243DD29EBF4CFC8941F670E4A8BA1C">
    <w:name w:val="B2243DD29EBF4CFC8941F670E4A8BA1C"/>
    <w:rsid w:val="00ED13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9</Pages>
  <Words>2425</Words>
  <Characters>13823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Policing in 2022 – The Impact of Technology</vt:lpstr>
    </vt:vector>
  </TitlesOfParts>
  <Company/>
  <LinksUpToDate>false</LinksUpToDate>
  <CharactersWithSpaces>16216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in 2022 – The Impact of Technology</dc:title>
  <dc:subject>Jack Jones</dc:subject>
  <dc:creator>Jack Jones (1902835)</dc:creator>
  <cp:keywords/>
  <dc:description/>
  <cp:lastModifiedBy>Jack Jones (1902835)</cp:lastModifiedBy>
  <cp:revision>74</cp:revision>
  <dcterms:created xsi:type="dcterms:W3CDTF">2022-04-01T15:39:00Z</dcterms:created>
  <dcterms:modified xsi:type="dcterms:W3CDTF">2022-04-04T16:41:00Z</dcterms:modified>
</cp:coreProperties>
</file>