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05372603"/>
        <w:docPartObj>
          <w:docPartGallery w:val="Cover Pages"/>
          <w:docPartUnique/>
        </w:docPartObj>
      </w:sdtPr>
      <w:sdtEndPr>
        <w:rPr>
          <w:rFonts w:ascii="Arial" w:hAnsi="Arial" w:cs="Arial"/>
          <w:b/>
          <w:bCs/>
          <w:sz w:val="22"/>
          <w:szCs w:val="22"/>
        </w:rPr>
      </w:sdtEndPr>
      <w:sdtContent>
        <w:p w14:paraId="68D0409E" w14:textId="555E7648" w:rsidR="008953A9" w:rsidRDefault="008953A9">
          <w:r>
            <w:rPr>
              <w:noProof/>
            </w:rPr>
            <mc:AlternateContent>
              <mc:Choice Requires="wpg">
                <w:drawing>
                  <wp:anchor distT="0" distB="0" distL="114300" distR="114300" simplePos="0" relativeHeight="251662336" behindDoc="0" locked="0" layoutInCell="1" allowOverlap="1" wp14:anchorId="184BD387" wp14:editId="2FFEABA0">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4F764C0"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80ADAD6" wp14:editId="337A290C">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40"/>
                                    <w:szCs w:val="40"/>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4867D25" w14:textId="5CA1213F" w:rsidR="008953A9" w:rsidRDefault="008953A9">
                                    <w:pPr>
                                      <w:pStyle w:val="NoSpacing"/>
                                      <w:jc w:val="right"/>
                                      <w:rPr>
                                        <w:color w:val="595959" w:themeColor="text1" w:themeTint="A6"/>
                                        <w:sz w:val="28"/>
                                        <w:szCs w:val="28"/>
                                      </w:rPr>
                                    </w:pPr>
                                    <w:r w:rsidRPr="008953A9">
                                      <w:rPr>
                                        <w:color w:val="595959" w:themeColor="text1" w:themeTint="A6"/>
                                        <w:sz w:val="40"/>
                                        <w:szCs w:val="40"/>
                                      </w:rPr>
                                      <w:t>Gemma Garner</w:t>
                                    </w:r>
                                  </w:p>
                                </w:sdtContent>
                              </w:sdt>
                              <w:p w14:paraId="367BAA51" w14:textId="76EF8BD8" w:rsidR="008953A9" w:rsidRDefault="008953A9">
                                <w:pPr>
                                  <w:pStyle w:val="NoSpacing"/>
                                  <w:jc w:val="right"/>
                                  <w:rPr>
                                    <w:color w:val="595959" w:themeColor="text1" w:themeTint="A6"/>
                                    <w:sz w:val="18"/>
                                    <w:szCs w:val="18"/>
                                  </w:rPr>
                                </w:pPr>
                                <w:sdt>
                                  <w:sdtPr>
                                    <w:rPr>
                                      <w:color w:val="595959" w:themeColor="text1" w:themeTint="A6"/>
                                      <w:sz w:val="36"/>
                                      <w:szCs w:val="36"/>
                                    </w:rPr>
                                    <w:alias w:val="Email"/>
                                    <w:tag w:val="Email"/>
                                    <w:id w:val="942260680"/>
                                    <w:dataBinding w:prefixMappings="xmlns:ns0='http://schemas.microsoft.com/office/2006/coverPageProps' " w:xpath="/ns0:CoverPageProperties[1]/ns0:CompanyEmail[1]" w:storeItemID="{55AF091B-3C7A-41E3-B477-F2FDAA23CFDA}"/>
                                    <w:text/>
                                  </w:sdtPr>
                                  <w:sdtContent>
                                    <w:r w:rsidRPr="008953A9">
                                      <w:rPr>
                                        <w:color w:val="595959" w:themeColor="text1" w:themeTint="A6"/>
                                        <w:sz w:val="36"/>
                                        <w:szCs w:val="36"/>
                                      </w:rPr>
                                      <w:t>2427956</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80ADAD6"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40"/>
                              <w:szCs w:val="40"/>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4867D25" w14:textId="5CA1213F" w:rsidR="008953A9" w:rsidRDefault="008953A9">
                              <w:pPr>
                                <w:pStyle w:val="NoSpacing"/>
                                <w:jc w:val="right"/>
                                <w:rPr>
                                  <w:color w:val="595959" w:themeColor="text1" w:themeTint="A6"/>
                                  <w:sz w:val="28"/>
                                  <w:szCs w:val="28"/>
                                </w:rPr>
                              </w:pPr>
                              <w:r w:rsidRPr="008953A9">
                                <w:rPr>
                                  <w:color w:val="595959" w:themeColor="text1" w:themeTint="A6"/>
                                  <w:sz w:val="40"/>
                                  <w:szCs w:val="40"/>
                                </w:rPr>
                                <w:t>Gemma Garner</w:t>
                              </w:r>
                            </w:p>
                          </w:sdtContent>
                        </w:sdt>
                        <w:p w14:paraId="367BAA51" w14:textId="76EF8BD8" w:rsidR="008953A9" w:rsidRDefault="008953A9">
                          <w:pPr>
                            <w:pStyle w:val="NoSpacing"/>
                            <w:jc w:val="right"/>
                            <w:rPr>
                              <w:color w:val="595959" w:themeColor="text1" w:themeTint="A6"/>
                              <w:sz w:val="18"/>
                              <w:szCs w:val="18"/>
                            </w:rPr>
                          </w:pPr>
                          <w:sdt>
                            <w:sdtPr>
                              <w:rPr>
                                <w:color w:val="595959" w:themeColor="text1" w:themeTint="A6"/>
                                <w:sz w:val="36"/>
                                <w:szCs w:val="36"/>
                              </w:rPr>
                              <w:alias w:val="Email"/>
                              <w:tag w:val="Email"/>
                              <w:id w:val="942260680"/>
                              <w:dataBinding w:prefixMappings="xmlns:ns0='http://schemas.microsoft.com/office/2006/coverPageProps' " w:xpath="/ns0:CoverPageProperties[1]/ns0:CompanyEmail[1]" w:storeItemID="{55AF091B-3C7A-41E3-B477-F2FDAA23CFDA}"/>
                              <w:text/>
                            </w:sdtPr>
                            <w:sdtContent>
                              <w:r w:rsidRPr="008953A9">
                                <w:rPr>
                                  <w:color w:val="595959" w:themeColor="text1" w:themeTint="A6"/>
                                  <w:sz w:val="36"/>
                                  <w:szCs w:val="36"/>
                                </w:rPr>
                                <w:t>2427956</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0857B03" wp14:editId="4BCD1122">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061FE4" w14:textId="2A820543" w:rsidR="008953A9" w:rsidRDefault="008953A9">
                                <w:pPr>
                                  <w:pStyle w:val="NoSpacing"/>
                                  <w:jc w:val="right"/>
                                  <w:rPr>
                                    <w:color w:val="4F81BD"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60221AD" w14:textId="2C3C4C3F" w:rsidR="008953A9" w:rsidRDefault="008953A9">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0857B03"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10061FE4" w14:textId="2A820543" w:rsidR="008953A9" w:rsidRDefault="008953A9">
                          <w:pPr>
                            <w:pStyle w:val="NoSpacing"/>
                            <w:jc w:val="right"/>
                            <w:rPr>
                              <w:color w:val="4F81BD"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60221AD" w14:textId="2C3C4C3F" w:rsidR="008953A9" w:rsidRDefault="008953A9">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51726B0" wp14:editId="3433DF8B">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A95A91" w14:textId="794B346E" w:rsidR="008953A9" w:rsidRDefault="008953A9">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F81BD" w:themeColor="accent1"/>
                                        <w:sz w:val="64"/>
                                        <w:szCs w:val="64"/>
                                      </w:rPr>
                                      <w:t>introduction to pHysiology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A046323" w14:textId="266B02FD" w:rsidR="008953A9" w:rsidRDefault="008953A9">
                                    <w:pPr>
                                      <w:jc w:val="right"/>
                                      <w:rPr>
                                        <w:smallCaps/>
                                        <w:color w:val="404040" w:themeColor="text1" w:themeTint="BF"/>
                                        <w:sz w:val="36"/>
                                        <w:szCs w:val="36"/>
                                      </w:rPr>
                                    </w:pPr>
                                    <w:r>
                                      <w:rPr>
                                        <w:color w:val="404040" w:themeColor="text1" w:themeTint="BF"/>
                                        <w:sz w:val="36"/>
                                        <w:szCs w:val="36"/>
                                      </w:rPr>
                                      <w:t>BMHP5023 – Case study report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51726B0"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76A95A91" w14:textId="794B346E" w:rsidR="008953A9" w:rsidRDefault="008953A9">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F81BD" w:themeColor="accent1"/>
                                  <w:sz w:val="64"/>
                                  <w:szCs w:val="64"/>
                                </w:rPr>
                                <w:t>introduction to pHysiology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A046323" w14:textId="266B02FD" w:rsidR="008953A9" w:rsidRDefault="008953A9">
                              <w:pPr>
                                <w:jc w:val="right"/>
                                <w:rPr>
                                  <w:smallCaps/>
                                  <w:color w:val="404040" w:themeColor="text1" w:themeTint="BF"/>
                                  <w:sz w:val="36"/>
                                  <w:szCs w:val="36"/>
                                </w:rPr>
                              </w:pPr>
                              <w:r>
                                <w:rPr>
                                  <w:color w:val="404040" w:themeColor="text1" w:themeTint="BF"/>
                                  <w:sz w:val="36"/>
                                  <w:szCs w:val="36"/>
                                </w:rPr>
                                <w:t>BMHP5023 – Case study report</w:t>
                              </w:r>
                            </w:p>
                          </w:sdtContent>
                        </w:sdt>
                      </w:txbxContent>
                    </v:textbox>
                    <w10:wrap type="square" anchorx="page" anchory="page"/>
                  </v:shape>
                </w:pict>
              </mc:Fallback>
            </mc:AlternateContent>
          </w:r>
        </w:p>
        <w:p w14:paraId="2F399582" w14:textId="58FCF37A" w:rsidR="008953A9" w:rsidRDefault="008953A9">
          <w:pPr>
            <w:rPr>
              <w:rFonts w:ascii="Arial" w:hAnsi="Arial" w:cs="Arial"/>
              <w:sz w:val="22"/>
              <w:szCs w:val="22"/>
            </w:rPr>
          </w:pPr>
          <w:r>
            <w:rPr>
              <w:rFonts w:ascii="Arial" w:hAnsi="Arial" w:cs="Arial"/>
              <w:b/>
              <w:bCs/>
              <w:sz w:val="22"/>
              <w:szCs w:val="22"/>
            </w:rPr>
            <w:br w:type="page"/>
          </w:r>
        </w:p>
      </w:sdtContent>
    </w:sdt>
    <w:p w14:paraId="11212782" w14:textId="2DDB01EA" w:rsidR="008953A9" w:rsidRPr="00B260AE" w:rsidRDefault="00B260AE" w:rsidP="00B260AE">
      <w:pPr>
        <w:pStyle w:val="Heading1"/>
        <w:rPr>
          <w:b w:val="0"/>
          <w:bCs w:val="0"/>
          <w:u w:val="single" w:color="0F58BD"/>
        </w:rPr>
      </w:pPr>
      <w:r w:rsidRPr="00B260AE">
        <w:rPr>
          <w:b w:val="0"/>
          <w:bCs w:val="0"/>
          <w:u w:val="single" w:color="0F58BD"/>
        </w:rPr>
        <w:lastRenderedPageBreak/>
        <w:t>Contents</w:t>
      </w:r>
    </w:p>
    <w:p w14:paraId="2065A0B8" w14:textId="77777777" w:rsidR="00B260AE" w:rsidRDefault="00B260AE">
      <w:pPr>
        <w:rPr>
          <w:rFonts w:ascii="Arial" w:hAnsi="Arial" w:cs="Arial"/>
          <w:color w:val="0F58BD"/>
          <w:u w:val="single" w:color="0F58BD"/>
        </w:rPr>
      </w:pPr>
    </w:p>
    <w:p w14:paraId="7C116862" w14:textId="77777777" w:rsidR="00B260AE" w:rsidRPr="00B260AE" w:rsidRDefault="00B260AE" w:rsidP="00B260AE">
      <w:pPr>
        <w:pStyle w:val="ListParagraph"/>
        <w:numPr>
          <w:ilvl w:val="0"/>
          <w:numId w:val="3"/>
        </w:numPr>
        <w:rPr>
          <w:rFonts w:ascii="Arial" w:hAnsi="Arial" w:cs="Arial"/>
          <w:b/>
          <w:bCs/>
          <w:color w:val="0F58BD"/>
          <w:sz w:val="28"/>
          <w:szCs w:val="28"/>
          <w:u w:val="single" w:color="0F58BD"/>
        </w:rPr>
      </w:pPr>
      <w:r w:rsidRPr="00B260AE">
        <w:rPr>
          <w:rFonts w:ascii="Arial" w:hAnsi="Arial" w:cs="Arial"/>
          <w:color w:val="0F58BD"/>
          <w:sz w:val="28"/>
          <w:szCs w:val="28"/>
          <w:u w:color="0F58BD"/>
        </w:rPr>
        <w:t>Introduction</w:t>
      </w:r>
    </w:p>
    <w:p w14:paraId="07880AAC" w14:textId="77777777" w:rsidR="00B260AE" w:rsidRPr="00B260AE" w:rsidRDefault="00B260AE" w:rsidP="00B260AE">
      <w:pPr>
        <w:pStyle w:val="ListParagraph"/>
        <w:rPr>
          <w:rFonts w:ascii="Arial" w:hAnsi="Arial" w:cs="Arial"/>
          <w:b/>
          <w:bCs/>
          <w:color w:val="0F58BD"/>
          <w:sz w:val="28"/>
          <w:szCs w:val="28"/>
          <w:u w:val="single" w:color="0F58BD"/>
        </w:rPr>
      </w:pPr>
    </w:p>
    <w:p w14:paraId="064CF175" w14:textId="77777777" w:rsidR="00B260AE" w:rsidRPr="00B260AE" w:rsidRDefault="00B260AE" w:rsidP="00B260AE">
      <w:pPr>
        <w:pStyle w:val="ListParagraph"/>
        <w:numPr>
          <w:ilvl w:val="0"/>
          <w:numId w:val="3"/>
        </w:numPr>
        <w:rPr>
          <w:rFonts w:ascii="Arial" w:hAnsi="Arial" w:cs="Arial"/>
          <w:b/>
          <w:bCs/>
          <w:color w:val="0F58BD"/>
          <w:sz w:val="28"/>
          <w:szCs w:val="28"/>
          <w:u w:val="single" w:color="0F58BD"/>
        </w:rPr>
      </w:pPr>
      <w:r w:rsidRPr="00B260AE">
        <w:rPr>
          <w:rFonts w:ascii="Arial" w:hAnsi="Arial" w:cs="Arial"/>
          <w:color w:val="0F58BD"/>
          <w:sz w:val="28"/>
          <w:szCs w:val="28"/>
          <w:u w:color="0F58BD"/>
        </w:rPr>
        <w:t>Anatomy &amp; Physiology</w:t>
      </w:r>
    </w:p>
    <w:p w14:paraId="6BDB1497" w14:textId="77777777" w:rsidR="00B260AE" w:rsidRPr="00B260AE" w:rsidRDefault="00B260AE" w:rsidP="00B260AE">
      <w:pPr>
        <w:pStyle w:val="ListParagraph"/>
        <w:rPr>
          <w:rFonts w:ascii="Arial" w:hAnsi="Arial" w:cs="Arial"/>
          <w:b/>
          <w:bCs/>
          <w:color w:val="0F58BD"/>
          <w:sz w:val="28"/>
          <w:szCs w:val="28"/>
          <w:u w:val="single" w:color="0F58BD"/>
        </w:rPr>
      </w:pPr>
    </w:p>
    <w:p w14:paraId="7B50F52F" w14:textId="77777777" w:rsidR="00B260AE" w:rsidRPr="00B260AE" w:rsidRDefault="00B260AE" w:rsidP="00B260AE">
      <w:pPr>
        <w:rPr>
          <w:rFonts w:ascii="Arial" w:hAnsi="Arial" w:cs="Arial"/>
          <w:b/>
          <w:bCs/>
          <w:color w:val="0F58BD"/>
          <w:sz w:val="28"/>
          <w:szCs w:val="28"/>
          <w:u w:val="single" w:color="0F58BD"/>
        </w:rPr>
      </w:pPr>
    </w:p>
    <w:p w14:paraId="3B1A064E" w14:textId="77777777" w:rsidR="00B260AE" w:rsidRPr="00B260AE" w:rsidRDefault="00B260AE" w:rsidP="00B260AE">
      <w:pPr>
        <w:pStyle w:val="ListParagraph"/>
        <w:numPr>
          <w:ilvl w:val="0"/>
          <w:numId w:val="3"/>
        </w:numPr>
        <w:rPr>
          <w:rFonts w:ascii="Arial" w:hAnsi="Arial" w:cs="Arial"/>
          <w:b/>
          <w:bCs/>
          <w:color w:val="0F58BD"/>
          <w:sz w:val="28"/>
          <w:szCs w:val="28"/>
          <w:u w:val="single" w:color="0F58BD"/>
        </w:rPr>
      </w:pPr>
      <w:r w:rsidRPr="00B260AE">
        <w:rPr>
          <w:rFonts w:ascii="Arial" w:hAnsi="Arial" w:cs="Arial"/>
          <w:color w:val="0F58BD"/>
          <w:sz w:val="28"/>
          <w:szCs w:val="28"/>
          <w:u w:color="0F58BD"/>
        </w:rPr>
        <w:t>Pathophysiology</w:t>
      </w:r>
    </w:p>
    <w:p w14:paraId="58D1332C" w14:textId="77777777" w:rsidR="00B260AE" w:rsidRPr="00B260AE" w:rsidRDefault="00B260AE" w:rsidP="00B260AE">
      <w:pPr>
        <w:rPr>
          <w:rFonts w:ascii="Arial" w:hAnsi="Arial" w:cs="Arial"/>
          <w:b/>
          <w:bCs/>
          <w:color w:val="0F58BD"/>
          <w:sz w:val="28"/>
          <w:szCs w:val="28"/>
          <w:u w:val="single" w:color="0F58BD"/>
        </w:rPr>
      </w:pPr>
    </w:p>
    <w:p w14:paraId="2649DCB0" w14:textId="77777777" w:rsidR="00B260AE" w:rsidRPr="00B260AE" w:rsidRDefault="00B260AE" w:rsidP="00B260AE">
      <w:pPr>
        <w:pStyle w:val="ListParagraph"/>
        <w:numPr>
          <w:ilvl w:val="0"/>
          <w:numId w:val="3"/>
        </w:numPr>
        <w:rPr>
          <w:rFonts w:ascii="Arial" w:hAnsi="Arial" w:cs="Arial"/>
          <w:b/>
          <w:bCs/>
          <w:color w:val="0F58BD"/>
          <w:sz w:val="28"/>
          <w:szCs w:val="28"/>
          <w:u w:val="single" w:color="0F58BD"/>
        </w:rPr>
      </w:pPr>
      <w:r w:rsidRPr="00B260AE">
        <w:rPr>
          <w:rFonts w:ascii="Arial" w:hAnsi="Arial" w:cs="Arial"/>
          <w:color w:val="0F58BD"/>
          <w:sz w:val="28"/>
          <w:szCs w:val="28"/>
          <w:u w:color="0F58BD"/>
        </w:rPr>
        <w:t>Monitoring &amp; Data use</w:t>
      </w:r>
    </w:p>
    <w:p w14:paraId="1E56F1BE" w14:textId="77777777" w:rsidR="00B260AE" w:rsidRPr="00B260AE" w:rsidRDefault="00B260AE" w:rsidP="00B260AE">
      <w:pPr>
        <w:pStyle w:val="ListParagraph"/>
        <w:rPr>
          <w:rFonts w:ascii="Arial" w:hAnsi="Arial" w:cs="Arial"/>
          <w:b/>
          <w:bCs/>
          <w:color w:val="0F58BD"/>
          <w:sz w:val="28"/>
          <w:szCs w:val="28"/>
          <w:u w:val="single" w:color="0F58BD"/>
        </w:rPr>
      </w:pPr>
    </w:p>
    <w:p w14:paraId="6A7179B5" w14:textId="77777777" w:rsidR="00B260AE" w:rsidRPr="00B260AE" w:rsidRDefault="00B260AE" w:rsidP="00B260AE">
      <w:pPr>
        <w:rPr>
          <w:rFonts w:ascii="Arial" w:hAnsi="Arial" w:cs="Arial"/>
          <w:b/>
          <w:bCs/>
          <w:color w:val="0F58BD"/>
          <w:sz w:val="28"/>
          <w:szCs w:val="28"/>
          <w:u w:val="single" w:color="0F58BD"/>
        </w:rPr>
      </w:pPr>
    </w:p>
    <w:p w14:paraId="034FCA07" w14:textId="77777777" w:rsidR="00B260AE" w:rsidRPr="00B260AE" w:rsidRDefault="00B260AE" w:rsidP="00B260AE">
      <w:pPr>
        <w:pStyle w:val="ListParagraph"/>
        <w:numPr>
          <w:ilvl w:val="0"/>
          <w:numId w:val="3"/>
        </w:numPr>
        <w:rPr>
          <w:rFonts w:ascii="Arial" w:hAnsi="Arial" w:cs="Arial"/>
          <w:b/>
          <w:bCs/>
          <w:color w:val="0F58BD"/>
          <w:sz w:val="28"/>
          <w:szCs w:val="28"/>
          <w:u w:val="single" w:color="0F58BD"/>
        </w:rPr>
      </w:pPr>
      <w:r w:rsidRPr="00B260AE">
        <w:rPr>
          <w:rFonts w:ascii="Arial" w:hAnsi="Arial" w:cs="Arial"/>
          <w:color w:val="0F58BD"/>
          <w:sz w:val="28"/>
          <w:szCs w:val="28"/>
          <w:u w:color="0F58BD"/>
        </w:rPr>
        <w:t>Recommendations</w:t>
      </w:r>
    </w:p>
    <w:p w14:paraId="52F921BE" w14:textId="77777777" w:rsidR="00B260AE" w:rsidRPr="00B260AE" w:rsidRDefault="00B260AE" w:rsidP="00B260AE">
      <w:pPr>
        <w:rPr>
          <w:rFonts w:ascii="Arial" w:hAnsi="Arial" w:cs="Arial"/>
          <w:b/>
          <w:bCs/>
          <w:color w:val="0F58BD"/>
          <w:sz w:val="28"/>
          <w:szCs w:val="28"/>
          <w:u w:val="single" w:color="0F58BD"/>
        </w:rPr>
      </w:pPr>
    </w:p>
    <w:p w14:paraId="1D6B43BC" w14:textId="77777777" w:rsidR="00B260AE" w:rsidRPr="00B260AE" w:rsidRDefault="00B260AE" w:rsidP="00B260AE">
      <w:pPr>
        <w:pStyle w:val="ListParagraph"/>
        <w:numPr>
          <w:ilvl w:val="0"/>
          <w:numId w:val="3"/>
        </w:numPr>
        <w:rPr>
          <w:rFonts w:ascii="Arial" w:hAnsi="Arial" w:cs="Arial"/>
          <w:b/>
          <w:bCs/>
          <w:color w:val="0F58BD"/>
          <w:sz w:val="28"/>
          <w:szCs w:val="28"/>
          <w:u w:val="single" w:color="0F58BD"/>
        </w:rPr>
      </w:pPr>
      <w:r w:rsidRPr="00B260AE">
        <w:rPr>
          <w:rFonts w:ascii="Arial" w:hAnsi="Arial" w:cs="Arial"/>
          <w:color w:val="0F58BD"/>
          <w:sz w:val="28"/>
          <w:szCs w:val="28"/>
          <w:u w:color="0F58BD"/>
        </w:rPr>
        <w:t>Conclusion</w:t>
      </w:r>
    </w:p>
    <w:p w14:paraId="716DAE8B" w14:textId="77777777" w:rsidR="00B260AE" w:rsidRPr="00B260AE" w:rsidRDefault="00B260AE" w:rsidP="00B260AE">
      <w:pPr>
        <w:pStyle w:val="ListParagraph"/>
        <w:rPr>
          <w:rFonts w:ascii="Arial" w:hAnsi="Arial" w:cs="Arial"/>
          <w:b/>
          <w:bCs/>
          <w:color w:val="0F58BD"/>
          <w:sz w:val="28"/>
          <w:szCs w:val="28"/>
          <w:u w:val="single" w:color="0F58BD"/>
        </w:rPr>
      </w:pPr>
    </w:p>
    <w:p w14:paraId="5235B500" w14:textId="77777777" w:rsidR="00B260AE" w:rsidRPr="00B260AE" w:rsidRDefault="00B260AE" w:rsidP="00B260AE">
      <w:pPr>
        <w:rPr>
          <w:rFonts w:ascii="Arial" w:hAnsi="Arial" w:cs="Arial"/>
          <w:b/>
          <w:bCs/>
          <w:color w:val="0F58BD"/>
          <w:sz w:val="28"/>
          <w:szCs w:val="28"/>
          <w:u w:val="single" w:color="0F58BD"/>
        </w:rPr>
      </w:pPr>
    </w:p>
    <w:p w14:paraId="4573350E" w14:textId="401655DD" w:rsidR="008953A9" w:rsidRPr="00B260AE" w:rsidRDefault="00B260AE" w:rsidP="00B260AE">
      <w:pPr>
        <w:pStyle w:val="ListParagraph"/>
        <w:numPr>
          <w:ilvl w:val="0"/>
          <w:numId w:val="3"/>
        </w:numPr>
        <w:rPr>
          <w:rFonts w:ascii="Arial" w:hAnsi="Arial" w:cs="Arial"/>
          <w:b/>
          <w:bCs/>
          <w:color w:val="0F58BD"/>
          <w:sz w:val="36"/>
          <w:szCs w:val="36"/>
          <w:u w:val="single" w:color="0F58BD"/>
        </w:rPr>
      </w:pPr>
      <w:r w:rsidRPr="00B260AE">
        <w:rPr>
          <w:rFonts w:ascii="Arial" w:hAnsi="Arial" w:cs="Arial"/>
          <w:color w:val="0F58BD"/>
          <w:sz w:val="28"/>
          <w:szCs w:val="28"/>
          <w:u w:color="0F58BD"/>
        </w:rPr>
        <w:t>References</w:t>
      </w:r>
      <w:r w:rsidR="008953A9" w:rsidRPr="00B260AE">
        <w:rPr>
          <w:rFonts w:ascii="Arial" w:hAnsi="Arial" w:cs="Arial"/>
          <w:color w:val="0F58BD"/>
          <w:u w:val="single" w:color="0F58BD"/>
        </w:rPr>
        <w:br w:type="page"/>
      </w:r>
    </w:p>
    <w:p w14:paraId="3A4AD8A5" w14:textId="3FF56D69" w:rsidR="0035737F" w:rsidRDefault="00000000">
      <w:pPr>
        <w:pStyle w:val="Heading2"/>
        <w:keepNext w:val="0"/>
        <w:keepLines w:val="0"/>
        <w:spacing w:before="360" w:after="180"/>
      </w:pPr>
      <w:r>
        <w:rPr>
          <w:color w:val="0F58BD"/>
          <w:u w:val="single" w:color="0F58BD"/>
        </w:rPr>
        <w:lastRenderedPageBreak/>
        <w:t>Introduction</w:t>
      </w:r>
    </w:p>
    <w:p w14:paraId="6466154B" w14:textId="77777777" w:rsidR="0035737F" w:rsidRDefault="0035737F">
      <w:pPr>
        <w:spacing w:before="120" w:after="120"/>
      </w:pPr>
    </w:p>
    <w:p w14:paraId="3B4BD8E8" w14:textId="77777777" w:rsidR="0035737F" w:rsidRPr="008953A9" w:rsidRDefault="00000000" w:rsidP="008953A9">
      <w:pPr>
        <w:spacing w:before="120" w:after="120" w:line="360" w:lineRule="auto"/>
        <w:rPr>
          <w:rFonts w:ascii="Arial" w:hAnsi="Arial" w:cs="Arial"/>
          <w:sz w:val="22"/>
          <w:szCs w:val="22"/>
        </w:rPr>
      </w:pPr>
      <w:r w:rsidRPr="008953A9">
        <w:rPr>
          <w:rFonts w:ascii="Arial" w:hAnsi="Arial" w:cs="Arial"/>
          <w:sz w:val="22"/>
          <w:szCs w:val="22"/>
        </w:rPr>
        <w:t>Diabetes, also known as diabetes mellitus, is a long-term health condition that impacts millions of people globally. Type 1 diabetes develops when the body produces little or no insulin, causing high blood sugar. In contrast, type 2 diabetes occurs when the body becomes resistant to insulin or does not use it effectively, often due to lifestyle and genetic factors. Over time, the pancreas in type 2 diabetes struggles to keep up with insulin production, which can lead to elevated blood sugar. According to the World Health Organisation (2024), diabetes is defined by problems with insulin production or action. Globally, about 1 in 11 adults have diabetes, and around 90% of these cases are type 2 (Zheng et al., 2017).</w:t>
      </w:r>
    </w:p>
    <w:p w14:paraId="67CCFD04" w14:textId="77777777" w:rsidR="0035737F" w:rsidRPr="008953A9" w:rsidRDefault="00000000" w:rsidP="008953A9">
      <w:pPr>
        <w:spacing w:before="120" w:after="120" w:line="360" w:lineRule="auto"/>
        <w:rPr>
          <w:rFonts w:ascii="Arial" w:hAnsi="Arial" w:cs="Arial"/>
          <w:sz w:val="22"/>
          <w:szCs w:val="22"/>
        </w:rPr>
      </w:pPr>
      <w:r w:rsidRPr="008953A9">
        <w:rPr>
          <w:rFonts w:ascii="Arial" w:hAnsi="Arial" w:cs="Arial"/>
          <w:sz w:val="22"/>
          <w:szCs w:val="22"/>
        </w:rPr>
        <w:t xml:space="preserve">T2DM is a chronic metabolic disorder characterised by persistently elevated blood glucose levels. With this condition, the body tissues such as muscle, liver and fat get less sensitive to insulin. This results in the glucose remaining in the bloodstream. This is the most generic form of diabetes and is strongly associated with lifestyle and genetic factors. Key risk factors affecting type 2 diabetes include – </w:t>
      </w:r>
    </w:p>
    <w:p w14:paraId="3E138042" w14:textId="77777777" w:rsidR="0035737F" w:rsidRPr="008953A9" w:rsidRDefault="00000000" w:rsidP="008953A9">
      <w:pPr>
        <w:numPr>
          <w:ilvl w:val="0"/>
          <w:numId w:val="1"/>
        </w:numPr>
        <w:spacing w:before="240" w:after="120" w:line="360" w:lineRule="auto"/>
        <w:ind w:hanging="242"/>
        <w:rPr>
          <w:rFonts w:ascii="Arial" w:hAnsi="Arial" w:cs="Arial"/>
          <w:sz w:val="22"/>
          <w:szCs w:val="22"/>
        </w:rPr>
      </w:pPr>
      <w:r w:rsidRPr="008953A9">
        <w:rPr>
          <w:rFonts w:ascii="Arial" w:hAnsi="Arial" w:cs="Arial"/>
          <w:sz w:val="22"/>
          <w:szCs w:val="22"/>
        </w:rPr>
        <w:t xml:space="preserve">Being overweight </w:t>
      </w:r>
    </w:p>
    <w:p w14:paraId="0D2C3CD8" w14:textId="77777777" w:rsidR="0035737F" w:rsidRPr="008953A9" w:rsidRDefault="00000000" w:rsidP="008953A9">
      <w:pPr>
        <w:numPr>
          <w:ilvl w:val="0"/>
          <w:numId w:val="1"/>
        </w:numPr>
        <w:spacing w:before="120" w:after="120" w:line="360" w:lineRule="auto"/>
        <w:ind w:hanging="242"/>
        <w:rPr>
          <w:rFonts w:ascii="Arial" w:hAnsi="Arial" w:cs="Arial"/>
          <w:sz w:val="22"/>
          <w:szCs w:val="22"/>
        </w:rPr>
      </w:pPr>
      <w:r w:rsidRPr="008953A9">
        <w:rPr>
          <w:rFonts w:ascii="Arial" w:hAnsi="Arial" w:cs="Arial"/>
          <w:sz w:val="22"/>
          <w:szCs w:val="22"/>
        </w:rPr>
        <w:t xml:space="preserve">Physical inactivity </w:t>
      </w:r>
    </w:p>
    <w:p w14:paraId="7526EE47" w14:textId="77777777" w:rsidR="0035737F" w:rsidRPr="008953A9" w:rsidRDefault="00000000" w:rsidP="008953A9">
      <w:pPr>
        <w:numPr>
          <w:ilvl w:val="0"/>
          <w:numId w:val="1"/>
        </w:numPr>
        <w:spacing w:before="120" w:after="120" w:line="360" w:lineRule="auto"/>
        <w:ind w:hanging="242"/>
        <w:rPr>
          <w:rFonts w:ascii="Arial" w:hAnsi="Arial" w:cs="Arial"/>
          <w:sz w:val="22"/>
          <w:szCs w:val="22"/>
        </w:rPr>
      </w:pPr>
      <w:r w:rsidRPr="008953A9">
        <w:rPr>
          <w:rFonts w:ascii="Arial" w:hAnsi="Arial" w:cs="Arial"/>
          <w:sz w:val="22"/>
          <w:szCs w:val="22"/>
        </w:rPr>
        <w:t>Unhealthy diet</w:t>
      </w:r>
    </w:p>
    <w:p w14:paraId="71900264" w14:textId="77777777" w:rsidR="0035737F" w:rsidRPr="008953A9" w:rsidRDefault="00000000" w:rsidP="008953A9">
      <w:pPr>
        <w:numPr>
          <w:ilvl w:val="0"/>
          <w:numId w:val="1"/>
        </w:numPr>
        <w:spacing w:before="120" w:after="120" w:line="360" w:lineRule="auto"/>
        <w:ind w:hanging="242"/>
        <w:rPr>
          <w:rFonts w:ascii="Arial" w:hAnsi="Arial" w:cs="Arial"/>
          <w:sz w:val="22"/>
          <w:szCs w:val="22"/>
        </w:rPr>
      </w:pPr>
      <w:r w:rsidRPr="008953A9">
        <w:rPr>
          <w:rFonts w:ascii="Arial" w:hAnsi="Arial" w:cs="Arial"/>
          <w:sz w:val="22"/>
          <w:szCs w:val="22"/>
        </w:rPr>
        <w:t>Increasing age</w:t>
      </w:r>
    </w:p>
    <w:p w14:paraId="3CB8A60C" w14:textId="77777777" w:rsidR="0035737F" w:rsidRPr="008953A9" w:rsidRDefault="00000000" w:rsidP="008953A9">
      <w:pPr>
        <w:numPr>
          <w:ilvl w:val="0"/>
          <w:numId w:val="1"/>
        </w:numPr>
        <w:spacing w:before="120" w:after="240" w:line="360" w:lineRule="auto"/>
        <w:ind w:hanging="242"/>
        <w:rPr>
          <w:rFonts w:ascii="Arial" w:hAnsi="Arial" w:cs="Arial"/>
          <w:sz w:val="22"/>
          <w:szCs w:val="22"/>
        </w:rPr>
      </w:pPr>
      <w:r w:rsidRPr="008953A9">
        <w:rPr>
          <w:rFonts w:ascii="Arial" w:hAnsi="Arial" w:cs="Arial"/>
          <w:sz w:val="22"/>
          <w:szCs w:val="22"/>
        </w:rPr>
        <w:t>Lack of self-care.</w:t>
      </w:r>
    </w:p>
    <w:p w14:paraId="12C6ED9C" w14:textId="77777777" w:rsidR="0035737F" w:rsidRPr="008953A9" w:rsidRDefault="00000000" w:rsidP="008953A9">
      <w:pPr>
        <w:spacing w:before="120" w:after="120" w:line="360" w:lineRule="auto"/>
        <w:rPr>
          <w:rFonts w:ascii="Arial" w:hAnsi="Arial" w:cs="Arial"/>
          <w:sz w:val="22"/>
          <w:szCs w:val="22"/>
        </w:rPr>
      </w:pPr>
      <w:r w:rsidRPr="008953A9">
        <w:rPr>
          <w:rFonts w:ascii="Arial" w:hAnsi="Arial" w:cs="Arial"/>
          <w:sz w:val="22"/>
          <w:szCs w:val="22"/>
        </w:rPr>
        <w:t>If poorly controlled, type 2 diabetes can lead to serious complications, including cardiovascular disease, kidney damage, neuropathy, retinopathy, and potential amputation (Diabetes UK, 2024).</w:t>
      </w:r>
    </w:p>
    <w:p w14:paraId="74962594" w14:textId="77777777" w:rsidR="0035737F" w:rsidRPr="008953A9" w:rsidRDefault="00000000" w:rsidP="008953A9">
      <w:pPr>
        <w:spacing w:before="120" w:after="120" w:line="360" w:lineRule="auto"/>
        <w:rPr>
          <w:rFonts w:ascii="Arial" w:hAnsi="Arial" w:cs="Arial"/>
          <w:sz w:val="22"/>
          <w:szCs w:val="22"/>
        </w:rPr>
      </w:pPr>
      <w:r w:rsidRPr="008953A9">
        <w:rPr>
          <w:rFonts w:ascii="Arial" w:hAnsi="Arial" w:cs="Arial"/>
          <w:sz w:val="22"/>
          <w:szCs w:val="22"/>
        </w:rPr>
        <w:t xml:space="preserve">The purpose of this report is to explore how blood glucose levels are regulated within the body, to explore the role of glucose and oxygen in cellular energy production, and to demonstrate how monitoring and recording blood glucose supports safe management of this condition. </w:t>
      </w:r>
    </w:p>
    <w:p w14:paraId="3F2C898A" w14:textId="77777777" w:rsidR="0035737F" w:rsidRDefault="0035737F">
      <w:pPr>
        <w:spacing w:before="120" w:after="120"/>
      </w:pPr>
    </w:p>
    <w:p w14:paraId="2AA546D4" w14:textId="77777777" w:rsidR="0035737F" w:rsidRDefault="0035737F">
      <w:pPr>
        <w:spacing w:before="120" w:after="120"/>
      </w:pPr>
    </w:p>
    <w:p w14:paraId="5D70826F" w14:textId="77777777" w:rsidR="00B260AE" w:rsidRDefault="00B260AE">
      <w:pPr>
        <w:pStyle w:val="Heading2"/>
        <w:keepNext w:val="0"/>
        <w:keepLines w:val="0"/>
        <w:spacing w:before="360" w:after="180"/>
        <w:rPr>
          <w:color w:val="0F58BD"/>
          <w:u w:val="single" w:color="0F58BD"/>
        </w:rPr>
      </w:pPr>
    </w:p>
    <w:p w14:paraId="219B08BC" w14:textId="51A26103" w:rsidR="0035737F" w:rsidRDefault="00000000">
      <w:pPr>
        <w:pStyle w:val="Heading2"/>
        <w:keepNext w:val="0"/>
        <w:keepLines w:val="0"/>
        <w:spacing w:before="360" w:after="180"/>
      </w:pPr>
      <w:r>
        <w:rPr>
          <w:color w:val="0F58BD"/>
          <w:u w:val="single" w:color="0F58BD"/>
        </w:rPr>
        <w:lastRenderedPageBreak/>
        <w:t>Anatomy &amp; Physiology</w:t>
      </w:r>
    </w:p>
    <w:p w14:paraId="53AAE658" w14:textId="77777777" w:rsidR="0035737F" w:rsidRDefault="0035737F">
      <w:pPr>
        <w:spacing w:before="120" w:after="120"/>
      </w:pPr>
    </w:p>
    <w:p w14:paraId="1667A533" w14:textId="48666F9A" w:rsidR="0035737F" w:rsidRPr="008953A9" w:rsidRDefault="00000000" w:rsidP="008953A9">
      <w:pPr>
        <w:spacing w:before="120" w:after="120" w:line="360" w:lineRule="auto"/>
        <w:rPr>
          <w:rFonts w:ascii="Arial" w:hAnsi="Arial" w:cs="Arial"/>
          <w:sz w:val="22"/>
          <w:szCs w:val="22"/>
        </w:rPr>
      </w:pPr>
      <w:r w:rsidRPr="008953A9">
        <w:rPr>
          <w:rFonts w:ascii="Arial" w:hAnsi="Arial" w:cs="Arial"/>
          <w:sz w:val="22"/>
          <w:szCs w:val="22"/>
        </w:rPr>
        <w:t>The pancreas carefully regulates blood sugar to provide enough energy for the body while avoiding excessive glucose in the bloodstream. After consuming carbohydrates, these are broken down into glucose, which then enters the blood. Rising blood sugar triggers the pancreas to release insulin from beta cells located in the islets of Langerhans. Insulin acts by moving glucose from the bloodstream into cells, especially muscle and fat tissue, where it can be used for energy. It also prompts the liver to store excess glucose as glycogen for future energy needs. The pancreas’s main role is to balance blood glucose by producing both insulin and glucagon (Roder et al., 2016).</w:t>
      </w:r>
    </w:p>
    <w:p w14:paraId="21394FE6" w14:textId="77777777" w:rsidR="0035737F" w:rsidRPr="008953A9" w:rsidRDefault="00000000" w:rsidP="008953A9">
      <w:pPr>
        <w:spacing w:before="120" w:after="120" w:line="360" w:lineRule="auto"/>
        <w:rPr>
          <w:rFonts w:ascii="Arial" w:hAnsi="Arial" w:cs="Arial"/>
          <w:sz w:val="22"/>
          <w:szCs w:val="22"/>
        </w:rPr>
      </w:pPr>
      <w:r w:rsidRPr="008953A9">
        <w:rPr>
          <w:rFonts w:ascii="Arial" w:hAnsi="Arial" w:cs="Arial"/>
          <w:sz w:val="22"/>
          <w:szCs w:val="22"/>
        </w:rPr>
        <w:t>Between meals or after physical activity, when blood sugar drops, the pancreas releases glucagon from its alpha cells. Glucagon instructs the liver to convert stored glycogen into glucose and release it into the bloodstream, preventing hypoglycaemia and ensuring vital organs like the brain receive enough fuel. Early in type 2 diabetes, insulin resistance in the liver and muscle is common, but the disease does not develop without progressive beta-cell failure (DeFronzo, 2009). As a result, glucose uptake by cells becomes inefficient, leading to persistently high blood sugar.</w:t>
      </w:r>
    </w:p>
    <w:p w14:paraId="2EBAF123" w14:textId="010CDDB9" w:rsidR="0035737F" w:rsidRPr="008953A9" w:rsidRDefault="00000000" w:rsidP="008953A9">
      <w:pPr>
        <w:spacing w:before="120" w:after="120" w:line="360" w:lineRule="auto"/>
        <w:rPr>
          <w:rFonts w:ascii="Arial" w:hAnsi="Arial" w:cs="Arial"/>
          <w:sz w:val="22"/>
          <w:szCs w:val="22"/>
        </w:rPr>
      </w:pPr>
      <w:r w:rsidRPr="008953A9">
        <w:rPr>
          <w:rFonts w:ascii="Arial" w:hAnsi="Arial" w:cs="Arial"/>
          <w:sz w:val="22"/>
          <w:szCs w:val="22"/>
        </w:rPr>
        <w:t xml:space="preserve">Glucose is vital as it serves as the primary fuel for cellular energy production. Through cellular respiration, glucose is converted into ATP (adenosine triphosphate), which powers essential body processes such as movement, growth, and repair. Glycolysis, the first stage of this process, takes place in the cytoplasm and yields a small amount of ATP. When oxygen is present, glucose metabolism continues in </w:t>
      </w:r>
      <w:r w:rsidR="00B260AE" w:rsidRPr="008953A9">
        <w:rPr>
          <w:rFonts w:ascii="Arial" w:hAnsi="Arial" w:cs="Arial"/>
          <w:sz w:val="22"/>
          <w:szCs w:val="22"/>
        </w:rPr>
        <w:t>mitochondria</w:t>
      </w:r>
      <w:r w:rsidRPr="008953A9">
        <w:rPr>
          <w:rFonts w:ascii="Arial" w:hAnsi="Arial" w:cs="Arial"/>
          <w:sz w:val="22"/>
          <w:szCs w:val="22"/>
        </w:rPr>
        <w:t xml:space="preserve"> producing much more ATP. Mitochondria are responsible for generating ATP and key metabolites for cell survival and growth (Martínez-Reyes &amp; Chandel, 2020). Oxygen is crucial because, without it, anaerobic metabolism cannot proceed beyond glycolysis, and ATP production becomes very limited (Biro, 2022). Maintaining blood glucose regulation is therefore necessary to ensure a steady energy supply while preventing dangerous high blood sugar levels.</w:t>
      </w:r>
    </w:p>
    <w:p w14:paraId="54C1A999" w14:textId="77777777" w:rsidR="0035737F" w:rsidRDefault="0035737F">
      <w:pPr>
        <w:spacing w:before="120" w:after="120"/>
      </w:pPr>
    </w:p>
    <w:p w14:paraId="6A661B73" w14:textId="77777777" w:rsidR="0035737F" w:rsidRDefault="0035737F">
      <w:pPr>
        <w:spacing w:before="120" w:after="120"/>
      </w:pPr>
    </w:p>
    <w:p w14:paraId="6A380DE6" w14:textId="77777777" w:rsidR="0035737F" w:rsidRDefault="0035737F">
      <w:pPr>
        <w:spacing w:before="120" w:after="120"/>
      </w:pPr>
    </w:p>
    <w:p w14:paraId="441631AD" w14:textId="77777777" w:rsidR="00B260AE" w:rsidRDefault="00B260AE">
      <w:pPr>
        <w:pStyle w:val="Heading2"/>
        <w:keepNext w:val="0"/>
        <w:keepLines w:val="0"/>
        <w:spacing w:before="360" w:after="180"/>
        <w:rPr>
          <w:color w:val="0F58BD"/>
          <w:u w:val="single" w:color="0F58BD"/>
        </w:rPr>
      </w:pPr>
    </w:p>
    <w:p w14:paraId="3294CE85" w14:textId="4048CE11" w:rsidR="0035737F" w:rsidRDefault="00000000">
      <w:pPr>
        <w:pStyle w:val="Heading2"/>
        <w:keepNext w:val="0"/>
        <w:keepLines w:val="0"/>
        <w:spacing w:before="360" w:after="180"/>
      </w:pPr>
      <w:r>
        <w:rPr>
          <w:color w:val="0F58BD"/>
          <w:u w:val="single" w:color="0F58BD"/>
        </w:rPr>
        <w:lastRenderedPageBreak/>
        <w:t>Pathophysiology</w:t>
      </w:r>
    </w:p>
    <w:p w14:paraId="11C3994A" w14:textId="77777777" w:rsidR="0035737F" w:rsidRDefault="0035737F">
      <w:pPr>
        <w:spacing w:before="120" w:after="120"/>
      </w:pPr>
    </w:p>
    <w:p w14:paraId="17DC5E9D" w14:textId="09E7DBC9" w:rsidR="0035737F" w:rsidRPr="008953A9" w:rsidRDefault="00000000" w:rsidP="008953A9">
      <w:pPr>
        <w:spacing w:before="120" w:after="120" w:line="360" w:lineRule="auto"/>
        <w:rPr>
          <w:rFonts w:ascii="Arial" w:hAnsi="Arial" w:cs="Arial"/>
          <w:sz w:val="22"/>
          <w:szCs w:val="22"/>
        </w:rPr>
      </w:pPr>
      <w:r w:rsidRPr="008953A9">
        <w:rPr>
          <w:rFonts w:ascii="Arial" w:hAnsi="Arial" w:cs="Arial"/>
          <w:sz w:val="22"/>
          <w:szCs w:val="22"/>
        </w:rPr>
        <w:t xml:space="preserve">When the body can no longer control blood sugar effectively, glucose accumulates in the blood, causing </w:t>
      </w:r>
      <w:r w:rsidR="008953A9" w:rsidRPr="008953A9">
        <w:rPr>
          <w:rFonts w:ascii="Arial" w:hAnsi="Arial" w:cs="Arial"/>
          <w:sz w:val="22"/>
          <w:szCs w:val="22"/>
        </w:rPr>
        <w:t>hyperglycemia</w:t>
      </w:r>
      <w:r w:rsidRPr="008953A9">
        <w:rPr>
          <w:rFonts w:ascii="Arial" w:hAnsi="Arial" w:cs="Arial"/>
          <w:sz w:val="22"/>
          <w:szCs w:val="22"/>
        </w:rPr>
        <w:t xml:space="preserve"> hallmark of type 2 diabetes. This results from insulin resistance, where cells respond poorly to insulin. The pancreas often continues to make insulin, but it is less effective at moving glucose into muscle and fat cells. Consequently, glucose stays in the bloodstream rather than being used for energy. Over time, the increased workload may cause </w:t>
      </w:r>
      <w:r w:rsidR="008953A9" w:rsidRPr="008953A9">
        <w:rPr>
          <w:rFonts w:ascii="Arial" w:hAnsi="Arial" w:cs="Arial"/>
          <w:sz w:val="22"/>
          <w:szCs w:val="22"/>
        </w:rPr>
        <w:t>insulin</w:t>
      </w:r>
      <w:r w:rsidRPr="008953A9">
        <w:rPr>
          <w:rFonts w:ascii="Arial" w:hAnsi="Arial" w:cs="Arial"/>
          <w:sz w:val="22"/>
          <w:szCs w:val="22"/>
        </w:rPr>
        <w:t>-producing beta cells to wear out, reducing insulin output even further (Kim, L., 2024).</w:t>
      </w:r>
    </w:p>
    <w:p w14:paraId="7C265F62" w14:textId="77777777" w:rsidR="0035737F" w:rsidRPr="008953A9" w:rsidRDefault="00000000" w:rsidP="008953A9">
      <w:pPr>
        <w:spacing w:before="120" w:after="120" w:line="360" w:lineRule="auto"/>
        <w:rPr>
          <w:rFonts w:ascii="Arial" w:hAnsi="Arial" w:cs="Arial"/>
          <w:sz w:val="22"/>
          <w:szCs w:val="22"/>
        </w:rPr>
      </w:pPr>
      <w:r w:rsidRPr="008953A9">
        <w:rPr>
          <w:rFonts w:ascii="Arial" w:hAnsi="Arial" w:cs="Arial"/>
          <w:sz w:val="22"/>
          <w:szCs w:val="22"/>
        </w:rPr>
        <w:t>Persistently high blood glucose is harmful because it damages blood vessels, making them less flexible and narrowing them. This reduces blood flow. Diabetes increases the risk of serious health problems, including Heart attack, stroke, blindness, kidney failure and amputation risk.’ (CDC., 2024). High blood glucose can also increase the amount of sugar filtered by the kidneys as the kidneys attempt to remove the excess glucose through urine, which, of course, leads to a common symptom, urination.</w:t>
      </w:r>
    </w:p>
    <w:p w14:paraId="67263533" w14:textId="77777777" w:rsidR="0035737F" w:rsidRPr="008953A9" w:rsidRDefault="00000000" w:rsidP="008953A9">
      <w:pPr>
        <w:spacing w:before="120" w:after="120" w:line="360" w:lineRule="auto"/>
        <w:rPr>
          <w:rFonts w:ascii="Arial" w:hAnsi="Arial" w:cs="Arial"/>
          <w:sz w:val="22"/>
          <w:szCs w:val="22"/>
        </w:rPr>
      </w:pPr>
      <w:r w:rsidRPr="008953A9">
        <w:rPr>
          <w:rFonts w:ascii="Arial" w:hAnsi="Arial" w:cs="Arial"/>
          <w:sz w:val="22"/>
          <w:szCs w:val="22"/>
        </w:rPr>
        <w:t>Lifestyle determinants have a major influence on glucose control and can worsen the pathophysiology of type 2 diabetes. A diet high in refined carbohydrates and sugary foods leads to rapid rises in blood glucose. Frequent high glucose levels increase the demand for insulin, which can worsen insulin resistance over time. ‘Excess body fat is the single most important determinant of type 2 diabetes. (Hu et al., 2001).</w:t>
      </w:r>
    </w:p>
    <w:p w14:paraId="3FD3D672" w14:textId="77777777" w:rsidR="0035737F" w:rsidRPr="008953A9" w:rsidRDefault="00000000" w:rsidP="008953A9">
      <w:pPr>
        <w:spacing w:before="120" w:after="120" w:line="360" w:lineRule="auto"/>
        <w:rPr>
          <w:rFonts w:ascii="Arial" w:hAnsi="Arial" w:cs="Arial"/>
          <w:sz w:val="22"/>
          <w:szCs w:val="22"/>
        </w:rPr>
      </w:pPr>
      <w:r w:rsidRPr="008953A9">
        <w:rPr>
          <w:rFonts w:ascii="Arial" w:hAnsi="Arial" w:cs="Arial"/>
          <w:sz w:val="22"/>
          <w:szCs w:val="22"/>
        </w:rPr>
        <w:t>Physical inactivity also reduces glucose control because muscles use less glucose when they are not active. ‘Cycling and resistance exercises have been shown to effectively enhance fasting blood glucose levels, insulin secretion, and insulin sensitivity in people with diabetes.’ (Pan et al., 2025). Stress and poor sleep can also raise blood glucose because stress hormones, such as cortisol, increase glucose release from the liver.</w:t>
      </w:r>
    </w:p>
    <w:p w14:paraId="3CD6A2FD" w14:textId="77777777" w:rsidR="0035737F" w:rsidRPr="008953A9" w:rsidRDefault="00000000" w:rsidP="008953A9">
      <w:pPr>
        <w:spacing w:before="120" w:after="120" w:line="360" w:lineRule="auto"/>
        <w:rPr>
          <w:rFonts w:ascii="Arial" w:hAnsi="Arial" w:cs="Arial"/>
          <w:sz w:val="22"/>
          <w:szCs w:val="22"/>
        </w:rPr>
      </w:pPr>
      <w:r w:rsidRPr="008953A9">
        <w:rPr>
          <w:rFonts w:ascii="Arial" w:hAnsi="Arial" w:cs="Arial"/>
          <w:sz w:val="22"/>
          <w:szCs w:val="22"/>
        </w:rPr>
        <w:t>In summary, when blood sugar regulation fails in type 2 diabetes, persistent hyperglycaemia leads to serious complications. Unhealthy daily habits can worsen insulin resistance, but positive changes such as healthy eating, weight loss, and regular exercise can improve glucose regulation and lower long-term health risks. Without intervention, these issues can cause permanent damage, highlighting the importance of early management and healthy lifestyle choices.</w:t>
      </w:r>
    </w:p>
    <w:p w14:paraId="52757A17" w14:textId="77777777" w:rsidR="0035737F" w:rsidRDefault="0035737F">
      <w:pPr>
        <w:spacing w:before="120" w:after="120"/>
      </w:pPr>
    </w:p>
    <w:p w14:paraId="7FD9A635" w14:textId="77777777" w:rsidR="0035737F" w:rsidRDefault="0035737F">
      <w:pPr>
        <w:spacing w:before="120" w:after="120"/>
      </w:pPr>
    </w:p>
    <w:p w14:paraId="5BCA47FF" w14:textId="77777777" w:rsidR="0035737F" w:rsidRDefault="00000000">
      <w:pPr>
        <w:pStyle w:val="Heading2"/>
        <w:keepNext w:val="0"/>
        <w:keepLines w:val="0"/>
        <w:spacing w:before="360" w:after="180"/>
      </w:pPr>
      <w:r>
        <w:rPr>
          <w:color w:val="0F58BD"/>
          <w:u w:val="single" w:color="0F58BD"/>
        </w:rPr>
        <w:lastRenderedPageBreak/>
        <w:t>Monitoring &amp; data use</w:t>
      </w:r>
    </w:p>
    <w:p w14:paraId="7A38EE81" w14:textId="77777777" w:rsidR="0035737F" w:rsidRDefault="0035737F">
      <w:pPr>
        <w:spacing w:before="120" w:after="120"/>
      </w:pPr>
    </w:p>
    <w:p w14:paraId="7522C824" w14:textId="77777777" w:rsidR="0035737F" w:rsidRPr="008953A9" w:rsidRDefault="00000000" w:rsidP="008953A9">
      <w:pPr>
        <w:spacing w:before="120" w:after="120" w:line="360" w:lineRule="auto"/>
        <w:rPr>
          <w:rFonts w:ascii="Arial" w:hAnsi="Arial" w:cs="Arial"/>
          <w:sz w:val="22"/>
          <w:szCs w:val="22"/>
        </w:rPr>
      </w:pPr>
      <w:r w:rsidRPr="008953A9">
        <w:rPr>
          <w:rFonts w:ascii="Arial" w:hAnsi="Arial" w:cs="Arial"/>
          <w:sz w:val="22"/>
          <w:szCs w:val="22"/>
        </w:rPr>
        <w:t>Tracking health data is crucial for effective type 2 diabetes management, as it enables individuals and healthcare teams to assess how well blood sugar is controlled. Regular blood glucose monitoring helps identify trends and can detect chronic elevations that raise the risk of long-term complications. Continuous glucose monitors (CGMs) are particularly useful for adults needing support to track their blood sugar and manage insulin, allowing care staff to record readings more efficiently (NICE, 2023).</w:t>
      </w:r>
    </w:p>
    <w:p w14:paraId="526501E4" w14:textId="77777777" w:rsidR="0035737F" w:rsidRPr="008953A9" w:rsidRDefault="00000000" w:rsidP="008953A9">
      <w:pPr>
        <w:spacing w:before="120" w:after="120" w:line="360" w:lineRule="auto"/>
        <w:rPr>
          <w:rFonts w:ascii="Arial" w:hAnsi="Arial" w:cs="Arial"/>
          <w:sz w:val="22"/>
          <w:szCs w:val="22"/>
        </w:rPr>
      </w:pPr>
      <w:r w:rsidRPr="008953A9">
        <w:rPr>
          <w:rFonts w:ascii="Arial" w:hAnsi="Arial" w:cs="Arial"/>
          <w:sz w:val="22"/>
          <w:szCs w:val="22"/>
        </w:rPr>
        <w:t xml:space="preserve">Self-monitoring of blood glucose includes checking blood sugar levels using a finger-prick test. This is especially useful for observing patterns, such as increased glucose levels after meals or reduced levels after exercise. Monitoring results can help patients understand how lifestyle choices, such as food intake, physical activity, alcohol consumption, and stress, directly affect their blood glucose levels. Specific recommendations and precautions will vary by the type of diabetes, age, activity, and the presence of diabetes-related health complications. (Colberg et al., 2016). </w:t>
      </w:r>
    </w:p>
    <w:p w14:paraId="08066890" w14:textId="77777777" w:rsidR="0035737F" w:rsidRPr="008953A9" w:rsidRDefault="00000000" w:rsidP="008953A9">
      <w:pPr>
        <w:spacing w:before="120" w:after="120" w:line="360" w:lineRule="auto"/>
        <w:rPr>
          <w:rFonts w:ascii="Arial" w:hAnsi="Arial" w:cs="Arial"/>
          <w:sz w:val="22"/>
          <w:szCs w:val="22"/>
        </w:rPr>
      </w:pPr>
      <w:r w:rsidRPr="008953A9">
        <w:rPr>
          <w:rFonts w:ascii="Arial" w:hAnsi="Arial" w:cs="Arial"/>
          <w:sz w:val="22"/>
          <w:szCs w:val="22"/>
        </w:rPr>
        <w:t>Routine data collection also includes HbA1c blood tests, which provide an average blood glucose level over 2-3 months. ‘HbA1c is used by healthcare professionals to assess long-term diabetes control and to decide whether changes to medication or treatment are needed (NICE, 2022). In addition, monitoring other health data such as weight, BMI, blood pressure, and cholesterol is important because people with type 2 diabetes have a higher risk of cardiovascular disease. Tracking these measures allows early intervention and reduces the risk of complications. Using routine data supports personalised care planning. Practice nurses and GPs can review patients’ glucose records and blood test results to identify patterns or trends and revise treatment plans. This may involve medication changes, referral to structured education programmes, or giving additional lifestyle advice.</w:t>
      </w:r>
    </w:p>
    <w:p w14:paraId="78E622E4" w14:textId="77777777" w:rsidR="0035737F" w:rsidRPr="008953A9" w:rsidRDefault="00000000" w:rsidP="008953A9">
      <w:pPr>
        <w:spacing w:before="120" w:after="120" w:line="360" w:lineRule="auto"/>
        <w:rPr>
          <w:rFonts w:ascii="Arial" w:hAnsi="Arial" w:cs="Arial"/>
          <w:sz w:val="22"/>
          <w:szCs w:val="22"/>
        </w:rPr>
      </w:pPr>
      <w:r w:rsidRPr="008953A9">
        <w:rPr>
          <w:rFonts w:ascii="Arial" w:hAnsi="Arial" w:cs="Arial"/>
          <w:sz w:val="22"/>
          <w:szCs w:val="22"/>
        </w:rPr>
        <w:t>Overall monitoring and effective use of health data improve patient engagement, support early detection of any worsening control, and help prevent long-term complications in type 2 diabetes.</w:t>
      </w:r>
    </w:p>
    <w:p w14:paraId="2FD58914" w14:textId="77777777" w:rsidR="0035737F" w:rsidRDefault="0035737F">
      <w:pPr>
        <w:spacing w:before="120" w:after="120"/>
      </w:pPr>
    </w:p>
    <w:p w14:paraId="2DF88EAC" w14:textId="77777777" w:rsidR="0035737F" w:rsidRDefault="0035737F">
      <w:pPr>
        <w:spacing w:before="120" w:after="120"/>
      </w:pPr>
    </w:p>
    <w:p w14:paraId="33861E1F" w14:textId="77777777" w:rsidR="0035737F" w:rsidRDefault="0035737F">
      <w:pPr>
        <w:spacing w:before="120" w:after="120"/>
      </w:pPr>
    </w:p>
    <w:p w14:paraId="3B3E6999" w14:textId="77777777" w:rsidR="0035737F" w:rsidRDefault="0035737F">
      <w:pPr>
        <w:spacing w:before="120" w:after="120"/>
      </w:pPr>
    </w:p>
    <w:p w14:paraId="6465E05B" w14:textId="77777777" w:rsidR="0035737F" w:rsidRDefault="00000000">
      <w:pPr>
        <w:pStyle w:val="Heading2"/>
        <w:keepNext w:val="0"/>
        <w:keepLines w:val="0"/>
        <w:spacing w:before="360" w:after="180"/>
      </w:pPr>
      <w:r>
        <w:rPr>
          <w:color w:val="0F58BD"/>
          <w:u w:val="single" w:color="0F58BD"/>
        </w:rPr>
        <w:lastRenderedPageBreak/>
        <w:t>Recommendations</w:t>
      </w:r>
    </w:p>
    <w:p w14:paraId="335CF1BB" w14:textId="77777777" w:rsidR="0035737F" w:rsidRDefault="0035737F">
      <w:pPr>
        <w:spacing w:before="120" w:after="120"/>
      </w:pPr>
    </w:p>
    <w:p w14:paraId="0FB25147" w14:textId="77777777" w:rsidR="0035737F" w:rsidRPr="008953A9" w:rsidRDefault="00000000" w:rsidP="008953A9">
      <w:pPr>
        <w:spacing w:before="120" w:after="120" w:line="360" w:lineRule="auto"/>
        <w:rPr>
          <w:rFonts w:ascii="Arial" w:hAnsi="Arial" w:cs="Arial"/>
          <w:sz w:val="22"/>
          <w:szCs w:val="22"/>
        </w:rPr>
      </w:pPr>
      <w:r w:rsidRPr="008953A9">
        <w:rPr>
          <w:rFonts w:ascii="Arial" w:hAnsi="Arial" w:cs="Arial"/>
          <w:sz w:val="22"/>
          <w:szCs w:val="22"/>
        </w:rPr>
        <w:t>Evidence-based lifestyle changes are essential in the management of type 2 diabetes because they impact insulin sensitivity, reduce blood glucose levels and lower the risk of long-term complications. NICE (2022) states that diet, weight management, and physical activity should be the first-line approach for individuals with type 2 diabetes, in conjunction with medication if required. (NICE., 2022).</w:t>
      </w:r>
    </w:p>
    <w:p w14:paraId="46E4C910" w14:textId="77777777" w:rsidR="0035737F" w:rsidRPr="008953A9" w:rsidRDefault="00000000" w:rsidP="008953A9">
      <w:pPr>
        <w:spacing w:before="120" w:after="120" w:line="360" w:lineRule="auto"/>
        <w:rPr>
          <w:rFonts w:ascii="Arial" w:hAnsi="Arial" w:cs="Arial"/>
          <w:sz w:val="22"/>
          <w:szCs w:val="22"/>
        </w:rPr>
      </w:pPr>
      <w:r w:rsidRPr="008953A9">
        <w:rPr>
          <w:rFonts w:ascii="Arial" w:hAnsi="Arial" w:cs="Arial"/>
          <w:sz w:val="22"/>
          <w:szCs w:val="22"/>
        </w:rPr>
        <w:t>One key recommendation is achieving and maintaining a healthy weight. Excess body fat, particularly abdominal fat, increases insulin resistance, meaning glucose is less effective in body cells. Weight loss improves insulin sensitivity and reduces the workload on pancreatic beta cells. Evidence from the diabetes prevention program (DPP) found that lifestyle interventions, including weight reduction, significantly lowered the risk of progression to type 2 diabetes and improved glucose regulation (Knowler et al., 2002). Even modest weight loss of 5-10% can result in considerable improvements in HbA1c and cardiovascular risk factors. (NICE., 2022).</w:t>
      </w:r>
    </w:p>
    <w:p w14:paraId="52025476" w14:textId="77777777" w:rsidR="0035737F" w:rsidRPr="008953A9" w:rsidRDefault="00000000" w:rsidP="008953A9">
      <w:pPr>
        <w:spacing w:before="120" w:after="120" w:line="360" w:lineRule="auto"/>
        <w:rPr>
          <w:rFonts w:ascii="Arial" w:hAnsi="Arial" w:cs="Arial"/>
          <w:sz w:val="22"/>
          <w:szCs w:val="22"/>
        </w:rPr>
      </w:pPr>
      <w:r w:rsidRPr="008953A9">
        <w:rPr>
          <w:rFonts w:ascii="Arial" w:hAnsi="Arial" w:cs="Arial"/>
          <w:sz w:val="22"/>
          <w:szCs w:val="22"/>
        </w:rPr>
        <w:t>Dietary improvements are also vital. Patients should be encouraged to reduce intake of refined carbohydrates, sugary foods, and saturated fat, as they might cause rapid rises in blood glucose and contribute to obesity. NICE (2022) recommends a balanced diet with high-fibre carbohydrates, vegetables, lean meats, and unsaturated fats. Higher-fibre intakes slow glucose absorption, reducing post-meal blood sugar spikes. Research suggests that a diet loaded with whole grains and fibre improves glycaemic control and reduces cardiovascular risk (Hu et al., 2001).</w:t>
      </w:r>
    </w:p>
    <w:p w14:paraId="3E6F110D" w14:textId="77777777" w:rsidR="0035737F" w:rsidRPr="008953A9" w:rsidRDefault="00000000" w:rsidP="008953A9">
      <w:pPr>
        <w:spacing w:before="120" w:after="120" w:line="360" w:lineRule="auto"/>
        <w:rPr>
          <w:rFonts w:ascii="Arial" w:hAnsi="Arial" w:cs="Arial"/>
          <w:sz w:val="22"/>
          <w:szCs w:val="22"/>
        </w:rPr>
      </w:pPr>
      <w:r w:rsidRPr="008953A9">
        <w:rPr>
          <w:rFonts w:ascii="Arial" w:hAnsi="Arial" w:cs="Arial"/>
          <w:sz w:val="22"/>
          <w:szCs w:val="22"/>
        </w:rPr>
        <w:t>Physical activity is another key intervention. Exercise is highly recommended to improve glucose uptake; even moderate exercise will help glucose get into muscle cells and increase insulin sensitivity, so glucose is used more effectively for energy. The American diabetes association states that routine exercise reduces HbA1c levels and improves blood pressure and cholesterol, lowering cardiovascular disease risk (Colberg et al., 2016).</w:t>
      </w:r>
    </w:p>
    <w:p w14:paraId="45EE05ED" w14:textId="77777777" w:rsidR="0035737F" w:rsidRPr="008953A9" w:rsidRDefault="00000000" w:rsidP="008953A9">
      <w:pPr>
        <w:spacing w:before="120" w:after="120" w:line="360" w:lineRule="auto"/>
        <w:rPr>
          <w:rFonts w:ascii="Arial" w:hAnsi="Arial" w:cs="Arial"/>
          <w:sz w:val="22"/>
          <w:szCs w:val="22"/>
        </w:rPr>
      </w:pPr>
      <w:r w:rsidRPr="008953A9">
        <w:rPr>
          <w:rFonts w:ascii="Arial" w:hAnsi="Arial" w:cs="Arial"/>
          <w:sz w:val="22"/>
          <w:szCs w:val="22"/>
        </w:rPr>
        <w:t>Smoking cessation is also strongly recommended. Smoking exacerbates insulin resistance and damages blood vessels, raising the risk of heart disease, stroke, and poor circulation. A large meta-analysis found that smoking significantly increases cardiovascular events and mortality in people with diabetes (Pan et al., 2015). Quitting smoking improves circulation and reduces the risk of complications.</w:t>
      </w:r>
    </w:p>
    <w:p w14:paraId="576625A5" w14:textId="77777777" w:rsidR="0035737F" w:rsidRPr="008953A9" w:rsidRDefault="00000000" w:rsidP="008953A9">
      <w:pPr>
        <w:spacing w:before="120" w:after="120" w:line="360" w:lineRule="auto"/>
        <w:rPr>
          <w:rFonts w:ascii="Arial" w:hAnsi="Arial" w:cs="Arial"/>
          <w:sz w:val="22"/>
          <w:szCs w:val="22"/>
        </w:rPr>
      </w:pPr>
      <w:r w:rsidRPr="008953A9">
        <w:rPr>
          <w:rFonts w:ascii="Arial" w:hAnsi="Arial" w:cs="Arial"/>
          <w:sz w:val="22"/>
          <w:szCs w:val="22"/>
        </w:rPr>
        <w:lastRenderedPageBreak/>
        <w:t>Overall, realistic lifestyle changes such as gradual weight loss, healthier eating, regular exercise, and smoking cessation are strongly supported by evidence. ‘Recommendations should be shaped to meet the particular needs of each individual.’ (Colberg et al., 2016).</w:t>
      </w:r>
    </w:p>
    <w:p w14:paraId="04BF0EE6" w14:textId="77777777" w:rsidR="0035737F" w:rsidRDefault="0035737F">
      <w:pPr>
        <w:spacing w:before="120" w:after="120"/>
      </w:pPr>
    </w:p>
    <w:p w14:paraId="6314564B" w14:textId="77777777" w:rsidR="0035737F" w:rsidRDefault="0035737F">
      <w:pPr>
        <w:spacing w:before="120" w:after="120"/>
      </w:pPr>
    </w:p>
    <w:p w14:paraId="531A3240" w14:textId="77777777" w:rsidR="008953A9" w:rsidRDefault="008953A9">
      <w:pPr>
        <w:pStyle w:val="Heading2"/>
        <w:keepNext w:val="0"/>
        <w:keepLines w:val="0"/>
        <w:spacing w:before="360" w:after="180"/>
        <w:rPr>
          <w:color w:val="0F58BD"/>
          <w:u w:val="single" w:color="0F58BD"/>
        </w:rPr>
      </w:pPr>
    </w:p>
    <w:p w14:paraId="2AC65B0C" w14:textId="77777777" w:rsidR="008953A9" w:rsidRDefault="008953A9">
      <w:pPr>
        <w:pStyle w:val="Heading2"/>
        <w:keepNext w:val="0"/>
        <w:keepLines w:val="0"/>
        <w:spacing w:before="360" w:after="180"/>
        <w:rPr>
          <w:color w:val="0F58BD"/>
          <w:u w:val="single" w:color="0F58BD"/>
        </w:rPr>
      </w:pPr>
    </w:p>
    <w:p w14:paraId="05F1CE7B" w14:textId="77777777" w:rsidR="008953A9" w:rsidRDefault="008953A9">
      <w:pPr>
        <w:pStyle w:val="Heading2"/>
        <w:keepNext w:val="0"/>
        <w:keepLines w:val="0"/>
        <w:spacing w:before="360" w:after="180"/>
        <w:rPr>
          <w:color w:val="0F58BD"/>
          <w:u w:val="single" w:color="0F58BD"/>
        </w:rPr>
      </w:pPr>
    </w:p>
    <w:p w14:paraId="783C3918" w14:textId="77777777" w:rsidR="008953A9" w:rsidRDefault="008953A9">
      <w:pPr>
        <w:pStyle w:val="Heading2"/>
        <w:keepNext w:val="0"/>
        <w:keepLines w:val="0"/>
        <w:spacing w:before="360" w:after="180"/>
        <w:rPr>
          <w:color w:val="0F58BD"/>
          <w:u w:val="single" w:color="0F58BD"/>
        </w:rPr>
      </w:pPr>
    </w:p>
    <w:p w14:paraId="4C0B1E22" w14:textId="77777777" w:rsidR="008953A9" w:rsidRDefault="008953A9">
      <w:pPr>
        <w:pStyle w:val="Heading2"/>
        <w:keepNext w:val="0"/>
        <w:keepLines w:val="0"/>
        <w:spacing w:before="360" w:after="180"/>
        <w:rPr>
          <w:color w:val="0F58BD"/>
          <w:u w:val="single" w:color="0F58BD"/>
        </w:rPr>
      </w:pPr>
    </w:p>
    <w:p w14:paraId="69B59B52" w14:textId="77777777" w:rsidR="008953A9" w:rsidRDefault="008953A9">
      <w:pPr>
        <w:pStyle w:val="Heading2"/>
        <w:keepNext w:val="0"/>
        <w:keepLines w:val="0"/>
        <w:spacing w:before="360" w:after="180"/>
        <w:rPr>
          <w:color w:val="0F58BD"/>
          <w:u w:val="single" w:color="0F58BD"/>
        </w:rPr>
      </w:pPr>
    </w:p>
    <w:p w14:paraId="6836285F" w14:textId="77777777" w:rsidR="008953A9" w:rsidRDefault="008953A9">
      <w:pPr>
        <w:pStyle w:val="Heading2"/>
        <w:keepNext w:val="0"/>
        <w:keepLines w:val="0"/>
        <w:spacing w:before="360" w:after="180"/>
        <w:rPr>
          <w:color w:val="0F58BD"/>
          <w:u w:val="single" w:color="0F58BD"/>
        </w:rPr>
      </w:pPr>
    </w:p>
    <w:p w14:paraId="22730FA4" w14:textId="77777777" w:rsidR="008953A9" w:rsidRDefault="008953A9">
      <w:pPr>
        <w:pStyle w:val="Heading2"/>
        <w:keepNext w:val="0"/>
        <w:keepLines w:val="0"/>
        <w:spacing w:before="360" w:after="180"/>
        <w:rPr>
          <w:color w:val="0F58BD"/>
          <w:u w:val="single" w:color="0F58BD"/>
        </w:rPr>
      </w:pPr>
    </w:p>
    <w:p w14:paraId="3250A872" w14:textId="77777777" w:rsidR="008953A9" w:rsidRDefault="008953A9">
      <w:pPr>
        <w:pStyle w:val="Heading2"/>
        <w:keepNext w:val="0"/>
        <w:keepLines w:val="0"/>
        <w:spacing w:before="360" w:after="180"/>
        <w:rPr>
          <w:color w:val="0F58BD"/>
          <w:u w:val="single" w:color="0F58BD"/>
        </w:rPr>
      </w:pPr>
    </w:p>
    <w:p w14:paraId="4B7A5DF8" w14:textId="77777777" w:rsidR="008953A9" w:rsidRDefault="008953A9">
      <w:pPr>
        <w:pStyle w:val="Heading2"/>
        <w:keepNext w:val="0"/>
        <w:keepLines w:val="0"/>
        <w:spacing w:before="360" w:after="180"/>
        <w:rPr>
          <w:color w:val="0F58BD"/>
          <w:u w:val="single" w:color="0F58BD"/>
        </w:rPr>
      </w:pPr>
    </w:p>
    <w:p w14:paraId="68B17A27" w14:textId="77777777" w:rsidR="008953A9" w:rsidRDefault="008953A9">
      <w:pPr>
        <w:pStyle w:val="Heading2"/>
        <w:keepNext w:val="0"/>
        <w:keepLines w:val="0"/>
        <w:spacing w:before="360" w:after="180"/>
        <w:rPr>
          <w:color w:val="0F58BD"/>
          <w:u w:val="single" w:color="0F58BD"/>
        </w:rPr>
      </w:pPr>
    </w:p>
    <w:p w14:paraId="7C4BFD3E" w14:textId="77777777" w:rsidR="008953A9" w:rsidRDefault="008953A9">
      <w:pPr>
        <w:pStyle w:val="Heading2"/>
        <w:keepNext w:val="0"/>
        <w:keepLines w:val="0"/>
        <w:spacing w:before="360" w:after="180"/>
        <w:rPr>
          <w:color w:val="0F58BD"/>
          <w:u w:val="single" w:color="0F58BD"/>
        </w:rPr>
      </w:pPr>
    </w:p>
    <w:p w14:paraId="1E9F8B1B" w14:textId="77777777" w:rsidR="00B260AE" w:rsidRDefault="00B260AE">
      <w:pPr>
        <w:pStyle w:val="Heading2"/>
        <w:keepNext w:val="0"/>
        <w:keepLines w:val="0"/>
        <w:spacing w:before="360" w:after="180"/>
        <w:rPr>
          <w:color w:val="0F58BD"/>
          <w:u w:val="single" w:color="0F58BD"/>
        </w:rPr>
      </w:pPr>
    </w:p>
    <w:p w14:paraId="786CD10A" w14:textId="77777777" w:rsidR="00B260AE" w:rsidRDefault="00B260AE">
      <w:pPr>
        <w:pStyle w:val="Heading2"/>
        <w:keepNext w:val="0"/>
        <w:keepLines w:val="0"/>
        <w:spacing w:before="360" w:after="180"/>
        <w:rPr>
          <w:color w:val="0F58BD"/>
          <w:u w:val="single" w:color="0F58BD"/>
        </w:rPr>
      </w:pPr>
    </w:p>
    <w:p w14:paraId="1E3F69C5" w14:textId="69A84BB2" w:rsidR="0035737F" w:rsidRDefault="00000000">
      <w:pPr>
        <w:pStyle w:val="Heading2"/>
        <w:keepNext w:val="0"/>
        <w:keepLines w:val="0"/>
        <w:spacing w:before="360" w:after="180"/>
      </w:pPr>
      <w:r>
        <w:rPr>
          <w:color w:val="0F58BD"/>
          <w:u w:val="single" w:color="0F58BD"/>
        </w:rPr>
        <w:lastRenderedPageBreak/>
        <w:t>Conclusion</w:t>
      </w:r>
    </w:p>
    <w:p w14:paraId="01C95AF9" w14:textId="77777777" w:rsidR="0035737F" w:rsidRDefault="0035737F">
      <w:pPr>
        <w:spacing w:before="120" w:after="120"/>
      </w:pPr>
    </w:p>
    <w:p w14:paraId="24B3C2F9" w14:textId="77777777" w:rsidR="0035737F" w:rsidRPr="008953A9" w:rsidRDefault="00000000" w:rsidP="008953A9">
      <w:pPr>
        <w:spacing w:before="120" w:after="120" w:line="360" w:lineRule="auto"/>
        <w:rPr>
          <w:rFonts w:ascii="Arial" w:hAnsi="Arial" w:cs="Arial"/>
          <w:sz w:val="22"/>
          <w:szCs w:val="22"/>
        </w:rPr>
      </w:pPr>
      <w:r w:rsidRPr="008953A9">
        <w:rPr>
          <w:rFonts w:ascii="Arial" w:hAnsi="Arial" w:cs="Arial"/>
          <w:sz w:val="22"/>
          <w:szCs w:val="22"/>
        </w:rPr>
        <w:t>In conclusion, type 2 diabetes is a long-term metabolic condition characterised by insulin production and tolerance, bringing about persistent hyperglycaemia. This report has highlighted that normal blood glucose regulation relies on the pancreas releasing insulin and glucagon to maintain glucose homeostasis. When this regulatory process fails, blood glucose levels remain elevated, increasing the risk of serious complications, including cardiovascular disease, kidney disease, neuropathy, and retinopathy. This report also demonstrates that glucose is fundamental for cellular respiration, where it combines with oxygen to produce ATP, the energy required for normal body function. Poor glucose uptake in type 2 diabetes can therefore impact energy supply and overall well-being.</w:t>
      </w:r>
    </w:p>
    <w:p w14:paraId="1F4B8CFF" w14:textId="77777777" w:rsidR="0035737F" w:rsidRPr="008953A9" w:rsidRDefault="00000000" w:rsidP="008953A9">
      <w:pPr>
        <w:spacing w:before="120" w:after="120" w:line="360" w:lineRule="auto"/>
        <w:rPr>
          <w:rFonts w:ascii="Arial" w:hAnsi="Arial" w:cs="Arial"/>
          <w:sz w:val="22"/>
          <w:szCs w:val="22"/>
        </w:rPr>
      </w:pPr>
      <w:r w:rsidRPr="008953A9">
        <w:rPr>
          <w:rFonts w:ascii="Arial" w:hAnsi="Arial" w:cs="Arial"/>
          <w:sz w:val="22"/>
          <w:szCs w:val="22"/>
        </w:rPr>
        <w:t>A crucial finding is that monitoring and recording health data, particularly blood glucose levels and HbA1c results, plays a vital role in diabetes management. Tracking this information supports early detection of poor glycaemic control, encourages patient engagement, and assists healthcare professionals while making informed treatment decisions. In addition, evidence-based lifestyle changes such as weight reduction, improved diet, elevated physical activity and stopping smoking have been shown to boost insulin sensitivity and lower the risk of long-term complications.</w:t>
      </w:r>
    </w:p>
    <w:p w14:paraId="306CE881" w14:textId="77777777" w:rsidR="0035737F" w:rsidRPr="008953A9" w:rsidRDefault="00000000" w:rsidP="008953A9">
      <w:pPr>
        <w:spacing w:before="120" w:after="120" w:line="360" w:lineRule="auto"/>
        <w:rPr>
          <w:rFonts w:ascii="Arial" w:hAnsi="Arial" w:cs="Arial"/>
          <w:sz w:val="22"/>
          <w:szCs w:val="22"/>
        </w:rPr>
      </w:pPr>
      <w:r w:rsidRPr="008953A9">
        <w:rPr>
          <w:rFonts w:ascii="Arial" w:hAnsi="Arial" w:cs="Arial"/>
          <w:sz w:val="22"/>
          <w:szCs w:val="22"/>
        </w:rPr>
        <w:t>Overall, understanding type 2 diabetes is important for effective self-management. Health professionals, particularly practice nurses, play a vital role in supporting patients through education, monitoring, and ongoing encouragement. By sharing clear explanations, promoting realistic lifestyle goals, and empowering patients to take responsibility for their health, health workers can improve patient confidence, enhance adherence to treatment plans, and ultimately support better long-term outcomes.</w:t>
      </w:r>
    </w:p>
    <w:p w14:paraId="5D207CD8" w14:textId="77777777" w:rsidR="0035737F" w:rsidRDefault="0035737F">
      <w:pPr>
        <w:spacing w:before="120" w:after="120"/>
      </w:pPr>
    </w:p>
    <w:p w14:paraId="42625E75" w14:textId="77777777" w:rsidR="0035737F" w:rsidRDefault="0035737F">
      <w:pPr>
        <w:spacing w:before="120" w:after="120"/>
      </w:pPr>
    </w:p>
    <w:p w14:paraId="52CE8F3C" w14:textId="77777777" w:rsidR="0035737F" w:rsidRDefault="0035737F">
      <w:pPr>
        <w:spacing w:before="120" w:after="120"/>
      </w:pPr>
    </w:p>
    <w:p w14:paraId="5959DDBE" w14:textId="77777777" w:rsidR="0035737F" w:rsidRDefault="0035737F">
      <w:pPr>
        <w:spacing w:before="120" w:after="120"/>
      </w:pPr>
    </w:p>
    <w:p w14:paraId="679C9FE8" w14:textId="77777777" w:rsidR="0035737F" w:rsidRDefault="0035737F">
      <w:pPr>
        <w:spacing w:before="120" w:after="120"/>
      </w:pPr>
    </w:p>
    <w:p w14:paraId="7EAF77F8" w14:textId="77777777" w:rsidR="0035737F" w:rsidRDefault="0035737F">
      <w:pPr>
        <w:spacing w:before="120" w:after="120"/>
      </w:pPr>
    </w:p>
    <w:p w14:paraId="2C9A6C7E" w14:textId="77777777" w:rsidR="0035737F" w:rsidRDefault="0035737F">
      <w:pPr>
        <w:spacing w:before="120" w:after="120"/>
      </w:pPr>
    </w:p>
    <w:p w14:paraId="3B40D9F1" w14:textId="77777777" w:rsidR="0035737F" w:rsidRPr="00B260AE" w:rsidRDefault="00000000">
      <w:pPr>
        <w:pStyle w:val="Heading2"/>
        <w:keepNext w:val="0"/>
        <w:keepLines w:val="0"/>
        <w:spacing w:before="360" w:after="180"/>
        <w:rPr>
          <w:u w:val="single"/>
        </w:rPr>
      </w:pPr>
      <w:r w:rsidRPr="00B260AE">
        <w:rPr>
          <w:color w:val="0F58BD"/>
          <w:u w:val="single"/>
        </w:rPr>
        <w:lastRenderedPageBreak/>
        <w:t>References</w:t>
      </w:r>
    </w:p>
    <w:p w14:paraId="41F5C6EC" w14:textId="77777777" w:rsidR="0035737F" w:rsidRDefault="00000000">
      <w:pPr>
        <w:spacing w:before="120" w:after="120"/>
      </w:pPr>
      <w:r>
        <w:t xml:space="preserve">* World Health Organization. “Diabetes.” </w:t>
      </w:r>
      <w:r>
        <w:rPr>
          <w:i/>
          <w:iCs/>
        </w:rPr>
        <w:t xml:space="preserve">World Health Organisation, </w:t>
      </w:r>
      <w:r>
        <w:t>14 Nov.2024, www.who.int/ncws-room/fact-sheets/detail/diabetes. Accessed 17 Feb. 2026.</w:t>
      </w:r>
    </w:p>
    <w:p w14:paraId="0CDD1372" w14:textId="77777777" w:rsidR="0035737F" w:rsidRDefault="00000000">
      <w:pPr>
        <w:spacing w:before="120" w:after="120"/>
      </w:pPr>
      <w:r>
        <w:t xml:space="preserve">*Zheng, Yan., et al. “Global Aetiology and Epidemiology of Type 2 Diabetes Mellitus and Its Complications.” </w:t>
      </w:r>
      <w:r>
        <w:rPr>
          <w:i/>
          <w:iCs/>
        </w:rPr>
        <w:t xml:space="preserve">Nature Reviews Endocrinology, </w:t>
      </w:r>
      <w:r>
        <w:t>vol.14, no. 2,8 Dec.2018, pp. 88-98, www.nature.com/articles/nrendo.2017.151. Accessed 19 Feb. 2026.</w:t>
      </w:r>
    </w:p>
    <w:p w14:paraId="183FA960" w14:textId="77777777" w:rsidR="0035737F" w:rsidRDefault="00000000">
      <w:pPr>
        <w:spacing w:before="120" w:after="120"/>
      </w:pPr>
      <w:r>
        <w:t xml:space="preserve">*Diabetes UK. “How Many People in the UK Have Diabetes?” </w:t>
      </w:r>
      <w:r>
        <w:rPr>
          <w:i/>
          <w:iCs/>
        </w:rPr>
        <w:t>Diabetes UK,</w:t>
      </w:r>
      <w:r>
        <w:t>2023, www.diabetes.org.uk/about-us/about-the-charity/our-strategy/statistics. Accessed 16 Feb. 2026.</w:t>
      </w:r>
    </w:p>
    <w:p w14:paraId="5D517AC0" w14:textId="77777777" w:rsidR="0035737F" w:rsidRDefault="00000000">
      <w:pPr>
        <w:spacing w:before="120" w:after="120"/>
      </w:pPr>
      <w:r>
        <w:t>*Röder, Pia V, et al. “Pancreatic Regulation of Glucose Homeostasis</w:t>
      </w:r>
      <w:r>
        <w:rPr>
          <w:i/>
          <w:iCs/>
        </w:rPr>
        <w:t>.” Experimental &amp; Molecular Medicine</w:t>
      </w:r>
      <w:r>
        <w:t>, vol. 48, no. 3, 11 Mar. 2016, pp. 1–19, www.nature.com/articles/emm20166, https://doi.org/10.1038/emm.2016.6. Accessed 17 Feb. 2026.</w:t>
      </w:r>
    </w:p>
    <w:p w14:paraId="19DEFE68" w14:textId="77777777" w:rsidR="0035737F" w:rsidRDefault="00000000">
      <w:pPr>
        <w:spacing w:before="120" w:after="120"/>
      </w:pPr>
      <w:r>
        <w:t>*DeFronzo, R. A. “From the Triumvirate to the Ominous Octet: A New Paradigm for the Treatment of Type 2 Diabetes Mellitus</w:t>
      </w:r>
      <w:r>
        <w:rPr>
          <w:i/>
          <w:iCs/>
        </w:rPr>
        <w:t>.” Diabetes</w:t>
      </w:r>
      <w:r>
        <w:t>, vol. 58, no. 4, 31 Mar. 2009, pp. 773–795, diabetesjournals.org/diabetes/article/58/4/773/117/From-the-Triumvirate-to-the-Ominous-Octet-A-New, https://doi.org/10.2337/db09-9028. Accessed 17 Feb. 2026.</w:t>
      </w:r>
    </w:p>
    <w:p w14:paraId="1AD2896A" w14:textId="77777777" w:rsidR="0035737F" w:rsidRDefault="00000000">
      <w:pPr>
        <w:spacing w:before="120" w:after="120"/>
      </w:pPr>
      <w:r>
        <w:t xml:space="preserve">*Martínez-Reyes, Inmaculada, and Navdeep S. Chandel. “Mitochondrial TCA Cycle Metabolites Control Physiology and Disease.” </w:t>
      </w:r>
      <w:r>
        <w:rPr>
          <w:i/>
          <w:iCs/>
        </w:rPr>
        <w:t>Nature Communications</w:t>
      </w:r>
      <w:r>
        <w:t>, vol. 11, no. 1, 3 Jan. 2020, pp. 1–11. Accessed 19 Feb. 2026.</w:t>
      </w:r>
    </w:p>
    <w:p w14:paraId="19EE72BD" w14:textId="77777777" w:rsidR="0035737F" w:rsidRDefault="00000000">
      <w:pPr>
        <w:spacing w:before="120" w:after="120"/>
      </w:pPr>
      <w:r>
        <w:t xml:space="preserve">*Biro, George P. “Oxygen and ATP: The Energy Economy of the Cell.” </w:t>
      </w:r>
      <w:r>
        <w:rPr>
          <w:i/>
          <w:iCs/>
        </w:rPr>
        <w:t>Blood Substitutes and Oxygen Biotherapeutics</w:t>
      </w:r>
      <w:r>
        <w:t>, 2022, pp. 21–32, link.springer.com/chapter/10.1007/978-3-030-95975-3_2, https://doi.org/10.1007/978-3-030-95975-3_2. Accessed 19 Feb. 2026.</w:t>
      </w:r>
    </w:p>
    <w:p w14:paraId="6BB47E38" w14:textId="77777777" w:rsidR="0035737F" w:rsidRDefault="00000000">
      <w:pPr>
        <w:spacing w:before="120" w:after="120"/>
      </w:pPr>
      <w:r>
        <w:t xml:space="preserve">*Kim, Lauren. “Why Does the Pancreas Stop Producing Insulin? - Advance Study.” </w:t>
      </w:r>
      <w:r>
        <w:rPr>
          <w:i/>
          <w:iCs/>
        </w:rPr>
        <w:t>Advance Study</w:t>
      </w:r>
      <w:r>
        <w:t>, 16 Dec. 2024, advancestudy.org/why-does-the-pancreas-stop-producing-insulin/. Accessed 19 Feb. 2026.</w:t>
      </w:r>
    </w:p>
    <w:p w14:paraId="065B2814" w14:textId="77777777" w:rsidR="0035737F" w:rsidRDefault="00000000">
      <w:pPr>
        <w:spacing w:before="120" w:after="120"/>
      </w:pPr>
      <w:r>
        <w:t xml:space="preserve">*CDC. “About Prediabetes and Type 2 Diabetes.” </w:t>
      </w:r>
      <w:r>
        <w:rPr>
          <w:i/>
          <w:iCs/>
        </w:rPr>
        <w:t>National Diabetes Prevention Program</w:t>
      </w:r>
      <w:r>
        <w:t>, 2024, www.cdc.gov/diabetes-prevention/about-prediabetes-type-2/.</w:t>
      </w:r>
    </w:p>
    <w:p w14:paraId="721D32F2" w14:textId="77777777" w:rsidR="0035737F" w:rsidRDefault="00000000">
      <w:pPr>
        <w:spacing w:before="120" w:after="120"/>
      </w:pPr>
      <w:r>
        <w:t xml:space="preserve">*Hu, Frank B., et al. “Diet, Lifestyle, and the Risk of Type 2 Diabetes Mellitus in Women.” </w:t>
      </w:r>
      <w:r>
        <w:rPr>
          <w:i/>
          <w:iCs/>
        </w:rPr>
        <w:t>New England Journal of Medicine</w:t>
      </w:r>
      <w:r>
        <w:t>, vol. 345, no. 11, 13 Sept. 2001, pp. 790–797, https://doi.org/10.1056/nejmoa010492. Accessed 19 Feb. 2026.</w:t>
      </w:r>
    </w:p>
    <w:p w14:paraId="65386A25" w14:textId="77777777" w:rsidR="0035737F" w:rsidRDefault="00000000">
      <w:pPr>
        <w:spacing w:before="120" w:after="120"/>
      </w:pPr>
      <w:r>
        <w:t xml:space="preserve">*Pan, Yikang, et al. “Effect of Nine Different Exercise Interventions on Insulin Sensitivity in Diabetic Patients: A Systematic Review and Mesh Meta-Analysis.” </w:t>
      </w:r>
      <w:r>
        <w:rPr>
          <w:i/>
          <w:iCs/>
        </w:rPr>
        <w:t>Frontiers in Endocrinology</w:t>
      </w:r>
      <w:r>
        <w:t>, vol. 16, 28 Aug. 2025, https://doi.org/10.3389/fendo.2025.1409474.</w:t>
      </w:r>
    </w:p>
    <w:p w14:paraId="404CED93" w14:textId="77777777" w:rsidR="0035737F" w:rsidRDefault="00000000">
      <w:pPr>
        <w:spacing w:before="120" w:after="120"/>
      </w:pPr>
      <w:r>
        <w:t xml:space="preserve">*NICE. “Quality Statement 4: Continuous Glucose Monitoring for Adults Who Use Insulin and Need Help Monitoring Their Blood Glucose | Type 2 Diabetes in Adults | Quality Standards | NICE.” </w:t>
      </w:r>
      <w:r>
        <w:rPr>
          <w:i/>
          <w:iCs/>
        </w:rPr>
        <w:t>Www.nice.org.uk</w:t>
      </w:r>
      <w:r>
        <w:t>, 2023, www.nice.org.uk/guidance/qs209/chapter/Quality-statement-4-Continuous-glucose-monitoring-for-adults-who-use-insulin-and-need-help-monitoring-their-blood-glucose. Accessed 19 Feb. 2026.</w:t>
      </w:r>
    </w:p>
    <w:p w14:paraId="6242FBF7" w14:textId="77777777" w:rsidR="0035737F" w:rsidRDefault="00000000">
      <w:pPr>
        <w:spacing w:before="120" w:after="120"/>
      </w:pPr>
      <w:r>
        <w:t xml:space="preserve">*Colberg, Sheri R., et al. “Physical Activity/Exercise and Diabetes: A Position Statement of the American Diabetes Association.” </w:t>
      </w:r>
      <w:r>
        <w:rPr>
          <w:i/>
          <w:iCs/>
        </w:rPr>
        <w:t>Diabetes Care</w:t>
      </w:r>
      <w:r>
        <w:t xml:space="preserve">, vol. 39, no. 11, 2016, pp. 2065–2079, </w:t>
      </w:r>
      <w:r>
        <w:lastRenderedPageBreak/>
        <w:t>diabetesjournals.org/care/article/39/11/2065/37249/Physical-Activity-Exercise-and-Diabetes-A-Position, https://doi.org/10.2337/dc16-1728. Accessed 20 Feb. 2026.</w:t>
      </w:r>
    </w:p>
    <w:p w14:paraId="3EC90B39" w14:textId="77777777" w:rsidR="0035737F" w:rsidRDefault="0035737F">
      <w:pPr>
        <w:spacing w:before="120" w:after="120"/>
      </w:pPr>
    </w:p>
    <w:p w14:paraId="41C0510A" w14:textId="77777777" w:rsidR="0035737F" w:rsidRDefault="0035737F">
      <w:pPr>
        <w:spacing w:before="120" w:after="120"/>
      </w:pPr>
    </w:p>
    <w:p w14:paraId="09F1C37A" w14:textId="77777777" w:rsidR="0035737F" w:rsidRDefault="0035737F">
      <w:pPr>
        <w:spacing w:before="120" w:after="120"/>
      </w:pPr>
    </w:p>
    <w:p w14:paraId="1AE4E6CE" w14:textId="77777777" w:rsidR="0035737F" w:rsidRDefault="0035737F">
      <w:pPr>
        <w:spacing w:before="120" w:after="120"/>
      </w:pPr>
    </w:p>
    <w:p w14:paraId="5A772B40" w14:textId="77777777" w:rsidR="0035737F" w:rsidRDefault="00000000">
      <w:pPr>
        <w:spacing w:before="120" w:after="120"/>
        <w:jc w:val="center"/>
      </w:pPr>
      <w:r>
        <w:t>1</w:t>
      </w:r>
    </w:p>
    <w:p w14:paraId="28C31BDB" w14:textId="77777777" w:rsidR="0035737F" w:rsidRDefault="0035737F">
      <w:pPr>
        <w:spacing w:before="120" w:after="120"/>
      </w:pPr>
    </w:p>
    <w:sectPr w:rsidR="0035737F" w:rsidSect="008953A9">
      <w:pgSz w:w="12240" w:h="15840"/>
      <w:pgMar w:top="1440" w:right="1440" w:bottom="1440" w:left="1440" w:header="720" w:footer="720" w:gutter="0"/>
      <w:pgNumType w:start="0"/>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498AC52E">
      <w:start w:val="1"/>
      <w:numFmt w:val="bullet"/>
      <w:lvlText w:val=""/>
      <w:lvlJc w:val="left"/>
      <w:pPr>
        <w:ind w:left="720" w:hanging="360"/>
      </w:pPr>
      <w:rPr>
        <w:rFonts w:ascii="Symbol" w:hAnsi="Symbol"/>
      </w:rPr>
    </w:lvl>
    <w:lvl w:ilvl="1" w:tplc="14264ABC">
      <w:start w:val="1"/>
      <w:numFmt w:val="bullet"/>
      <w:lvlText w:val="o"/>
      <w:lvlJc w:val="left"/>
      <w:pPr>
        <w:tabs>
          <w:tab w:val="num" w:pos="1440"/>
        </w:tabs>
        <w:ind w:left="1440" w:hanging="360"/>
      </w:pPr>
      <w:rPr>
        <w:rFonts w:ascii="Courier New" w:hAnsi="Courier New"/>
      </w:rPr>
    </w:lvl>
    <w:lvl w:ilvl="2" w:tplc="7E142E36">
      <w:start w:val="1"/>
      <w:numFmt w:val="bullet"/>
      <w:lvlText w:val=""/>
      <w:lvlJc w:val="left"/>
      <w:pPr>
        <w:tabs>
          <w:tab w:val="num" w:pos="2160"/>
        </w:tabs>
        <w:ind w:left="2160" w:hanging="360"/>
      </w:pPr>
      <w:rPr>
        <w:rFonts w:ascii="Wingdings" w:hAnsi="Wingdings"/>
      </w:rPr>
    </w:lvl>
    <w:lvl w:ilvl="3" w:tplc="39165E34">
      <w:start w:val="1"/>
      <w:numFmt w:val="bullet"/>
      <w:lvlText w:val=""/>
      <w:lvlJc w:val="left"/>
      <w:pPr>
        <w:tabs>
          <w:tab w:val="num" w:pos="2880"/>
        </w:tabs>
        <w:ind w:left="2880" w:hanging="360"/>
      </w:pPr>
      <w:rPr>
        <w:rFonts w:ascii="Symbol" w:hAnsi="Symbol"/>
      </w:rPr>
    </w:lvl>
    <w:lvl w:ilvl="4" w:tplc="4A343864">
      <w:start w:val="1"/>
      <w:numFmt w:val="bullet"/>
      <w:lvlText w:val="o"/>
      <w:lvlJc w:val="left"/>
      <w:pPr>
        <w:tabs>
          <w:tab w:val="num" w:pos="3600"/>
        </w:tabs>
        <w:ind w:left="3600" w:hanging="360"/>
      </w:pPr>
      <w:rPr>
        <w:rFonts w:ascii="Courier New" w:hAnsi="Courier New"/>
      </w:rPr>
    </w:lvl>
    <w:lvl w:ilvl="5" w:tplc="A7A4E5E6">
      <w:start w:val="1"/>
      <w:numFmt w:val="bullet"/>
      <w:lvlText w:val=""/>
      <w:lvlJc w:val="left"/>
      <w:pPr>
        <w:tabs>
          <w:tab w:val="num" w:pos="4320"/>
        </w:tabs>
        <w:ind w:left="4320" w:hanging="360"/>
      </w:pPr>
      <w:rPr>
        <w:rFonts w:ascii="Wingdings" w:hAnsi="Wingdings"/>
      </w:rPr>
    </w:lvl>
    <w:lvl w:ilvl="6" w:tplc="30B28DB2">
      <w:start w:val="1"/>
      <w:numFmt w:val="bullet"/>
      <w:lvlText w:val=""/>
      <w:lvlJc w:val="left"/>
      <w:pPr>
        <w:tabs>
          <w:tab w:val="num" w:pos="5040"/>
        </w:tabs>
        <w:ind w:left="5040" w:hanging="360"/>
      </w:pPr>
      <w:rPr>
        <w:rFonts w:ascii="Symbol" w:hAnsi="Symbol"/>
      </w:rPr>
    </w:lvl>
    <w:lvl w:ilvl="7" w:tplc="5DCA79CA">
      <w:start w:val="1"/>
      <w:numFmt w:val="bullet"/>
      <w:lvlText w:val="o"/>
      <w:lvlJc w:val="left"/>
      <w:pPr>
        <w:tabs>
          <w:tab w:val="num" w:pos="5760"/>
        </w:tabs>
        <w:ind w:left="5760" w:hanging="360"/>
      </w:pPr>
      <w:rPr>
        <w:rFonts w:ascii="Courier New" w:hAnsi="Courier New"/>
      </w:rPr>
    </w:lvl>
    <w:lvl w:ilvl="8" w:tplc="DC0E994E">
      <w:start w:val="1"/>
      <w:numFmt w:val="bullet"/>
      <w:lvlText w:val=""/>
      <w:lvlJc w:val="left"/>
      <w:pPr>
        <w:tabs>
          <w:tab w:val="num" w:pos="6480"/>
        </w:tabs>
        <w:ind w:left="6480" w:hanging="360"/>
      </w:pPr>
      <w:rPr>
        <w:rFonts w:ascii="Wingdings" w:hAnsi="Wingdings"/>
      </w:rPr>
    </w:lvl>
  </w:abstractNum>
  <w:abstractNum w:abstractNumId="1" w15:restartNumberingAfterBreak="0">
    <w:nsid w:val="203B3937"/>
    <w:multiLevelType w:val="hybridMultilevel"/>
    <w:tmpl w:val="9A1CA0D2"/>
    <w:lvl w:ilvl="0" w:tplc="69DA4C82">
      <w:start w:val="1"/>
      <w:numFmt w:val="decimal"/>
      <w:lvlText w:val="%1)"/>
      <w:lvlJc w:val="left"/>
      <w:pPr>
        <w:ind w:left="720" w:hanging="360"/>
      </w:pPr>
      <w:rPr>
        <w:rFonts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B177B8"/>
    <w:multiLevelType w:val="hybridMultilevel"/>
    <w:tmpl w:val="EDE4EA50"/>
    <w:lvl w:ilvl="0" w:tplc="8C5A01C2">
      <w:start w:val="1"/>
      <w:numFmt w:val="decimal"/>
      <w:lvlText w:val="%1)"/>
      <w:lvlJc w:val="left"/>
      <w:pPr>
        <w:ind w:left="720" w:hanging="360"/>
      </w:pPr>
      <w:rPr>
        <w:rFonts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60112596">
    <w:abstractNumId w:val="0"/>
  </w:num>
  <w:num w:numId="2" w16cid:durableId="69010620">
    <w:abstractNumId w:val="2"/>
  </w:num>
  <w:num w:numId="3" w16cid:durableId="5727846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737F"/>
    <w:rsid w:val="00146E32"/>
    <w:rsid w:val="0035737F"/>
    <w:rsid w:val="008953A9"/>
    <w:rsid w:val="00B260AE"/>
    <w:rsid w:val="00BF60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1C77C"/>
  <w15:docId w15:val="{8FFA8570-8748-4829-88F0-491CE58C1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NoSpacing">
    <w:name w:val="No Spacing"/>
    <w:link w:val="NoSpacingChar"/>
    <w:uiPriority w:val="1"/>
    <w:qFormat/>
    <w:rsid w:val="008953A9"/>
    <w:rPr>
      <w:rFonts w:asciiTheme="minorHAnsi" w:eastAsiaTheme="minorEastAsia" w:hAnsiTheme="minorHAnsi" w:cstheme="minorBidi"/>
      <w:sz w:val="22"/>
      <w:szCs w:val="22"/>
      <w:lang w:val="en-GB" w:eastAsia="en-GB"/>
    </w:rPr>
  </w:style>
  <w:style w:type="character" w:customStyle="1" w:styleId="NoSpacingChar">
    <w:name w:val="No Spacing Char"/>
    <w:basedOn w:val="DefaultParagraphFont"/>
    <w:link w:val="NoSpacing"/>
    <w:uiPriority w:val="1"/>
    <w:rsid w:val="008953A9"/>
    <w:rPr>
      <w:rFonts w:asciiTheme="minorHAnsi" w:eastAsiaTheme="minorEastAsia" w:hAnsiTheme="minorHAnsi" w:cstheme="minorBidi"/>
      <w:sz w:val="22"/>
      <w:szCs w:val="22"/>
      <w:lang w:val="en-GB" w:eastAsia="en-GB"/>
    </w:rPr>
  </w:style>
  <w:style w:type="paragraph" w:styleId="ListParagraph">
    <w:name w:val="List Paragraph"/>
    <w:basedOn w:val="Normal"/>
    <w:uiPriority w:val="34"/>
    <w:qFormat/>
    <w:rsid w:val="00B260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2427956</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2451</Words>
  <Characters>13977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INTRODUCTION%20TO%20PHYSIOLOGY</vt:lpstr>
    </vt:vector>
  </TitlesOfParts>
  <Company/>
  <LinksUpToDate>false</LinksUpToDate>
  <CharactersWithSpaces>16396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pHysiology</dc:title>
  <dc:subject>BMHP5023 – Case study report</dc:subject>
  <dc:creator>Gemma Garner</dc:creator>
  <cp:lastModifiedBy>Ava-Pearl Machin</cp:lastModifiedBy>
  <cp:revision>3</cp:revision>
  <dcterms:created xsi:type="dcterms:W3CDTF">2026-02-23T13:08:00Z</dcterms:created>
  <dcterms:modified xsi:type="dcterms:W3CDTF">2026-02-23T13:08:00Z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1893536227</vt:i4>
  </property>
  <property fmtid="{D5CDD505-2E9C-101B-9397-08002B2CF9AE}" pid="3" name="GrammarlyDocumentId">
    <vt:lpwstr>9cd338f8-1fd6-43c8-8823-73a045c565b2</vt:lpwstr>
  </property>
</Properties>
</file>