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00"/>
        <w:ind w:firstLine="720"/>
        <w:jc w:val="center"/>
        <w:rPr>
          <w:rFonts w:cs="Arial"/>
          <w:b/>
          <w:sz w:val="22"/>
          <w:szCs w:val="22"/>
        </w:rPr>
      </w:pPr>
      <w:r>
        <w:rPr>
          <w:rFonts w:cs="Arial"/>
          <w:b/>
          <w:sz w:val="22"/>
          <w:szCs w:val="22"/>
        </w:rPr>
        <w:t>ECDE7020 Research Proposal</w:t>
      </w:r>
    </w:p>
    <w:p>
      <w:pPr>
        <w:rPr>
          <w:rFonts w:cs="Arial"/>
          <w:b/>
          <w:sz w:val="22"/>
          <w:szCs w:val="22"/>
        </w:rPr>
      </w:pPr>
    </w:p>
    <w:p>
      <w:pPr>
        <w:spacing w:before="240"/>
        <w:rPr>
          <w:rFonts w:cs="Arial"/>
          <w:b/>
          <w:sz w:val="22"/>
          <w:szCs w:val="22"/>
        </w:rPr>
      </w:pPr>
      <w:r>
        <w:rPr>
          <w:rFonts w:cs="Arial"/>
          <w:b/>
          <w:sz w:val="22"/>
          <w:szCs w:val="22"/>
        </w:rPr>
        <w:t xml:space="preserve">Student Details </w:t>
      </w:r>
    </w:p>
    <w:p>
      <w:pPr>
        <w:spacing w:before="240"/>
        <w:rPr>
          <w:rFonts w:cs="Arial"/>
          <w:b/>
          <w:sz w:val="22"/>
          <w:szCs w:val="22"/>
        </w:rPr>
      </w:pP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30"/>
        <w:gridCol w:w="2381"/>
        <w:gridCol w:w="2155"/>
        <w:gridCol w:w="3515"/>
      </w:tblGrid>
      <w:tr>
        <w:tc>
          <w:tcPr>
            <w:tcW w:w="4111" w:type="dxa"/>
            <w:gridSpan w:val="2"/>
            <w:shd w:val="clear" w:color="auto" w:fill="F1F1F1" w:themeFill="background1" w:themeFillShade="F2"/>
          </w:tcPr>
          <w:p>
            <w:pPr>
              <w:tabs>
                <w:tab w:val="center" w:pos="2202"/>
              </w:tabs>
              <w:rPr>
                <w:rFonts w:cs="Arial"/>
                <w:sz w:val="22"/>
                <w:szCs w:val="22"/>
              </w:rPr>
            </w:pPr>
            <w:r>
              <w:rPr>
                <w:rFonts w:cs="Arial"/>
                <w:b/>
                <w:bCs/>
                <w:sz w:val="22"/>
                <w:szCs w:val="22"/>
              </w:rPr>
              <w:t>Student Family / Surname</w:t>
            </w:r>
            <w:r>
              <w:rPr>
                <w:rFonts w:cs="Arial"/>
                <w:sz w:val="22"/>
                <w:szCs w:val="22"/>
              </w:rPr>
              <w:t>:</w:t>
            </w:r>
          </w:p>
          <w:p>
            <w:pPr>
              <w:rPr>
                <w:rFonts w:cs="Arial"/>
                <w:sz w:val="22"/>
                <w:szCs w:val="22"/>
              </w:rPr>
            </w:pPr>
          </w:p>
        </w:tc>
        <w:tc>
          <w:tcPr>
            <w:tcW w:w="5670" w:type="dxa"/>
            <w:gridSpan w:val="2"/>
            <w:shd w:val="clear" w:color="auto" w:fill="auto"/>
          </w:tcPr>
          <w:p>
            <w:pPr>
              <w:rPr>
                <w:rFonts w:hint="default" w:cs="Arial"/>
                <w:sz w:val="22"/>
                <w:szCs w:val="22"/>
                <w:lang w:val="en-US"/>
              </w:rPr>
            </w:pPr>
            <w:r>
              <w:rPr>
                <w:rFonts w:hint="default" w:cs="Arial"/>
                <w:sz w:val="22"/>
                <w:szCs w:val="22"/>
                <w:lang w:val="en-US"/>
              </w:rPr>
              <w:t>Xin</w:t>
            </w:r>
          </w:p>
        </w:tc>
      </w:tr>
      <w:tr>
        <w:tc>
          <w:tcPr>
            <w:tcW w:w="4111" w:type="dxa"/>
            <w:gridSpan w:val="2"/>
            <w:shd w:val="clear" w:color="auto" w:fill="F1F1F1" w:themeFill="background1" w:themeFillShade="F2"/>
          </w:tcPr>
          <w:p>
            <w:pPr>
              <w:rPr>
                <w:rFonts w:cs="Arial"/>
                <w:sz w:val="22"/>
                <w:szCs w:val="22"/>
              </w:rPr>
            </w:pPr>
            <w:r>
              <w:rPr>
                <w:rFonts w:cs="Arial"/>
                <w:b/>
                <w:bCs/>
                <w:sz w:val="22"/>
                <w:szCs w:val="22"/>
              </w:rPr>
              <w:t>Student Given / First name</w:t>
            </w:r>
            <w:r>
              <w:rPr>
                <w:rFonts w:cs="Arial"/>
                <w:sz w:val="22"/>
                <w:szCs w:val="22"/>
              </w:rPr>
              <w:t>:</w:t>
            </w:r>
          </w:p>
          <w:p>
            <w:pPr>
              <w:rPr>
                <w:rFonts w:cs="Arial"/>
                <w:sz w:val="22"/>
                <w:szCs w:val="22"/>
              </w:rPr>
            </w:pPr>
          </w:p>
        </w:tc>
        <w:tc>
          <w:tcPr>
            <w:tcW w:w="5670" w:type="dxa"/>
            <w:gridSpan w:val="2"/>
            <w:shd w:val="clear" w:color="auto" w:fill="auto"/>
          </w:tcPr>
          <w:p>
            <w:pPr>
              <w:rPr>
                <w:rFonts w:hint="default" w:cs="Arial"/>
                <w:sz w:val="22"/>
                <w:szCs w:val="22"/>
                <w:lang w:val="en-US"/>
              </w:rPr>
            </w:pPr>
            <w:r>
              <w:rPr>
                <w:rFonts w:hint="default" w:cs="Arial"/>
                <w:sz w:val="22"/>
                <w:szCs w:val="22"/>
                <w:lang w:val="en-US"/>
              </w:rPr>
              <w:t>Jing</w:t>
            </w:r>
          </w:p>
        </w:tc>
      </w:tr>
      <w:tr>
        <w:tc>
          <w:tcPr>
            <w:tcW w:w="4111" w:type="dxa"/>
            <w:gridSpan w:val="2"/>
            <w:shd w:val="clear" w:color="auto" w:fill="F1F1F1" w:themeFill="background1" w:themeFillShade="F2"/>
          </w:tcPr>
          <w:p>
            <w:pPr>
              <w:rPr>
                <w:rFonts w:cs="Arial"/>
                <w:b/>
                <w:bCs/>
                <w:sz w:val="22"/>
                <w:szCs w:val="22"/>
              </w:rPr>
            </w:pPr>
            <w:r>
              <w:rPr>
                <w:rFonts w:cs="Arial"/>
                <w:b/>
                <w:bCs/>
                <w:sz w:val="22"/>
                <w:szCs w:val="22"/>
              </w:rPr>
              <w:t>Student Number</w:t>
            </w:r>
          </w:p>
          <w:p>
            <w:pPr>
              <w:tabs>
                <w:tab w:val="center" w:pos="2202"/>
              </w:tabs>
              <w:rPr>
                <w:rFonts w:cs="Arial"/>
                <w:sz w:val="22"/>
                <w:szCs w:val="22"/>
              </w:rPr>
            </w:pPr>
          </w:p>
        </w:tc>
        <w:tc>
          <w:tcPr>
            <w:tcW w:w="5670" w:type="dxa"/>
            <w:gridSpan w:val="2"/>
            <w:shd w:val="clear" w:color="auto" w:fill="auto"/>
          </w:tcPr>
          <w:p>
            <w:pPr>
              <w:rPr>
                <w:rFonts w:hint="default" w:cs="Arial"/>
                <w:sz w:val="22"/>
                <w:szCs w:val="22"/>
                <w:lang w:val="en-US"/>
              </w:rPr>
            </w:pPr>
            <w:r>
              <w:rPr>
                <w:rFonts w:hint="default" w:cs="Arial"/>
                <w:sz w:val="22"/>
                <w:szCs w:val="22"/>
                <w:lang w:val="en-US"/>
              </w:rPr>
              <w:t>2406841</w:t>
            </w:r>
          </w:p>
        </w:tc>
      </w:tr>
      <w:tr>
        <w:tc>
          <w:tcPr>
            <w:tcW w:w="1730" w:type="dxa"/>
            <w:shd w:val="clear" w:color="auto" w:fill="F1F1F1" w:themeFill="background1" w:themeFillShade="F2"/>
          </w:tcPr>
          <w:p>
            <w:pPr>
              <w:rPr>
                <w:rFonts w:cs="Arial"/>
                <w:b/>
                <w:bCs/>
                <w:sz w:val="22"/>
                <w:szCs w:val="22"/>
              </w:rPr>
            </w:pPr>
            <w:r>
              <w:rPr>
                <w:rFonts w:cs="Arial"/>
                <w:b/>
                <w:bCs/>
                <w:sz w:val="22"/>
                <w:szCs w:val="22"/>
              </w:rPr>
              <w:t>Start Date</w:t>
            </w:r>
          </w:p>
        </w:tc>
        <w:tc>
          <w:tcPr>
            <w:tcW w:w="2381" w:type="dxa"/>
            <w:shd w:val="clear" w:color="auto" w:fill="FFFFFF" w:themeFill="background1"/>
          </w:tcPr>
          <w:p>
            <w:pPr>
              <w:rPr>
                <w:rFonts w:hint="default" w:cs="Arial"/>
                <w:sz w:val="22"/>
                <w:szCs w:val="22"/>
                <w:lang w:val="en-US"/>
              </w:rPr>
            </w:pPr>
            <w:r>
              <w:rPr>
                <w:rFonts w:hint="default" w:cs="Arial"/>
                <w:sz w:val="22"/>
                <w:szCs w:val="22"/>
                <w:lang w:val="en-US"/>
              </w:rPr>
              <w:t>30/01/2025</w:t>
            </w:r>
          </w:p>
        </w:tc>
        <w:tc>
          <w:tcPr>
            <w:tcW w:w="2155" w:type="dxa"/>
            <w:shd w:val="clear" w:color="auto" w:fill="F1F1F1" w:themeFill="background1" w:themeFillShade="F2"/>
          </w:tcPr>
          <w:p>
            <w:pPr>
              <w:rPr>
                <w:rFonts w:cs="Arial"/>
                <w:b/>
                <w:bCs/>
                <w:sz w:val="22"/>
                <w:szCs w:val="22"/>
              </w:rPr>
            </w:pPr>
            <w:r>
              <w:rPr>
                <w:rFonts w:cs="Arial"/>
                <w:b/>
                <w:bCs/>
                <w:sz w:val="22"/>
                <w:szCs w:val="22"/>
              </w:rPr>
              <w:t>End Date</w:t>
            </w:r>
          </w:p>
        </w:tc>
        <w:tc>
          <w:tcPr>
            <w:tcW w:w="3515" w:type="dxa"/>
            <w:shd w:val="clear" w:color="auto" w:fill="auto"/>
          </w:tcPr>
          <w:p>
            <w:pPr>
              <w:rPr>
                <w:rFonts w:hint="default" w:cs="Arial"/>
                <w:sz w:val="22"/>
                <w:szCs w:val="22"/>
                <w:lang w:val="en-US"/>
              </w:rPr>
            </w:pPr>
            <w:r>
              <w:rPr>
                <w:rFonts w:hint="default" w:cs="Arial"/>
                <w:sz w:val="22"/>
                <w:szCs w:val="22"/>
                <w:lang w:val="en-US"/>
              </w:rPr>
              <w:t>30/09/2025</w:t>
            </w:r>
          </w:p>
        </w:tc>
      </w:tr>
    </w:tbl>
    <w:p/>
    <w:tbl>
      <w:tblPr>
        <w:tblStyle w:val="14"/>
        <w:tblW w:w="974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23"/>
        <w:gridCol w:w="1660"/>
        <w:gridCol w:w="1648"/>
        <w:gridCol w:w="1662"/>
        <w:gridCol w:w="1629"/>
        <w:gridCol w:w="1525"/>
      </w:tblGrid>
      <w:tr>
        <w:tc>
          <w:tcPr>
            <w:tcW w:w="1623" w:type="dxa"/>
            <w:shd w:val="clear" w:color="auto" w:fill="F1F1F1" w:themeFill="background1" w:themeFillShade="F2"/>
          </w:tcPr>
          <w:p>
            <w:pPr>
              <w:rPr>
                <w:rFonts w:cs="Arial"/>
                <w:sz w:val="22"/>
                <w:szCs w:val="22"/>
              </w:rPr>
            </w:pPr>
            <w:r>
              <w:rPr>
                <w:rFonts w:cs="Arial"/>
                <w:sz w:val="22"/>
                <w:szCs w:val="22"/>
              </w:rPr>
              <w:t>PhD</w:t>
            </w:r>
          </w:p>
          <w:p>
            <w:pPr>
              <w:rPr>
                <w:rFonts w:cs="Arial"/>
                <w:sz w:val="22"/>
                <w:szCs w:val="22"/>
              </w:rPr>
            </w:pPr>
            <w:r>
              <w:rPr>
                <w:rFonts w:cs="Arial"/>
                <w:sz w:val="22"/>
                <w:szCs w:val="22"/>
              </w:rPr>
              <w:t>by Research</w:t>
            </w:r>
          </w:p>
        </w:tc>
        <w:tc>
          <w:tcPr>
            <w:tcW w:w="1660" w:type="dxa"/>
            <w:shd w:val="clear" w:color="auto" w:fill="F1F1F1" w:themeFill="background1" w:themeFillShade="F2"/>
          </w:tcPr>
          <w:p>
            <w:pPr>
              <w:rPr>
                <w:rFonts w:cs="Arial"/>
                <w:sz w:val="22"/>
                <w:szCs w:val="22"/>
              </w:rPr>
            </w:pPr>
            <w:r>
              <w:rPr>
                <w:rFonts w:cs="Arial"/>
                <w:sz w:val="22"/>
                <w:szCs w:val="22"/>
              </w:rPr>
              <w:t xml:space="preserve">PhD </w:t>
            </w:r>
          </w:p>
          <w:p>
            <w:pPr>
              <w:rPr>
                <w:rFonts w:cs="Arial"/>
                <w:sz w:val="22"/>
                <w:szCs w:val="22"/>
              </w:rPr>
            </w:pPr>
            <w:r>
              <w:rPr>
                <w:rFonts w:cs="Arial"/>
                <w:sz w:val="22"/>
                <w:szCs w:val="22"/>
              </w:rPr>
              <w:t>Practice Based</w:t>
            </w:r>
          </w:p>
        </w:tc>
        <w:tc>
          <w:tcPr>
            <w:tcW w:w="1648" w:type="dxa"/>
            <w:shd w:val="clear" w:color="auto" w:fill="F1F1F1" w:themeFill="background1" w:themeFillShade="F2"/>
          </w:tcPr>
          <w:p>
            <w:pPr>
              <w:rPr>
                <w:rFonts w:cs="Arial"/>
                <w:sz w:val="22"/>
                <w:szCs w:val="22"/>
              </w:rPr>
            </w:pPr>
            <w:r>
              <w:rPr>
                <w:rFonts w:cs="Arial"/>
                <w:sz w:val="22"/>
                <w:szCs w:val="22"/>
              </w:rPr>
              <w:t xml:space="preserve">PhD by </w:t>
            </w:r>
          </w:p>
          <w:p>
            <w:pPr>
              <w:rPr>
                <w:rFonts w:cs="Arial"/>
                <w:sz w:val="22"/>
                <w:szCs w:val="22"/>
              </w:rPr>
            </w:pPr>
            <w:r>
              <w:rPr>
                <w:rFonts w:cs="Arial"/>
                <w:sz w:val="22"/>
                <w:szCs w:val="22"/>
              </w:rPr>
              <w:t>Published Works</w:t>
            </w:r>
          </w:p>
        </w:tc>
        <w:tc>
          <w:tcPr>
            <w:tcW w:w="1662" w:type="dxa"/>
            <w:shd w:val="clear" w:color="auto" w:fill="F1F1F1" w:themeFill="background1" w:themeFillShade="F2"/>
          </w:tcPr>
          <w:p>
            <w:pPr>
              <w:rPr>
                <w:rFonts w:cs="Arial"/>
                <w:sz w:val="22"/>
                <w:szCs w:val="22"/>
              </w:rPr>
            </w:pPr>
            <w:r>
              <w:rPr>
                <w:rFonts w:cs="Arial"/>
                <w:sz w:val="22"/>
                <w:szCs w:val="22"/>
              </w:rPr>
              <w:t>Professional Doctorate</w:t>
            </w:r>
          </w:p>
          <w:p>
            <w:pPr>
              <w:rPr>
                <w:rFonts w:cs="Arial"/>
                <w:sz w:val="22"/>
                <w:szCs w:val="22"/>
              </w:rPr>
            </w:pPr>
            <w:r>
              <w:rPr>
                <w:rFonts w:cs="Arial"/>
                <w:szCs w:val="22"/>
              </w:rPr>
              <w:t>(including DBA, DProf, Ed D)</w:t>
            </w:r>
          </w:p>
        </w:tc>
        <w:tc>
          <w:tcPr>
            <w:tcW w:w="1629" w:type="dxa"/>
            <w:shd w:val="clear" w:color="auto" w:fill="F1F1F1" w:themeFill="background1" w:themeFillShade="F2"/>
          </w:tcPr>
          <w:p>
            <w:pPr>
              <w:rPr>
                <w:rFonts w:cs="Arial"/>
                <w:sz w:val="22"/>
                <w:szCs w:val="22"/>
              </w:rPr>
            </w:pPr>
            <w:r>
              <w:rPr>
                <w:rFonts w:cs="Arial"/>
                <w:sz w:val="22"/>
                <w:szCs w:val="22"/>
              </w:rPr>
              <w:t>MPhil by Research</w:t>
            </w:r>
          </w:p>
          <w:p>
            <w:pPr>
              <w:rPr>
                <w:rFonts w:cs="Arial"/>
                <w:sz w:val="22"/>
                <w:szCs w:val="22"/>
              </w:rPr>
            </w:pPr>
          </w:p>
        </w:tc>
        <w:tc>
          <w:tcPr>
            <w:tcW w:w="1525" w:type="dxa"/>
            <w:shd w:val="clear" w:color="auto" w:fill="F1F1F1" w:themeFill="background1" w:themeFillShade="F2"/>
          </w:tcPr>
          <w:p>
            <w:pPr>
              <w:rPr>
                <w:rFonts w:cs="Arial"/>
                <w:sz w:val="22"/>
                <w:szCs w:val="22"/>
              </w:rPr>
            </w:pPr>
            <w:r>
              <w:rPr>
                <w:rFonts w:cs="Arial"/>
                <w:sz w:val="22"/>
                <w:szCs w:val="22"/>
              </w:rPr>
              <w:t>MPhil</w:t>
            </w:r>
          </w:p>
          <w:p>
            <w:pPr>
              <w:rPr>
                <w:rFonts w:cs="Arial"/>
                <w:sz w:val="22"/>
                <w:szCs w:val="22"/>
              </w:rPr>
            </w:pPr>
            <w:r>
              <w:rPr>
                <w:rFonts w:cs="Arial"/>
                <w:sz w:val="22"/>
                <w:szCs w:val="22"/>
              </w:rPr>
              <w:t xml:space="preserve">Practice Based </w:t>
            </w:r>
          </w:p>
          <w:p>
            <w:pPr>
              <w:rPr>
                <w:rFonts w:cs="Arial"/>
                <w:sz w:val="22"/>
                <w:szCs w:val="22"/>
              </w:rPr>
            </w:pPr>
          </w:p>
        </w:tc>
      </w:tr>
      <w:tr>
        <w:tc>
          <w:tcPr>
            <w:tcW w:w="1623" w:type="dxa"/>
          </w:tcPr>
          <w:sdt>
            <w:sdtPr>
              <w:rPr>
                <w:rFonts w:cs="Arial"/>
                <w:sz w:val="22"/>
                <w:szCs w:val="22"/>
              </w:rPr>
              <w:id w:val="-1"/>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p>
            <w:pPr>
              <w:jc w:val="center"/>
              <w:rPr>
                <w:rFonts w:cs="Arial"/>
                <w:sz w:val="22"/>
                <w:szCs w:val="22"/>
              </w:rPr>
            </w:pPr>
          </w:p>
        </w:tc>
        <w:sdt>
          <w:sdtPr>
            <w:rPr>
              <w:rFonts w:cs="Arial"/>
              <w:sz w:val="22"/>
              <w:szCs w:val="22"/>
            </w:rPr>
            <w:id w:val="-1"/>
            <w14:checkbox>
              <w14:checked w14:val="0"/>
              <w14:checkedState w14:val="2612" w14:font="MS Gothic"/>
              <w14:uncheckedState w14:val="2610" w14:font="MS Gothic"/>
            </w14:checkbox>
          </w:sdtPr>
          <w:sdtEndPr>
            <w:rPr>
              <w:rFonts w:cs="Arial"/>
              <w:sz w:val="22"/>
              <w:szCs w:val="22"/>
            </w:rPr>
          </w:sdtEndPr>
          <w:sdtContent>
            <w:tc>
              <w:tcPr>
                <w:tcW w:w="1660" w:type="dxa"/>
              </w:tcPr>
              <w:p>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rPr>
              <w:rFonts w:cs="Arial"/>
              <w:sz w:val="22"/>
              <w:szCs w:val="22"/>
            </w:rPr>
          </w:sdtEndPr>
          <w:sdtContent>
            <w:tc>
              <w:tcPr>
                <w:tcW w:w="1648" w:type="dxa"/>
              </w:tcPr>
              <w:p>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tc>
              <w:tcPr>
                <w:tcW w:w="1662" w:type="dxa"/>
              </w:tcPr>
              <w:p>
                <w:pPr>
                  <w:jc w:val="center"/>
                  <w:rPr>
                    <w:rFonts w:cs="Arial"/>
                    <w:sz w:val="22"/>
                    <w:szCs w:val="22"/>
                  </w:rPr>
                </w:pPr>
                <w:r>
                  <w:rPr>
                    <w:rFonts w:hint="eastAsia" w:ascii="MS Gothic" w:hAnsi="MS Gothic" w:eastAsia="MS Gothic" w:cs="Arial"/>
                    <w:sz w:val="22"/>
                    <w:szCs w:val="22"/>
                    <w:lang w:val="en-GB" w:eastAsia="en-GB" w:bidi="ar-SA"/>
                  </w:rPr>
                  <w:t>☒</w:t>
                </w:r>
              </w:p>
            </w:tc>
          </w:sdtContent>
        </w:sdt>
        <w:sdt>
          <w:sdtPr>
            <w:rPr>
              <w:rFonts w:cs="Arial"/>
              <w:sz w:val="22"/>
              <w:szCs w:val="22"/>
            </w:rPr>
            <w:id w:val="239523278"/>
            <w14:checkbox>
              <w14:checked w14:val="0"/>
              <w14:checkedState w14:val="2612" w14:font="MS Gothic"/>
              <w14:uncheckedState w14:val="2610" w14:font="MS Gothic"/>
            </w14:checkbox>
          </w:sdtPr>
          <w:sdtEndPr>
            <w:rPr>
              <w:rFonts w:cs="Arial"/>
              <w:sz w:val="22"/>
              <w:szCs w:val="22"/>
            </w:rPr>
          </w:sdtEndPr>
          <w:sdtContent>
            <w:tc>
              <w:tcPr>
                <w:tcW w:w="1629" w:type="dxa"/>
              </w:tcPr>
              <w:p>
                <w:pPr>
                  <w:jc w:val="center"/>
                  <w:rPr>
                    <w:rFonts w:cs="Arial"/>
                    <w:sz w:val="22"/>
                    <w:szCs w:val="22"/>
                  </w:rPr>
                </w:pPr>
                <w:r>
                  <w:rPr>
                    <w:rFonts w:ascii="MS Gothic" w:hAnsi="MS Gothic" w:eastAsia="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rPr>
              <w:rFonts w:cs="Arial"/>
              <w:sz w:val="22"/>
              <w:szCs w:val="22"/>
            </w:rPr>
          </w:sdtEndPr>
          <w:sdtContent>
            <w:tc>
              <w:tcPr>
                <w:tcW w:w="1525" w:type="dxa"/>
              </w:tcPr>
              <w:p>
                <w:pPr>
                  <w:jc w:val="center"/>
                  <w:rPr>
                    <w:rFonts w:cs="Arial"/>
                    <w:sz w:val="22"/>
                    <w:szCs w:val="22"/>
                  </w:rPr>
                </w:pPr>
                <w:r>
                  <w:rPr>
                    <w:rFonts w:ascii="MS Gothic" w:hAnsi="MS Gothic" w:eastAsia="MS Gothic" w:cs="Arial"/>
                    <w:sz w:val="22"/>
                    <w:szCs w:val="22"/>
                  </w:rPr>
                  <w:t>☐</w:t>
                </w:r>
              </w:p>
            </w:tc>
          </w:sdtContent>
        </w:sdt>
      </w:tr>
      <w:tr>
        <w:tc>
          <w:tcPr>
            <w:tcW w:w="1623" w:type="dxa"/>
            <w:shd w:val="clear" w:color="auto" w:fill="D8D8D8" w:themeFill="background1" w:themeFillShade="D9"/>
          </w:tcPr>
          <w:p>
            <w:pPr>
              <w:jc w:val="center"/>
              <w:rPr>
                <w:rFonts w:cs="Arial"/>
                <w:sz w:val="22"/>
                <w:szCs w:val="22"/>
              </w:rPr>
            </w:pPr>
            <w:r>
              <w:rPr>
                <w:rFonts w:cs="Arial"/>
                <w:sz w:val="22"/>
                <w:szCs w:val="22"/>
              </w:rPr>
              <w:t>MA by Research</w:t>
            </w:r>
          </w:p>
        </w:tc>
        <w:tc>
          <w:tcPr>
            <w:tcW w:w="1660" w:type="dxa"/>
            <w:shd w:val="clear" w:color="auto" w:fill="D8D8D8" w:themeFill="background1" w:themeFillShade="D9"/>
          </w:tcPr>
          <w:p>
            <w:pPr>
              <w:jc w:val="center"/>
              <w:rPr>
                <w:rFonts w:cs="Arial"/>
                <w:sz w:val="22"/>
                <w:szCs w:val="22"/>
              </w:rPr>
            </w:pPr>
            <w:r>
              <w:rPr>
                <w:rFonts w:cs="Arial"/>
                <w:sz w:val="22"/>
                <w:szCs w:val="22"/>
              </w:rPr>
              <w:t>MSc by Research</w:t>
            </w:r>
          </w:p>
        </w:tc>
        <w:tc>
          <w:tcPr>
            <w:tcW w:w="1648" w:type="dxa"/>
            <w:shd w:val="clear" w:color="auto" w:fill="D8D8D8" w:themeFill="background1" w:themeFillShade="D9"/>
          </w:tcPr>
          <w:p>
            <w:pPr>
              <w:jc w:val="center"/>
              <w:rPr>
                <w:rFonts w:cs="Arial"/>
                <w:sz w:val="22"/>
                <w:szCs w:val="22"/>
              </w:rPr>
            </w:pPr>
            <w:r>
              <w:rPr>
                <w:rFonts w:cs="Arial"/>
                <w:sz w:val="22"/>
                <w:szCs w:val="22"/>
              </w:rPr>
              <w:t>MRes</w:t>
            </w:r>
          </w:p>
        </w:tc>
        <w:tc>
          <w:tcPr>
            <w:tcW w:w="1662" w:type="dxa"/>
            <w:shd w:val="clear" w:color="auto" w:fill="D8D8D8" w:themeFill="background1" w:themeFillShade="D9"/>
          </w:tcPr>
          <w:p>
            <w:pPr>
              <w:jc w:val="center"/>
              <w:rPr>
                <w:rFonts w:cs="Arial"/>
                <w:sz w:val="22"/>
                <w:szCs w:val="22"/>
              </w:rPr>
            </w:pPr>
          </w:p>
        </w:tc>
        <w:tc>
          <w:tcPr>
            <w:tcW w:w="1629" w:type="dxa"/>
            <w:shd w:val="clear" w:color="auto" w:fill="D8D8D8" w:themeFill="background1" w:themeFillShade="D9"/>
          </w:tcPr>
          <w:p>
            <w:pPr>
              <w:jc w:val="center"/>
              <w:rPr>
                <w:rFonts w:cs="Arial"/>
                <w:sz w:val="22"/>
                <w:szCs w:val="22"/>
              </w:rPr>
            </w:pPr>
          </w:p>
        </w:tc>
        <w:tc>
          <w:tcPr>
            <w:tcW w:w="1525" w:type="dxa"/>
            <w:shd w:val="clear" w:color="auto" w:fill="D8D8D8" w:themeFill="background1" w:themeFillShade="D9"/>
          </w:tcPr>
          <w:p>
            <w:pPr>
              <w:jc w:val="center"/>
              <w:rPr>
                <w:rFonts w:cs="Arial"/>
                <w:sz w:val="22"/>
                <w:szCs w:val="22"/>
              </w:rPr>
            </w:pPr>
          </w:p>
        </w:tc>
      </w:tr>
      <w:tr>
        <w:tc>
          <w:tcPr>
            <w:tcW w:w="1623" w:type="dxa"/>
          </w:tcPr>
          <w:sdt>
            <w:sdtPr>
              <w:rPr>
                <w:rFonts w:cs="Arial"/>
                <w:sz w:val="22"/>
                <w:szCs w:val="22"/>
              </w:rPr>
              <w:id w:val="-1"/>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p>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p>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rPr>
                <w:rFonts w:cs="Arial"/>
                <w:sz w:val="22"/>
                <w:szCs w:val="22"/>
              </w:rPr>
            </w:sdtEndPr>
            <w:sdtContent>
              <w:p>
                <w:pPr>
                  <w:jc w:val="center"/>
                  <w:rPr>
                    <w:rFonts w:cs="Arial"/>
                    <w:sz w:val="22"/>
                    <w:szCs w:val="22"/>
                  </w:rPr>
                </w:pPr>
                <w:r>
                  <w:rPr>
                    <w:rFonts w:ascii="MS Gothic" w:hAnsi="MS Gothic" w:eastAsia="MS Gothic" w:cs="Arial"/>
                    <w:sz w:val="22"/>
                    <w:szCs w:val="22"/>
                  </w:rPr>
                  <w:t>☐</w:t>
                </w:r>
              </w:p>
            </w:sdtContent>
          </w:sdt>
          <w:p>
            <w:pPr>
              <w:jc w:val="center"/>
              <w:rPr>
                <w:rFonts w:cs="Arial"/>
                <w:sz w:val="22"/>
                <w:szCs w:val="22"/>
              </w:rPr>
            </w:pPr>
          </w:p>
        </w:tc>
        <w:tc>
          <w:tcPr>
            <w:tcW w:w="1662" w:type="dxa"/>
          </w:tcPr>
          <w:p>
            <w:pPr>
              <w:jc w:val="center"/>
              <w:rPr>
                <w:rFonts w:cs="Arial"/>
                <w:sz w:val="22"/>
                <w:szCs w:val="22"/>
              </w:rPr>
            </w:pPr>
          </w:p>
        </w:tc>
        <w:tc>
          <w:tcPr>
            <w:tcW w:w="1629" w:type="dxa"/>
          </w:tcPr>
          <w:p>
            <w:pPr>
              <w:jc w:val="center"/>
              <w:rPr>
                <w:rFonts w:cs="Arial"/>
                <w:sz w:val="22"/>
                <w:szCs w:val="22"/>
              </w:rPr>
            </w:pPr>
          </w:p>
        </w:tc>
        <w:tc>
          <w:tcPr>
            <w:tcW w:w="1525" w:type="dxa"/>
          </w:tcPr>
          <w:p>
            <w:pPr>
              <w:jc w:val="center"/>
              <w:rPr>
                <w:rFonts w:cs="Arial"/>
                <w:sz w:val="22"/>
                <w:szCs w:val="22"/>
              </w:rPr>
            </w:pPr>
          </w:p>
        </w:tc>
      </w:tr>
    </w:tbl>
    <w:p>
      <w:pPr>
        <w:ind w:left="180" w:hanging="270"/>
        <w:rPr>
          <w:rFonts w:cs="Arial"/>
          <w:b/>
          <w:sz w:val="22"/>
          <w:szCs w:val="22"/>
        </w:rPr>
      </w:pPr>
    </w:p>
    <w:p>
      <w:pPr>
        <w:rPr>
          <w:rFonts w:cs="Arial"/>
          <w:sz w:val="22"/>
          <w:szCs w:val="22"/>
        </w:rPr>
      </w:pPr>
    </w:p>
    <w:p>
      <w:pPr>
        <w:ind w:left="-142"/>
        <w:rPr>
          <w:rFonts w:cs="Arial"/>
          <w:bCs/>
          <w:sz w:val="22"/>
          <w:szCs w:val="22"/>
        </w:rPr>
      </w:pPr>
      <w:r>
        <w:rPr>
          <w:rFonts w:cs="Arial"/>
          <w:b/>
          <w:bCs/>
          <w:sz w:val="22"/>
          <w:szCs w:val="22"/>
        </w:rPr>
        <w:t>Proposed Research</w:t>
      </w:r>
    </w:p>
    <w:p>
      <w:pPr>
        <w:rPr>
          <w:rFonts w:cs="Arial"/>
          <w:sz w:val="22"/>
          <w:szCs w:val="22"/>
        </w:rPr>
      </w:pPr>
    </w:p>
    <w:tbl>
      <w:tblPr>
        <w:tblStyle w:val="13"/>
        <w:tblW w:w="978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781"/>
      </w:tblGrid>
      <w:tr>
        <w:trPr>
          <w:trHeight w:val="397" w:hRule="atLeast"/>
        </w:trPr>
        <w:tc>
          <w:tcPr>
            <w:tcW w:w="9781" w:type="dxa"/>
            <w:shd w:val="clear" w:color="auto" w:fill="F1F1F1" w:themeFill="background1" w:themeFillShade="F2"/>
            <w:vAlign w:val="center"/>
          </w:tcPr>
          <w:p>
            <w:pPr>
              <w:rPr>
                <w:rFonts w:cs="Arial"/>
                <w:sz w:val="22"/>
                <w:szCs w:val="22"/>
              </w:rPr>
            </w:pPr>
            <w:r>
              <w:rPr>
                <w:rFonts w:cs="Arial"/>
                <w:b/>
                <w:bCs/>
                <w:sz w:val="22"/>
                <w:szCs w:val="22"/>
              </w:rPr>
              <w:t>Proposed Research Question and sub-questions</w:t>
            </w:r>
            <w:r>
              <w:rPr>
                <w:rFonts w:cs="Arial"/>
                <w:sz w:val="22"/>
                <w:szCs w:val="22"/>
              </w:rPr>
              <w:t>:</w:t>
            </w:r>
          </w:p>
        </w:tc>
      </w:tr>
      <w:tr>
        <w:trPr>
          <w:trHeight w:val="397" w:hRule="atLeast"/>
        </w:trPr>
        <w:tc>
          <w:tcPr>
            <w:tcW w:w="9781" w:type="dxa"/>
            <w:vAlign w:val="center"/>
          </w:tcPr>
          <w:p>
            <w:pPr>
              <w:rPr>
                <w:rFonts w:cs="Arial"/>
                <w:sz w:val="22"/>
                <w:szCs w:val="22"/>
              </w:rPr>
            </w:pPr>
          </w:p>
          <w:p>
            <w:pPr>
              <w:rPr>
                <w:rFonts w:hint="default" w:cs="Arial" w:asciiTheme="minorAscii" w:hAnsiTheme="minorAscii"/>
                <w:sz w:val="22"/>
                <w:szCs w:val="22"/>
                <w:lang w:val="en-US"/>
              </w:rPr>
            </w:pPr>
            <w:r>
              <w:rPr>
                <w:rFonts w:hint="default" w:cs="Arial" w:asciiTheme="minorAscii" w:hAnsiTheme="minorAscii"/>
                <w:sz w:val="22"/>
                <w:szCs w:val="22"/>
              </w:rPr>
              <w:t>Main Research Question:</w:t>
            </w:r>
            <w:r>
              <w:rPr>
                <w:rFonts w:hint="default" w:cs="Arial" w:asciiTheme="minorAscii" w:hAnsiTheme="minorAscii"/>
                <w:sz w:val="22"/>
                <w:szCs w:val="22"/>
                <w:lang w:val="en-US"/>
              </w:rPr>
              <w:t xml:space="preserve"> Do generative AI support English as a Foreign Language students’ writing? </w:t>
            </w:r>
          </w:p>
          <w:p>
            <w:pPr>
              <w:rPr>
                <w:rFonts w:hint="default" w:cs="Arial" w:asciiTheme="minorAscii" w:hAnsiTheme="minorAscii"/>
                <w:sz w:val="22"/>
                <w:szCs w:val="22"/>
              </w:rPr>
            </w:pPr>
          </w:p>
          <w:p>
            <w:pPr>
              <w:rPr>
                <w:rFonts w:hint="default" w:cs="Arial" w:asciiTheme="minorAscii" w:hAnsiTheme="minorAscii"/>
                <w:sz w:val="22"/>
                <w:szCs w:val="22"/>
              </w:rPr>
            </w:pPr>
            <w:r>
              <w:rPr>
                <w:rFonts w:hint="default" w:cs="Arial" w:asciiTheme="minorAscii" w:hAnsiTheme="minorAscii"/>
                <w:sz w:val="22"/>
                <w:szCs w:val="22"/>
              </w:rPr>
              <w:t>Sub-questions:</w:t>
            </w:r>
          </w:p>
          <w:p>
            <w:pPr>
              <w:pStyle w:val="26"/>
              <w:numPr>
                <w:ilvl w:val="0"/>
                <w:numId w:val="1"/>
              </w:numPr>
              <w:rPr>
                <w:rFonts w:hint="default" w:cs="Arial" w:asciiTheme="minorAscii" w:hAnsiTheme="minorAscii"/>
                <w:sz w:val="22"/>
                <w:szCs w:val="22"/>
              </w:rPr>
            </w:pPr>
            <w:r>
              <w:rPr>
                <w:rFonts w:hint="default" w:cs="Arial" w:asciiTheme="minorAscii" w:hAnsiTheme="minorAscii"/>
                <w:sz w:val="22"/>
                <w:szCs w:val="22"/>
                <w:lang w:val="en-US"/>
              </w:rPr>
              <w:t>Do students who use generative AI show significant differences in writing performance compared to those who do not?</w:t>
            </w:r>
          </w:p>
          <w:p>
            <w:pPr>
              <w:pStyle w:val="26"/>
              <w:numPr>
                <w:ilvl w:val="0"/>
                <w:numId w:val="1"/>
              </w:numPr>
              <w:rPr>
                <w:rFonts w:hint="default" w:cs="Arial" w:asciiTheme="minorAscii" w:hAnsiTheme="minorAscii"/>
                <w:sz w:val="22"/>
                <w:szCs w:val="22"/>
              </w:rPr>
            </w:pPr>
            <w:r>
              <w:rPr>
                <w:rFonts w:hint="default" w:cs="Arial" w:asciiTheme="minorAscii" w:hAnsiTheme="minorAscii"/>
                <w:sz w:val="22"/>
                <w:szCs w:val="22"/>
                <w:lang w:val="en-US"/>
              </w:rPr>
              <w:t>How do students</w:t>
            </w:r>
            <w:bookmarkStart w:id="0" w:name="_GoBack"/>
            <w:bookmarkEnd w:id="0"/>
            <w:r>
              <w:rPr>
                <w:rFonts w:hint="default" w:cs="Arial" w:asciiTheme="minorAscii" w:hAnsiTheme="minorAscii"/>
                <w:sz w:val="22"/>
                <w:szCs w:val="22"/>
                <w:lang w:val="en-US"/>
              </w:rPr>
              <w:t xml:space="preserve"> perceive the role of generative AI in the process of AI-assisted writing?</w:t>
            </w:r>
          </w:p>
          <w:p>
            <w:pPr>
              <w:rPr>
                <w:rFonts w:cs="Arial"/>
                <w:sz w:val="22"/>
                <w:szCs w:val="22"/>
              </w:rPr>
            </w:pPr>
          </w:p>
        </w:tc>
      </w:tr>
      <w:tr>
        <w:trPr>
          <w:trHeight w:val="397" w:hRule="atLeast"/>
        </w:trPr>
        <w:tc>
          <w:tcPr>
            <w:tcW w:w="9781" w:type="dxa"/>
            <w:shd w:val="clear" w:color="auto" w:fill="F1F1F1" w:themeFill="background1" w:themeFillShade="F2"/>
            <w:vAlign w:val="center"/>
          </w:tcPr>
          <w:p>
            <w:pPr>
              <w:rPr>
                <w:rFonts w:cs="Arial"/>
                <w:sz w:val="22"/>
                <w:szCs w:val="22"/>
              </w:rPr>
            </w:pPr>
            <w:r>
              <w:rPr>
                <w:rFonts w:cs="Arial"/>
                <w:sz w:val="22"/>
                <w:szCs w:val="22"/>
              </w:rPr>
              <w:t xml:space="preserve"> </w:t>
            </w:r>
            <w:r>
              <w:rPr>
                <w:rFonts w:cs="Arial"/>
                <w:b/>
                <w:bCs/>
                <w:sz w:val="22"/>
                <w:szCs w:val="22"/>
              </w:rPr>
              <w:t>Background &amp; Context</w:t>
            </w:r>
          </w:p>
        </w:tc>
      </w:tr>
      <w:tr>
        <w:trPr>
          <w:trHeight w:val="397" w:hRule="atLeast"/>
        </w:trPr>
        <w:tc>
          <w:tcPr>
            <w:tcW w:w="9781" w:type="dxa"/>
            <w:vAlign w:val="center"/>
          </w:tcPr>
          <w:p>
            <w:pPr>
              <w:autoSpaceDE w:val="0"/>
              <w:autoSpaceDN w:val="0"/>
              <w:adjustRightInd w:val="0"/>
              <w:contextualSpacing/>
              <w:rPr>
                <w:rFonts w:cs="Arial"/>
                <w:sz w:val="22"/>
                <w:szCs w:val="22"/>
              </w:rPr>
            </w:pPr>
          </w:p>
          <w:p>
            <w:pPr>
              <w:pStyle w:val="26"/>
              <w:numPr>
                <w:ilvl w:val="0"/>
                <w:numId w:val="0"/>
              </w:numPr>
              <w:jc w:val="both"/>
              <w:rPr>
                <w:rFonts w:hint="default" w:cs="Arial" w:asciiTheme="minorAscii" w:hAnsiTheme="minorAscii"/>
                <w:sz w:val="22"/>
                <w:szCs w:val="22"/>
                <w:lang w:val="en-US" w:eastAsia="zh-CN"/>
              </w:rPr>
            </w:pPr>
            <w:r>
              <w:rPr>
                <w:rFonts w:hint="eastAsia" w:cs="Arial" w:asciiTheme="minorAscii" w:hAnsiTheme="minorAscii"/>
                <w:sz w:val="22"/>
                <w:szCs w:val="22"/>
                <w:lang w:val="en-US" w:eastAsia="zh-CN"/>
              </w:rPr>
              <w:t>A</w:t>
            </w:r>
            <w:r>
              <w:rPr>
                <w:rFonts w:hint="default" w:cs="Arial" w:asciiTheme="minorAscii" w:hAnsiTheme="minorAscii"/>
                <w:sz w:val="22"/>
                <w:szCs w:val="22"/>
                <w:lang w:val="en-US" w:eastAsia="zh-CN"/>
              </w:rPr>
              <w:t xml:space="preserve">rtificial Intelligence is a rapidly advancing technology that has the potential to reshape various aspects of our social interactions (Pedro </w:t>
            </w:r>
            <w:r>
              <w:rPr>
                <w:rFonts w:hint="default" w:ascii="Calibri Italic" w:hAnsi="Calibri Italic" w:cs="Calibri Italic"/>
                <w:i/>
                <w:iCs/>
                <w:sz w:val="22"/>
                <w:szCs w:val="22"/>
                <w:lang w:val="en-US" w:eastAsia="zh-CN"/>
              </w:rPr>
              <w:t>et al</w:t>
            </w:r>
            <w:r>
              <w:rPr>
                <w:rFonts w:hint="default" w:cs="Arial" w:asciiTheme="minorAscii" w:hAnsiTheme="minorAscii"/>
                <w:sz w:val="22"/>
                <w:szCs w:val="22"/>
                <w:lang w:val="en-US" w:eastAsia="zh-CN"/>
              </w:rPr>
              <w:t xml:space="preserve">., 2019). The swift evolving of AI is significantly transforming the field of education(Miao </w:t>
            </w:r>
            <w:r>
              <w:rPr>
                <w:rFonts w:hint="default" w:ascii="Calibri Italic" w:hAnsi="Calibri Italic" w:cs="Calibri Italic"/>
                <w:i/>
                <w:iCs/>
                <w:sz w:val="22"/>
                <w:szCs w:val="22"/>
                <w:lang w:val="en-US" w:eastAsia="zh-CN"/>
              </w:rPr>
              <w:t>et al</w:t>
            </w:r>
            <w:r>
              <w:rPr>
                <w:rFonts w:hint="default" w:cs="Arial" w:asciiTheme="minorAscii" w:hAnsiTheme="minorAscii"/>
                <w:sz w:val="22"/>
                <w:szCs w:val="22"/>
                <w:lang w:val="en-US" w:eastAsia="zh-CN"/>
              </w:rPr>
              <w:t xml:space="preserve">., 2021). The introduction of ChatGPT 3.5 by Open AI in November 2022 has rapidly brought Generative Artificial Intelligence (GAI) to the forefront of public attention. Powered by a Large Language Model(LLM), this novel AI technology, proficient in understanding human directions and generating human-like text with seemingly impressive precision, has aroused heated discussions on its applications in the field of education. Within months, several competing LLMs emerged, including Google’s Bard (later renamed as Gemini) and Anthropic’s Claude, inspiring teachers to explore the feasibility of adopting these tools to innovate their teaching practices. The launch of the Chinese-developed AI model DeepSeek-R1 early this year has immediately attracted global attention (Li and Fang, 2025). Together with  other Chinese GAI platforms such as ChatGLM, </w:t>
            </w:r>
            <w:r>
              <w:rPr>
                <w:rFonts w:hint="default" w:cs="Arial" w:asciiTheme="minorAscii" w:hAnsiTheme="minorAscii"/>
                <w:sz w:val="22"/>
                <w:szCs w:val="22"/>
                <w:highlight w:val="none"/>
                <w:lang w:val="en-US" w:eastAsia="zh-CN"/>
              </w:rPr>
              <w:t xml:space="preserve">Ernie Bot, KimiChat </w:t>
            </w:r>
            <w:r>
              <w:rPr>
                <w:rFonts w:hint="default" w:cs="Arial" w:asciiTheme="minorAscii" w:hAnsiTheme="minorAscii"/>
                <w:sz w:val="22"/>
                <w:szCs w:val="22"/>
                <w:lang w:val="en-US" w:eastAsia="zh-CN"/>
              </w:rPr>
              <w:t xml:space="preserve">and Doubao, these locally developed GAI tools have provided alternative options for teachers and students, making GAI more accessible and integrated into education. This growing presence of GAI in education sets the background for my research, which aims to explore its impact and role in English as a Foreign Language (EFL) learners’ writing. </w:t>
            </w:r>
          </w:p>
          <w:p>
            <w:pPr>
              <w:pStyle w:val="26"/>
              <w:numPr>
                <w:ilvl w:val="0"/>
                <w:numId w:val="0"/>
              </w:numPr>
              <w:jc w:val="both"/>
              <w:rPr>
                <w:rFonts w:hint="default" w:cs="Arial" w:asciiTheme="minorAscii" w:hAnsiTheme="minorAscii"/>
                <w:sz w:val="22"/>
                <w:szCs w:val="22"/>
                <w:lang w:val="en-US" w:eastAsia="zh-CN"/>
              </w:rPr>
            </w:pPr>
          </w:p>
          <w:p>
            <w:pPr>
              <w:pStyle w:val="26"/>
              <w:numPr>
                <w:ilvl w:val="0"/>
                <w:numId w:val="0"/>
              </w:numPr>
              <w:jc w:val="both"/>
              <w:rPr>
                <w:rFonts w:hint="default" w:cs="Arial" w:asciiTheme="minorAscii" w:hAnsiTheme="minorAscii"/>
                <w:sz w:val="22"/>
                <w:szCs w:val="22"/>
                <w:lang w:val="en-US" w:eastAsia="zh-CN"/>
              </w:rPr>
            </w:pPr>
            <w:r>
              <w:rPr>
                <w:rFonts w:hint="default" w:cs="Arial" w:asciiTheme="minorAscii" w:hAnsiTheme="minorAscii"/>
                <w:sz w:val="22"/>
                <w:szCs w:val="22"/>
                <w:lang w:val="en-US" w:eastAsia="zh-CN"/>
              </w:rPr>
              <w:t xml:space="preserve">Because of ChatGPT’s remarkable text generation capabilities, the academia has been actively debating the advantages and challenges of integrating ChatGPT into writing since its emergence. Barrot (2023), for instance, highlights ChatGPT’s ability to provide feedback and corrections on key writing aspects such as grammar, syntax, cohesion and coherence. Other scholars like Stahl and Eke (2024) also point out the broader ethical issues in using ChatGPT in academic writing. These early studies tried to provide a balanced perspective of ChatGPT’s role in writing. Recently, there has been a growing trend toward empirical studies that aims to provide evidence-based insights into ChatGPT’s impact on writing. For example, Nguyen </w:t>
            </w:r>
            <w:r>
              <w:rPr>
                <w:rFonts w:hint="default" w:ascii="Calibri Italic" w:hAnsi="Calibri Italic" w:cs="Calibri Italic"/>
                <w:i/>
                <w:iCs/>
                <w:sz w:val="22"/>
                <w:szCs w:val="22"/>
                <w:lang w:val="en-US" w:eastAsia="zh-CN"/>
              </w:rPr>
              <w:t>et al.</w:t>
            </w:r>
            <w:r>
              <w:rPr>
                <w:rFonts w:hint="default" w:cs="Arial" w:asciiTheme="minorAscii" w:hAnsiTheme="minorAscii"/>
                <w:sz w:val="22"/>
                <w:szCs w:val="22"/>
                <w:lang w:val="en-US" w:eastAsia="zh-CN"/>
              </w:rPr>
              <w:t xml:space="preserve"> (2024) conducted a mixed-methods study to explore how EFL learners engage emotionally with and use ChatGPT during the pre-writing stage influence their writing performance. Another example is Nugrobo </w:t>
            </w:r>
            <w:r>
              <w:rPr>
                <w:rFonts w:hint="default" w:ascii="Calibri Italic" w:hAnsi="Calibri Italic" w:cs="Calibri Italic"/>
                <w:i/>
                <w:iCs/>
                <w:sz w:val="22"/>
                <w:szCs w:val="22"/>
                <w:lang w:val="en-US" w:eastAsia="zh-CN"/>
              </w:rPr>
              <w:t>et al</w:t>
            </w:r>
            <w:r>
              <w:rPr>
                <w:rFonts w:hint="default" w:cs="Arial" w:asciiTheme="minorAscii" w:hAnsiTheme="minorAscii"/>
                <w:sz w:val="22"/>
                <w:szCs w:val="22"/>
                <w:lang w:val="en-US" w:eastAsia="zh-CN"/>
              </w:rPr>
              <w:t xml:space="preserve">. (2024), who analysed students’ narrative to understand their appraisals after using ChatGPT to support their essay writing. These studies reflect a growing focus on empirical research that goes deeper into the relationship between GAI tools and writing instruction. </w:t>
            </w:r>
          </w:p>
          <w:p>
            <w:pPr>
              <w:pStyle w:val="26"/>
              <w:numPr>
                <w:ilvl w:val="0"/>
                <w:numId w:val="0"/>
              </w:numPr>
              <w:jc w:val="both"/>
              <w:rPr>
                <w:rFonts w:hint="default" w:cs="Arial" w:asciiTheme="minorAscii" w:hAnsiTheme="minorAscii"/>
                <w:sz w:val="22"/>
                <w:szCs w:val="22"/>
                <w:lang w:val="en-US" w:eastAsia="zh-CN"/>
              </w:rPr>
            </w:pPr>
          </w:p>
          <w:p>
            <w:pPr>
              <w:pStyle w:val="26"/>
              <w:numPr>
                <w:ilvl w:val="0"/>
                <w:numId w:val="0"/>
              </w:numPr>
              <w:jc w:val="both"/>
              <w:rPr>
                <w:rFonts w:hint="default" w:cs="Arial" w:asciiTheme="minorAscii" w:hAnsiTheme="minorAscii"/>
                <w:sz w:val="22"/>
                <w:szCs w:val="22"/>
                <w:lang w:val="en-US" w:eastAsia="zh-CN"/>
              </w:rPr>
            </w:pPr>
            <w:r>
              <w:rPr>
                <w:rFonts w:hint="default" w:cs="Arial" w:asciiTheme="minorAscii" w:hAnsiTheme="minorAscii"/>
                <w:sz w:val="22"/>
                <w:szCs w:val="22"/>
                <w:lang w:val="en-US" w:eastAsia="zh-CN"/>
              </w:rPr>
              <w:t xml:space="preserve">The ability to write effectively is becoming more crucial in our interconnected world, making writing instruction an increasingly essential component of both second- and foreign-language education (Weigle, 2009). As an EFL writing instructor at a Chinese university, I have observed my students struggle with writing, a fundamental academic skill essential for their future development. Although numerous studies have examined the impact of GAI (mainly ChatGPT) on EFL writing(Song and Song, 2023; </w:t>
            </w:r>
            <w:r>
              <w:rPr>
                <w:rFonts w:hint="default" w:cs="Arial" w:asciiTheme="minorAscii" w:hAnsiTheme="minorAscii"/>
                <w:sz w:val="22"/>
                <w:szCs w:val="22"/>
                <w:lang w:val="en-US" w:eastAsia="zh-CN" w:bidi="ar-SA"/>
              </w:rPr>
              <w:t>Tsai, Li and Brow</w:t>
            </w:r>
            <w:r>
              <w:rPr>
                <w:rFonts w:hint="eastAsia" w:cs="Arial" w:asciiTheme="minorAscii" w:hAnsiTheme="minorAscii"/>
                <w:sz w:val="22"/>
                <w:szCs w:val="22"/>
                <w:lang w:val="en-US" w:eastAsia="zh-CN" w:bidi="ar-SA"/>
              </w:rPr>
              <w:t>n</w:t>
            </w:r>
            <w:r>
              <w:rPr>
                <w:rFonts w:hint="default" w:cs="Arial" w:asciiTheme="minorAscii" w:hAnsiTheme="minorAscii"/>
                <w:sz w:val="22"/>
                <w:szCs w:val="22"/>
                <w:lang w:val="en-US" w:eastAsia="zh-CN" w:bidi="ar-SA"/>
              </w:rPr>
              <w:t>, 2024; Nguyen, Le and Nguyen, 2024)</w:t>
            </w:r>
            <w:r>
              <w:rPr>
                <w:rFonts w:hint="default" w:cs="Arial" w:asciiTheme="minorAscii" w:hAnsiTheme="minorAscii"/>
                <w:sz w:val="22"/>
                <w:szCs w:val="22"/>
                <w:lang w:val="en-US" w:eastAsia="zh-CN"/>
              </w:rPr>
              <w:t xml:space="preserve">, </w:t>
            </w:r>
            <w:r>
              <w:rPr>
                <w:rFonts w:hint="eastAsia" w:cs="Arial" w:asciiTheme="minorAscii" w:hAnsiTheme="minorAscii"/>
                <w:sz w:val="22"/>
                <w:szCs w:val="22"/>
                <w:lang w:val="en-US" w:eastAsia="zh-CN"/>
              </w:rPr>
              <w:t>r</w:t>
            </w:r>
            <w:r>
              <w:rPr>
                <w:rFonts w:hint="default" w:cs="Arial" w:asciiTheme="minorAscii" w:hAnsiTheme="minorAscii"/>
                <w:sz w:val="22"/>
                <w:szCs w:val="22"/>
                <w:lang w:val="en-US" w:eastAsia="zh-CN"/>
              </w:rPr>
              <w:t xml:space="preserve">esearch specifically focusing on Chinese university students and their use of Chinese developed GAI tools remains limited. Given the rapid development of Chinese GAI and the increasing accessibility of its integration into language education, it is crucial to investigate how these tools influence students’ writing performance and their experience using Chinese GAI for writing in foreign language learning. </w:t>
            </w:r>
          </w:p>
          <w:p>
            <w:pPr>
              <w:autoSpaceDE w:val="0"/>
              <w:autoSpaceDN w:val="0"/>
              <w:adjustRightInd w:val="0"/>
              <w:contextualSpacing/>
              <w:rPr>
                <w:rFonts w:hint="default" w:cs="Arial"/>
                <w:sz w:val="22"/>
                <w:szCs w:val="22"/>
                <w:lang w:val="en-US"/>
              </w:rPr>
            </w:pPr>
          </w:p>
        </w:tc>
      </w:tr>
      <w:tr>
        <w:trPr>
          <w:trHeight w:val="397" w:hRule="atLeast"/>
        </w:trPr>
        <w:tc>
          <w:tcPr>
            <w:tcW w:w="9781" w:type="dxa"/>
            <w:shd w:val="clear" w:color="auto" w:fill="F1F1F1" w:themeFill="background1" w:themeFillShade="F2"/>
            <w:vAlign w:val="center"/>
          </w:tcPr>
          <w:p>
            <w:pPr>
              <w:rPr>
                <w:rFonts w:cs="Arial"/>
                <w:sz w:val="22"/>
                <w:szCs w:val="22"/>
              </w:rPr>
            </w:pPr>
            <w:r>
              <w:rPr>
                <w:rFonts w:cs="Arial"/>
                <w:sz w:val="22"/>
                <w:szCs w:val="22"/>
              </w:rPr>
              <w:t xml:space="preserve">Aims &amp; Objectives </w:t>
            </w:r>
          </w:p>
        </w:tc>
      </w:tr>
      <w:tr>
        <w:trPr>
          <w:trHeight w:val="397" w:hRule="atLeast"/>
        </w:trPr>
        <w:tc>
          <w:tcPr>
            <w:tcW w:w="9781" w:type="dxa"/>
            <w:vAlign w:val="center"/>
          </w:tcPr>
          <w:p>
            <w:pPr>
              <w:pStyle w:val="26"/>
              <w:numPr>
                <w:ilvl w:val="0"/>
                <w:numId w:val="0"/>
              </w:numPr>
              <w:jc w:val="both"/>
              <w:rPr>
                <w:rFonts w:hint="default" w:cs="Arial" w:asciiTheme="minorAscii" w:hAnsiTheme="minorAscii"/>
                <w:sz w:val="22"/>
                <w:szCs w:val="22"/>
                <w:lang w:val="en-US" w:eastAsia="zh-CN"/>
              </w:rPr>
            </w:pPr>
          </w:p>
          <w:p>
            <w:pPr>
              <w:pStyle w:val="26"/>
              <w:numPr>
                <w:ilvl w:val="0"/>
                <w:numId w:val="0"/>
              </w:numPr>
              <w:jc w:val="both"/>
              <w:rPr>
                <w:rFonts w:hint="default" w:cs="Arial" w:asciiTheme="minorAscii" w:hAnsiTheme="minorAscii"/>
                <w:sz w:val="22"/>
                <w:szCs w:val="22"/>
                <w:lang w:val="en-US" w:eastAsia="zh-CN"/>
              </w:rPr>
            </w:pPr>
            <w:r>
              <w:rPr>
                <w:rFonts w:hint="default" w:cs="Arial" w:asciiTheme="minorAscii" w:hAnsiTheme="minorAscii"/>
                <w:sz w:val="22"/>
                <w:szCs w:val="22"/>
                <w:lang w:val="en-US" w:eastAsia="zh-CN"/>
              </w:rPr>
              <w:t>Existing literature presents diverse perspectives on the role of GAI in EFL writing. While Barrot (2023)  highlights</w:t>
            </w:r>
            <w:r>
              <w:rPr>
                <w:rFonts w:hint="eastAsia" w:cs="Arial" w:asciiTheme="minorAscii" w:hAnsiTheme="minorAscii"/>
                <w:sz w:val="22"/>
                <w:szCs w:val="22"/>
                <w:lang w:val="en-US" w:eastAsia="zh-CN"/>
              </w:rPr>
              <w:t xml:space="preserve"> </w:t>
            </w:r>
            <w:r>
              <w:rPr>
                <w:rFonts w:hint="default" w:cs="Arial" w:asciiTheme="minorAscii" w:hAnsiTheme="minorAscii"/>
                <w:sz w:val="22"/>
                <w:szCs w:val="22"/>
                <w:lang w:val="en-US" w:eastAsia="zh-CN"/>
              </w:rPr>
              <w:t xml:space="preserve">ChatGPT’s ability to provide corrections on grammar,  syntax and vocabulary, its effectiveness  in improving writing accuracy remains debated. Empirical findings from Dong (2024) indicate that while ChatGPT significantly influences writing complexity, its impact on writing accuracy is not statistically significant. In contrast, Tlatso and Chaka (2024) suggest that ChatGPT’s impact on syntactic complexity lacks statistical significance. These discussions reflect the ongoing debate over the actual linguistic impact of GAI on EFL writing performance, given that existing studies have not reached a consensus. </w:t>
            </w:r>
          </w:p>
          <w:p>
            <w:pPr>
              <w:pStyle w:val="26"/>
              <w:numPr>
                <w:ilvl w:val="0"/>
                <w:numId w:val="0"/>
              </w:numPr>
              <w:jc w:val="both"/>
              <w:rPr>
                <w:rFonts w:hint="default" w:cs="Arial" w:asciiTheme="minorAscii" w:hAnsiTheme="minorAscii"/>
                <w:sz w:val="22"/>
                <w:szCs w:val="22"/>
                <w:lang w:val="en-US" w:eastAsia="zh-CN"/>
              </w:rPr>
            </w:pPr>
          </w:p>
          <w:p>
            <w:pPr>
              <w:pStyle w:val="26"/>
              <w:numPr>
                <w:ilvl w:val="0"/>
                <w:numId w:val="0"/>
              </w:numPr>
              <w:jc w:val="both"/>
              <w:rPr>
                <w:rFonts w:hint="default" w:cs="Arial" w:asciiTheme="minorAscii" w:hAnsiTheme="minorAscii"/>
                <w:sz w:val="22"/>
                <w:szCs w:val="22"/>
                <w:lang w:val="en-US" w:eastAsia="zh-CN"/>
              </w:rPr>
            </w:pPr>
            <w:r>
              <w:rPr>
                <w:rFonts w:hint="default" w:cs="Arial" w:asciiTheme="minorAscii" w:hAnsiTheme="minorAscii"/>
                <w:sz w:val="22"/>
                <w:szCs w:val="22"/>
                <w:lang w:val="en-US" w:eastAsia="zh-CN"/>
              </w:rPr>
              <w:t xml:space="preserve">Therefore, this study will first conduct a comparative linguistic analysis of students’ writing samples produced in a task-based experimental setting, assessing grammatical accuracy, vocabulary complexity, and syntactic complexity, as well as independent raters’ marking based on standardised exam criteria. The goal of this step is to develop a comprehensive understanding of GAI’s impact on EFL writing performance by using statistical methods to determine whether there are significant differences between GAI-assisted and Non-GAI-assisted writing in linguistic features and overall writing quality. </w:t>
            </w:r>
          </w:p>
          <w:p>
            <w:pPr>
              <w:pStyle w:val="26"/>
              <w:numPr>
                <w:ilvl w:val="0"/>
                <w:numId w:val="0"/>
              </w:numPr>
              <w:jc w:val="both"/>
              <w:rPr>
                <w:rFonts w:hint="default" w:cs="Arial" w:asciiTheme="minorAscii" w:hAnsiTheme="minorAscii"/>
                <w:sz w:val="22"/>
                <w:szCs w:val="22"/>
                <w:lang w:val="en-US" w:eastAsia="zh-CN"/>
              </w:rPr>
            </w:pPr>
          </w:p>
          <w:p>
            <w:pPr>
              <w:pStyle w:val="26"/>
              <w:numPr>
                <w:ilvl w:val="0"/>
                <w:numId w:val="0"/>
              </w:numPr>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rPr>
              <w:t xml:space="preserve">How students perceive GAI in their learning has also been a key perspective in academic discussions. Werdiningsih </w:t>
            </w:r>
            <w:r>
              <w:rPr>
                <w:rFonts w:hint="default" w:ascii="Calibri Italic" w:hAnsi="Calibri Italic" w:cs="Calibri Italic"/>
                <w:i/>
                <w:iCs/>
                <w:sz w:val="22"/>
                <w:szCs w:val="22"/>
                <w:lang w:val="en-US" w:eastAsia="zh-CN"/>
              </w:rPr>
              <w:t xml:space="preserve">et al. </w:t>
            </w:r>
            <w:r>
              <w:rPr>
                <w:rFonts w:hint="default" w:cs="Arial" w:asciiTheme="minorAscii" w:hAnsiTheme="minorAscii"/>
                <w:sz w:val="22"/>
                <w:szCs w:val="22"/>
                <w:lang w:val="en-US" w:eastAsia="zh-CN"/>
              </w:rPr>
              <w:t xml:space="preserve">(2024) conducted a qualitative case study research, investigating 16 Indonesian master’s students from different universities to examine their perceptions and strategic use of ChatGPT in academic writing. This type of research explores students’ general perceptions of GAI based on their own accounts of using the technology, rather than within an instructional setting. However, there is a growing trend toward empirical studies that examine students’ perceptions within structured classroom environments, where students learn to write with ChatGPT’s support (Song and Song, 2023; Yang, 2023, Nurgroho et al., 2024; Woo </w:t>
            </w:r>
            <w:r>
              <w:rPr>
                <w:rFonts w:hint="default" w:ascii="Calibri Italic" w:hAnsi="Calibri Italic" w:cs="Calibri Italic"/>
                <w:i/>
                <w:iCs/>
                <w:sz w:val="22"/>
                <w:szCs w:val="22"/>
                <w:lang w:val="en-US" w:eastAsia="zh-CN"/>
              </w:rPr>
              <w:t>et al</w:t>
            </w:r>
            <w:r>
              <w:rPr>
                <w:rFonts w:hint="default" w:cs="Arial" w:asciiTheme="minorAscii" w:hAnsiTheme="minorAscii"/>
                <w:sz w:val="22"/>
                <w:szCs w:val="22"/>
                <w:lang w:val="en-US" w:eastAsia="zh-CN"/>
              </w:rPr>
              <w:t xml:space="preserve">., 2024).  </w:t>
            </w:r>
            <w:r>
              <w:rPr>
                <w:rFonts w:hint="default" w:eastAsia="Times New Roman" w:cs="Arial" w:asciiTheme="minorAscii" w:hAnsiTheme="minorAscii"/>
                <w:sz w:val="22"/>
                <w:szCs w:val="22"/>
                <w:lang w:val="en-US" w:eastAsia="zh-CN" w:bidi="ar-SA"/>
              </w:rPr>
              <w:t xml:space="preserve">While these studies offer important insights </w:t>
            </w:r>
            <w:r>
              <w:rPr>
                <w:rFonts w:hint="default" w:cs="Arial" w:asciiTheme="minorAscii" w:hAnsiTheme="minorAscii"/>
                <w:sz w:val="22"/>
                <w:szCs w:val="22"/>
                <w:lang w:val="en-US" w:eastAsia="zh-CN" w:bidi="ar-SA"/>
              </w:rPr>
              <w:t xml:space="preserve">into course-level instruction, they overwhelmingly center on ChatGPT,with limited exploration of other GAI tools, even within Chinese EFL context. This study fills the gap by broadening the scope of GAI applications in EFL writing, focusing on its implementation in a controlled task-based scenario and examining students’ experiences with Chinese-developed GAI tools. </w:t>
            </w:r>
          </w:p>
          <w:p>
            <w:pPr>
              <w:autoSpaceDE w:val="0"/>
              <w:autoSpaceDN w:val="0"/>
              <w:adjustRightInd w:val="0"/>
              <w:contextualSpacing/>
              <w:jc w:val="both"/>
              <w:rPr>
                <w:rFonts w:hint="default" w:cs="Arial" w:asciiTheme="minorAscii" w:hAnsiTheme="minorAscii"/>
                <w:sz w:val="22"/>
                <w:szCs w:val="22"/>
                <w:lang w:val="en-US" w:eastAsia="zh-CN" w:bidi="ar-SA"/>
              </w:rPr>
            </w:pPr>
          </w:p>
          <w:p>
            <w:p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Based on the above discussion, this study aims to investigate whether GAI enhances EFL students’ writing, with a focus on the following research questions: </w:t>
            </w:r>
          </w:p>
          <w:p>
            <w:pPr>
              <w:numPr>
                <w:ilvl w:val="0"/>
                <w:numId w:val="2"/>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Does the use of GAI result in significant differences in EFL students’ writing performance compared to non-GAI-assisted writing?</w:t>
            </w:r>
          </w:p>
          <w:p>
            <w:pPr>
              <w:numPr>
                <w:ilvl w:val="0"/>
                <w:numId w:val="2"/>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How do EFL students’ experience and perceive the use of GAI during the AI-assisted writing process? </w:t>
            </w:r>
          </w:p>
          <w:p>
            <w:pPr>
              <w:autoSpaceDE w:val="0"/>
              <w:autoSpaceDN w:val="0"/>
              <w:adjustRightInd w:val="0"/>
              <w:contextualSpacing/>
              <w:rPr>
                <w:rFonts w:cs="Arial"/>
                <w:sz w:val="22"/>
                <w:szCs w:val="22"/>
              </w:rPr>
            </w:pPr>
          </w:p>
          <w:p>
            <w:pPr>
              <w:autoSpaceDE w:val="0"/>
              <w:autoSpaceDN w:val="0"/>
              <w:adjustRightInd w:val="0"/>
              <w:contextualSpacing/>
              <w:rPr>
                <w:rFonts w:cs="Arial"/>
                <w:sz w:val="22"/>
                <w:szCs w:val="22"/>
              </w:rPr>
            </w:pPr>
          </w:p>
        </w:tc>
      </w:tr>
      <w:tr>
        <w:trPr>
          <w:trHeight w:val="397" w:hRule="atLeast"/>
        </w:trPr>
        <w:tc>
          <w:tcPr>
            <w:tcW w:w="9781" w:type="dxa"/>
            <w:shd w:val="clear" w:color="auto" w:fill="F1F1F1" w:themeFill="background1" w:themeFillShade="F2"/>
            <w:vAlign w:val="center"/>
          </w:tcPr>
          <w:p>
            <w:pPr>
              <w:rPr>
                <w:rFonts w:cs="Arial"/>
                <w:b/>
                <w:bCs/>
                <w:sz w:val="22"/>
                <w:szCs w:val="22"/>
              </w:rPr>
            </w:pPr>
            <w:r>
              <w:rPr>
                <w:rFonts w:cs="Arial"/>
                <w:b/>
                <w:bCs/>
                <w:sz w:val="22"/>
                <w:szCs w:val="22"/>
              </w:rPr>
              <w:t>Proposed Plan of Work</w:t>
            </w:r>
          </w:p>
        </w:tc>
      </w:tr>
      <w:tr>
        <w:trPr>
          <w:trHeight w:val="397" w:hRule="atLeast"/>
        </w:trPr>
        <w:tc>
          <w:tcPr>
            <w:tcW w:w="9781" w:type="dxa"/>
            <w:vAlign w:val="center"/>
          </w:tcPr>
          <w:p>
            <w:pPr>
              <w:rPr>
                <w:rFonts w:cs="Arial"/>
                <w:sz w:val="22"/>
                <w:szCs w:val="22"/>
              </w:rPr>
            </w:pP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50"/>
              <w:gridCol w:w="3905"/>
            </w:tblGrid>
            <w:tr>
              <w:tc>
                <w:tcPr>
                  <w:tcW w:w="5650" w:type="dxa"/>
                </w:tcPr>
                <w:p>
                  <w:pPr>
                    <w:rPr>
                      <w:rFonts w:cs="Arial"/>
                      <w:b/>
                      <w:bCs/>
                      <w:sz w:val="22"/>
                      <w:szCs w:val="22"/>
                    </w:rPr>
                  </w:pPr>
                  <w:r>
                    <w:rPr>
                      <w:rFonts w:cs="Arial"/>
                      <w:b/>
                      <w:bCs/>
                      <w:sz w:val="22"/>
                      <w:szCs w:val="22"/>
                    </w:rPr>
                    <w:t xml:space="preserve">Planned development </w:t>
                  </w:r>
                </w:p>
              </w:tc>
              <w:tc>
                <w:tcPr>
                  <w:tcW w:w="3905" w:type="dxa"/>
                </w:tcPr>
                <w:p>
                  <w:pPr>
                    <w:rPr>
                      <w:rFonts w:cs="Arial"/>
                      <w:b/>
                      <w:bCs/>
                      <w:sz w:val="22"/>
                      <w:szCs w:val="22"/>
                    </w:rPr>
                  </w:pPr>
                  <w:r>
                    <w:rPr>
                      <w:rFonts w:cs="Arial"/>
                      <w:b/>
                      <w:bCs/>
                      <w:sz w:val="22"/>
                      <w:szCs w:val="22"/>
                    </w:rPr>
                    <w:t>Target date for completion</w:t>
                  </w:r>
                </w:p>
              </w:tc>
            </w:tr>
            <w:tr>
              <w:trPr>
                <w:trHeight w:val="267" w:hRule="atLeast"/>
              </w:trPr>
              <w:tc>
                <w:tcPr>
                  <w:tcW w:w="5650" w:type="dxa"/>
                </w:tcPr>
                <w:p>
                  <w:pPr>
                    <w:rPr>
                      <w:rFonts w:cs="Arial"/>
                      <w:sz w:val="22"/>
                      <w:szCs w:val="22"/>
                    </w:rPr>
                  </w:pPr>
                  <w:r>
                    <w:rPr>
                      <w:rFonts w:hint="default" w:cs="Arial" w:asciiTheme="minorAscii" w:hAnsiTheme="minorAscii"/>
                      <w:sz w:val="22"/>
                      <w:szCs w:val="22"/>
                      <w:lang w:val="en-US" w:eastAsia="zh-CN" w:bidi="ar-SA"/>
                    </w:rPr>
                    <w:t>Reading and writing of introduction and literature review</w:t>
                  </w:r>
                </w:p>
              </w:tc>
              <w:tc>
                <w:tcPr>
                  <w:tcW w:w="3905" w:type="dxa"/>
                </w:tcPr>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May 1 - May 21 (3 weeks)</w:t>
                  </w:r>
                </w:p>
              </w:tc>
            </w:tr>
            <w:tr>
              <w:tc>
                <w:tcPr>
                  <w:tcW w:w="5650" w:type="dxa"/>
                </w:tcPr>
                <w:p>
                  <w:pPr>
                    <w:rPr>
                      <w:rFonts w:cs="Arial"/>
                      <w:sz w:val="22"/>
                      <w:szCs w:val="22"/>
                    </w:rPr>
                  </w:pPr>
                  <w:r>
                    <w:rPr>
                      <w:rFonts w:hint="default" w:cs="Arial" w:asciiTheme="minorAscii" w:hAnsiTheme="minorAscii"/>
                      <w:sz w:val="22"/>
                      <w:szCs w:val="22"/>
                      <w:lang w:val="en-US" w:eastAsia="zh-CN" w:bidi="ar-SA"/>
                    </w:rPr>
                    <w:t>Reading and writing of methodology chapter</w:t>
                  </w:r>
                </w:p>
              </w:tc>
              <w:tc>
                <w:tcPr>
                  <w:tcW w:w="3905" w:type="dxa"/>
                </w:tcPr>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May 22 - June 11 (3 weeks)</w:t>
                  </w:r>
                </w:p>
              </w:tc>
            </w:tr>
            <w:tr>
              <w:tc>
                <w:tcPr>
                  <w:tcW w:w="5650" w:type="dxa"/>
                </w:tcPr>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Piloting research tools</w:t>
                  </w:r>
                </w:p>
              </w:tc>
              <w:tc>
                <w:tcPr>
                  <w:tcW w:w="3905" w:type="dxa"/>
                </w:tcPr>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June 12 - June 26 (2 weeks)</w:t>
                  </w:r>
                </w:p>
              </w:tc>
            </w:tr>
            <w:tr>
              <w:tc>
                <w:tcPr>
                  <w:tcW w:w="5650" w:type="dxa"/>
                </w:tcPr>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Collecting data</w:t>
                  </w:r>
                </w:p>
              </w:tc>
              <w:tc>
                <w:tcPr>
                  <w:tcW w:w="3905" w:type="dxa"/>
                </w:tcPr>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June 27 - July 17 (3 weeks)</w:t>
                  </w:r>
                </w:p>
              </w:tc>
            </w:tr>
            <w:tr>
              <w:tc>
                <w:tcPr>
                  <w:tcW w:w="5650" w:type="dxa"/>
                </w:tcPr>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Analysing data</w:t>
                  </w:r>
                </w:p>
              </w:tc>
              <w:tc>
                <w:tcPr>
                  <w:tcW w:w="3905" w:type="dxa"/>
                </w:tcPr>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July 18 - August 14 (4 weeks)</w:t>
                  </w:r>
                </w:p>
              </w:tc>
            </w:tr>
            <w:tr>
              <w:tc>
                <w:tcPr>
                  <w:tcW w:w="5650" w:type="dxa"/>
                </w:tcPr>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Writing up of results</w:t>
                  </w:r>
                </w:p>
              </w:tc>
              <w:tc>
                <w:tcPr>
                  <w:tcW w:w="3905" w:type="dxa"/>
                </w:tcPr>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August 15 - September4 (3 weeks)</w:t>
                  </w:r>
                </w:p>
              </w:tc>
            </w:tr>
            <w:tr>
              <w:tc>
                <w:tcPr>
                  <w:tcW w:w="5650" w:type="dxa"/>
                </w:tcPr>
                <w:p>
                  <w:pPr>
                    <w:rPr>
                      <w:rFonts w:cs="Arial"/>
                      <w:sz w:val="22"/>
                      <w:szCs w:val="22"/>
                    </w:rPr>
                  </w:pPr>
                  <w:r>
                    <w:rPr>
                      <w:rFonts w:hint="default" w:cs="Arial" w:asciiTheme="minorAscii" w:hAnsiTheme="minorAscii"/>
                      <w:sz w:val="22"/>
                      <w:szCs w:val="22"/>
                      <w:lang w:val="en-US" w:eastAsia="zh-CN" w:bidi="ar-SA"/>
                    </w:rPr>
                    <w:t>Writing conclusions</w:t>
                  </w:r>
                </w:p>
              </w:tc>
              <w:tc>
                <w:tcPr>
                  <w:tcW w:w="3905" w:type="dxa"/>
                </w:tcPr>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September 5 - September 15(1.5 week)</w:t>
                  </w:r>
                </w:p>
              </w:tc>
            </w:tr>
            <w:tr>
              <w:tc>
                <w:tcPr>
                  <w:tcW w:w="5650" w:type="dxa"/>
                </w:tcPr>
                <w:p>
                  <w:pPr>
                    <w:rPr>
                      <w:rFonts w:hint="default" w:cs="Arial"/>
                      <w:sz w:val="22"/>
                      <w:szCs w:val="22"/>
                      <w:lang w:val="en-US"/>
                    </w:rPr>
                  </w:pPr>
                  <w:r>
                    <w:rPr>
                      <w:rFonts w:hint="default" w:cs="Arial" w:asciiTheme="minorAscii" w:hAnsiTheme="minorAscii"/>
                      <w:sz w:val="22"/>
                      <w:szCs w:val="22"/>
                      <w:lang w:val="en-US" w:eastAsia="zh-CN" w:bidi="ar-SA"/>
                    </w:rPr>
                    <w:t>Final review</w:t>
                  </w:r>
                </w:p>
              </w:tc>
              <w:tc>
                <w:tcPr>
                  <w:tcW w:w="3905" w:type="dxa"/>
                </w:tcPr>
                <w:p>
                  <w:pPr>
                    <w:rPr>
                      <w:rFonts w:hint="default" w:cs="Arial"/>
                      <w:sz w:val="22"/>
                      <w:szCs w:val="22"/>
                      <w:lang w:val="en-US"/>
                    </w:rPr>
                  </w:pPr>
                  <w:r>
                    <w:rPr>
                      <w:rFonts w:hint="default" w:cs="Arial" w:asciiTheme="minorAscii" w:hAnsiTheme="minorAscii"/>
                      <w:sz w:val="22"/>
                      <w:szCs w:val="22"/>
                      <w:lang w:val="en-US" w:eastAsia="zh-CN" w:bidi="ar-SA"/>
                    </w:rPr>
                    <w:t>September 16 - September 30 (2 weeks)</w:t>
                  </w:r>
                </w:p>
              </w:tc>
            </w:tr>
          </w:tbl>
          <w:p>
            <w:pPr>
              <w:rPr>
                <w:rFonts w:cs="Arial"/>
                <w:sz w:val="22"/>
                <w:szCs w:val="22"/>
              </w:rPr>
            </w:pPr>
          </w:p>
        </w:tc>
      </w:tr>
      <w:tr>
        <w:trPr>
          <w:trHeight w:val="397" w:hRule="atLeast"/>
        </w:trPr>
        <w:tc>
          <w:tcPr>
            <w:tcW w:w="9781" w:type="dxa"/>
            <w:shd w:val="clear" w:color="auto" w:fill="F1F1F1" w:themeFill="background1" w:themeFillShade="F2"/>
            <w:vAlign w:val="center"/>
          </w:tcPr>
          <w:p>
            <w:pPr>
              <w:rPr>
                <w:rFonts w:cs="Arial"/>
                <w:sz w:val="22"/>
                <w:szCs w:val="22"/>
              </w:rPr>
            </w:pPr>
            <w:r>
              <w:rPr>
                <w:rFonts w:cs="Arial"/>
                <w:b/>
                <w:bCs/>
                <w:sz w:val="22"/>
                <w:szCs w:val="22"/>
              </w:rPr>
              <w:t>Proposed Methodology</w:t>
            </w:r>
            <w:r>
              <w:rPr>
                <w:rFonts w:cs="Arial"/>
                <w:sz w:val="22"/>
                <w:szCs w:val="22"/>
              </w:rPr>
              <w:t xml:space="preserve"> </w:t>
            </w:r>
          </w:p>
        </w:tc>
      </w:tr>
      <w:tr>
        <w:trPr>
          <w:trHeight w:val="397" w:hRule="atLeast"/>
        </w:trPr>
        <w:tc>
          <w:tcPr>
            <w:tcW w:w="9781" w:type="dxa"/>
            <w:vAlign w:val="center"/>
          </w:tcPr>
          <w:p>
            <w:pPr>
              <w:autoSpaceDE w:val="0"/>
              <w:autoSpaceDN w:val="0"/>
              <w:adjustRightInd w:val="0"/>
              <w:contextualSpacing/>
              <w:jc w:val="both"/>
              <w:rPr>
                <w:rFonts w:hint="default" w:ascii="Calibri Bold" w:hAnsi="Calibri Bold" w:cs="Calibri Bold"/>
                <w:b/>
                <w:bCs/>
                <w:sz w:val="22"/>
                <w:szCs w:val="22"/>
                <w:lang w:val="en-US" w:eastAsia="zh-CN" w:bidi="ar-SA"/>
              </w:rPr>
            </w:pPr>
            <w:r>
              <w:rPr>
                <w:rFonts w:hint="default" w:ascii="Calibri Bold" w:hAnsi="Calibri Bold" w:cs="Calibri Bold"/>
                <w:b/>
                <w:bCs/>
                <w:sz w:val="22"/>
                <w:szCs w:val="22"/>
                <w:lang w:val="en-US" w:eastAsia="zh-CN" w:bidi="ar-SA"/>
              </w:rPr>
              <w:t>Methodology: Mixed-method Approach</w:t>
            </w:r>
          </w:p>
          <w:p>
            <w:p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The study will adopt a sequential mixed-methods approach (Cohen, Manion, and Morrison, 2018), incorporating an experiment and qualitative interviews. This approach provides a broader and more in-depth understanding than a single-method approach would. It will first conduct a quantitative analysis, followed by qualitative interviews, ensuring a comprehensive investigation of GAI’s impact on both students’ writing performance and their experience with GAI-assisted writing. </w:t>
            </w:r>
          </w:p>
          <w:p>
            <w:pPr>
              <w:autoSpaceDE w:val="0"/>
              <w:autoSpaceDN w:val="0"/>
              <w:adjustRightInd w:val="0"/>
              <w:contextualSpacing/>
              <w:jc w:val="both"/>
              <w:rPr>
                <w:rFonts w:hint="default" w:cs="Arial" w:asciiTheme="minorAscii" w:hAnsiTheme="minorAscii"/>
                <w:sz w:val="22"/>
                <w:szCs w:val="22"/>
                <w:lang w:val="en-US" w:eastAsia="zh-CN" w:bidi="ar-SA"/>
              </w:rPr>
            </w:pPr>
          </w:p>
          <w:p>
            <w:pPr>
              <w:autoSpaceDE w:val="0"/>
              <w:autoSpaceDN w:val="0"/>
              <w:adjustRightInd w:val="0"/>
              <w:contextualSpacing/>
              <w:jc w:val="both"/>
              <w:rPr>
                <w:rFonts w:hint="default" w:ascii="Calibri Bold" w:hAnsi="Calibri Bold" w:cs="Calibri Bold"/>
                <w:b/>
                <w:bCs/>
                <w:sz w:val="22"/>
                <w:szCs w:val="22"/>
                <w:lang w:val="en-US" w:eastAsia="zh-CN" w:bidi="ar-SA"/>
              </w:rPr>
            </w:pPr>
            <w:r>
              <w:rPr>
                <w:rFonts w:hint="default" w:ascii="Calibri Bold" w:hAnsi="Calibri Bold" w:cs="Calibri Bold"/>
                <w:b/>
                <w:bCs/>
                <w:sz w:val="22"/>
                <w:szCs w:val="22"/>
                <w:lang w:val="en-US" w:eastAsia="zh-CN" w:bidi="ar-SA"/>
              </w:rPr>
              <w:t>Methods</w:t>
            </w:r>
          </w:p>
          <w:p>
            <w:p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Phase 1: Quantitative Writing Experiment </w:t>
            </w:r>
          </w:p>
          <w:p>
            <w:pPr>
              <w:numPr>
                <w:ilvl w:val="0"/>
                <w:numId w:val="3"/>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A Comparative Experiment Design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The first phase of the study involves conducting a comparative writing experiment. Participants will be randomly divided into two groups and will complete the same writing task within a designated 90-minute time limit. The writing task will require participants to compose a speech draft that is both informative and argumentative on a topic related to Chinese culture. Group A will have access to GAI tools throughout the writing process, while Group B will be allowed to use the internet for information but will be prohibited from using any GAI tools. At the end of the experiment, participants will submit their written texts in the form of a Microsoft Word Document. </w:t>
            </w:r>
          </w:p>
          <w:p>
            <w:pPr>
              <w:numPr>
                <w:ilvl w:val="0"/>
                <w:numId w:val="3"/>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Sampling and Participants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This study will use a convenience sample (Creswell, 2009) to recruit 40 EFL students as volunteers from a university in China through poster advertisement. Participants will be students from various departments within the university who are interested in GAI and English writing and volunteer to take part in this study. The voluntary participants’ information will be collected through Microsoft Forms, including basic personal information, English proficiency, and self-reported experience with GAI tools.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To ensure similar English proficiency levels, participants are required to have passed either the Test for English Majors Band 4 (TEM 4) or College English Test Bank 6 (CET-6). No prior experience with GAI is required and the study will include both experienced and inexperienced GAI users in order to have a balanced sample.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eastAsia" w:cs="Arial" w:asciiTheme="minorAscii" w:hAnsiTheme="minorAscii"/>
                <w:sz w:val="22"/>
                <w:szCs w:val="22"/>
                <w:lang w:val="en-US" w:eastAsia="zh-CN" w:bidi="ar-SA"/>
              </w:rPr>
              <w:t>The 40 parti</w:t>
            </w:r>
            <w:r>
              <w:rPr>
                <w:rFonts w:hint="default" w:cs="Arial" w:asciiTheme="minorAscii" w:hAnsiTheme="minorAscii"/>
                <w:sz w:val="22"/>
                <w:szCs w:val="22"/>
                <w:lang w:val="en-US" w:eastAsia="zh-CN" w:bidi="ar-SA"/>
              </w:rPr>
              <w:t xml:space="preserve">cipants will then be randomly assigned to Group A (GAI-supported) or Group B (Non-GAI supported), with 20 participants in each group, using a random number generator to fairness.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p>
          <w:p>
            <w:pPr>
              <w:numPr>
                <w:ilvl w:val="0"/>
                <w:numId w:val="3"/>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Data analysis method</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The data collected in the first phase will be students’ written texts. Grammatical accuracy will be assessed using Grammarly, while lexical complexity and syntactic complexity will be analysed using Coh-Metrix (</w:t>
            </w:r>
            <w:r>
              <w:rPr>
                <w:rFonts w:hint="eastAsia" w:eastAsia="Times New Roman" w:cs="Arial" w:asciiTheme="minorAscii" w:hAnsiTheme="minorAscii"/>
                <w:sz w:val="22"/>
                <w:szCs w:val="22"/>
                <w:lang w:val="en-US" w:eastAsia="zh-CN" w:bidi="ar-SA"/>
              </w:rPr>
              <w:t>Graesser</w:t>
            </w:r>
            <w:r>
              <w:rPr>
                <w:rFonts w:hint="default" w:cs="Arial" w:asciiTheme="minorAscii" w:hAnsiTheme="minorAscii"/>
                <w:sz w:val="22"/>
                <w:szCs w:val="22"/>
                <w:lang w:val="en-US" w:eastAsia="zh-CN" w:bidi="ar-SA"/>
              </w:rPr>
              <w:t xml:space="preserve"> </w:t>
            </w:r>
            <w:r>
              <w:rPr>
                <w:rFonts w:hint="default" w:ascii="Calibri Italic" w:hAnsi="Calibri Italic" w:cs="Calibri Italic"/>
                <w:i/>
                <w:iCs/>
                <w:sz w:val="22"/>
                <w:szCs w:val="22"/>
                <w:lang w:val="en-US" w:eastAsia="zh-CN" w:bidi="ar-SA"/>
              </w:rPr>
              <w:t>et al.</w:t>
            </w:r>
            <w:r>
              <w:rPr>
                <w:rFonts w:hint="default" w:cs="Arial" w:asciiTheme="minorAscii" w:hAnsiTheme="minorAscii"/>
                <w:sz w:val="22"/>
                <w:szCs w:val="22"/>
                <w:lang w:val="en-US" w:eastAsia="zh-CN" w:bidi="ar-SA"/>
              </w:rPr>
              <w:t xml:space="preserve">, 2011; McNamara </w:t>
            </w:r>
            <w:r>
              <w:rPr>
                <w:rFonts w:hint="default" w:ascii="Calibri Italic" w:hAnsi="Calibri Italic" w:cs="Calibri Italic"/>
                <w:i/>
                <w:iCs/>
                <w:sz w:val="22"/>
                <w:szCs w:val="22"/>
                <w:lang w:val="en-US" w:eastAsia="zh-CN" w:bidi="ar-SA"/>
              </w:rPr>
              <w:t>et al.</w:t>
            </w:r>
            <w:r>
              <w:rPr>
                <w:rFonts w:hint="default" w:cs="Arial" w:asciiTheme="minorAscii" w:hAnsiTheme="minorAscii"/>
                <w:sz w:val="22"/>
                <w:szCs w:val="22"/>
                <w:lang w:val="en-US" w:eastAsia="zh-CN" w:bidi="ar-SA"/>
              </w:rPr>
              <w:t xml:space="preserve"> 2014) to quantify key linguistic features. Additionally, three independent raters (who are experienced EFL teachers teaching writing) will mark the 40 writing texts based on IELTS Writing Task 2 scoring criteria. All quantitative data generated from the above will then be analysed using SPSS to determine whether there are significant differences in writing performance between the GAI-supported and Non-GAI supported groups. </w:t>
            </w:r>
          </w:p>
          <w:p>
            <w:pPr>
              <w:autoSpaceDE w:val="0"/>
              <w:autoSpaceDN w:val="0"/>
              <w:adjustRightInd w:val="0"/>
              <w:contextualSpacing/>
              <w:jc w:val="both"/>
              <w:rPr>
                <w:rFonts w:hint="default" w:cs="Arial" w:asciiTheme="minorAscii" w:hAnsiTheme="minorAscii"/>
                <w:sz w:val="22"/>
                <w:szCs w:val="22"/>
                <w:lang w:val="en-US" w:eastAsia="zh-CN" w:bidi="ar-SA"/>
              </w:rPr>
            </w:pPr>
          </w:p>
          <w:p>
            <w:p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Phase 2: Qualitative Semi-structured Interviews</w:t>
            </w:r>
          </w:p>
          <w:p>
            <w:pPr>
              <w:numPr>
                <w:ilvl w:val="0"/>
                <w:numId w:val="4"/>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Semi-structured Interviews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In the second phase of the study, one-on-one semi-structured interviews will be conducted with a selected subset of participants from the GAI-supported group. These interviews will build on the first phase’s findings, offering a richer understanding of students’ experiences, challenges, and perceptions whey they interact with the tools during their GAI-assisted writing task.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p>
          <w:p>
            <w:pPr>
              <w:numPr>
                <w:ilvl w:val="0"/>
                <w:numId w:val="4"/>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Sampling and Participants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In the qualitative phase of this mixed-methods study, purposeful sampling will be used to select participants((Creswell and Plano Clark, 2018). They will be selected from Group A (GAI-supported Group) only. Since Group B students serves as a control group and are not allowed to  use GAI tools in the experiment, they will not participate in the second phase of the study. However, to ensure all the participants gain insights into the relationship between GAI tools and English writing, the research findings will be shared with all the participants upon completion of the study.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The sampling process will begin by considering participants’ self-reported GAI experience, which is collected during the recruitment. To ensure a balanced representation, students with both rich and limited prior experience with GAI will be recruited. In addition to students’ willingness to participate in the follow-up interviews, the second selection criterion will be their writing scores, assessed by independent raters, with students from high, medium, and low scoring groups all considered. Participants will be selected following this order until 10-12 interviewees are recruited. </w:t>
            </w:r>
          </w:p>
          <w:p>
            <w:pPr>
              <w:numPr>
                <w:ilvl w:val="0"/>
                <w:numId w:val="0"/>
              </w:numPr>
              <w:autoSpaceDE w:val="0"/>
              <w:autoSpaceDN w:val="0"/>
              <w:adjustRightInd w:val="0"/>
              <w:contextualSpacing/>
              <w:jc w:val="both"/>
              <w:rPr>
                <w:rFonts w:hint="default" w:cs="Arial" w:asciiTheme="minorAscii" w:hAnsiTheme="minorAscii"/>
                <w:sz w:val="22"/>
                <w:szCs w:val="22"/>
                <w:lang w:val="en-US" w:eastAsia="zh-CN" w:bidi="ar-SA"/>
              </w:rPr>
            </w:pPr>
          </w:p>
          <w:p>
            <w:pPr>
              <w:numPr>
                <w:ilvl w:val="0"/>
                <w:numId w:val="4"/>
              </w:numPr>
              <w:autoSpaceDE w:val="0"/>
              <w:autoSpaceDN w:val="0"/>
              <w:adjustRightInd w:val="0"/>
              <w:contextualSpacing/>
              <w:jc w:val="both"/>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Data Analysis Method</w:t>
            </w:r>
          </w:p>
          <w:p>
            <w:pPr>
              <w:numPr>
                <w:ilvl w:val="0"/>
                <w:numId w:val="0"/>
              </w:numPr>
              <w:autoSpaceDE w:val="0"/>
              <w:autoSpaceDN w:val="0"/>
              <w:adjustRightInd w:val="0"/>
              <w:contextualSpacing/>
              <w:jc w:val="both"/>
              <w:rPr>
                <w:rFonts w:cs="Arial"/>
                <w:sz w:val="22"/>
                <w:szCs w:val="22"/>
              </w:rPr>
            </w:pPr>
            <w:r>
              <w:rPr>
                <w:rFonts w:hint="default" w:cs="Arial" w:asciiTheme="minorAscii" w:hAnsiTheme="minorAscii"/>
                <w:sz w:val="22"/>
                <w:szCs w:val="22"/>
                <w:lang w:val="en-US" w:eastAsia="zh-CN" w:bidi="ar-SA"/>
              </w:rPr>
              <w:t xml:space="preserve">The data collected in the second phase will be participants’ semi-structured interviews. Each participant will be interviewed for 25-30 minutes and the interview will be audio-recorded. To eliminate language barriers and allow them to fully express themselves, the interviews will be conducted in their native language, Chinese. After the interviews, the recording will be transcribed into text and saved in Microsoft Word format. The raw data will be organised and read through first. Then I will follow Tesch’s (1990, cited  Crewell, 2009, p. 173) eight steps for the coding process to code the data in the original language. After identifying the key patterns and themes in students’ experience and perceptions of GAI-assisted writing, I will report the interpretation of the data in English. </w:t>
            </w:r>
          </w:p>
        </w:tc>
      </w:tr>
      <w:tr>
        <w:trPr>
          <w:trHeight w:val="397" w:hRule="atLeast"/>
        </w:trPr>
        <w:tc>
          <w:tcPr>
            <w:tcW w:w="9781" w:type="dxa"/>
            <w:shd w:val="clear" w:color="auto" w:fill="F1F1F1" w:themeFill="background1" w:themeFillShade="F2"/>
            <w:vAlign w:val="center"/>
          </w:tcPr>
          <w:p>
            <w:pPr>
              <w:rPr>
                <w:rFonts w:cs="Arial"/>
                <w:b/>
                <w:bCs/>
                <w:sz w:val="22"/>
                <w:szCs w:val="22"/>
              </w:rPr>
            </w:pPr>
            <w:r>
              <w:rPr>
                <w:rFonts w:cs="Arial"/>
                <w:b/>
                <w:bCs/>
                <w:sz w:val="22"/>
                <w:szCs w:val="22"/>
              </w:rPr>
              <w:t>Introductory Bibliography</w:t>
            </w:r>
          </w:p>
        </w:tc>
      </w:tr>
      <w:tr>
        <w:trPr>
          <w:trHeight w:val="397" w:hRule="atLeast"/>
        </w:trPr>
        <w:tc>
          <w:tcPr>
            <w:tcW w:w="9781" w:type="dxa"/>
            <w:vAlign w:val="center"/>
          </w:tcPr>
          <w:p>
            <w:pPr>
              <w:rPr>
                <w:rFonts w:asciiTheme="minorHAnsi" w:hAnsiTheme="minorHAnsi" w:cstheme="minorHAnsi"/>
                <w:color w:val="808080" w:themeColor="text1" w:themeTint="80"/>
                <w:sz w:val="24"/>
                <w:szCs w:val="24"/>
                <w14:textFill>
                  <w14:solidFill>
                    <w14:schemeClr w14:val="tx1">
                      <w14:lumMod w14:val="50000"/>
                      <w14:lumOff w14:val="50000"/>
                    </w14:schemeClr>
                  </w14:solidFill>
                </w14:textFill>
              </w:rPr>
            </w:pPr>
          </w:p>
          <w:p>
            <w:pPr>
              <w:rPr>
                <w:rFonts w:hint="default" w:cs="Arial" w:asciiTheme="minorAscii" w:hAnsiTheme="minorAscii"/>
                <w:sz w:val="22"/>
                <w:szCs w:val="22"/>
                <w:lang w:val="en-US" w:eastAsia="zh-CN" w:bidi="ar-SA"/>
              </w:rPr>
            </w:pPr>
            <w:r>
              <w:rPr>
                <w:rFonts w:hint="default" w:eastAsia="Times New Roman" w:cs="Arial" w:asciiTheme="minorAscii" w:hAnsiTheme="minorAscii"/>
                <w:sz w:val="22"/>
                <w:szCs w:val="22"/>
                <w:lang w:val="en-US" w:eastAsia="zh-CN" w:bidi="ar-SA"/>
              </w:rPr>
              <w:t xml:space="preserve">Barrot, J.S. (2023) ‘Using </w:t>
            </w:r>
            <w:r>
              <w:rPr>
                <w:rFonts w:hint="default" w:eastAsia="Times New Roman" w:cs="Arial" w:asciiTheme="minorAscii" w:hAnsiTheme="minorAscii"/>
                <w:sz w:val="22"/>
                <w:szCs w:val="22"/>
                <w:lang w:val="en-GB" w:eastAsia="en-GB" w:bidi="ar-SA"/>
              </w:rPr>
              <w:t>ChatGPT fo</w:t>
            </w:r>
            <w:r>
              <w:rPr>
                <w:rFonts w:hint="default" w:eastAsia="Times New Roman" w:cs="Arial" w:asciiTheme="minorAscii" w:hAnsiTheme="minorAscii"/>
                <w:sz w:val="22"/>
                <w:szCs w:val="22"/>
                <w:lang w:val="en-US" w:eastAsia="zh-CN" w:bidi="ar-SA"/>
              </w:rPr>
              <w:t xml:space="preserve">r Second Language Writing: Pitfalls and Potentials’, </w:t>
            </w:r>
            <w:r>
              <w:rPr>
                <w:rFonts w:hint="default" w:ascii="Calibri Italic" w:hAnsi="Calibri Italic" w:eastAsia="Times New Roman" w:cs="Calibri Italic"/>
                <w:i/>
                <w:iCs/>
                <w:sz w:val="22"/>
                <w:szCs w:val="22"/>
                <w:lang w:val="en-US" w:eastAsia="zh-CN" w:bidi="ar-SA"/>
              </w:rPr>
              <w:t>Assessing Writing</w:t>
            </w:r>
            <w:r>
              <w:rPr>
                <w:rFonts w:hint="default" w:eastAsia="Times New Roman" w:cs="Arial" w:asciiTheme="minorAscii" w:hAnsiTheme="minorAscii"/>
                <w:sz w:val="22"/>
                <w:szCs w:val="22"/>
                <w:lang w:val="en-US" w:eastAsia="zh-CN" w:bidi="ar-SA"/>
              </w:rPr>
              <w:t xml:space="preserve">, 57, article 100745. Available at: </w:t>
            </w:r>
            <w:r>
              <w:rPr>
                <w:rFonts w:hint="default" w:cs="Arial" w:asciiTheme="minorAscii" w:hAnsiTheme="minorAscii"/>
                <w:sz w:val="22"/>
                <w:szCs w:val="22"/>
                <w:lang w:val="en-US" w:eastAsia="zh-CN" w:bidi="ar-SA"/>
              </w:rPr>
              <w:t xml:space="preserve"> </w:t>
            </w:r>
            <w:r>
              <w:rPr>
                <w:rFonts w:hint="default" w:cs="Arial" w:asciiTheme="minorAscii" w:hAnsiTheme="minorAscii"/>
                <w:sz w:val="22"/>
                <w:szCs w:val="22"/>
                <w:lang w:val="en-US" w:eastAsia="zh-CN" w:bidi="ar-SA"/>
              </w:rPr>
              <w:fldChar w:fldCharType="begin"/>
            </w:r>
            <w:r>
              <w:rPr>
                <w:rFonts w:hint="default" w:cs="Arial" w:asciiTheme="minorAscii" w:hAnsiTheme="minorAscii"/>
                <w:sz w:val="22"/>
                <w:szCs w:val="22"/>
                <w:lang w:val="en-US" w:eastAsia="zh-CN" w:bidi="ar-SA"/>
              </w:rPr>
              <w:instrText xml:space="preserve"> HYPERLINK "https://doi.org/10.1016/j.asw.2023.100745" </w:instrText>
            </w:r>
            <w:r>
              <w:rPr>
                <w:rFonts w:hint="default" w:cs="Arial" w:asciiTheme="minorAscii" w:hAnsiTheme="minorAscii"/>
                <w:sz w:val="22"/>
                <w:szCs w:val="22"/>
                <w:lang w:val="en-US" w:eastAsia="zh-CN" w:bidi="ar-SA"/>
              </w:rPr>
              <w:fldChar w:fldCharType="separate"/>
            </w:r>
            <w:r>
              <w:rPr>
                <w:rStyle w:val="18"/>
                <w:rFonts w:hint="default" w:cs="Arial" w:asciiTheme="minorAscii" w:hAnsiTheme="minorAscii"/>
                <w:sz w:val="22"/>
                <w:szCs w:val="22"/>
                <w:lang w:val="en-US" w:eastAsia="zh-CN" w:bidi="ar-SA"/>
              </w:rPr>
              <w:t>https://doi.org/10.1016/j.asw.2023.100745</w:t>
            </w:r>
            <w:r>
              <w:rPr>
                <w:rFonts w:hint="default"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rPr>
                <w:rFonts w:hint="default" w:eastAsia="Times New Roman"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 </w:t>
            </w:r>
          </w:p>
          <w:p>
            <w:pPr>
              <w:rPr>
                <w:rFonts w:hint="eastAsia" w:eastAsia="Times New Roman" w:cs="Arial" w:asciiTheme="minorAscii" w:hAnsiTheme="minorAscii"/>
                <w:sz w:val="22"/>
                <w:szCs w:val="22"/>
                <w:lang w:val="en-US" w:eastAsia="zh-CN" w:bidi="ar-SA"/>
              </w:rPr>
            </w:pPr>
            <w:r>
              <w:rPr>
                <w:rFonts w:hint="eastAsia" w:eastAsia="Times New Roman" w:cs="Arial" w:asciiTheme="minorAscii" w:hAnsiTheme="minorAscii"/>
                <w:sz w:val="22"/>
                <w:szCs w:val="22"/>
                <w:lang w:val="en-US" w:eastAsia="zh-CN" w:bidi="ar-SA"/>
              </w:rPr>
              <w:t xml:space="preserve">Cohen, L., Manion, L. and Morrison, K. (2018) </w:t>
            </w:r>
            <w:r>
              <w:rPr>
                <w:rFonts w:hint="default" w:ascii="Calibri Italic" w:hAnsi="Calibri Italic" w:eastAsia="Times New Roman" w:cs="Calibri Italic"/>
                <w:i/>
                <w:iCs/>
                <w:sz w:val="22"/>
                <w:szCs w:val="22"/>
                <w:lang w:val="en-US" w:eastAsia="zh-CN" w:bidi="ar-SA"/>
              </w:rPr>
              <w:t xml:space="preserve">Research </w:t>
            </w:r>
            <w:r>
              <w:rPr>
                <w:rFonts w:hint="default" w:ascii="Calibri Italic" w:hAnsi="Calibri Italic" w:cs="Calibri Italic"/>
                <w:i/>
                <w:iCs/>
                <w:sz w:val="22"/>
                <w:szCs w:val="22"/>
                <w:lang w:val="en-US" w:eastAsia="zh-CN" w:bidi="ar-SA"/>
              </w:rPr>
              <w:t>m</w:t>
            </w:r>
            <w:r>
              <w:rPr>
                <w:rFonts w:hint="default" w:ascii="Calibri Italic" w:hAnsi="Calibri Italic" w:eastAsia="Times New Roman" w:cs="Calibri Italic"/>
                <w:i/>
                <w:iCs/>
                <w:sz w:val="22"/>
                <w:szCs w:val="22"/>
                <w:lang w:val="en-US" w:eastAsia="zh-CN" w:bidi="ar-SA"/>
              </w:rPr>
              <w:t xml:space="preserve">ethods in </w:t>
            </w:r>
            <w:r>
              <w:rPr>
                <w:rFonts w:hint="default" w:ascii="Calibri Italic" w:hAnsi="Calibri Italic" w:cs="Calibri Italic"/>
                <w:i/>
                <w:iCs/>
                <w:sz w:val="22"/>
                <w:szCs w:val="22"/>
                <w:lang w:val="en-US" w:eastAsia="zh-CN" w:bidi="ar-SA"/>
              </w:rPr>
              <w:t>e</w:t>
            </w:r>
            <w:r>
              <w:rPr>
                <w:rFonts w:hint="default" w:ascii="Calibri Italic" w:hAnsi="Calibri Italic" w:eastAsia="Times New Roman" w:cs="Calibri Italic"/>
                <w:i/>
                <w:iCs/>
                <w:sz w:val="22"/>
                <w:szCs w:val="22"/>
                <w:lang w:val="en-US" w:eastAsia="zh-CN" w:bidi="ar-SA"/>
              </w:rPr>
              <w:t>ducation</w:t>
            </w:r>
            <w:r>
              <w:rPr>
                <w:rFonts w:hint="eastAsia" w:eastAsia="Times New Roman" w:cs="Arial" w:asciiTheme="minorAscii" w:hAnsiTheme="minorAscii"/>
                <w:sz w:val="22"/>
                <w:szCs w:val="22"/>
                <w:lang w:val="en-US" w:eastAsia="zh-CN" w:bidi="ar-SA"/>
              </w:rPr>
              <w:t>. 8th edn. London, and New York: Routledge.</w:t>
            </w:r>
          </w:p>
          <w:p>
            <w:pPr>
              <w:rPr>
                <w:rFonts w:hint="default" w:eastAsia="Times New Roman" w:cs="Arial" w:asciiTheme="minorAscii" w:hAnsiTheme="minorAscii"/>
                <w:sz w:val="22"/>
                <w:szCs w:val="22"/>
                <w:lang w:val="en-US" w:eastAsia="zh-CN" w:bidi="ar-SA"/>
              </w:rPr>
            </w:pPr>
          </w:p>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Creswell, J.W., (2007) </w:t>
            </w:r>
            <w:r>
              <w:rPr>
                <w:rFonts w:hint="default" w:ascii="Calibri Italic" w:hAnsi="Calibri Italic" w:cs="Calibri Italic"/>
                <w:i/>
                <w:iCs/>
                <w:sz w:val="22"/>
                <w:szCs w:val="22"/>
                <w:lang w:val="en-US" w:eastAsia="zh-CN" w:bidi="ar-SA"/>
              </w:rPr>
              <w:t>Qualitative inquiry &amp; research design</w:t>
            </w:r>
            <w:r>
              <w:rPr>
                <w:rFonts w:hint="default" w:cs="Arial" w:asciiTheme="minorAscii" w:hAnsiTheme="minorAscii"/>
                <w:sz w:val="22"/>
                <w:szCs w:val="22"/>
                <w:lang w:val="en-US" w:eastAsia="zh-CN" w:bidi="ar-SA"/>
              </w:rPr>
              <w:t xml:space="preserve">. 2nd edn. London: Sage Publications. </w:t>
            </w:r>
          </w:p>
          <w:p>
            <w:pPr>
              <w:rPr>
                <w:rFonts w:hint="default" w:cs="Arial" w:asciiTheme="minorAscii" w:hAnsiTheme="minorAscii"/>
                <w:sz w:val="22"/>
                <w:szCs w:val="22"/>
                <w:lang w:val="en-US" w:eastAsia="zh-CN" w:bidi="ar-SA"/>
              </w:rPr>
            </w:pPr>
          </w:p>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Creswell, J.W.,(2009) </w:t>
            </w:r>
            <w:r>
              <w:rPr>
                <w:rFonts w:hint="default" w:ascii="Calibri Italic" w:hAnsi="Calibri Italic" w:cs="Calibri Italic"/>
                <w:i/>
                <w:iCs/>
                <w:sz w:val="22"/>
                <w:szCs w:val="22"/>
                <w:lang w:val="en-US" w:eastAsia="zh-CN" w:bidi="ar-SA"/>
              </w:rPr>
              <w:t>Research design: qualitative, quantitative, and mixed methods approaches</w:t>
            </w:r>
            <w:r>
              <w:rPr>
                <w:rFonts w:hint="default" w:cs="Arial" w:asciiTheme="minorAscii" w:hAnsiTheme="minorAscii"/>
                <w:sz w:val="22"/>
                <w:szCs w:val="22"/>
                <w:lang w:val="en-US" w:eastAsia="zh-CN" w:bidi="ar-SA"/>
              </w:rPr>
              <w:t xml:space="preserve">. 3rd edn. London: Sage Publications. </w:t>
            </w:r>
          </w:p>
          <w:p>
            <w:pPr>
              <w:rPr>
                <w:rFonts w:hint="default" w:cs="Arial" w:asciiTheme="minorAscii" w:hAnsiTheme="minorAscii"/>
                <w:sz w:val="22"/>
                <w:szCs w:val="22"/>
                <w:lang w:val="en-US" w:eastAsia="zh-CN" w:bidi="ar-SA"/>
              </w:rPr>
            </w:pPr>
          </w:p>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Crewell, J.W. and Plano Clark, V.L. (2018) </w:t>
            </w:r>
            <w:r>
              <w:rPr>
                <w:rFonts w:hint="default" w:ascii="Calibri Italic" w:hAnsi="Calibri Italic" w:cs="Calibri Italic"/>
                <w:i/>
                <w:iCs/>
                <w:sz w:val="22"/>
                <w:szCs w:val="22"/>
                <w:lang w:val="en-US" w:eastAsia="zh-CN" w:bidi="ar-SA"/>
              </w:rPr>
              <w:t>Designing and conducting mixed methods research</w:t>
            </w:r>
            <w:r>
              <w:rPr>
                <w:rFonts w:hint="default" w:cs="Arial" w:asciiTheme="minorAscii" w:hAnsiTheme="minorAscii"/>
                <w:sz w:val="22"/>
                <w:szCs w:val="22"/>
                <w:lang w:val="en-US" w:eastAsia="zh-CN" w:bidi="ar-SA"/>
              </w:rPr>
              <w:t xml:space="preserve">. 3rd edn. London: Sage Publications. </w:t>
            </w:r>
          </w:p>
          <w:p>
            <w:pPr>
              <w:rPr>
                <w:rFonts w:hint="default" w:cs="Arial" w:asciiTheme="minorAscii" w:hAnsiTheme="minorAscii"/>
                <w:sz w:val="22"/>
                <w:szCs w:val="22"/>
                <w:lang w:val="en-US" w:eastAsia="zh-CN" w:bidi="ar-SA"/>
              </w:rPr>
            </w:pPr>
          </w:p>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Dong, L. (2024) ‘“Brave New World” or not?: A mixed-methods study of the relationship between second language writing learners’ perceptions of ChatGPT, behaviors of using ChatGPT, and writing proficiency’, </w:t>
            </w:r>
            <w:r>
              <w:rPr>
                <w:rFonts w:hint="default" w:ascii="Calibri Italic" w:hAnsi="Calibri Italic" w:cs="Calibri Italic"/>
                <w:i/>
                <w:iCs/>
                <w:sz w:val="22"/>
                <w:szCs w:val="22"/>
                <w:lang w:val="en-US" w:eastAsia="zh-CN" w:bidi="ar-SA"/>
              </w:rPr>
              <w:t>Current Psychology</w:t>
            </w:r>
            <w:r>
              <w:rPr>
                <w:rFonts w:hint="default" w:cs="Arial" w:asciiTheme="minorAscii" w:hAnsiTheme="minorAscii"/>
                <w:sz w:val="22"/>
                <w:szCs w:val="22"/>
                <w:lang w:val="en-US" w:eastAsia="zh-CN" w:bidi="ar-SA"/>
              </w:rPr>
              <w:t xml:space="preserve">, 43(21), pp. 19481–19495. Available at: </w:t>
            </w:r>
            <w:r>
              <w:rPr>
                <w:rStyle w:val="18"/>
                <w:rFonts w:hint="default" w:cs="Arial" w:asciiTheme="minorAscii" w:hAnsiTheme="minorAscii"/>
                <w:sz w:val="22"/>
                <w:szCs w:val="22"/>
                <w:lang w:val="en-US" w:eastAsia="zh-CN" w:bidi="ar-SA"/>
              </w:rPr>
              <w:t>https://doi.org/10.1007/s12144-024-05728-9</w:t>
            </w:r>
          </w:p>
          <w:p>
            <w:pPr>
              <w:rPr>
                <w:rFonts w:hint="default" w:cs="Arial" w:asciiTheme="minorAscii" w:hAnsiTheme="minorAscii"/>
                <w:sz w:val="22"/>
                <w:szCs w:val="22"/>
                <w:lang w:val="en-US" w:eastAsia="zh-CN" w:bidi="ar-SA"/>
              </w:rPr>
            </w:pPr>
          </w:p>
          <w:p>
            <w:pPr>
              <w:rPr>
                <w:rFonts w:hint="default" w:eastAsia="Times New Roman" w:cs="Arial" w:asciiTheme="minorAscii" w:hAnsiTheme="minorAscii"/>
                <w:sz w:val="22"/>
                <w:szCs w:val="22"/>
                <w:lang w:val="en-US" w:eastAsia="zh-CN" w:bidi="ar-SA"/>
              </w:rPr>
            </w:pPr>
            <w:r>
              <w:rPr>
                <w:rFonts w:hint="eastAsia" w:eastAsia="Times New Roman" w:cs="Arial" w:asciiTheme="minorAscii" w:hAnsiTheme="minorAscii"/>
                <w:sz w:val="22"/>
                <w:szCs w:val="22"/>
                <w:lang w:val="en-US" w:eastAsia="zh-CN" w:bidi="ar-SA"/>
              </w:rPr>
              <w:t>Graesser, A.C., McNamara, D.S. and Kulikowich, J.M.</w:t>
            </w:r>
            <w:r>
              <w:rPr>
                <w:rFonts w:hint="default" w:cs="Arial" w:asciiTheme="minorAscii" w:hAnsiTheme="minorAscii"/>
                <w:sz w:val="22"/>
                <w:szCs w:val="22"/>
                <w:lang w:val="en-US" w:eastAsia="zh-CN" w:bidi="ar-SA"/>
              </w:rPr>
              <w:t xml:space="preserve"> (</w:t>
            </w:r>
            <w:r>
              <w:rPr>
                <w:rFonts w:hint="eastAsia" w:eastAsia="Times New Roman" w:cs="Arial" w:asciiTheme="minorAscii" w:hAnsiTheme="minorAscii"/>
                <w:sz w:val="22"/>
                <w:szCs w:val="22"/>
                <w:lang w:val="en-US" w:eastAsia="zh-CN" w:bidi="ar-SA"/>
              </w:rPr>
              <w:t>2011</w:t>
            </w:r>
            <w:r>
              <w:rPr>
                <w:rFonts w:hint="default" w:cs="Arial" w:asciiTheme="minorAscii" w:hAnsiTheme="minorAscii"/>
                <w:sz w:val="22"/>
                <w:szCs w:val="22"/>
                <w:lang w:val="en-US" w:eastAsia="zh-CN" w:bidi="ar-SA"/>
              </w:rPr>
              <w:t>)</w:t>
            </w:r>
            <w:r>
              <w:rPr>
                <w:rFonts w:hint="eastAsia" w:eastAsia="Times New Roman" w:cs="Arial" w:asciiTheme="minorAscii" w:hAnsiTheme="minorAscii"/>
                <w:sz w:val="22"/>
                <w:szCs w:val="22"/>
                <w:lang w:val="en-US" w:eastAsia="zh-CN" w:bidi="ar-SA"/>
              </w:rPr>
              <w:t xml:space="preserve"> Coh-Metrix: Providing multilevel analyses of text characteristics. </w:t>
            </w:r>
            <w:r>
              <w:rPr>
                <w:rFonts w:hint="default" w:ascii="Calibri Italic" w:hAnsi="Calibri Italic" w:eastAsia="Times New Roman" w:cs="Calibri Italic"/>
                <w:i/>
                <w:iCs/>
                <w:sz w:val="22"/>
                <w:szCs w:val="22"/>
                <w:lang w:val="en-US" w:eastAsia="zh-CN" w:bidi="ar-SA"/>
              </w:rPr>
              <w:t>Educational researcher</w:t>
            </w:r>
            <w:r>
              <w:rPr>
                <w:rFonts w:hint="eastAsia" w:eastAsia="Times New Roman" w:cs="Arial" w:asciiTheme="minorAscii" w:hAnsiTheme="minorAscii"/>
                <w:sz w:val="22"/>
                <w:szCs w:val="22"/>
                <w:lang w:val="en-US" w:eastAsia="zh-CN" w:bidi="ar-SA"/>
              </w:rPr>
              <w:t>, 40(5), pp.223-234.</w:t>
            </w:r>
            <w:r>
              <w:rPr>
                <w:rFonts w:hint="default" w:cs="Arial" w:asciiTheme="minorAscii" w:hAnsiTheme="minorAscii"/>
                <w:sz w:val="22"/>
                <w:szCs w:val="22"/>
                <w:lang w:val="en-US" w:eastAsia="zh-CN" w:bidi="ar-SA"/>
              </w:rPr>
              <w:t xml:space="preserve"> Available at: </w:t>
            </w:r>
            <w:r>
              <w:rPr>
                <w:rFonts w:hint="default" w:cs="Arial" w:asciiTheme="minorAscii" w:hAnsiTheme="minorAscii"/>
                <w:sz w:val="22"/>
                <w:szCs w:val="22"/>
                <w:lang w:val="en-US" w:eastAsia="zh-CN" w:bidi="ar-SA"/>
              </w:rPr>
              <w:fldChar w:fldCharType="begin"/>
            </w:r>
            <w:r>
              <w:rPr>
                <w:rFonts w:hint="default" w:cs="Arial" w:asciiTheme="minorAscii" w:hAnsiTheme="minorAscii"/>
                <w:sz w:val="22"/>
                <w:szCs w:val="22"/>
                <w:lang w:val="en-US" w:eastAsia="zh-CN" w:bidi="ar-SA"/>
              </w:rPr>
              <w:instrText xml:space="preserve"> HYPERLINK "https://doi.org/10.3102/0013189X11413260" </w:instrText>
            </w:r>
            <w:r>
              <w:rPr>
                <w:rFonts w:hint="default" w:cs="Arial" w:asciiTheme="minorAscii" w:hAnsiTheme="minorAscii"/>
                <w:sz w:val="22"/>
                <w:szCs w:val="22"/>
                <w:lang w:val="en-US" w:eastAsia="zh-CN" w:bidi="ar-SA"/>
              </w:rPr>
              <w:fldChar w:fldCharType="separate"/>
            </w:r>
            <w:r>
              <w:rPr>
                <w:rStyle w:val="18"/>
                <w:rFonts w:hint="default" w:cs="Arial" w:asciiTheme="minorAscii" w:hAnsiTheme="minorAscii"/>
                <w:sz w:val="22"/>
                <w:szCs w:val="22"/>
                <w:lang w:val="en-US" w:eastAsia="zh-CN" w:bidi="ar-SA"/>
              </w:rPr>
              <w:t>https://doi.org/10.3102/0013189X11413260</w:t>
            </w:r>
            <w:r>
              <w:rPr>
                <w:rFonts w:hint="default"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rPr>
                <w:rFonts w:hint="default" w:cs="Arial" w:asciiTheme="minorAscii" w:hAnsiTheme="minorAscii"/>
                <w:sz w:val="22"/>
                <w:szCs w:val="22"/>
                <w:lang w:val="en-US" w:eastAsia="zh-CN" w:bidi="ar-SA"/>
              </w:rPr>
            </w:pPr>
          </w:p>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McNamara, D. S., Graesser, A. C., McCarthy, P., and Cai, Z. (2014) </w:t>
            </w:r>
            <w:r>
              <w:rPr>
                <w:rFonts w:hint="default" w:ascii="Calibri Italic" w:hAnsi="Calibri Italic" w:cs="Calibri Italic"/>
                <w:i/>
                <w:iCs/>
                <w:sz w:val="22"/>
                <w:szCs w:val="22"/>
                <w:lang w:val="en-US" w:eastAsia="zh-CN" w:bidi="ar-SA"/>
              </w:rPr>
              <w:t>Automated evaluation of text and discourse with Coh-Metrix</w:t>
            </w:r>
            <w:r>
              <w:rPr>
                <w:rFonts w:hint="default" w:cs="Arial" w:asciiTheme="minorAscii" w:hAnsiTheme="minorAscii"/>
                <w:sz w:val="22"/>
                <w:szCs w:val="22"/>
                <w:lang w:val="en-US" w:eastAsia="zh-CN" w:bidi="ar-SA"/>
              </w:rPr>
              <w:t>. Cambridge: Cambridge University Press.</w:t>
            </w:r>
          </w:p>
          <w:p>
            <w:pPr>
              <w:rPr>
                <w:rFonts w:hint="default" w:cs="Arial" w:asciiTheme="minorAscii" w:hAnsiTheme="minorAscii"/>
                <w:sz w:val="22"/>
                <w:szCs w:val="22"/>
                <w:lang w:val="en-US" w:eastAsia="zh-CN" w:bidi="ar-SA"/>
              </w:rPr>
            </w:pPr>
          </w:p>
          <w:p>
            <w:pPr>
              <w:rPr>
                <w:rFonts w:hint="eastAsia" w:eastAsia="Times New Roman" w:cs="Arial" w:asciiTheme="minorAscii" w:hAnsiTheme="minorAscii"/>
                <w:sz w:val="22"/>
                <w:szCs w:val="22"/>
                <w:lang w:val="en-US" w:eastAsia="zh-CN" w:bidi="ar-SA"/>
              </w:rPr>
            </w:pPr>
            <w:r>
              <w:rPr>
                <w:rFonts w:hint="eastAsia" w:eastAsia="Times New Roman" w:cs="Arial" w:asciiTheme="minorAscii" w:hAnsiTheme="minorAscii"/>
                <w:sz w:val="22"/>
                <w:szCs w:val="22"/>
                <w:lang w:val="en-US" w:eastAsia="zh-CN" w:bidi="ar-SA"/>
              </w:rPr>
              <w:t>Miao, F</w:t>
            </w:r>
            <w:r>
              <w:rPr>
                <w:rFonts w:hint="default" w:cs="Arial" w:asciiTheme="minorAscii" w:hAnsiTheme="minorAscii"/>
                <w:sz w:val="22"/>
                <w:szCs w:val="22"/>
                <w:lang w:val="en-US" w:eastAsia="zh-CN" w:bidi="ar-SA"/>
              </w:rPr>
              <w:t>.C.</w:t>
            </w:r>
            <w:r>
              <w:rPr>
                <w:rFonts w:hint="eastAsia" w:eastAsia="Times New Roman" w:cs="Arial" w:asciiTheme="minorAscii" w:hAnsiTheme="minorAscii"/>
                <w:sz w:val="22"/>
                <w:szCs w:val="22"/>
                <w:lang w:val="en-US" w:eastAsia="zh-CN" w:bidi="ar-SA"/>
              </w:rPr>
              <w:t>, Holmes, W., Huang, R.</w:t>
            </w:r>
            <w:r>
              <w:rPr>
                <w:rFonts w:hint="default" w:cs="Arial" w:asciiTheme="minorAscii" w:hAnsiTheme="minorAscii"/>
                <w:sz w:val="22"/>
                <w:szCs w:val="22"/>
                <w:lang w:val="en-US" w:eastAsia="zh-CN" w:bidi="ar-SA"/>
              </w:rPr>
              <w:t>H.</w:t>
            </w:r>
            <w:r>
              <w:rPr>
                <w:rFonts w:hint="eastAsia" w:eastAsia="Times New Roman" w:cs="Arial" w:asciiTheme="minorAscii" w:hAnsiTheme="minorAscii"/>
                <w:sz w:val="22"/>
                <w:szCs w:val="22"/>
                <w:lang w:val="en-US" w:eastAsia="zh-CN" w:bidi="ar-SA"/>
              </w:rPr>
              <w:t xml:space="preserve">, </w:t>
            </w:r>
            <w:r>
              <w:rPr>
                <w:rFonts w:hint="default" w:cs="Arial" w:asciiTheme="minorAscii" w:hAnsiTheme="minorAscii"/>
                <w:sz w:val="22"/>
                <w:szCs w:val="22"/>
                <w:lang w:val="en-US" w:eastAsia="zh-CN" w:bidi="ar-SA"/>
              </w:rPr>
              <w:t xml:space="preserve">and </w:t>
            </w:r>
            <w:r>
              <w:rPr>
                <w:rFonts w:hint="eastAsia" w:eastAsia="Times New Roman" w:cs="Arial" w:asciiTheme="minorAscii" w:hAnsiTheme="minorAscii"/>
                <w:sz w:val="22"/>
                <w:szCs w:val="22"/>
                <w:lang w:val="en-US" w:eastAsia="zh-CN" w:bidi="ar-SA"/>
              </w:rPr>
              <w:t xml:space="preserve">Zhang, H. (2021). AI and education: A guidance for policymakers. </w:t>
            </w:r>
            <w:r>
              <w:rPr>
                <w:rFonts w:hint="default" w:cs="Arial" w:asciiTheme="minorAscii" w:hAnsiTheme="minorAscii"/>
                <w:sz w:val="22"/>
                <w:szCs w:val="22"/>
                <w:lang w:val="en-US" w:eastAsia="zh-CN" w:bidi="ar-SA"/>
              </w:rPr>
              <w:t xml:space="preserve">Available at: </w:t>
            </w:r>
            <w:r>
              <w:rPr>
                <w:rFonts w:hint="default" w:cs="Arial" w:asciiTheme="minorAscii" w:hAnsiTheme="minorAscii"/>
                <w:sz w:val="22"/>
                <w:szCs w:val="22"/>
                <w:lang w:val="en-US" w:eastAsia="zh-CN" w:bidi="ar-SA"/>
              </w:rPr>
              <w:fldChar w:fldCharType="begin"/>
            </w:r>
            <w:r>
              <w:rPr>
                <w:rFonts w:hint="default" w:cs="Arial" w:asciiTheme="minorAscii" w:hAnsiTheme="minorAscii"/>
                <w:sz w:val="22"/>
                <w:szCs w:val="22"/>
                <w:lang w:val="en-US" w:eastAsia="zh-CN" w:bidi="ar-SA"/>
              </w:rPr>
              <w:instrText xml:space="preserve"> HYPERLINK "https://doi.org/10.54675/PCSP7350" </w:instrText>
            </w:r>
            <w:r>
              <w:rPr>
                <w:rFonts w:hint="default" w:cs="Arial" w:asciiTheme="minorAscii" w:hAnsiTheme="minorAscii"/>
                <w:sz w:val="22"/>
                <w:szCs w:val="22"/>
                <w:lang w:val="en-US" w:eastAsia="zh-CN" w:bidi="ar-SA"/>
              </w:rPr>
              <w:fldChar w:fldCharType="separate"/>
            </w:r>
            <w:r>
              <w:rPr>
                <w:rStyle w:val="18"/>
                <w:rFonts w:hint="default" w:cs="Arial" w:asciiTheme="minorAscii" w:hAnsiTheme="minorAscii"/>
                <w:sz w:val="22"/>
                <w:szCs w:val="22"/>
                <w:lang w:val="en-US" w:eastAsia="zh-CN" w:bidi="ar-SA"/>
              </w:rPr>
              <w:t>https://doi.org/10.54675/PCSP7350</w:t>
            </w:r>
            <w:r>
              <w:rPr>
                <w:rFonts w:hint="default"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(Assessed: 07 February 7 2025). </w:t>
            </w:r>
          </w:p>
          <w:p>
            <w:pPr>
              <w:rPr>
                <w:rFonts w:hint="eastAsia" w:asciiTheme="minorHAnsi" w:hAnsiTheme="minorHAnsi" w:cstheme="minorHAnsi"/>
                <w:color w:val="808080" w:themeColor="text1" w:themeTint="80"/>
                <w:sz w:val="24"/>
                <w:szCs w:val="24"/>
                <w14:textFill>
                  <w14:solidFill>
                    <w14:schemeClr w14:val="tx1">
                      <w14:lumMod w14:val="50000"/>
                      <w14:lumOff w14:val="50000"/>
                    </w14:schemeClr>
                  </w14:solidFill>
                </w14:textFill>
              </w:rPr>
            </w:pPr>
          </w:p>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Na Li &amp; Ziwei Fang</w:t>
            </w:r>
            <w:r>
              <w:rPr>
                <w:rFonts w:hint="default" w:eastAsia="Times New Roman" w:cs="Arial" w:asciiTheme="minorAscii" w:hAnsiTheme="minorAscii"/>
                <w:sz w:val="22"/>
                <w:szCs w:val="22"/>
                <w:lang w:val="en-US" w:eastAsia="zh-CN" w:bidi="ar-SA"/>
              </w:rPr>
              <w:t xml:space="preserve">. (2025) </w:t>
            </w:r>
            <w:r>
              <w:rPr>
                <w:rFonts w:hint="default" w:cs="Arial" w:asciiTheme="minorAscii" w:hAnsiTheme="minorAscii"/>
                <w:sz w:val="22"/>
                <w:szCs w:val="22"/>
                <w:lang w:val="en-US" w:eastAsia="zh-CN" w:bidi="ar-SA"/>
              </w:rPr>
              <w:t xml:space="preserve">“What exactly is ‘DeepSeek’ that everyone is talking about?”, </w:t>
            </w:r>
            <w:r>
              <w:rPr>
                <w:rFonts w:hint="default" w:ascii="Calibri Italic" w:hAnsi="Calibri Italic" w:cs="Calibri Italic"/>
                <w:i/>
                <w:iCs/>
                <w:sz w:val="22"/>
                <w:szCs w:val="22"/>
                <w:lang w:val="en-US" w:eastAsia="zh-CN" w:bidi="ar-SA"/>
              </w:rPr>
              <w:t>People’s Daily</w:t>
            </w:r>
            <w:r>
              <w:rPr>
                <w:rFonts w:hint="default" w:cs="Arial" w:asciiTheme="minorAscii" w:hAnsiTheme="minorAscii"/>
                <w:sz w:val="22"/>
                <w:szCs w:val="22"/>
                <w:lang w:val="en-US" w:eastAsia="zh-CN" w:bidi="ar-SA"/>
              </w:rPr>
              <w:t xml:space="preserve">, 29 January. Available at: </w:t>
            </w:r>
            <w:r>
              <w:rPr>
                <w:rFonts w:hint="default" w:cs="Arial" w:asciiTheme="minorAscii" w:hAnsiTheme="minorAscii"/>
                <w:sz w:val="22"/>
                <w:szCs w:val="22"/>
                <w:lang w:val="en-US" w:eastAsia="zh-CN" w:bidi="ar-SA"/>
              </w:rPr>
              <w:fldChar w:fldCharType="begin"/>
            </w:r>
            <w:r>
              <w:rPr>
                <w:rFonts w:hint="default" w:cs="Arial" w:asciiTheme="minorAscii" w:hAnsiTheme="minorAscii"/>
                <w:sz w:val="22"/>
                <w:szCs w:val="22"/>
                <w:lang w:val="en-US" w:eastAsia="zh-CN" w:bidi="ar-SA"/>
              </w:rPr>
              <w:instrText xml:space="preserve"> HYPERLINK "https://mp.weixin.qq.com/s/FAEqVpU7FQDSrV5ugmQNGg" </w:instrText>
            </w:r>
            <w:r>
              <w:rPr>
                <w:rFonts w:hint="default" w:cs="Arial" w:asciiTheme="minorAscii" w:hAnsiTheme="minorAscii"/>
                <w:sz w:val="22"/>
                <w:szCs w:val="22"/>
                <w:lang w:val="en-US" w:eastAsia="zh-CN" w:bidi="ar-SA"/>
              </w:rPr>
              <w:fldChar w:fldCharType="separate"/>
            </w:r>
            <w:r>
              <w:rPr>
                <w:rStyle w:val="18"/>
                <w:rFonts w:hint="default" w:cs="Arial" w:asciiTheme="minorAscii" w:hAnsiTheme="minorAscii"/>
                <w:sz w:val="22"/>
                <w:szCs w:val="22"/>
                <w:lang w:val="en-US" w:eastAsia="zh-CN" w:bidi="ar-SA"/>
              </w:rPr>
              <w:t>https://mp.weixin.qq.com/s/FAEqVpU7FQDSrV5ugmQNGg</w:t>
            </w:r>
            <w:r>
              <w:rPr>
                <w:rFonts w:hint="default" w:cs="Arial" w:asciiTheme="minorAscii" w:hAnsiTheme="minorAscii"/>
                <w:sz w:val="22"/>
                <w:szCs w:val="22"/>
                <w:lang w:val="en-US" w:eastAsia="zh-CN" w:bidi="ar-SA"/>
              </w:rPr>
              <w:fldChar w:fldCharType="end"/>
            </w:r>
            <w:r>
              <w:rPr>
                <w:rFonts w:hint="default" w:asciiTheme="minorHAnsi" w:hAnsiTheme="minorHAnsi" w:cstheme="minorHAnsi"/>
                <w:color w:val="808080" w:themeColor="text1" w:themeTint="80"/>
                <w:sz w:val="24"/>
                <w:szCs w:val="24"/>
                <w:lang w:val="en-US"/>
                <w14:textFill>
                  <w14:solidFill>
                    <w14:schemeClr w14:val="tx1">
                      <w14:lumMod w14:val="50000"/>
                      <w14:lumOff w14:val="50000"/>
                    </w14:schemeClr>
                  </w14:solidFill>
                </w14:textFill>
              </w:rPr>
              <w:t xml:space="preserve"> </w:t>
            </w:r>
            <w:r>
              <w:rPr>
                <w:rFonts w:hint="default" w:cs="Arial" w:asciiTheme="minorAscii" w:hAnsiTheme="minorAscii"/>
                <w:sz w:val="22"/>
                <w:szCs w:val="22"/>
                <w:lang w:val="en-US" w:eastAsia="zh-CN" w:bidi="ar-SA"/>
              </w:rPr>
              <w:t>(Accessed: 06 February 6, 2025).</w:t>
            </w:r>
          </w:p>
          <w:p>
            <w:pPr>
              <w:rPr>
                <w:rFonts w:hint="default" w:cs="Arial" w:asciiTheme="minorAscii" w:hAnsiTheme="minorAscii"/>
                <w:sz w:val="22"/>
                <w:szCs w:val="22"/>
                <w:lang w:val="en-US" w:eastAsia="zh-CN" w:bidi="ar-SA"/>
              </w:rPr>
            </w:pPr>
          </w:p>
          <w:p>
            <w:pPr>
              <w:keepNext w:val="0"/>
              <w:keepLines w:val="0"/>
              <w:widowControl/>
              <w:suppressLineNumbers w:val="0"/>
              <w:jc w:val="left"/>
              <w:rPr>
                <w:rFonts w:hint="default" w:cs="Arial" w:asciiTheme="minorAscii" w:hAnsiTheme="minorAscii"/>
                <w:sz w:val="22"/>
                <w:szCs w:val="22"/>
                <w:lang w:val="en-US" w:eastAsia="zh-CN" w:bidi="ar-SA"/>
              </w:rPr>
            </w:pPr>
            <w:r>
              <w:rPr>
                <w:rFonts w:hint="default" w:eastAsia="Times New Roman" w:cs="Arial" w:asciiTheme="minorAscii" w:hAnsiTheme="minorAscii"/>
                <w:sz w:val="22"/>
                <w:szCs w:val="22"/>
                <w:lang w:val="en-US" w:eastAsia="zh-CN" w:bidi="ar-SA"/>
              </w:rPr>
              <w:t xml:space="preserve">Nguyen, L.Q., Le, H.V. and Nguyen, P.T. (2024) ‘A mixed-methods study on the use of ChatGPT in the pre-writing stage: EFL learners’ utilization patterns, affective engagement, and writing performance’, </w:t>
            </w:r>
            <w:r>
              <w:rPr>
                <w:rFonts w:hint="default" w:ascii="Calibri Italic" w:hAnsi="Calibri Italic" w:eastAsia="Times New Roman" w:cs="Calibri Italic"/>
                <w:i/>
                <w:iCs/>
                <w:sz w:val="22"/>
                <w:szCs w:val="22"/>
                <w:lang w:val="en-US" w:eastAsia="zh-CN" w:bidi="ar-SA"/>
              </w:rPr>
              <w:t>Education and Information Technologies.</w:t>
            </w:r>
            <w:r>
              <w:rPr>
                <w:rFonts w:hint="default" w:eastAsia="Times New Roman" w:cs="Arial" w:asciiTheme="minorAscii" w:hAnsiTheme="minorAscii"/>
                <w:sz w:val="22"/>
                <w:szCs w:val="22"/>
                <w:lang w:val="en-US" w:eastAsia="zh-CN" w:bidi="ar-SA"/>
              </w:rPr>
              <w:t xml:space="preserve"> Available at: </w:t>
            </w:r>
            <w:r>
              <w:rPr>
                <w:rFonts w:hint="default" w:eastAsia="Times New Roman" w:cs="Arial" w:asciiTheme="minorAscii" w:hAnsiTheme="minorAscii"/>
                <w:sz w:val="22"/>
                <w:szCs w:val="22"/>
                <w:lang w:val="en-US" w:eastAsia="zh-CN" w:bidi="ar-SA"/>
              </w:rPr>
              <w:fldChar w:fldCharType="begin"/>
            </w:r>
            <w:r>
              <w:rPr>
                <w:rFonts w:hint="default" w:eastAsia="Times New Roman" w:cs="Arial" w:asciiTheme="minorAscii" w:hAnsiTheme="minorAscii"/>
                <w:sz w:val="22"/>
                <w:szCs w:val="22"/>
                <w:lang w:val="en-US" w:eastAsia="zh-CN" w:bidi="ar-SA"/>
              </w:rPr>
              <w:instrText xml:space="preserve"> HYPERLINK "https://doi.org/10.1007/s10639-024-13231-8" </w:instrText>
            </w:r>
            <w:r>
              <w:rPr>
                <w:rFonts w:hint="default" w:eastAsia="Times New Roman" w:cs="Arial" w:asciiTheme="minorAscii" w:hAnsiTheme="minorAscii"/>
                <w:sz w:val="22"/>
                <w:szCs w:val="22"/>
                <w:lang w:val="en-US" w:eastAsia="zh-CN" w:bidi="ar-SA"/>
              </w:rPr>
              <w:fldChar w:fldCharType="separate"/>
            </w:r>
            <w:r>
              <w:rPr>
                <w:rStyle w:val="18"/>
                <w:rFonts w:hint="default" w:eastAsia="Times New Roman" w:cs="Arial" w:asciiTheme="minorAscii" w:hAnsiTheme="minorAscii"/>
                <w:sz w:val="22"/>
                <w:szCs w:val="22"/>
                <w:lang w:val="en-US" w:eastAsia="zh-CN" w:bidi="ar-SA"/>
              </w:rPr>
              <w:t>https://doi.org/10.1007/s10639-024-13231-8</w:t>
            </w:r>
            <w:r>
              <w:rPr>
                <w:rFonts w:hint="default" w:eastAsia="Times New Roman"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keepNext w:val="0"/>
              <w:keepLines w:val="0"/>
              <w:widowControl/>
              <w:suppressLineNumbers w:val="0"/>
              <w:jc w:val="left"/>
              <w:rPr>
                <w:rFonts w:hint="default" w:cs="Arial" w:asciiTheme="minorAscii" w:hAnsiTheme="minorAscii"/>
                <w:sz w:val="22"/>
                <w:szCs w:val="22"/>
                <w:lang w:val="en-US" w:eastAsia="zh-CN" w:bidi="ar-SA"/>
              </w:rPr>
            </w:pPr>
          </w:p>
          <w:p>
            <w:pPr>
              <w:keepNext w:val="0"/>
              <w:keepLines w:val="0"/>
              <w:widowControl/>
              <w:suppressLineNumbers w:val="0"/>
              <w:spacing w:line="27" w:lineRule="atLeast"/>
              <w:jc w:val="left"/>
              <w:rPr>
                <w:rFonts w:hint="default" w:cs="Arial" w:asciiTheme="minorAscii" w:hAnsiTheme="minorAscii"/>
                <w:sz w:val="22"/>
                <w:szCs w:val="22"/>
                <w:lang w:val="en-US" w:eastAsia="zh-CN" w:bidi="ar-SA"/>
              </w:rPr>
            </w:pPr>
            <w:r>
              <w:rPr>
                <w:rFonts w:hint="default" w:eastAsia="Times New Roman" w:cs="Arial" w:asciiTheme="minorAscii" w:hAnsiTheme="minorAscii"/>
                <w:sz w:val="22"/>
                <w:szCs w:val="22"/>
                <w:lang w:val="en-US" w:eastAsia="zh-CN" w:bidi="ar-SA"/>
              </w:rPr>
              <w:t>Nugroho, A.</w:t>
            </w:r>
            <w:r>
              <w:rPr>
                <w:rFonts w:hint="default" w:cs="Arial" w:asciiTheme="minorAscii" w:hAnsiTheme="minorAscii"/>
                <w:sz w:val="22"/>
                <w:szCs w:val="22"/>
                <w:lang w:val="en-US" w:eastAsia="zh-CN" w:bidi="ar-SA"/>
              </w:rPr>
              <w:t>,</w:t>
            </w:r>
            <w:r>
              <w:rPr>
                <w:rFonts w:hint="default" w:eastAsia="Times New Roman" w:cs="Arial" w:asciiTheme="minorAscii" w:hAnsiTheme="minorAscii"/>
                <w:sz w:val="22"/>
                <w:szCs w:val="22"/>
                <w:lang w:val="en-US" w:eastAsia="zh-CN" w:bidi="ar-SA"/>
              </w:rPr>
              <w:t xml:space="preserve"> </w:t>
            </w:r>
            <w:r>
              <w:rPr>
                <w:rFonts w:hint="default" w:cs="Arial" w:asciiTheme="minorAscii" w:hAnsiTheme="minorAscii"/>
                <w:sz w:val="22"/>
                <w:szCs w:val="22"/>
                <w:lang w:val="en-US" w:eastAsia="zh-CN" w:bidi="ar-SA"/>
              </w:rPr>
              <w:t>Andriyanti E., Widodo P. and Mutiaraningrum I.</w:t>
            </w:r>
            <w:r>
              <w:rPr>
                <w:rFonts w:hint="default" w:eastAsia="Times New Roman" w:cs="Arial" w:asciiTheme="minorAscii" w:hAnsiTheme="minorAscii"/>
                <w:sz w:val="22"/>
                <w:szCs w:val="22"/>
                <w:lang w:val="en-US" w:eastAsia="zh-CN" w:bidi="ar-SA"/>
              </w:rPr>
              <w:t xml:space="preserve"> (2024) ‘Students’ appraisals post-ChatGPT use: Students’ narrative after using ChatGPT for writing’, </w:t>
            </w:r>
            <w:r>
              <w:rPr>
                <w:rFonts w:hint="default" w:ascii="Calibri Italic" w:hAnsi="Calibri Italic" w:eastAsia="Times New Roman" w:cs="Calibri Italic"/>
                <w:i/>
                <w:iCs/>
                <w:sz w:val="22"/>
                <w:szCs w:val="22"/>
                <w:lang w:val="en-US" w:eastAsia="zh-CN" w:bidi="ar-SA"/>
              </w:rPr>
              <w:t>Innovations in Education and Teaching International</w:t>
            </w:r>
            <w:r>
              <w:rPr>
                <w:rFonts w:hint="default" w:eastAsia="Times New Roman" w:cs="Arial" w:asciiTheme="minorAscii" w:hAnsiTheme="minorAscii"/>
                <w:sz w:val="22"/>
                <w:szCs w:val="22"/>
                <w:lang w:val="en-US" w:eastAsia="zh-CN" w:bidi="ar-SA"/>
              </w:rPr>
              <w:t xml:space="preserve">, pp. 1–13. Available at: </w:t>
            </w:r>
            <w:r>
              <w:rPr>
                <w:rFonts w:hint="default" w:eastAsia="Times New Roman" w:cs="Arial" w:asciiTheme="minorAscii" w:hAnsiTheme="minorAscii"/>
                <w:sz w:val="22"/>
                <w:szCs w:val="22"/>
                <w:lang w:val="en-US" w:eastAsia="zh-CN" w:bidi="ar-SA"/>
              </w:rPr>
              <w:fldChar w:fldCharType="begin"/>
            </w:r>
            <w:r>
              <w:rPr>
                <w:rFonts w:hint="default" w:eastAsia="Times New Roman" w:cs="Arial" w:asciiTheme="minorAscii" w:hAnsiTheme="minorAscii"/>
                <w:sz w:val="22"/>
                <w:szCs w:val="22"/>
                <w:lang w:val="en-US" w:eastAsia="zh-CN" w:bidi="ar-SA"/>
              </w:rPr>
              <w:instrText xml:space="preserve"> HYPERLINK "https://doi.org/10.1080/14703297.2024.2319184" </w:instrText>
            </w:r>
            <w:r>
              <w:rPr>
                <w:rFonts w:hint="default" w:eastAsia="Times New Roman" w:cs="Arial" w:asciiTheme="minorAscii" w:hAnsiTheme="minorAscii"/>
                <w:sz w:val="22"/>
                <w:szCs w:val="22"/>
                <w:lang w:val="en-US" w:eastAsia="zh-CN" w:bidi="ar-SA"/>
              </w:rPr>
              <w:fldChar w:fldCharType="separate"/>
            </w:r>
            <w:r>
              <w:rPr>
                <w:rStyle w:val="18"/>
                <w:rFonts w:hint="default" w:eastAsia="Times New Roman" w:cs="Arial" w:asciiTheme="minorAscii" w:hAnsiTheme="minorAscii"/>
                <w:sz w:val="22"/>
                <w:szCs w:val="22"/>
                <w:lang w:val="en-US" w:eastAsia="zh-CN" w:bidi="ar-SA"/>
              </w:rPr>
              <w:t>https://doi.org/10.1080/14703297.2024.2319184</w:t>
            </w:r>
            <w:r>
              <w:rPr>
                <w:rFonts w:hint="default" w:eastAsia="Times New Roman"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keepNext w:val="0"/>
              <w:keepLines w:val="0"/>
              <w:widowControl/>
              <w:suppressLineNumbers w:val="0"/>
              <w:jc w:val="left"/>
              <w:rPr>
                <w:rFonts w:hint="default" w:cs="Arial" w:asciiTheme="minorAscii" w:hAnsiTheme="minorAscii"/>
                <w:sz w:val="22"/>
                <w:szCs w:val="22"/>
                <w:lang w:val="en-US" w:eastAsia="zh-CN" w:bidi="ar-SA"/>
              </w:rPr>
            </w:pPr>
          </w:p>
          <w:p>
            <w:pPr>
              <w:keepNext w:val="0"/>
              <w:keepLines w:val="0"/>
              <w:widowControl/>
              <w:suppressLineNumbers w:val="0"/>
              <w:spacing w:line="27" w:lineRule="atLeast"/>
              <w:jc w:val="left"/>
              <w:rPr>
                <w:rFonts w:hint="default" w:cs="Arial" w:asciiTheme="minorAscii" w:hAnsiTheme="minorAscii"/>
                <w:sz w:val="22"/>
                <w:szCs w:val="22"/>
                <w:lang w:val="en-US" w:eastAsia="zh-CN" w:bidi="ar-SA"/>
              </w:rPr>
            </w:pPr>
            <w:r>
              <w:rPr>
                <w:rFonts w:hint="default" w:eastAsia="Times New Roman" w:cs="Arial" w:asciiTheme="minorAscii" w:hAnsiTheme="minorAscii"/>
                <w:sz w:val="22"/>
                <w:szCs w:val="22"/>
                <w:lang w:val="en-US" w:eastAsia="zh-CN" w:bidi="ar-SA"/>
              </w:rPr>
              <w:t xml:space="preserve">Stahl, B.C. and Eke, D. (2024) ‘The </w:t>
            </w:r>
            <w:r>
              <w:rPr>
                <w:rFonts w:hint="default" w:cs="Arial" w:asciiTheme="minorAscii" w:hAnsiTheme="minorAscii"/>
                <w:sz w:val="22"/>
                <w:szCs w:val="22"/>
                <w:lang w:val="en-US" w:eastAsia="zh-CN" w:bidi="ar-SA"/>
              </w:rPr>
              <w:t>e</w:t>
            </w:r>
            <w:r>
              <w:rPr>
                <w:rFonts w:hint="default" w:eastAsia="Times New Roman" w:cs="Arial" w:asciiTheme="minorAscii" w:hAnsiTheme="minorAscii"/>
                <w:sz w:val="22"/>
                <w:szCs w:val="22"/>
                <w:lang w:val="en-US" w:eastAsia="zh-CN" w:bidi="ar-SA"/>
              </w:rPr>
              <w:t xml:space="preserve">thics of ChatGPT – </w:t>
            </w:r>
            <w:r>
              <w:rPr>
                <w:rFonts w:hint="default" w:cs="Arial" w:asciiTheme="minorAscii" w:hAnsiTheme="minorAscii"/>
                <w:sz w:val="22"/>
                <w:szCs w:val="22"/>
                <w:lang w:val="en-US" w:eastAsia="zh-CN" w:bidi="ar-SA"/>
              </w:rPr>
              <w:t>e</w:t>
            </w:r>
            <w:r>
              <w:rPr>
                <w:rFonts w:hint="default" w:eastAsia="Times New Roman" w:cs="Arial" w:asciiTheme="minorAscii" w:hAnsiTheme="minorAscii"/>
                <w:sz w:val="22"/>
                <w:szCs w:val="22"/>
                <w:lang w:val="en-US" w:eastAsia="zh-CN" w:bidi="ar-SA"/>
              </w:rPr>
              <w:t xml:space="preserve">xploring the </w:t>
            </w:r>
            <w:r>
              <w:rPr>
                <w:rFonts w:hint="default" w:cs="Arial" w:asciiTheme="minorAscii" w:hAnsiTheme="minorAscii"/>
                <w:sz w:val="22"/>
                <w:szCs w:val="22"/>
                <w:lang w:val="en-US" w:eastAsia="zh-CN" w:bidi="ar-SA"/>
              </w:rPr>
              <w:t>e</w:t>
            </w:r>
            <w:r>
              <w:rPr>
                <w:rFonts w:hint="default" w:eastAsia="Times New Roman" w:cs="Arial" w:asciiTheme="minorAscii" w:hAnsiTheme="minorAscii"/>
                <w:sz w:val="22"/>
                <w:szCs w:val="22"/>
                <w:lang w:val="en-US" w:eastAsia="zh-CN" w:bidi="ar-SA"/>
              </w:rPr>
              <w:t xml:space="preserve">thical </w:t>
            </w:r>
            <w:r>
              <w:rPr>
                <w:rFonts w:hint="default" w:cs="Arial" w:asciiTheme="minorAscii" w:hAnsiTheme="minorAscii"/>
                <w:sz w:val="22"/>
                <w:szCs w:val="22"/>
                <w:lang w:val="en-US" w:eastAsia="zh-CN" w:bidi="ar-SA"/>
              </w:rPr>
              <w:t>i</w:t>
            </w:r>
            <w:r>
              <w:rPr>
                <w:rFonts w:hint="default" w:eastAsia="Times New Roman" w:cs="Arial" w:asciiTheme="minorAscii" w:hAnsiTheme="minorAscii"/>
                <w:sz w:val="22"/>
                <w:szCs w:val="22"/>
                <w:lang w:val="en-US" w:eastAsia="zh-CN" w:bidi="ar-SA"/>
              </w:rPr>
              <w:t xml:space="preserve">ssues of an </w:t>
            </w:r>
            <w:r>
              <w:rPr>
                <w:rFonts w:hint="default" w:cs="Arial" w:asciiTheme="minorAscii" w:hAnsiTheme="minorAscii"/>
                <w:sz w:val="22"/>
                <w:szCs w:val="22"/>
                <w:lang w:val="en-US" w:eastAsia="zh-CN" w:bidi="ar-SA"/>
              </w:rPr>
              <w:t>e</w:t>
            </w:r>
            <w:r>
              <w:rPr>
                <w:rFonts w:hint="default" w:eastAsia="Times New Roman" w:cs="Arial" w:asciiTheme="minorAscii" w:hAnsiTheme="minorAscii"/>
                <w:sz w:val="22"/>
                <w:szCs w:val="22"/>
                <w:lang w:val="en-US" w:eastAsia="zh-CN" w:bidi="ar-SA"/>
              </w:rPr>
              <w:t xml:space="preserve">merging </w:t>
            </w:r>
            <w:r>
              <w:rPr>
                <w:rFonts w:hint="default" w:cs="Arial" w:asciiTheme="minorAscii" w:hAnsiTheme="minorAscii"/>
                <w:sz w:val="22"/>
                <w:szCs w:val="22"/>
                <w:lang w:val="en-US" w:eastAsia="zh-CN" w:bidi="ar-SA"/>
              </w:rPr>
              <w:t>t</w:t>
            </w:r>
            <w:r>
              <w:rPr>
                <w:rFonts w:hint="default" w:eastAsia="Times New Roman" w:cs="Arial" w:asciiTheme="minorAscii" w:hAnsiTheme="minorAscii"/>
                <w:sz w:val="22"/>
                <w:szCs w:val="22"/>
                <w:lang w:val="en-US" w:eastAsia="zh-CN" w:bidi="ar-SA"/>
              </w:rPr>
              <w:t xml:space="preserve">echnology’, </w:t>
            </w:r>
            <w:r>
              <w:rPr>
                <w:rFonts w:hint="default" w:ascii="Calibri Italic" w:hAnsi="Calibri Italic" w:eastAsia="Times New Roman" w:cs="Calibri Italic"/>
                <w:i/>
                <w:iCs/>
                <w:sz w:val="22"/>
                <w:szCs w:val="22"/>
                <w:lang w:val="en-US" w:eastAsia="zh-CN" w:bidi="ar-SA"/>
              </w:rPr>
              <w:t>International Journal of Information Management</w:t>
            </w:r>
            <w:r>
              <w:rPr>
                <w:rFonts w:hint="default" w:eastAsia="Times New Roman" w:cs="Arial" w:asciiTheme="minorAscii" w:hAnsiTheme="minorAscii"/>
                <w:sz w:val="22"/>
                <w:szCs w:val="22"/>
                <w:lang w:val="en-US" w:eastAsia="zh-CN" w:bidi="ar-SA"/>
              </w:rPr>
              <w:t xml:space="preserve">, 74 article 102700. Available at: </w:t>
            </w:r>
            <w:r>
              <w:rPr>
                <w:rFonts w:hint="default" w:eastAsia="Times New Roman" w:cs="Arial" w:asciiTheme="minorAscii" w:hAnsiTheme="minorAscii"/>
                <w:sz w:val="22"/>
                <w:szCs w:val="22"/>
                <w:lang w:val="en-US" w:eastAsia="zh-CN" w:bidi="ar-SA"/>
              </w:rPr>
              <w:fldChar w:fldCharType="begin"/>
            </w:r>
            <w:r>
              <w:rPr>
                <w:rFonts w:hint="default" w:eastAsia="Times New Roman" w:cs="Arial" w:asciiTheme="minorAscii" w:hAnsiTheme="minorAscii"/>
                <w:sz w:val="22"/>
                <w:szCs w:val="22"/>
                <w:lang w:val="en-US" w:eastAsia="zh-CN" w:bidi="ar-SA"/>
              </w:rPr>
              <w:instrText xml:space="preserve"> HYPERLINK "https://doi.org/10.1016/j.ijinfomgt.2023.102700" </w:instrText>
            </w:r>
            <w:r>
              <w:rPr>
                <w:rFonts w:hint="default" w:eastAsia="Times New Roman" w:cs="Arial" w:asciiTheme="minorAscii" w:hAnsiTheme="minorAscii"/>
                <w:sz w:val="22"/>
                <w:szCs w:val="22"/>
                <w:lang w:val="en-US" w:eastAsia="zh-CN" w:bidi="ar-SA"/>
              </w:rPr>
              <w:fldChar w:fldCharType="separate"/>
            </w:r>
            <w:r>
              <w:rPr>
                <w:rStyle w:val="18"/>
                <w:rFonts w:hint="default" w:eastAsia="Times New Roman" w:cs="Arial" w:asciiTheme="minorAscii" w:hAnsiTheme="minorAscii"/>
                <w:sz w:val="22"/>
                <w:szCs w:val="22"/>
                <w:lang w:val="en-US" w:eastAsia="zh-CN" w:bidi="ar-SA"/>
              </w:rPr>
              <w:t>https://doi.org/10.1016/j.ijinfomgt.2023.102700</w:t>
            </w:r>
            <w:r>
              <w:rPr>
                <w:rFonts w:hint="default" w:eastAsia="Times New Roman"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keepNext w:val="0"/>
              <w:keepLines w:val="0"/>
              <w:widowControl/>
              <w:suppressLineNumbers w:val="0"/>
              <w:spacing w:line="27" w:lineRule="atLeast"/>
              <w:jc w:val="left"/>
              <w:rPr>
                <w:rFonts w:hint="default" w:ascii="Times New Roman" w:hAnsi="Times New Roman" w:cs="Times New Roman"/>
                <w:sz w:val="24"/>
                <w:szCs w:val="24"/>
                <w:lang w:val="en-US" w:eastAsia="zh-CN"/>
              </w:rPr>
            </w:pPr>
          </w:p>
          <w:p>
            <w:pPr>
              <w:keepNext w:val="0"/>
              <w:keepLines w:val="0"/>
              <w:widowControl/>
              <w:suppressLineNumbers w:val="0"/>
              <w:jc w:val="left"/>
              <w:rPr>
                <w:rFonts w:hint="eastAsia" w:cs="Arial" w:asciiTheme="minorAscii" w:hAnsiTheme="minorAscii"/>
                <w:sz w:val="22"/>
                <w:szCs w:val="22"/>
                <w:lang w:val="en-US" w:eastAsia="zh-CN" w:bidi="ar-SA"/>
              </w:rPr>
            </w:pPr>
            <w:r>
              <w:rPr>
                <w:rFonts w:hint="default" w:eastAsia="Times New Roman" w:cs="Arial" w:asciiTheme="minorAscii" w:hAnsiTheme="minorAscii"/>
                <w:sz w:val="22"/>
                <w:szCs w:val="22"/>
                <w:lang w:val="en-US" w:eastAsia="zh-CN" w:bidi="ar-SA"/>
              </w:rPr>
              <w:t>Tlatso</w:t>
            </w:r>
            <w:r>
              <w:rPr>
                <w:rFonts w:hint="default" w:cs="Arial" w:asciiTheme="minorAscii" w:hAnsiTheme="minorAscii"/>
                <w:sz w:val="22"/>
                <w:szCs w:val="22"/>
                <w:lang w:val="en-US" w:eastAsia="zh-CN" w:bidi="ar-SA"/>
              </w:rPr>
              <w:t>, N.</w:t>
            </w:r>
            <w:r>
              <w:rPr>
                <w:rFonts w:hint="default" w:eastAsia="Times New Roman" w:cs="Arial" w:asciiTheme="minorAscii" w:hAnsiTheme="minorAscii"/>
                <w:sz w:val="22"/>
                <w:szCs w:val="22"/>
                <w:lang w:val="en-US" w:eastAsia="zh-CN" w:bidi="ar-SA"/>
              </w:rPr>
              <w:t>, and Chaka</w:t>
            </w:r>
            <w:r>
              <w:rPr>
                <w:rFonts w:hint="default" w:cs="Arial" w:asciiTheme="minorAscii" w:hAnsiTheme="minorAscii"/>
                <w:sz w:val="22"/>
                <w:szCs w:val="22"/>
                <w:lang w:val="en-US" w:eastAsia="zh-CN" w:bidi="ar-SA"/>
              </w:rPr>
              <w:t>, C</w:t>
            </w:r>
            <w:r>
              <w:rPr>
                <w:rFonts w:hint="default" w:eastAsia="Times New Roman" w:cs="Arial" w:asciiTheme="minorAscii" w:hAnsiTheme="minorAscii"/>
                <w:sz w:val="22"/>
                <w:szCs w:val="22"/>
                <w:lang w:val="en-US" w:eastAsia="zh-CN" w:bidi="ar-SA"/>
              </w:rPr>
              <w:t>.</w:t>
            </w:r>
            <w:r>
              <w:rPr>
                <w:rFonts w:hint="default" w:cs="Arial" w:asciiTheme="minorAscii" w:hAnsiTheme="minorAscii"/>
                <w:sz w:val="22"/>
                <w:szCs w:val="22"/>
                <w:lang w:val="en-US" w:eastAsia="zh-CN" w:bidi="ar-SA"/>
              </w:rPr>
              <w:t xml:space="preserve"> (2023) ‘</w:t>
            </w:r>
            <w:r>
              <w:rPr>
                <w:rFonts w:hint="default" w:eastAsia="Times New Roman" w:cs="Arial" w:asciiTheme="minorAscii" w:hAnsiTheme="minorAscii"/>
                <w:sz w:val="22"/>
                <w:szCs w:val="22"/>
                <w:lang w:val="en-US" w:eastAsia="zh-CN" w:bidi="ar-SA"/>
              </w:rPr>
              <w:t>Student-</w:t>
            </w:r>
            <w:r>
              <w:rPr>
                <w:rFonts w:hint="default" w:cs="Arial" w:asciiTheme="minorAscii" w:hAnsiTheme="minorAscii"/>
                <w:sz w:val="22"/>
                <w:szCs w:val="22"/>
                <w:lang w:val="en-US" w:eastAsia="zh-CN" w:bidi="ar-SA"/>
              </w:rPr>
              <w:t>w</w:t>
            </w:r>
            <w:r>
              <w:rPr>
                <w:rFonts w:hint="default" w:eastAsia="Times New Roman" w:cs="Arial" w:asciiTheme="minorAscii" w:hAnsiTheme="minorAscii"/>
                <w:sz w:val="22"/>
                <w:szCs w:val="22"/>
                <w:lang w:val="en-US" w:eastAsia="zh-CN" w:bidi="ar-SA"/>
              </w:rPr>
              <w:t>ritten versus ChatGPT-</w:t>
            </w:r>
            <w:r>
              <w:rPr>
                <w:rFonts w:hint="default" w:cs="Arial" w:asciiTheme="minorAscii" w:hAnsiTheme="minorAscii"/>
                <w:sz w:val="22"/>
                <w:szCs w:val="22"/>
                <w:lang w:val="en-US" w:eastAsia="zh-CN" w:bidi="ar-SA"/>
              </w:rPr>
              <w:t>g</w:t>
            </w:r>
            <w:r>
              <w:rPr>
                <w:rFonts w:hint="default" w:eastAsia="Times New Roman" w:cs="Arial" w:asciiTheme="minorAscii" w:hAnsiTheme="minorAscii"/>
                <w:sz w:val="22"/>
                <w:szCs w:val="22"/>
                <w:lang w:val="en-US" w:eastAsia="zh-CN" w:bidi="ar-SA"/>
              </w:rPr>
              <w:t xml:space="preserve">enerated </w:t>
            </w:r>
            <w:r>
              <w:rPr>
                <w:rFonts w:hint="default" w:cs="Arial" w:asciiTheme="minorAscii" w:hAnsiTheme="minorAscii"/>
                <w:sz w:val="22"/>
                <w:szCs w:val="22"/>
                <w:lang w:val="en-US" w:eastAsia="zh-CN" w:bidi="ar-SA"/>
              </w:rPr>
              <w:t>d</w:t>
            </w:r>
            <w:r>
              <w:rPr>
                <w:rFonts w:hint="default" w:eastAsia="Times New Roman" w:cs="Arial" w:asciiTheme="minorAscii" w:hAnsiTheme="minorAscii"/>
                <w:sz w:val="22"/>
                <w:szCs w:val="22"/>
                <w:lang w:val="en-US" w:eastAsia="zh-CN" w:bidi="ar-SA"/>
              </w:rPr>
              <w:t xml:space="preserve">iscursive </w:t>
            </w:r>
            <w:r>
              <w:rPr>
                <w:rFonts w:hint="default" w:cs="Arial" w:asciiTheme="minorAscii" w:hAnsiTheme="minorAscii"/>
                <w:sz w:val="22"/>
                <w:szCs w:val="22"/>
                <w:lang w:val="en-US" w:eastAsia="zh-CN" w:bidi="ar-SA"/>
              </w:rPr>
              <w:t>e</w:t>
            </w:r>
            <w:r>
              <w:rPr>
                <w:rFonts w:hint="default" w:eastAsia="Times New Roman" w:cs="Arial" w:asciiTheme="minorAscii" w:hAnsiTheme="minorAscii"/>
                <w:sz w:val="22"/>
                <w:szCs w:val="22"/>
                <w:lang w:val="en-US" w:eastAsia="zh-CN" w:bidi="ar-SA"/>
              </w:rPr>
              <w:t xml:space="preserve">ssays: A </w:t>
            </w:r>
            <w:r>
              <w:rPr>
                <w:rFonts w:hint="default" w:cs="Arial" w:asciiTheme="minorAscii" w:hAnsiTheme="minorAscii"/>
                <w:sz w:val="22"/>
                <w:szCs w:val="22"/>
                <w:lang w:val="en-US" w:eastAsia="zh-CN" w:bidi="ar-SA"/>
              </w:rPr>
              <w:t>c</w:t>
            </w:r>
            <w:r>
              <w:rPr>
                <w:rFonts w:hint="default" w:eastAsia="Times New Roman" w:cs="Arial" w:asciiTheme="minorAscii" w:hAnsiTheme="minorAscii"/>
                <w:sz w:val="22"/>
                <w:szCs w:val="22"/>
                <w:lang w:val="en-US" w:eastAsia="zh-CN" w:bidi="ar-SA"/>
              </w:rPr>
              <w:t xml:space="preserve">omparative Coh-Metrix </w:t>
            </w:r>
            <w:r>
              <w:rPr>
                <w:rFonts w:hint="default" w:cs="Arial" w:asciiTheme="minorAscii" w:hAnsiTheme="minorAscii"/>
                <w:sz w:val="22"/>
                <w:szCs w:val="22"/>
                <w:lang w:val="en-US" w:eastAsia="zh-CN" w:bidi="ar-SA"/>
              </w:rPr>
              <w:t>a</w:t>
            </w:r>
            <w:r>
              <w:rPr>
                <w:rFonts w:hint="default" w:eastAsia="Times New Roman" w:cs="Arial" w:asciiTheme="minorAscii" w:hAnsiTheme="minorAscii"/>
                <w:sz w:val="22"/>
                <w:szCs w:val="22"/>
                <w:lang w:val="en-US" w:eastAsia="zh-CN" w:bidi="ar-SA"/>
              </w:rPr>
              <w:t xml:space="preserve">nalysis of </w:t>
            </w:r>
            <w:r>
              <w:rPr>
                <w:rFonts w:hint="default" w:cs="Arial" w:asciiTheme="minorAscii" w:hAnsiTheme="minorAscii"/>
                <w:sz w:val="22"/>
                <w:szCs w:val="22"/>
                <w:lang w:val="en-US" w:eastAsia="zh-CN" w:bidi="ar-SA"/>
              </w:rPr>
              <w:t>l</w:t>
            </w:r>
            <w:r>
              <w:rPr>
                <w:rFonts w:hint="default" w:eastAsia="Times New Roman" w:cs="Arial" w:asciiTheme="minorAscii" w:hAnsiTheme="minorAscii"/>
                <w:sz w:val="22"/>
                <w:szCs w:val="22"/>
                <w:lang w:val="en-US" w:eastAsia="zh-CN" w:bidi="ar-SA"/>
              </w:rPr>
              <w:t xml:space="preserve">exical </w:t>
            </w:r>
            <w:r>
              <w:rPr>
                <w:rFonts w:hint="default" w:cs="Arial" w:asciiTheme="minorAscii" w:hAnsiTheme="minorAscii"/>
                <w:sz w:val="22"/>
                <w:szCs w:val="22"/>
                <w:lang w:val="en-US" w:eastAsia="zh-CN" w:bidi="ar-SA"/>
              </w:rPr>
              <w:t>d</w:t>
            </w:r>
            <w:r>
              <w:rPr>
                <w:rFonts w:hint="default" w:eastAsia="Times New Roman" w:cs="Arial" w:asciiTheme="minorAscii" w:hAnsiTheme="minorAscii"/>
                <w:sz w:val="22"/>
                <w:szCs w:val="22"/>
                <w:lang w:val="en-US" w:eastAsia="zh-CN" w:bidi="ar-SA"/>
              </w:rPr>
              <w:t xml:space="preserve">iversity, </w:t>
            </w:r>
            <w:r>
              <w:rPr>
                <w:rFonts w:hint="default" w:cs="Arial" w:asciiTheme="minorAscii" w:hAnsiTheme="minorAscii"/>
                <w:sz w:val="22"/>
                <w:szCs w:val="22"/>
                <w:lang w:val="en-US" w:eastAsia="zh-CN" w:bidi="ar-SA"/>
              </w:rPr>
              <w:t>s</w:t>
            </w:r>
            <w:r>
              <w:rPr>
                <w:rFonts w:hint="default" w:eastAsia="Times New Roman" w:cs="Arial" w:asciiTheme="minorAscii" w:hAnsiTheme="minorAscii"/>
                <w:sz w:val="22"/>
                <w:szCs w:val="22"/>
                <w:lang w:val="en-US" w:eastAsia="zh-CN" w:bidi="ar-SA"/>
              </w:rPr>
              <w:t xml:space="preserve">yntactic </w:t>
            </w:r>
            <w:r>
              <w:rPr>
                <w:rFonts w:hint="default" w:cs="Arial" w:asciiTheme="minorAscii" w:hAnsiTheme="minorAscii"/>
                <w:sz w:val="22"/>
                <w:szCs w:val="22"/>
                <w:lang w:val="en-US" w:eastAsia="zh-CN" w:bidi="ar-SA"/>
              </w:rPr>
              <w:t>c</w:t>
            </w:r>
            <w:r>
              <w:rPr>
                <w:rFonts w:hint="default" w:eastAsia="Times New Roman" w:cs="Arial" w:asciiTheme="minorAscii" w:hAnsiTheme="minorAscii"/>
                <w:sz w:val="22"/>
                <w:szCs w:val="22"/>
                <w:lang w:val="en-US" w:eastAsia="zh-CN" w:bidi="ar-SA"/>
              </w:rPr>
              <w:t xml:space="preserve">omplexity, and </w:t>
            </w:r>
            <w:r>
              <w:rPr>
                <w:rFonts w:hint="default" w:cs="Arial" w:asciiTheme="minorAscii" w:hAnsiTheme="minorAscii"/>
                <w:sz w:val="22"/>
                <w:szCs w:val="22"/>
                <w:lang w:val="en-US" w:eastAsia="zh-CN" w:bidi="ar-SA"/>
              </w:rPr>
              <w:t>r</w:t>
            </w:r>
            <w:r>
              <w:rPr>
                <w:rFonts w:hint="default" w:eastAsia="Times New Roman" w:cs="Arial" w:asciiTheme="minorAscii" w:hAnsiTheme="minorAscii"/>
                <w:sz w:val="22"/>
                <w:szCs w:val="22"/>
                <w:lang w:val="en-US" w:eastAsia="zh-CN" w:bidi="ar-SA"/>
              </w:rPr>
              <w:t xml:space="preserve">eferential </w:t>
            </w:r>
            <w:r>
              <w:rPr>
                <w:rFonts w:hint="default" w:cs="Arial" w:asciiTheme="minorAscii" w:hAnsiTheme="minorAscii"/>
                <w:sz w:val="22"/>
                <w:szCs w:val="22"/>
                <w:lang w:val="en-US" w:eastAsia="zh-CN" w:bidi="ar-SA"/>
              </w:rPr>
              <w:t>c</w:t>
            </w:r>
            <w:r>
              <w:rPr>
                <w:rFonts w:hint="default" w:eastAsia="Times New Roman" w:cs="Arial" w:asciiTheme="minorAscii" w:hAnsiTheme="minorAscii"/>
                <w:sz w:val="22"/>
                <w:szCs w:val="22"/>
                <w:lang w:val="en-US" w:eastAsia="zh-CN" w:bidi="ar-SA"/>
              </w:rPr>
              <w:t>ohesion.</w:t>
            </w:r>
            <w:r>
              <w:rPr>
                <w:rFonts w:hint="default" w:cs="Arial" w:asciiTheme="minorAscii" w:hAnsiTheme="minorAscii"/>
                <w:sz w:val="22"/>
                <w:szCs w:val="22"/>
                <w:lang w:val="en-US" w:eastAsia="zh-CN" w:bidi="ar-SA"/>
              </w:rPr>
              <w:t xml:space="preserve">’ </w:t>
            </w:r>
            <w:r>
              <w:rPr>
                <w:rFonts w:hint="default" w:ascii="Calibri Italic" w:hAnsi="Calibri Italic" w:eastAsia="Times New Roman" w:cs="Calibri Italic"/>
                <w:i/>
                <w:iCs/>
                <w:sz w:val="22"/>
                <w:szCs w:val="22"/>
                <w:lang w:val="en-US" w:eastAsia="zh-CN" w:bidi="ar-SA"/>
              </w:rPr>
              <w:t>International Journal of Education and Development using Information and Communication Technology</w:t>
            </w:r>
            <w:r>
              <w:rPr>
                <w:rFonts w:hint="default" w:eastAsia="Times New Roman" w:cs="Arial" w:asciiTheme="minorAscii" w:hAnsiTheme="minorAscii"/>
                <w:sz w:val="22"/>
                <w:szCs w:val="22"/>
                <w:lang w:val="en-US" w:eastAsia="zh-CN" w:bidi="ar-SA"/>
              </w:rPr>
              <w:t> 19.3 (2023): 69-84.</w:t>
            </w:r>
            <w:r>
              <w:rPr>
                <w:rFonts w:hint="default" w:cs="Arial" w:asciiTheme="minorAscii" w:hAnsiTheme="minorAscii"/>
                <w:sz w:val="22"/>
                <w:szCs w:val="22"/>
                <w:lang w:val="en-US" w:eastAsia="zh-CN" w:bidi="ar-SA"/>
              </w:rPr>
              <w:t xml:space="preserve"> Available at: </w:t>
            </w:r>
            <w:r>
              <w:rPr>
                <w:rFonts w:hint="default" w:cs="Arial" w:asciiTheme="minorAscii" w:hAnsiTheme="minorAscii"/>
                <w:sz w:val="22"/>
                <w:szCs w:val="22"/>
                <w:lang w:val="en-US" w:eastAsia="zh-CN" w:bidi="ar-SA"/>
              </w:rPr>
              <w:fldChar w:fldCharType="begin"/>
            </w:r>
            <w:r>
              <w:rPr>
                <w:rFonts w:hint="default" w:cs="Arial" w:asciiTheme="minorAscii" w:hAnsiTheme="minorAscii"/>
                <w:sz w:val="22"/>
                <w:szCs w:val="22"/>
                <w:lang w:val="en-US" w:eastAsia="zh-CN" w:bidi="ar-SA"/>
              </w:rPr>
              <w:instrText xml:space="preserve"> HYPERLINK "https://files.eric.ed.gov/fulltext/EJ1413432.pdf" </w:instrText>
            </w:r>
            <w:r>
              <w:rPr>
                <w:rFonts w:hint="default" w:cs="Arial" w:asciiTheme="minorAscii" w:hAnsiTheme="minorAscii"/>
                <w:sz w:val="22"/>
                <w:szCs w:val="22"/>
                <w:lang w:val="en-US" w:eastAsia="zh-CN" w:bidi="ar-SA"/>
              </w:rPr>
              <w:fldChar w:fldCharType="separate"/>
            </w:r>
            <w:r>
              <w:rPr>
                <w:rStyle w:val="18"/>
                <w:rFonts w:hint="default" w:cs="Arial" w:asciiTheme="minorAscii" w:hAnsiTheme="minorAscii"/>
                <w:sz w:val="22"/>
                <w:szCs w:val="22"/>
                <w:lang w:val="en-US" w:eastAsia="zh-CN" w:bidi="ar-SA"/>
              </w:rPr>
              <w:t>https://files.eric.ed.gov/fulltext/EJ1413432.pdf</w:t>
            </w:r>
            <w:r>
              <w:rPr>
                <w:rFonts w:hint="default"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keepNext w:val="0"/>
              <w:keepLines w:val="0"/>
              <w:widowControl/>
              <w:suppressLineNumbers w:val="0"/>
              <w:jc w:val="left"/>
              <w:rPr>
                <w:rFonts w:hint="eastAsia" w:eastAsia="Times New Roman" w:cs="Arial" w:asciiTheme="minorAscii" w:hAnsiTheme="minorAscii"/>
                <w:sz w:val="22"/>
                <w:szCs w:val="22"/>
                <w:lang w:val="en-US" w:eastAsia="zh-CN" w:bidi="ar-SA"/>
              </w:rPr>
            </w:pPr>
            <w:r>
              <w:rPr>
                <w:rFonts w:hint="eastAsia" w:eastAsia="Times New Roman" w:cs="Arial" w:asciiTheme="minorAscii" w:hAnsiTheme="minorAscii"/>
                <w:sz w:val="22"/>
                <w:szCs w:val="22"/>
                <w:lang w:val="en-US" w:eastAsia="zh-CN" w:bidi="ar-SA"/>
              </w:rPr>
              <w:t>Pedró</w:t>
            </w:r>
            <w:r>
              <w:rPr>
                <w:rFonts w:hint="default" w:cs="Arial" w:asciiTheme="minorAscii" w:hAnsiTheme="minorAscii"/>
                <w:sz w:val="22"/>
                <w:szCs w:val="22"/>
                <w:lang w:val="en-US" w:eastAsia="zh-CN" w:bidi="ar-SA"/>
              </w:rPr>
              <w:t>,</w:t>
            </w:r>
            <w:r>
              <w:rPr>
                <w:rFonts w:hint="eastAsia" w:eastAsia="Times New Roman" w:cs="Arial" w:asciiTheme="minorAscii" w:hAnsiTheme="minorAscii"/>
                <w:sz w:val="22"/>
                <w:szCs w:val="22"/>
                <w:lang w:val="en-US" w:eastAsia="zh-CN" w:bidi="ar-SA"/>
              </w:rPr>
              <w:t xml:space="preserve"> F., Subosa, M., Rivas, A., </w:t>
            </w:r>
            <w:r>
              <w:rPr>
                <w:rFonts w:hint="default" w:cs="Arial" w:asciiTheme="minorAscii" w:hAnsiTheme="minorAscii"/>
                <w:sz w:val="22"/>
                <w:szCs w:val="22"/>
                <w:lang w:val="en-US" w:eastAsia="zh-CN" w:bidi="ar-SA"/>
              </w:rPr>
              <w:t>and</w:t>
            </w:r>
            <w:r>
              <w:rPr>
                <w:rFonts w:hint="eastAsia" w:eastAsia="Times New Roman" w:cs="Arial" w:asciiTheme="minorAscii" w:hAnsiTheme="minorAscii"/>
                <w:sz w:val="22"/>
                <w:szCs w:val="22"/>
                <w:lang w:val="en-US" w:eastAsia="zh-CN" w:bidi="ar-SA"/>
              </w:rPr>
              <w:t xml:space="preserve"> Valverde, P. (2019)</w:t>
            </w:r>
            <w:r>
              <w:rPr>
                <w:rFonts w:hint="default" w:cs="Arial" w:asciiTheme="minorAscii" w:hAnsiTheme="minorAscii"/>
                <w:sz w:val="22"/>
                <w:szCs w:val="22"/>
                <w:lang w:val="en-US" w:eastAsia="zh-CN" w:bidi="ar-SA"/>
              </w:rPr>
              <w:t xml:space="preserve"> </w:t>
            </w:r>
            <w:r>
              <w:rPr>
                <w:rFonts w:hint="default" w:ascii="Calibri Italic" w:hAnsi="Calibri Italic" w:eastAsia="Times New Roman" w:cs="Calibri Italic"/>
                <w:i/>
                <w:iCs/>
                <w:sz w:val="22"/>
                <w:szCs w:val="22"/>
                <w:lang w:val="en-US" w:eastAsia="zh-CN" w:bidi="ar-SA"/>
              </w:rPr>
              <w:t>Artificial intelligence in education: Challenges and opportunities for sustainable development.</w:t>
            </w:r>
            <w:r>
              <w:rPr>
                <w:rFonts w:hint="default" w:cs="Arial" w:asciiTheme="minorAscii" w:hAnsiTheme="minorAscii"/>
                <w:sz w:val="22"/>
                <w:szCs w:val="22"/>
                <w:lang w:val="en-US" w:eastAsia="zh-CN" w:bidi="ar-SA"/>
              </w:rPr>
              <w:t xml:space="preserve"> Availabl</w:t>
            </w:r>
            <w:r>
              <w:rPr>
                <w:rFonts w:hint="default" w:eastAsia="Times New Roman" w:cs="Arial" w:asciiTheme="minorAscii" w:hAnsiTheme="minorAscii"/>
                <w:sz w:val="22"/>
                <w:szCs w:val="22"/>
                <w:lang w:val="en-US" w:eastAsia="zh-CN" w:bidi="ar-SA"/>
              </w:rPr>
              <w:t>e at:</w:t>
            </w:r>
            <w:r>
              <w:rPr>
                <w:rFonts w:hint="default" w:cs="Arial" w:asciiTheme="minorAscii" w:hAnsiTheme="minorAscii"/>
                <w:sz w:val="22"/>
                <w:szCs w:val="22"/>
                <w:lang w:val="en-US" w:eastAsia="zh-CN" w:bidi="ar-SA"/>
              </w:rPr>
              <w:t xml:space="preserve"> </w:t>
            </w:r>
            <w:r>
              <w:rPr>
                <w:rFonts w:hint="default" w:eastAsia="Times New Roman" w:cs="Arial" w:asciiTheme="minorAscii" w:hAnsiTheme="minorAscii"/>
                <w:sz w:val="22"/>
                <w:szCs w:val="22"/>
                <w:lang w:val="en-US" w:eastAsia="zh-CN" w:bidi="ar-SA"/>
              </w:rPr>
              <w:fldChar w:fldCharType="begin"/>
            </w:r>
            <w:r>
              <w:rPr>
                <w:rFonts w:hint="default" w:eastAsia="Times New Roman" w:cs="Arial" w:asciiTheme="minorAscii" w:hAnsiTheme="minorAscii"/>
                <w:sz w:val="22"/>
                <w:szCs w:val="22"/>
                <w:lang w:val="en-US" w:eastAsia="zh-CN" w:bidi="ar-SA"/>
              </w:rPr>
              <w:instrText xml:space="preserve"> HYPERLINK "https://unesdoc.unesco.org/ark:/48223/pf0000366994" </w:instrText>
            </w:r>
            <w:r>
              <w:rPr>
                <w:rFonts w:hint="default" w:eastAsia="Times New Roman" w:cs="Arial" w:asciiTheme="minorAscii" w:hAnsiTheme="minorAscii"/>
                <w:sz w:val="22"/>
                <w:szCs w:val="22"/>
                <w:lang w:val="en-US" w:eastAsia="zh-CN" w:bidi="ar-SA"/>
              </w:rPr>
              <w:fldChar w:fldCharType="separate"/>
            </w:r>
            <w:r>
              <w:rPr>
                <w:rStyle w:val="18"/>
                <w:rFonts w:hint="default" w:eastAsia="Times New Roman" w:cs="Arial" w:asciiTheme="minorAscii" w:hAnsiTheme="minorAscii"/>
                <w:sz w:val="22"/>
                <w:szCs w:val="22"/>
                <w:lang w:val="en-US" w:eastAsia="zh-CN" w:bidi="ar-SA"/>
              </w:rPr>
              <w:t>https://unesdoc.unesco.org/ark:/48223/pf0000366994</w:t>
            </w:r>
            <w:r>
              <w:rPr>
                <w:rFonts w:hint="default" w:eastAsia="Times New Roman"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rPr>
                <w:rFonts w:hint="eastAsia" w:eastAsia="Times New Roman" w:cs="Arial" w:asciiTheme="minorAscii" w:hAnsiTheme="minorAscii"/>
                <w:sz w:val="22"/>
                <w:szCs w:val="22"/>
                <w:lang w:val="en-US" w:eastAsia="zh-CN" w:bidi="ar-SA"/>
              </w:rPr>
            </w:pPr>
          </w:p>
          <w:p>
            <w:pPr>
              <w:keepNext w:val="0"/>
              <w:keepLines w:val="0"/>
              <w:widowControl/>
              <w:suppressLineNumbers w:val="0"/>
              <w:spacing w:line="27" w:lineRule="atLeast"/>
              <w:jc w:val="left"/>
              <w:rPr>
                <w:rFonts w:hint="eastAsia" w:cs="Arial" w:asciiTheme="minorAscii" w:hAnsiTheme="minorAscii"/>
                <w:sz w:val="22"/>
                <w:szCs w:val="22"/>
                <w:lang w:val="en-US" w:eastAsia="zh-CN" w:bidi="ar-SA"/>
              </w:rPr>
            </w:pPr>
            <w:r>
              <w:rPr>
                <w:rFonts w:hint="eastAsia" w:eastAsia="Times New Roman" w:cs="Arial" w:asciiTheme="minorAscii" w:hAnsiTheme="minorAscii"/>
                <w:sz w:val="22"/>
                <w:szCs w:val="22"/>
                <w:lang w:val="en-US" w:eastAsia="zh-CN" w:bidi="ar-SA"/>
              </w:rPr>
              <w:t xml:space="preserve">Song, C. and Song, Y. (2023) </w:t>
            </w:r>
            <w:r>
              <w:rPr>
                <w:rFonts w:hint="default" w:cs="Arial" w:asciiTheme="minorAscii" w:hAnsiTheme="minorAscii"/>
                <w:sz w:val="22"/>
                <w:szCs w:val="22"/>
                <w:lang w:val="en-US" w:eastAsia="zh-CN" w:bidi="ar-SA"/>
              </w:rPr>
              <w:t>‘</w:t>
            </w:r>
            <w:r>
              <w:rPr>
                <w:rFonts w:hint="eastAsia" w:eastAsia="Times New Roman" w:cs="Arial" w:asciiTheme="minorAscii" w:hAnsiTheme="minorAscii"/>
                <w:sz w:val="22"/>
                <w:szCs w:val="22"/>
                <w:lang w:val="en-US" w:eastAsia="zh-CN" w:bidi="ar-SA"/>
              </w:rPr>
              <w:t>Enhancing academic writing skills and motivation: assessing the efficacy of ChatGPT in AI-assisted language learning for EFL students</w:t>
            </w:r>
            <w:r>
              <w:rPr>
                <w:rFonts w:hint="default" w:cs="Arial" w:asciiTheme="minorAscii" w:hAnsiTheme="minorAscii"/>
                <w:sz w:val="22"/>
                <w:szCs w:val="22"/>
                <w:lang w:val="en-US" w:eastAsia="zh-CN" w:bidi="ar-SA"/>
              </w:rPr>
              <w:t>’</w:t>
            </w:r>
            <w:r>
              <w:rPr>
                <w:rFonts w:hint="eastAsia" w:eastAsia="Times New Roman" w:cs="Arial" w:asciiTheme="minorAscii" w:hAnsiTheme="minorAscii"/>
                <w:sz w:val="22"/>
                <w:szCs w:val="22"/>
                <w:lang w:val="en-US" w:eastAsia="zh-CN" w:bidi="ar-SA"/>
              </w:rPr>
              <w:t xml:space="preserve">, </w:t>
            </w:r>
            <w:r>
              <w:rPr>
                <w:rFonts w:hint="default" w:ascii="Calibri Italic" w:hAnsi="Calibri Italic" w:eastAsia="Times New Roman" w:cs="Calibri Italic"/>
                <w:i/>
                <w:iCs/>
                <w:sz w:val="22"/>
                <w:szCs w:val="22"/>
                <w:lang w:val="en-US" w:eastAsia="zh-CN" w:bidi="ar-SA"/>
              </w:rPr>
              <w:t>Frontiers in Psychology</w:t>
            </w:r>
            <w:r>
              <w:rPr>
                <w:rFonts w:hint="eastAsia" w:eastAsia="Times New Roman" w:cs="Arial" w:asciiTheme="minorAscii" w:hAnsiTheme="minorAscii"/>
                <w:sz w:val="22"/>
                <w:szCs w:val="22"/>
                <w:lang w:val="en-US" w:eastAsia="zh-CN" w:bidi="ar-SA"/>
              </w:rPr>
              <w:t xml:space="preserve">, 14. Available at: </w:t>
            </w:r>
            <w:r>
              <w:rPr>
                <w:rFonts w:hint="eastAsia" w:eastAsia="Times New Roman" w:cs="Arial" w:asciiTheme="minorAscii" w:hAnsiTheme="minorAscii"/>
                <w:sz w:val="22"/>
                <w:szCs w:val="22"/>
                <w:lang w:val="en-US" w:eastAsia="zh-CN" w:bidi="ar-SA"/>
              </w:rPr>
              <w:fldChar w:fldCharType="begin"/>
            </w:r>
            <w:r>
              <w:rPr>
                <w:rFonts w:hint="eastAsia" w:eastAsia="Times New Roman" w:cs="Arial" w:asciiTheme="minorAscii" w:hAnsiTheme="minorAscii"/>
                <w:sz w:val="22"/>
                <w:szCs w:val="22"/>
                <w:lang w:val="en-US" w:eastAsia="zh-CN" w:bidi="ar-SA"/>
              </w:rPr>
              <w:instrText xml:space="preserve"> HYPERLINK "https://doi.org/10.3389/fpsyg.2023.1260843" </w:instrText>
            </w:r>
            <w:r>
              <w:rPr>
                <w:rFonts w:hint="eastAsia" w:eastAsia="Times New Roman" w:cs="Arial" w:asciiTheme="minorAscii" w:hAnsiTheme="minorAscii"/>
                <w:sz w:val="22"/>
                <w:szCs w:val="22"/>
                <w:lang w:val="en-US" w:eastAsia="zh-CN" w:bidi="ar-SA"/>
              </w:rPr>
              <w:fldChar w:fldCharType="separate"/>
            </w:r>
            <w:r>
              <w:rPr>
                <w:rStyle w:val="18"/>
                <w:rFonts w:hint="eastAsia" w:eastAsia="Times New Roman" w:cs="Arial" w:asciiTheme="minorAscii" w:hAnsiTheme="minorAscii"/>
                <w:sz w:val="22"/>
                <w:szCs w:val="22"/>
                <w:lang w:val="en-US" w:eastAsia="zh-CN" w:bidi="ar-SA"/>
              </w:rPr>
              <w:t>https://doi.org/10.3389/fpsyg.2023.1260843</w:t>
            </w:r>
            <w:r>
              <w:rPr>
                <w:rFonts w:hint="eastAsia" w:eastAsia="Times New Roman"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pStyle w:val="11"/>
              <w:keepNext w:val="0"/>
              <w:keepLines w:val="0"/>
              <w:widowControl/>
              <w:suppressLineNumbers w:val="0"/>
              <w:rPr>
                <w:rFonts w:hint="default" w:ascii="Times New Roman Bold" w:hAnsi="Times New Roman Bold" w:cs="Times New Roman Bold"/>
                <w:b/>
                <w:bCs/>
                <w:sz w:val="22"/>
                <w:szCs w:val="22"/>
                <w:lang w:val="en-US" w:eastAsia="zh-CN" w:bidi="ar-SA"/>
              </w:rPr>
            </w:pPr>
            <w:r>
              <w:rPr>
                <w:rFonts w:hint="default" w:cs="Arial" w:asciiTheme="minorAscii" w:hAnsiTheme="minorAscii"/>
                <w:sz w:val="22"/>
                <w:szCs w:val="22"/>
                <w:lang w:val="en-US" w:eastAsia="zh-CN" w:bidi="ar-SA"/>
              </w:rPr>
              <w:t xml:space="preserve">Tsai, C.Y., Lin, Y.T. and Brown, I.K. (2024) ‘Impacts of ChatGPT-assisted writing for EFL English majors: Feasibility and challenges’, </w:t>
            </w:r>
            <w:r>
              <w:rPr>
                <w:rFonts w:hint="default" w:ascii="Calibri Italic" w:hAnsi="Calibri Italic" w:cs="Calibri Italic"/>
                <w:i/>
                <w:iCs/>
                <w:sz w:val="22"/>
                <w:szCs w:val="22"/>
                <w:lang w:val="en-US" w:eastAsia="zh-CN" w:bidi="ar-SA"/>
              </w:rPr>
              <w:t>Education and Information Technologies</w:t>
            </w:r>
            <w:r>
              <w:rPr>
                <w:rFonts w:hint="default" w:cs="Arial" w:asciiTheme="minorAscii" w:hAnsiTheme="minorAscii"/>
                <w:sz w:val="22"/>
                <w:szCs w:val="22"/>
                <w:lang w:val="en-US" w:eastAsia="zh-CN" w:bidi="ar-SA"/>
              </w:rPr>
              <w:t xml:space="preserve">, 29(17), pp. 22427–22445. Available at: </w:t>
            </w:r>
            <w:r>
              <w:rPr>
                <w:rFonts w:hint="default" w:cs="Arial" w:asciiTheme="minorAscii" w:hAnsiTheme="minorAscii"/>
                <w:sz w:val="22"/>
                <w:szCs w:val="22"/>
                <w:lang w:val="en-US" w:eastAsia="zh-CN" w:bidi="ar-SA"/>
              </w:rPr>
              <w:fldChar w:fldCharType="begin"/>
            </w:r>
            <w:r>
              <w:rPr>
                <w:rFonts w:hint="default" w:cs="Arial" w:asciiTheme="minorAscii" w:hAnsiTheme="minorAscii"/>
                <w:sz w:val="22"/>
                <w:szCs w:val="22"/>
                <w:lang w:val="en-US" w:eastAsia="zh-CN" w:bidi="ar-SA"/>
              </w:rPr>
              <w:instrText xml:space="preserve"> HYPERLINK "https://doi.org/10.1007/s10639-024-12722-y" </w:instrText>
            </w:r>
            <w:r>
              <w:rPr>
                <w:rFonts w:hint="default" w:cs="Arial" w:asciiTheme="minorAscii" w:hAnsiTheme="minorAscii"/>
                <w:sz w:val="22"/>
                <w:szCs w:val="22"/>
                <w:lang w:val="en-US" w:eastAsia="zh-CN" w:bidi="ar-SA"/>
              </w:rPr>
              <w:fldChar w:fldCharType="separate"/>
            </w:r>
            <w:r>
              <w:rPr>
                <w:rStyle w:val="18"/>
                <w:rFonts w:hint="default" w:cs="Arial" w:asciiTheme="minorAscii" w:hAnsiTheme="minorAscii"/>
                <w:sz w:val="22"/>
                <w:szCs w:val="22"/>
                <w:lang w:val="en-US" w:eastAsia="zh-CN" w:bidi="ar-SA"/>
              </w:rPr>
              <w:t>https://doi.org/10.1007/s10639-024-12722-y</w:t>
            </w:r>
            <w:r>
              <w:rPr>
                <w:rFonts w:hint="default"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rPr>
                <w:rFonts w:hint="default" w:cs="Arial" w:asciiTheme="minorAscii" w:hAnsiTheme="minorAscii"/>
                <w:sz w:val="22"/>
                <w:szCs w:val="22"/>
                <w:lang w:val="en-US" w:eastAsia="zh-CN" w:bidi="ar-SA"/>
              </w:rPr>
            </w:pPr>
            <w:r>
              <w:rPr>
                <w:rFonts w:hint="default" w:cs="Arial" w:asciiTheme="minorAscii" w:hAnsiTheme="minorAscii"/>
                <w:sz w:val="22"/>
                <w:szCs w:val="22"/>
                <w:lang w:val="en-US" w:eastAsia="zh-CN" w:bidi="ar-SA"/>
              </w:rPr>
              <w:t xml:space="preserve">Weigle, S. C. (2009) </w:t>
            </w:r>
            <w:r>
              <w:rPr>
                <w:rFonts w:hint="default" w:ascii="Calibri Italic" w:hAnsi="Calibri Italic" w:cs="Calibri Italic"/>
                <w:i/>
                <w:iCs/>
                <w:sz w:val="22"/>
                <w:szCs w:val="22"/>
                <w:lang w:val="en-US" w:eastAsia="zh-CN" w:bidi="ar-SA"/>
              </w:rPr>
              <w:t>Assessing writing</w:t>
            </w:r>
            <w:r>
              <w:rPr>
                <w:rFonts w:hint="default" w:cs="Arial" w:asciiTheme="minorAscii" w:hAnsiTheme="minorAscii"/>
                <w:sz w:val="22"/>
                <w:szCs w:val="22"/>
                <w:lang w:val="en-US" w:eastAsia="zh-CN" w:bidi="ar-SA"/>
              </w:rPr>
              <w:t>. 6th edn. Cambridge: Cambridge University Press.</w:t>
            </w:r>
          </w:p>
          <w:p>
            <w:pPr>
              <w:rPr>
                <w:rFonts w:hint="default" w:cs="Arial" w:asciiTheme="minorAscii" w:hAnsiTheme="minorAscii"/>
                <w:sz w:val="22"/>
                <w:szCs w:val="22"/>
                <w:lang w:val="en-US" w:eastAsia="zh-CN" w:bidi="ar-SA"/>
              </w:rPr>
            </w:pPr>
          </w:p>
          <w:p>
            <w:pPr>
              <w:keepNext w:val="0"/>
              <w:keepLines w:val="0"/>
              <w:widowControl/>
              <w:suppressLineNumbers w:val="0"/>
              <w:spacing w:line="27" w:lineRule="atLeast"/>
              <w:jc w:val="left"/>
              <w:rPr>
                <w:rFonts w:hint="default" w:eastAsia="Times New Roman" w:cs="Arial" w:asciiTheme="minorAscii" w:hAnsiTheme="minorAscii"/>
                <w:sz w:val="22"/>
                <w:szCs w:val="22"/>
                <w:lang w:val="en-US" w:eastAsia="zh-CN" w:bidi="ar-SA"/>
              </w:rPr>
            </w:pPr>
            <w:r>
              <w:rPr>
                <w:rFonts w:hint="default" w:eastAsia="Times New Roman" w:cs="Arial" w:asciiTheme="minorAscii" w:hAnsiTheme="minorAscii"/>
                <w:sz w:val="22"/>
                <w:szCs w:val="22"/>
                <w:lang w:val="en-US" w:eastAsia="zh-CN" w:bidi="ar-SA"/>
              </w:rPr>
              <w:t xml:space="preserve">Werdiningsih, I. </w:t>
            </w:r>
            <w:r>
              <w:rPr>
                <w:rFonts w:hint="default" w:cs="Arial" w:asciiTheme="minorAscii" w:hAnsiTheme="minorAscii"/>
                <w:sz w:val="22"/>
                <w:szCs w:val="22"/>
                <w:lang w:val="en-US" w:eastAsia="zh-CN" w:bidi="ar-SA"/>
              </w:rPr>
              <w:t>Marzuki, Indrawati, I., Rusdin, D., Ivone, F.M. Basthomi, Y. and Zulfahreza</w:t>
            </w:r>
            <w:r>
              <w:rPr>
                <w:rFonts w:hint="default" w:eastAsia="Times New Roman" w:cs="Arial" w:asciiTheme="minorAscii" w:hAnsiTheme="minorAscii"/>
                <w:sz w:val="22"/>
                <w:szCs w:val="22"/>
                <w:lang w:val="en-US" w:eastAsia="zh-CN" w:bidi="ar-SA"/>
              </w:rPr>
              <w:t xml:space="preserve"> (2024) ‘Revolutionizing EFL writing: unveiling the strategic use of ChatGPT by Indonesian master’s students’, </w:t>
            </w:r>
            <w:r>
              <w:rPr>
                <w:rFonts w:hint="default" w:ascii="Calibri Italic" w:hAnsi="Calibri Italic" w:eastAsia="Times New Roman" w:cs="Calibri Italic"/>
                <w:i/>
                <w:iCs/>
                <w:sz w:val="22"/>
                <w:szCs w:val="22"/>
                <w:lang w:val="en-US" w:eastAsia="zh-CN" w:bidi="ar-SA"/>
              </w:rPr>
              <w:t>Cogent Education</w:t>
            </w:r>
            <w:r>
              <w:rPr>
                <w:rFonts w:hint="default" w:eastAsia="Times New Roman" w:cs="Arial" w:asciiTheme="minorAscii" w:hAnsiTheme="minorAscii"/>
                <w:sz w:val="22"/>
                <w:szCs w:val="22"/>
                <w:lang w:val="en-US" w:eastAsia="zh-CN" w:bidi="ar-SA"/>
              </w:rPr>
              <w:t xml:space="preserve">, 11(1), p. 2399431. Available at: </w:t>
            </w:r>
            <w:r>
              <w:rPr>
                <w:rFonts w:hint="default" w:cs="Arial" w:asciiTheme="minorAscii" w:hAnsiTheme="minorAscii"/>
                <w:sz w:val="22"/>
                <w:szCs w:val="22"/>
                <w:lang w:val="en-US" w:eastAsia="zh-CN" w:bidi="ar-SA"/>
              </w:rPr>
              <w:t xml:space="preserve">  </w:t>
            </w:r>
            <w:r>
              <w:rPr>
                <w:rFonts w:hint="default" w:cs="Arial" w:asciiTheme="minorAscii" w:hAnsiTheme="minorAscii"/>
                <w:sz w:val="22"/>
                <w:szCs w:val="22"/>
                <w:lang w:val="en-US" w:eastAsia="zh-CN" w:bidi="ar-SA"/>
              </w:rPr>
              <w:fldChar w:fldCharType="begin"/>
            </w:r>
            <w:r>
              <w:rPr>
                <w:rFonts w:hint="default" w:cs="Arial" w:asciiTheme="minorAscii" w:hAnsiTheme="minorAscii"/>
                <w:sz w:val="22"/>
                <w:szCs w:val="22"/>
                <w:lang w:val="en-US" w:eastAsia="zh-CN" w:bidi="ar-SA"/>
              </w:rPr>
              <w:instrText xml:space="preserve"> HYPERLINK "https://doi.org/10.1080/2331186X.2024.2399431" </w:instrText>
            </w:r>
            <w:r>
              <w:rPr>
                <w:rFonts w:hint="default" w:cs="Arial" w:asciiTheme="minorAscii" w:hAnsiTheme="minorAscii"/>
                <w:sz w:val="22"/>
                <w:szCs w:val="22"/>
                <w:lang w:val="en-US" w:eastAsia="zh-CN" w:bidi="ar-SA"/>
              </w:rPr>
              <w:fldChar w:fldCharType="separate"/>
            </w:r>
            <w:r>
              <w:rPr>
                <w:rStyle w:val="18"/>
                <w:rFonts w:hint="default" w:cs="Arial" w:asciiTheme="minorAscii" w:hAnsiTheme="minorAscii"/>
                <w:sz w:val="22"/>
                <w:szCs w:val="22"/>
                <w:lang w:val="en-US" w:eastAsia="zh-CN" w:bidi="ar-SA"/>
              </w:rPr>
              <w:t>https://doi.org/10.1080/2331186X.2024.2399431</w:t>
            </w:r>
            <w:r>
              <w:rPr>
                <w:rFonts w:hint="default"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rPr>
                <w:rFonts w:hint="default" w:cs="Arial" w:asciiTheme="minorAscii" w:hAnsiTheme="minorAscii"/>
                <w:sz w:val="22"/>
                <w:szCs w:val="22"/>
                <w:lang w:val="en-US" w:eastAsia="zh-CN" w:bidi="ar-SA"/>
              </w:rPr>
            </w:pPr>
          </w:p>
          <w:p>
            <w:pPr>
              <w:rPr>
                <w:rFonts w:hint="default" w:cs="Arial" w:asciiTheme="minorAscii" w:hAnsiTheme="minorAscii"/>
                <w:sz w:val="22"/>
                <w:szCs w:val="22"/>
                <w:lang w:val="en-US" w:eastAsia="zh-CN" w:bidi="ar-SA"/>
              </w:rPr>
            </w:pPr>
            <w:r>
              <w:rPr>
                <w:rFonts w:hint="default" w:eastAsia="Times New Roman" w:cs="Arial" w:asciiTheme="minorAscii" w:hAnsiTheme="minorAscii"/>
                <w:sz w:val="22"/>
                <w:szCs w:val="22"/>
                <w:lang w:val="en-US" w:eastAsia="zh-CN" w:bidi="ar-SA"/>
              </w:rPr>
              <w:t>Woo, D.J</w:t>
            </w:r>
            <w:r>
              <w:rPr>
                <w:rFonts w:hint="default" w:cs="Arial" w:asciiTheme="minorAscii" w:hAnsiTheme="minorAscii"/>
                <w:sz w:val="22"/>
                <w:szCs w:val="22"/>
                <w:lang w:val="en-US" w:eastAsia="zh-CN" w:bidi="ar-SA"/>
              </w:rPr>
              <w:t>., Wang, D.L., Guo, K. and Susanto, H.</w:t>
            </w:r>
            <w:r>
              <w:rPr>
                <w:rFonts w:hint="default" w:eastAsia="Times New Roman" w:cs="Arial" w:asciiTheme="minorAscii" w:hAnsiTheme="minorAscii"/>
                <w:sz w:val="22"/>
                <w:szCs w:val="22"/>
                <w:lang w:val="en-US" w:eastAsia="zh-CN" w:bidi="ar-SA"/>
              </w:rPr>
              <w:t xml:space="preserve"> </w:t>
            </w:r>
            <w:r>
              <w:rPr>
                <w:rFonts w:hint="default" w:cs="Arial" w:asciiTheme="minorAscii" w:hAnsiTheme="minorAscii"/>
                <w:sz w:val="22"/>
                <w:szCs w:val="22"/>
                <w:lang w:val="en-US" w:eastAsia="zh-CN" w:bidi="ar-SA"/>
              </w:rPr>
              <w:t xml:space="preserve">(2024) ‘Teaching EFL students to write with ChatGPT: Students’ motivation to learn, cognitive load, and satisfaction with the learning process’, </w:t>
            </w:r>
            <w:r>
              <w:rPr>
                <w:rFonts w:hint="default" w:ascii="Calibri Italic" w:hAnsi="Calibri Italic" w:cs="Calibri Italic"/>
                <w:i/>
                <w:iCs/>
                <w:sz w:val="22"/>
                <w:szCs w:val="22"/>
                <w:lang w:val="en-US" w:eastAsia="zh-CN" w:bidi="ar-SA"/>
              </w:rPr>
              <w:t>Education and Information Technologies</w:t>
            </w:r>
            <w:r>
              <w:rPr>
                <w:rFonts w:hint="default" w:cs="Arial" w:asciiTheme="minorAscii" w:hAnsiTheme="minorAscii"/>
                <w:sz w:val="22"/>
                <w:szCs w:val="22"/>
                <w:lang w:val="en-US" w:eastAsia="zh-CN" w:bidi="ar-SA"/>
              </w:rPr>
              <w:t xml:space="preserve">, 29(18), pp. 24963–24990. Available at: </w:t>
            </w:r>
            <w:r>
              <w:rPr>
                <w:rFonts w:hint="default" w:cs="Arial" w:asciiTheme="minorAscii" w:hAnsiTheme="minorAscii"/>
                <w:sz w:val="22"/>
                <w:szCs w:val="22"/>
                <w:lang w:val="en-US" w:eastAsia="zh-CN" w:bidi="ar-SA"/>
              </w:rPr>
              <w:fldChar w:fldCharType="begin"/>
            </w:r>
            <w:r>
              <w:rPr>
                <w:rFonts w:hint="default" w:cs="Arial" w:asciiTheme="minorAscii" w:hAnsiTheme="minorAscii"/>
                <w:sz w:val="22"/>
                <w:szCs w:val="22"/>
                <w:lang w:val="en-US" w:eastAsia="zh-CN" w:bidi="ar-SA"/>
              </w:rPr>
              <w:instrText xml:space="preserve"> HYPERLINK "https://doi.org/10.1007/s10639-024-12819-4" </w:instrText>
            </w:r>
            <w:r>
              <w:rPr>
                <w:rFonts w:hint="default" w:cs="Arial" w:asciiTheme="minorAscii" w:hAnsiTheme="minorAscii"/>
                <w:sz w:val="22"/>
                <w:szCs w:val="22"/>
                <w:lang w:val="en-US" w:eastAsia="zh-CN" w:bidi="ar-SA"/>
              </w:rPr>
              <w:fldChar w:fldCharType="separate"/>
            </w:r>
            <w:r>
              <w:rPr>
                <w:rStyle w:val="18"/>
                <w:rFonts w:hint="default" w:cs="Arial" w:asciiTheme="minorAscii" w:hAnsiTheme="minorAscii"/>
                <w:sz w:val="22"/>
                <w:szCs w:val="22"/>
                <w:lang w:val="en-US" w:eastAsia="zh-CN" w:bidi="ar-SA"/>
              </w:rPr>
              <w:t>https://doi.org/10.1007/s10639-024-12819-4</w:t>
            </w:r>
            <w:r>
              <w:rPr>
                <w:rFonts w:hint="default"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rPr>
                <w:rFonts w:hint="eastAsia" w:asciiTheme="minorHAnsi" w:hAnsiTheme="minorHAnsi" w:cstheme="minorHAnsi"/>
                <w:color w:val="808080" w:themeColor="text1" w:themeTint="80"/>
                <w:sz w:val="24"/>
                <w:szCs w:val="24"/>
                <w14:textFill>
                  <w14:solidFill>
                    <w14:schemeClr w14:val="tx1">
                      <w14:lumMod w14:val="50000"/>
                      <w14:lumOff w14:val="50000"/>
                    </w14:schemeClr>
                  </w14:solidFill>
                </w14:textFill>
              </w:rPr>
            </w:pPr>
          </w:p>
          <w:p>
            <w:pPr>
              <w:rPr>
                <w:rFonts w:hint="default" w:cs="Arial" w:asciiTheme="minorAscii" w:hAnsiTheme="minorAscii"/>
                <w:sz w:val="22"/>
                <w:szCs w:val="22"/>
                <w:lang w:val="en-US" w:eastAsia="zh-CN" w:bidi="ar-SA"/>
              </w:rPr>
            </w:pPr>
            <w:r>
              <w:rPr>
                <w:rFonts w:hint="eastAsia" w:eastAsia="Times New Roman" w:cs="Arial" w:asciiTheme="minorAscii" w:hAnsiTheme="minorAscii"/>
                <w:sz w:val="22"/>
                <w:szCs w:val="22"/>
                <w:lang w:val="en-US" w:eastAsia="zh-CN" w:bidi="ar-SA"/>
              </w:rPr>
              <w:t xml:space="preserve">Yan, D. (2023) </w:t>
            </w:r>
            <w:r>
              <w:rPr>
                <w:rFonts w:hint="default" w:eastAsia="Times New Roman" w:cs="Arial" w:asciiTheme="minorAscii" w:hAnsiTheme="minorAscii"/>
                <w:sz w:val="22"/>
                <w:szCs w:val="22"/>
                <w:lang w:val="en-US" w:eastAsia="zh-CN" w:bidi="ar-SA"/>
              </w:rPr>
              <w:t>‘</w:t>
            </w:r>
            <w:r>
              <w:rPr>
                <w:rFonts w:hint="eastAsia" w:eastAsia="Times New Roman" w:cs="Arial" w:asciiTheme="minorAscii" w:hAnsiTheme="minorAscii"/>
                <w:sz w:val="22"/>
                <w:szCs w:val="22"/>
                <w:lang w:val="en-US" w:eastAsia="zh-CN" w:bidi="ar-SA"/>
              </w:rPr>
              <w:t>Impact of ChatGPT on learners in a L2 writing practicum: An exploratory investigation</w:t>
            </w:r>
            <w:r>
              <w:rPr>
                <w:rFonts w:hint="default" w:cs="Arial" w:asciiTheme="minorAscii" w:hAnsiTheme="minorAscii"/>
                <w:sz w:val="22"/>
                <w:szCs w:val="22"/>
                <w:lang w:val="en-US" w:eastAsia="zh-CN" w:bidi="ar-SA"/>
              </w:rPr>
              <w:t>’</w:t>
            </w:r>
            <w:r>
              <w:rPr>
                <w:rFonts w:hint="eastAsia" w:eastAsia="Times New Roman" w:cs="Arial" w:asciiTheme="minorAscii" w:hAnsiTheme="minorAscii"/>
                <w:sz w:val="22"/>
                <w:szCs w:val="22"/>
                <w:lang w:val="en-US" w:eastAsia="zh-CN" w:bidi="ar-SA"/>
              </w:rPr>
              <w:t xml:space="preserve">, </w:t>
            </w:r>
            <w:r>
              <w:rPr>
                <w:rFonts w:hint="default" w:ascii="Calibri Italic" w:hAnsi="Calibri Italic" w:eastAsia="Times New Roman" w:cs="Calibri Italic"/>
                <w:i/>
                <w:iCs/>
                <w:sz w:val="22"/>
                <w:szCs w:val="22"/>
                <w:lang w:val="en-US" w:eastAsia="zh-CN" w:bidi="ar-SA"/>
              </w:rPr>
              <w:t>Education and Information Technologies</w:t>
            </w:r>
            <w:r>
              <w:rPr>
                <w:rFonts w:hint="eastAsia" w:eastAsia="Times New Roman" w:cs="Arial" w:asciiTheme="minorAscii" w:hAnsiTheme="minorAscii"/>
                <w:sz w:val="22"/>
                <w:szCs w:val="22"/>
                <w:lang w:val="en-US" w:eastAsia="zh-CN" w:bidi="ar-SA"/>
              </w:rPr>
              <w:t xml:space="preserve">, 28(11), pp. 13943–13967. Available at: </w:t>
            </w:r>
            <w:r>
              <w:rPr>
                <w:rFonts w:hint="eastAsia" w:cs="Arial" w:asciiTheme="minorAscii" w:hAnsiTheme="minorAscii"/>
                <w:sz w:val="22"/>
                <w:szCs w:val="22"/>
                <w:lang w:val="en-US" w:eastAsia="zh-CN" w:bidi="ar-SA"/>
              </w:rPr>
              <w:fldChar w:fldCharType="begin"/>
            </w:r>
            <w:r>
              <w:rPr>
                <w:rFonts w:hint="eastAsia" w:cs="Arial" w:asciiTheme="minorAscii" w:hAnsiTheme="minorAscii"/>
                <w:sz w:val="22"/>
                <w:szCs w:val="22"/>
                <w:lang w:val="en-US" w:eastAsia="zh-CN" w:bidi="ar-SA"/>
              </w:rPr>
              <w:instrText xml:space="preserve"> HYPERLINK "https://doi.org/10.1007/s10639-023-11742-4" </w:instrText>
            </w:r>
            <w:r>
              <w:rPr>
                <w:rFonts w:hint="eastAsia" w:cs="Arial" w:asciiTheme="minorAscii" w:hAnsiTheme="minorAscii"/>
                <w:sz w:val="22"/>
                <w:szCs w:val="22"/>
                <w:lang w:val="en-US" w:eastAsia="zh-CN" w:bidi="ar-SA"/>
              </w:rPr>
              <w:fldChar w:fldCharType="separate"/>
            </w:r>
            <w:r>
              <w:rPr>
                <w:rStyle w:val="18"/>
                <w:rFonts w:hint="eastAsia" w:cs="Arial" w:asciiTheme="minorAscii" w:hAnsiTheme="minorAscii"/>
                <w:sz w:val="22"/>
                <w:szCs w:val="22"/>
                <w:lang w:val="en-US" w:eastAsia="zh-CN" w:bidi="ar-SA"/>
              </w:rPr>
              <w:t>https://doi.org/10.1007/s10639-023-11742-4</w:t>
            </w:r>
            <w:r>
              <w:rPr>
                <w:rFonts w:hint="eastAsia" w:cs="Arial" w:asciiTheme="minorAscii" w:hAnsiTheme="minorAscii"/>
                <w:sz w:val="22"/>
                <w:szCs w:val="22"/>
                <w:lang w:val="en-US" w:eastAsia="zh-CN" w:bidi="ar-SA"/>
              </w:rPr>
              <w:fldChar w:fldCharType="end"/>
            </w:r>
            <w:r>
              <w:rPr>
                <w:rFonts w:hint="default" w:cs="Arial" w:asciiTheme="minorAscii" w:hAnsiTheme="minorAscii"/>
                <w:sz w:val="22"/>
                <w:szCs w:val="22"/>
                <w:lang w:val="en-US" w:eastAsia="zh-CN" w:bidi="ar-SA"/>
              </w:rPr>
              <w:t xml:space="preserve"> </w:t>
            </w:r>
          </w:p>
          <w:p>
            <w:pPr>
              <w:rPr>
                <w:rFonts w:cs="Arial"/>
                <w:sz w:val="22"/>
                <w:szCs w:val="22"/>
              </w:rPr>
            </w:pPr>
          </w:p>
        </w:tc>
      </w:tr>
    </w:tbl>
    <w:p>
      <w:pPr>
        <w:jc w:val="center"/>
        <w:rPr>
          <w:rFonts w:cs="Arial"/>
          <w:sz w:val="22"/>
          <w:szCs w:val="22"/>
        </w:rPr>
      </w:pPr>
    </w:p>
    <w:p/>
    <w:p>
      <w:pPr>
        <w:rPr>
          <w:b/>
          <w:bCs/>
          <w:sz w:val="24"/>
          <w:szCs w:val="24"/>
        </w:rPr>
      </w:pPr>
      <w:r>
        <w:rPr>
          <w:b/>
          <w:bCs/>
          <w:sz w:val="24"/>
          <w:szCs w:val="24"/>
        </w:rPr>
        <w:t>AI Statement</w:t>
      </w:r>
    </w:p>
    <w:p>
      <w:pPr>
        <w:rPr>
          <w:b/>
          <w:bCs/>
          <w:sz w:val="24"/>
          <w:szCs w:val="24"/>
        </w:rPr>
      </w:pPr>
    </w:p>
    <w:p/>
    <w:tbl>
      <w:tblPr>
        <w:tblStyle w:val="13"/>
        <w:tblW w:w="9961" w:type="dxa"/>
        <w:tblInd w:w="-294" w:type="dxa"/>
        <w:tblLayout w:type="autofit"/>
        <w:tblCellMar>
          <w:top w:w="15" w:type="dxa"/>
          <w:left w:w="15" w:type="dxa"/>
          <w:bottom w:w="15" w:type="dxa"/>
          <w:right w:w="15" w:type="dxa"/>
        </w:tblCellMar>
      </w:tblPr>
      <w:tblGrid>
        <w:gridCol w:w="1794"/>
        <w:gridCol w:w="7083"/>
        <w:gridCol w:w="1084"/>
      </w:tblGrid>
      <w:tr>
        <w:trPr>
          <w:trHeight w:val="300" w:hRule="atLeast"/>
        </w:trPr>
        <w:tc>
          <w:tcPr>
            <w:tcW w:w="1702" w:type="dxa"/>
            <w:tcBorders>
              <w:top w:val="single" w:color="auto" w:sz="8" w:space="0"/>
              <w:left w:val="single" w:color="auto" w:sz="8" w:space="0"/>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RESEARCH</w:t>
            </w:r>
          </w:p>
        </w:tc>
        <w:tc>
          <w:tcPr>
            <w:tcW w:w="7170" w:type="dxa"/>
            <w:tcBorders>
              <w:top w:val="single" w:color="auto" w:sz="8" w:space="0"/>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For this assessment, you can use Generative AI to support you in research, including searching for bibliography, using tools to summarise, compare and interrogate materials.</w:t>
            </w:r>
          </w:p>
        </w:tc>
        <w:tc>
          <w:tcPr>
            <w:tcW w:w="1089" w:type="dxa"/>
            <w:tcBorders>
              <w:top w:val="single" w:color="auto" w:sz="8" w:space="0"/>
              <w:bottom w:val="single" w:color="000000" w:sz="8" w:space="0"/>
              <w:right w:val="single" w:color="auto" w:sz="8" w:space="0"/>
            </w:tcBorders>
            <w:tcMar>
              <w:top w:w="0" w:type="dxa"/>
              <w:left w:w="108" w:type="dxa"/>
              <w:bottom w:w="0" w:type="dxa"/>
              <w:right w:w="108" w:type="dxa"/>
            </w:tcMar>
          </w:tcPr>
          <w:p>
            <w:pPr>
              <w:rPr>
                <w:rFonts w:hint="eastAsia" w:cs="Arial"/>
                <w:sz w:val="22"/>
                <w:szCs w:val="22"/>
                <w:lang w:val="en-US" w:eastAsia="zh-CN"/>
              </w:rPr>
            </w:pPr>
            <w:r>
              <w:rPr>
                <w:rFonts w:asciiTheme="minorHAnsi" w:hAnsiTheme="minorHAnsi" w:cstheme="minorHAnsi"/>
                <w:sz w:val="24"/>
                <w:szCs w:val="24"/>
              </w:rPr>
              <w:t xml:space="preserve">Yes </w:t>
            </w:r>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p>
            <w:pPr>
              <w:rPr>
                <w:rFonts w:asciiTheme="minorHAnsi" w:hAnsiTheme="minorHAnsi" w:cstheme="minorHAnsi"/>
                <w:sz w:val="24"/>
                <w:szCs w:val="24"/>
              </w:rPr>
            </w:pPr>
            <w:r>
              <w:rPr>
                <w:rFonts w:asciiTheme="minorHAnsi" w:hAnsiTheme="minorHAnsi" w:cstheme="minorHAnsi"/>
                <w:sz w:val="24"/>
                <w:szCs w:val="24"/>
              </w:rPr>
              <w:t xml:space="preserve">No  </w:t>
            </w:r>
            <w:r>
              <w:rPr>
                <w:rFonts w:ascii="Segoe UI Symbol" w:hAnsi="Segoe UI Symbol" w:cs="Segoe UI Symbol"/>
                <w:sz w:val="24"/>
                <w:szCs w:val="24"/>
              </w:rPr>
              <w:t>☐</w:t>
            </w:r>
          </w:p>
        </w:tc>
      </w:tr>
      <w:tr>
        <w:trPr>
          <w:trHeight w:val="300" w:hRule="atLeast"/>
        </w:trPr>
        <w:tc>
          <w:tcPr>
            <w:tcW w:w="1702" w:type="dxa"/>
            <w:tcBorders>
              <w:left w:val="single" w:color="auto" w:sz="8" w:space="0"/>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STRUCTURE</w:t>
            </w:r>
          </w:p>
        </w:tc>
        <w:tc>
          <w:tcPr>
            <w:tcW w:w="7170" w:type="dxa"/>
            <w:tcBorders>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For this assessment, you can use Generative AI to support you in structuring your submission, including creating a draft argument structure, identifying parts and headings, etc.</w:t>
            </w:r>
          </w:p>
        </w:tc>
        <w:tc>
          <w:tcPr>
            <w:tcW w:w="1089" w:type="dxa"/>
            <w:tcBorders>
              <w:bottom w:val="single" w:color="000000" w:sz="8" w:space="0"/>
              <w:right w:val="single" w:color="auto" w:sz="8" w:space="0"/>
            </w:tcBorders>
            <w:tcMar>
              <w:top w:w="0" w:type="dxa"/>
              <w:left w:w="108" w:type="dxa"/>
              <w:bottom w:w="0" w:type="dxa"/>
              <w:right w:w="108" w:type="dxa"/>
            </w:tcMar>
          </w:tcPr>
          <w:p>
            <w:pPr>
              <w:rPr>
                <w:rFonts w:asciiTheme="minorHAnsi" w:hAnsiTheme="minorHAnsi" w:cstheme="minorHAnsi"/>
                <w:sz w:val="24"/>
                <w:szCs w:val="24"/>
              </w:rPr>
            </w:pPr>
            <w:r>
              <w:rPr>
                <w:rFonts w:asciiTheme="minorHAnsi" w:hAnsiTheme="minorHAnsi" w:cstheme="minorHAnsi"/>
                <w:sz w:val="24"/>
                <w:szCs w:val="24"/>
              </w:rPr>
              <w:t xml:space="preserve">Yes </w:t>
            </w:r>
            <w:r>
              <w:rPr>
                <w:rFonts w:ascii="Segoe UI Symbol" w:hAnsi="Segoe UI Symbol" w:cs="Segoe UI Symbol"/>
                <w:sz w:val="24"/>
                <w:szCs w:val="24"/>
              </w:rPr>
              <w:t>☐</w:t>
            </w:r>
          </w:p>
          <w:p>
            <w:pPr>
              <w:rPr>
                <w:rFonts w:cs="Arial"/>
                <w:sz w:val="22"/>
                <w:szCs w:val="22"/>
              </w:rPr>
            </w:pPr>
            <w:r>
              <w:rPr>
                <w:rFonts w:asciiTheme="minorHAnsi" w:hAnsiTheme="minorHAnsi" w:cstheme="minorHAnsi"/>
                <w:sz w:val="24"/>
                <w:szCs w:val="24"/>
              </w:rPr>
              <w:t xml:space="preserve">No  </w:t>
            </w:r>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tc>
      </w:tr>
      <w:tr>
        <w:trPr>
          <w:trHeight w:val="300" w:hRule="atLeast"/>
        </w:trPr>
        <w:tc>
          <w:tcPr>
            <w:tcW w:w="1702" w:type="dxa"/>
            <w:tcBorders>
              <w:left w:val="single" w:color="auto" w:sz="8" w:space="0"/>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PROOFREADING</w:t>
            </w:r>
          </w:p>
        </w:tc>
        <w:tc>
          <w:tcPr>
            <w:tcW w:w="7170" w:type="dxa"/>
            <w:tcBorders>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For this assessment, you can use Generative AI to check your own text/creation for grammatical and syntactical mistakes, including rephrasing of your own work within specific standards.</w:t>
            </w:r>
          </w:p>
        </w:tc>
        <w:tc>
          <w:tcPr>
            <w:tcW w:w="1089" w:type="dxa"/>
            <w:tcBorders>
              <w:bottom w:val="single" w:color="000000" w:sz="8" w:space="0"/>
              <w:right w:val="single" w:color="auto" w:sz="8" w:space="0"/>
            </w:tcBorders>
            <w:tcMar>
              <w:top w:w="0" w:type="dxa"/>
              <w:left w:w="108" w:type="dxa"/>
              <w:bottom w:w="0" w:type="dxa"/>
              <w:right w:w="108" w:type="dxa"/>
            </w:tcMar>
          </w:tcPr>
          <w:p>
            <w:pPr>
              <w:rPr>
                <w:rFonts w:cs="Arial"/>
                <w:sz w:val="22"/>
                <w:szCs w:val="22"/>
              </w:rPr>
            </w:pPr>
            <w:r>
              <w:rPr>
                <w:rFonts w:asciiTheme="minorHAnsi" w:hAnsiTheme="minorHAnsi" w:cstheme="minorHAnsi"/>
                <w:sz w:val="24"/>
                <w:szCs w:val="24"/>
              </w:rPr>
              <w:t xml:space="preserve">Yes </w:t>
            </w:r>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p>
            <w:pPr>
              <w:rPr>
                <w:rFonts w:asciiTheme="minorHAnsi" w:hAnsiTheme="minorHAnsi" w:cstheme="minorHAnsi"/>
                <w:sz w:val="24"/>
                <w:szCs w:val="24"/>
              </w:rPr>
            </w:pPr>
            <w:r>
              <w:rPr>
                <w:rFonts w:asciiTheme="minorHAnsi" w:hAnsiTheme="minorHAnsi" w:cstheme="minorHAnsi"/>
                <w:sz w:val="24"/>
                <w:szCs w:val="24"/>
              </w:rPr>
              <w:t xml:space="preserve">No  </w:t>
            </w:r>
            <w:r>
              <w:rPr>
                <w:rFonts w:ascii="Segoe UI Symbol" w:hAnsi="Segoe UI Symbol" w:cs="Segoe UI Symbol"/>
                <w:sz w:val="24"/>
                <w:szCs w:val="24"/>
              </w:rPr>
              <w:t>☐</w:t>
            </w:r>
          </w:p>
        </w:tc>
      </w:tr>
      <w:tr>
        <w:trPr>
          <w:trHeight w:val="300" w:hRule="atLeast"/>
        </w:trPr>
        <w:tc>
          <w:tcPr>
            <w:tcW w:w="1702" w:type="dxa"/>
            <w:tcBorders>
              <w:left w:val="single" w:color="auto" w:sz="8" w:space="0"/>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WRITING</w:t>
            </w:r>
          </w:p>
        </w:tc>
        <w:tc>
          <w:tcPr>
            <w:tcW w:w="7170" w:type="dxa"/>
            <w:tcBorders>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For this assessment, you can use Generative AI to create text for submission.</w:t>
            </w:r>
          </w:p>
        </w:tc>
        <w:tc>
          <w:tcPr>
            <w:tcW w:w="1089" w:type="dxa"/>
            <w:tcBorders>
              <w:bottom w:val="single" w:color="000000" w:sz="8" w:space="0"/>
              <w:right w:val="single" w:color="auto" w:sz="8" w:space="0"/>
            </w:tcBorders>
            <w:tcMar>
              <w:top w:w="0" w:type="dxa"/>
              <w:left w:w="108" w:type="dxa"/>
              <w:bottom w:w="0" w:type="dxa"/>
              <w:right w:w="108" w:type="dxa"/>
            </w:tcMar>
          </w:tcPr>
          <w:p>
            <w:pPr>
              <w:rPr>
                <w:rFonts w:asciiTheme="minorHAnsi" w:hAnsiTheme="minorHAnsi" w:cstheme="minorHAnsi"/>
                <w:sz w:val="24"/>
                <w:szCs w:val="24"/>
              </w:rPr>
            </w:pPr>
            <w:r>
              <w:rPr>
                <w:rFonts w:asciiTheme="minorHAnsi" w:hAnsiTheme="minorHAnsi" w:cstheme="minorHAnsi"/>
                <w:sz w:val="24"/>
                <w:szCs w:val="24"/>
              </w:rPr>
              <w:t xml:space="preserve">Yes </w:t>
            </w:r>
            <w:r>
              <w:rPr>
                <w:rFonts w:ascii="Segoe UI Symbol" w:hAnsi="Segoe UI Symbol" w:cs="Segoe UI Symbol"/>
                <w:sz w:val="24"/>
                <w:szCs w:val="24"/>
              </w:rPr>
              <w:t>☐</w:t>
            </w:r>
          </w:p>
          <w:p>
            <w:pPr>
              <w:rPr>
                <w:rFonts w:cs="Arial"/>
                <w:sz w:val="22"/>
                <w:szCs w:val="22"/>
              </w:rPr>
            </w:pPr>
            <w:r>
              <w:rPr>
                <w:rFonts w:asciiTheme="minorHAnsi" w:hAnsiTheme="minorHAnsi" w:cstheme="minorHAnsi"/>
                <w:sz w:val="24"/>
                <w:szCs w:val="24"/>
              </w:rPr>
              <w:t xml:space="preserve">No  </w:t>
            </w:r>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tc>
      </w:tr>
      <w:tr>
        <w:trPr>
          <w:trHeight w:val="300" w:hRule="atLeast"/>
        </w:trPr>
        <w:tc>
          <w:tcPr>
            <w:tcW w:w="1702" w:type="dxa"/>
            <w:tcBorders>
              <w:left w:val="single" w:color="auto" w:sz="8" w:space="0"/>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CREATIVE</w:t>
            </w:r>
          </w:p>
        </w:tc>
        <w:tc>
          <w:tcPr>
            <w:tcW w:w="7170" w:type="dxa"/>
            <w:tcBorders>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For this assessment, you can use Generative AI to create creative materials, such as images.</w:t>
            </w:r>
          </w:p>
        </w:tc>
        <w:tc>
          <w:tcPr>
            <w:tcW w:w="1089" w:type="dxa"/>
            <w:tcBorders>
              <w:bottom w:val="single" w:color="000000" w:sz="8" w:space="0"/>
              <w:right w:val="single" w:color="auto" w:sz="8" w:space="0"/>
            </w:tcBorders>
            <w:tcMar>
              <w:top w:w="0" w:type="dxa"/>
              <w:left w:w="108" w:type="dxa"/>
              <w:bottom w:w="0" w:type="dxa"/>
              <w:right w:w="108" w:type="dxa"/>
            </w:tcMar>
          </w:tcPr>
          <w:p>
            <w:pPr>
              <w:rPr>
                <w:rFonts w:asciiTheme="minorHAnsi" w:hAnsiTheme="minorHAnsi" w:cstheme="minorHAnsi"/>
                <w:sz w:val="24"/>
                <w:szCs w:val="24"/>
              </w:rPr>
            </w:pPr>
            <w:r>
              <w:rPr>
                <w:rFonts w:asciiTheme="minorHAnsi" w:hAnsiTheme="minorHAnsi" w:cstheme="minorHAnsi"/>
                <w:sz w:val="24"/>
                <w:szCs w:val="24"/>
              </w:rPr>
              <w:t xml:space="preserve">Yes </w:t>
            </w:r>
            <w:r>
              <w:rPr>
                <w:rFonts w:ascii="Segoe UI Symbol" w:hAnsi="Segoe UI Symbol" w:cs="Segoe UI Symbol"/>
                <w:sz w:val="24"/>
                <w:szCs w:val="24"/>
              </w:rPr>
              <w:t>☐</w:t>
            </w:r>
          </w:p>
          <w:p>
            <w:pPr>
              <w:rPr>
                <w:rFonts w:cs="Arial"/>
                <w:sz w:val="22"/>
                <w:szCs w:val="22"/>
              </w:rPr>
            </w:pPr>
            <w:r>
              <w:rPr>
                <w:rFonts w:asciiTheme="minorHAnsi" w:hAnsiTheme="minorHAnsi" w:cstheme="minorHAnsi"/>
                <w:sz w:val="24"/>
                <w:szCs w:val="24"/>
              </w:rPr>
              <w:t xml:space="preserve">No  </w:t>
            </w:r>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tc>
      </w:tr>
      <w:tr>
        <w:trPr>
          <w:trHeight w:val="300" w:hRule="atLeast"/>
        </w:trPr>
        <w:tc>
          <w:tcPr>
            <w:tcW w:w="1702" w:type="dxa"/>
            <w:tcBorders>
              <w:left w:val="single" w:color="auto" w:sz="8" w:space="0"/>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PROGRAMING</w:t>
            </w:r>
          </w:p>
        </w:tc>
        <w:tc>
          <w:tcPr>
            <w:tcW w:w="7170" w:type="dxa"/>
            <w:tcBorders>
              <w:bottom w:val="single" w:color="000000"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For this assessment, you can use Generative AI to create and check code.</w:t>
            </w:r>
          </w:p>
        </w:tc>
        <w:tc>
          <w:tcPr>
            <w:tcW w:w="1089" w:type="dxa"/>
            <w:tcBorders>
              <w:bottom w:val="single" w:color="000000" w:sz="8" w:space="0"/>
              <w:right w:val="single" w:color="auto" w:sz="8" w:space="0"/>
            </w:tcBorders>
            <w:tcMar>
              <w:top w:w="0" w:type="dxa"/>
              <w:left w:w="108" w:type="dxa"/>
              <w:bottom w:w="0" w:type="dxa"/>
              <w:right w:w="108" w:type="dxa"/>
            </w:tcMar>
          </w:tcPr>
          <w:p>
            <w:pPr>
              <w:rPr>
                <w:rFonts w:asciiTheme="minorHAnsi" w:hAnsiTheme="minorHAnsi" w:cstheme="minorHAnsi"/>
                <w:sz w:val="24"/>
                <w:szCs w:val="24"/>
              </w:rPr>
            </w:pPr>
            <w:r>
              <w:rPr>
                <w:rFonts w:asciiTheme="minorHAnsi" w:hAnsiTheme="minorHAnsi" w:cstheme="minorHAnsi"/>
                <w:sz w:val="24"/>
                <w:szCs w:val="24"/>
              </w:rPr>
              <w:t xml:space="preserve">Yes </w:t>
            </w:r>
            <w:r>
              <w:rPr>
                <w:rFonts w:ascii="Segoe UI Symbol" w:hAnsi="Segoe UI Symbol" w:cs="Segoe UI Symbol"/>
                <w:sz w:val="24"/>
                <w:szCs w:val="24"/>
              </w:rPr>
              <w:t>☐</w:t>
            </w:r>
          </w:p>
          <w:p>
            <w:pPr>
              <w:rPr>
                <w:rFonts w:cs="Arial"/>
                <w:sz w:val="22"/>
                <w:szCs w:val="22"/>
              </w:rPr>
            </w:pPr>
            <w:r>
              <w:rPr>
                <w:rFonts w:asciiTheme="minorHAnsi" w:hAnsiTheme="minorHAnsi" w:cstheme="minorHAnsi"/>
                <w:sz w:val="24"/>
                <w:szCs w:val="24"/>
              </w:rPr>
              <w:t xml:space="preserve">No  </w:t>
            </w:r>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tc>
      </w:tr>
      <w:tr>
        <w:trPr>
          <w:trHeight w:val="300" w:hRule="atLeast"/>
        </w:trPr>
        <w:tc>
          <w:tcPr>
            <w:tcW w:w="1702" w:type="dxa"/>
            <w:tcBorders>
              <w:left w:val="single" w:color="auto" w:sz="8" w:space="0"/>
              <w:bottom w:val="single" w:color="auto"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NONE</w:t>
            </w:r>
          </w:p>
        </w:tc>
        <w:tc>
          <w:tcPr>
            <w:tcW w:w="7170" w:type="dxa"/>
            <w:tcBorders>
              <w:bottom w:val="single" w:color="auto" w:sz="8" w:space="0"/>
              <w:right w:val="single" w:color="000000" w:sz="8" w:space="0"/>
            </w:tcBorders>
            <w:tcMar>
              <w:top w:w="0" w:type="dxa"/>
              <w:left w:w="105" w:type="dxa"/>
              <w:bottom w:w="0" w:type="dxa"/>
              <w:right w:w="105" w:type="dxa"/>
            </w:tcMar>
          </w:tcPr>
          <w:p>
            <w:pPr>
              <w:rPr>
                <w:rFonts w:asciiTheme="minorHAnsi" w:hAnsiTheme="minorHAnsi" w:cstheme="minorHAnsi"/>
                <w:sz w:val="24"/>
                <w:szCs w:val="24"/>
              </w:rPr>
            </w:pPr>
            <w:r>
              <w:rPr>
                <w:rFonts w:asciiTheme="minorHAnsi" w:hAnsiTheme="minorHAnsi" w:cstheme="minorHAnsi"/>
                <w:sz w:val="24"/>
                <w:szCs w:val="24"/>
              </w:rPr>
              <w:t>For this assessment, you are not allowed to use </w:t>
            </w:r>
            <w:r>
              <w:rPr>
                <w:rFonts w:asciiTheme="minorHAnsi" w:hAnsiTheme="minorHAnsi" w:cstheme="minorHAnsi"/>
                <w:b/>
                <w:bCs/>
                <w:sz w:val="24"/>
                <w:szCs w:val="24"/>
              </w:rPr>
              <w:t>any</w:t>
            </w:r>
            <w:r>
              <w:rPr>
                <w:rFonts w:asciiTheme="minorHAnsi" w:hAnsiTheme="minorHAnsi" w:cstheme="minorHAnsi"/>
                <w:sz w:val="24"/>
                <w:szCs w:val="24"/>
              </w:rPr>
              <w:t> type of Generative AI support. This includes research support, structure support, writing/proofreading support and creative support.</w:t>
            </w:r>
          </w:p>
        </w:tc>
        <w:tc>
          <w:tcPr>
            <w:tcW w:w="1089" w:type="dxa"/>
            <w:tcBorders>
              <w:bottom w:val="single" w:color="auto" w:sz="8" w:space="0"/>
              <w:right w:val="single" w:color="auto" w:sz="8" w:space="0"/>
            </w:tcBorders>
            <w:tcMar>
              <w:top w:w="0" w:type="dxa"/>
              <w:left w:w="108" w:type="dxa"/>
              <w:bottom w:w="0" w:type="dxa"/>
              <w:right w:w="108" w:type="dxa"/>
            </w:tcMar>
          </w:tcPr>
          <w:p>
            <w:pPr>
              <w:rPr>
                <w:rFonts w:asciiTheme="minorHAnsi" w:hAnsiTheme="minorHAnsi" w:cstheme="minorHAnsi"/>
                <w:sz w:val="24"/>
                <w:szCs w:val="24"/>
              </w:rPr>
            </w:pPr>
            <w:r>
              <w:rPr>
                <w:rFonts w:asciiTheme="minorHAnsi" w:hAnsiTheme="minorHAnsi" w:cstheme="minorHAnsi"/>
                <w:sz w:val="24"/>
                <w:szCs w:val="24"/>
              </w:rPr>
              <w:t xml:space="preserve">Yes </w:t>
            </w:r>
            <w:r>
              <w:rPr>
                <w:rFonts w:ascii="Segoe UI Symbol" w:hAnsi="Segoe UI Symbol" w:cs="Segoe UI Symbol"/>
                <w:sz w:val="24"/>
                <w:szCs w:val="24"/>
              </w:rPr>
              <w:t>☐</w:t>
            </w:r>
          </w:p>
          <w:p>
            <w:pPr>
              <w:rPr>
                <w:rFonts w:cs="Arial"/>
                <w:sz w:val="22"/>
                <w:szCs w:val="22"/>
              </w:rPr>
            </w:pPr>
            <w:r>
              <w:rPr>
                <w:rFonts w:asciiTheme="minorHAnsi" w:hAnsiTheme="minorHAnsi" w:cstheme="minorHAnsi"/>
                <w:sz w:val="24"/>
                <w:szCs w:val="24"/>
              </w:rPr>
              <w:t xml:space="preserve">No  </w:t>
            </w:r>
            <w:sdt>
              <w:sdtPr>
                <w:rPr>
                  <w:rFonts w:cs="Arial"/>
                  <w:sz w:val="22"/>
                  <w:szCs w:val="22"/>
                </w:rPr>
                <w:id w:val="-1"/>
                <w14:checkbox>
                  <w14:checked w14:val="1"/>
                  <w14:checkedState w14:val="2612" w14:font="MS Gothic"/>
                  <w14:uncheckedState w14:val="2610" w14:font="MS Gothic"/>
                </w14:checkbox>
              </w:sdtPr>
              <w:sdtEndPr>
                <w:rPr>
                  <w:rFonts w:cs="Arial"/>
                  <w:sz w:val="22"/>
                  <w:szCs w:val="22"/>
                </w:rPr>
              </w:sdtEndPr>
              <w:sdtContent>
                <w:r>
                  <w:rPr>
                    <w:rFonts w:hint="eastAsia" w:ascii="MS Gothic" w:hAnsi="MS Gothic" w:eastAsia="MS Gothic" w:cs="Arial"/>
                    <w:sz w:val="22"/>
                    <w:szCs w:val="22"/>
                    <w:lang w:val="en-GB" w:eastAsia="en-GB" w:bidi="ar-SA"/>
                  </w:rPr>
                  <w:t>☒</w:t>
                </w:r>
              </w:sdtContent>
            </w:sdt>
          </w:p>
        </w:tc>
      </w:tr>
    </w:tbl>
    <w:p>
      <w:pPr>
        <w:jc w:val="center"/>
        <w:rPr>
          <w:rFonts w:cs="Arial"/>
          <w:sz w:val="22"/>
          <w:szCs w:val="22"/>
        </w:rPr>
      </w:pPr>
    </w:p>
    <w:sectPr>
      <w:footerReference r:id="rId3" w:type="default"/>
      <w:pgSz w:w="11906" w:h="16838"/>
      <w:pgMar w:top="1701" w:right="1440" w:bottom="1440" w:left="1440" w:header="284" w:footer="709"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panose1 w:val="020F07020304040A0204"/>
    <w:charset w:val="00"/>
    <w:family w:val="swiss"/>
    <w:pitch w:val="default"/>
    <w:sig w:usb0="E10002FF" w:usb1="4000ACFF" w:usb2="00000009" w:usb3="00000000" w:csb0="2000019F" w:csb1="00000000"/>
  </w:font>
  <w:font w:name="Tahoma">
    <w:panose1 w:val="020B0604030504040204"/>
    <w:charset w:val="00"/>
    <w:family w:val="swiss"/>
    <w:pitch w:val="default"/>
    <w:sig w:usb0="E1002AFF" w:usb1="C000605B" w:usb2="00000029" w:usb3="00000000" w:csb0="200101FF" w:csb1="20280000"/>
  </w:font>
  <w:font w:name="MS Gothic">
    <w:panose1 w:val="020B0609070205080204"/>
    <w:charset w:val="80"/>
    <w:family w:val="modern"/>
    <w:pitch w:val="default"/>
    <w:sig w:usb0="E00002FF" w:usb1="6AC7FDFB" w:usb2="00000012" w:usb3="00000000" w:csb0="4002009F" w:csb1="DFD70000"/>
  </w:font>
  <w:font w:name="Calibri Italic">
    <w:panose1 w:val="020F07020304040A0204"/>
    <w:charset w:val="00"/>
    <w:family w:val="auto"/>
    <w:pitch w:val="default"/>
    <w:sig w:usb0="E10002FF" w:usb1="4000ACFF" w:usb2="00000009" w:usb3="00000000" w:csb0="2000019F" w:csb1="00000000"/>
  </w:font>
  <w:font w:name="Calibri Bold">
    <w:panose1 w:val="020F07020304040A0204"/>
    <w:charset w:val="00"/>
    <w:family w:val="auto"/>
    <w:pitch w:val="default"/>
    <w:sig w:usb0="E10002FF" w:usb1="4000ACFF" w:usb2="00000009" w:usb3="00000000" w:csb0="2000019F" w:csb1="00000000"/>
  </w:font>
  <w:font w:name="Times New Roman Bold">
    <w:panose1 w:val="02020503050405090304"/>
    <w:charset w:val="00"/>
    <w:family w:val="auto"/>
    <w:pitch w:val="default"/>
    <w:sig w:usb0="E0000AFF" w:usb1="00007843" w:usb2="00000001" w:usb3="00000000" w:csb0="400001BF" w:csb1="DFF70000"/>
  </w:font>
  <w:font w:name="Segoe UI Symbol">
    <w:altName w:val="苹方-简"/>
    <w:panose1 w:val="020B0502040204020203"/>
    <w:charset w:val="00"/>
    <w:family w:val="swiss"/>
    <w:pitch w:val="default"/>
    <w:sig w:usb0="00000000" w:usb1="00000000" w:usb2="00040000" w:usb3="00000000" w:csb0="00000001" w:csb1="00000000"/>
  </w:font>
  <w:font w:name="冬青黑体简体中文">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苹方-简">
    <w:panose1 w:val="020B0400000000000000"/>
    <w:charset w:val="86"/>
    <w:family w:val="auto"/>
    <w:pitch w:val="default"/>
    <w:sig w:usb0="A00002FF" w:usb1="7ACFFDFB" w:usb2="00000017" w:usb3="00000000" w:csb0="00040001" w:csb1="00000000"/>
  </w:font>
  <w:font w:name="宋体-简">
    <w:panose1 w:val="02010800040101010101"/>
    <w:charset w:val="86"/>
    <w:family w:val="auto"/>
    <w:pitch w:val="default"/>
    <w:sig w:usb0="00000001" w:usb1="080F0000" w:usb2="00000000" w:usb3="00000000" w:csb0="00040000" w:csb1="00000000"/>
  </w:font>
  <w:font w:name="Arial Unicode MS">
    <w:panose1 w:val="020B0604020202020204"/>
    <w:charset w:val="86"/>
    <w:family w:val="auto"/>
    <w:pitch w:val="default"/>
    <w:sig w:usb0="FFFFFFFF" w:usb1="E9FFFFFF" w:usb2="0000003F" w:usb3="00000000" w:csb0="603F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sdt>
      <w:sdtPr>
        <w:id w:val="1691110303"/>
        <w:docPartObj>
          <w:docPartGallery w:val="autotext"/>
        </w:docPartObj>
      </w:sdtPr>
      <w:sdtContent>
        <w:r>
          <w:t>E</w:t>
        </w:r>
      </w:sdtContent>
    </w:sdt>
    <w:r>
      <w:t>CDE7020 Proposal Form</w: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27FBA40"/>
    <w:multiLevelType w:val="singleLevel"/>
    <w:tmpl w:val="F27FBA40"/>
    <w:lvl w:ilvl="0" w:tentative="0">
      <w:start w:val="1"/>
      <w:numFmt w:val="decimal"/>
      <w:suff w:val="space"/>
      <w:lvlText w:val="%1)"/>
      <w:lvlJc w:val="left"/>
    </w:lvl>
  </w:abstractNum>
  <w:abstractNum w:abstractNumId="1">
    <w:nsid w:val="33AEB26D"/>
    <w:multiLevelType w:val="singleLevel"/>
    <w:tmpl w:val="33AEB26D"/>
    <w:lvl w:ilvl="0" w:tentative="0">
      <w:start w:val="1"/>
      <w:numFmt w:val="decimal"/>
      <w:suff w:val="space"/>
      <w:lvlText w:val="%1)"/>
      <w:lvlJc w:val="left"/>
    </w:lvl>
  </w:abstractNum>
  <w:abstractNum w:abstractNumId="2">
    <w:nsid w:val="5BAE337D"/>
    <w:multiLevelType w:val="singleLevel"/>
    <w:tmpl w:val="5BAE337D"/>
    <w:lvl w:ilvl="0" w:tentative="0">
      <w:start w:val="1"/>
      <w:numFmt w:val="decimal"/>
      <w:suff w:val="space"/>
      <w:lvlText w:val="%1)"/>
      <w:lvlJc w:val="left"/>
    </w:lvl>
  </w:abstractNum>
  <w:abstractNum w:abstractNumId="3">
    <w:nsid w:val="60B4189A"/>
    <w:multiLevelType w:val="multilevel"/>
    <w:tmpl w:val="60B4189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9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isplayHorizontalDrawingGridEvery w:val="1"/>
  <w:displayVerticalDrawingGridEvery w:val="1"/>
  <w:doNotUseMarginsForDrawingGridOrigin w:val="1"/>
  <w:drawingGridHorizontalOrigin w:val="1800"/>
  <w:drawingGridVerticalOrigin w:val="1440"/>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677B9"/>
    <w:rsid w:val="0009297F"/>
    <w:rsid w:val="00095F33"/>
    <w:rsid w:val="000B43A7"/>
    <w:rsid w:val="000C1D53"/>
    <w:rsid w:val="000C4198"/>
    <w:rsid w:val="000C6D22"/>
    <w:rsid w:val="000D166A"/>
    <w:rsid w:val="000D3D72"/>
    <w:rsid w:val="000F5B56"/>
    <w:rsid w:val="0010084E"/>
    <w:rsid w:val="001217FD"/>
    <w:rsid w:val="00121AC3"/>
    <w:rsid w:val="001400B5"/>
    <w:rsid w:val="00141DF3"/>
    <w:rsid w:val="0015311B"/>
    <w:rsid w:val="00154D0F"/>
    <w:rsid w:val="00157905"/>
    <w:rsid w:val="00165D23"/>
    <w:rsid w:val="00166B83"/>
    <w:rsid w:val="00172F4C"/>
    <w:rsid w:val="00173CC3"/>
    <w:rsid w:val="00176160"/>
    <w:rsid w:val="00185554"/>
    <w:rsid w:val="001943FA"/>
    <w:rsid w:val="001B1EEF"/>
    <w:rsid w:val="001C367F"/>
    <w:rsid w:val="001C6B27"/>
    <w:rsid w:val="001D074C"/>
    <w:rsid w:val="001F47B0"/>
    <w:rsid w:val="001F5E3E"/>
    <w:rsid w:val="002114E6"/>
    <w:rsid w:val="00212BE7"/>
    <w:rsid w:val="002168D5"/>
    <w:rsid w:val="0022098F"/>
    <w:rsid w:val="00221A9E"/>
    <w:rsid w:val="00222D05"/>
    <w:rsid w:val="0022643E"/>
    <w:rsid w:val="00226B86"/>
    <w:rsid w:val="002370BA"/>
    <w:rsid w:val="0024548B"/>
    <w:rsid w:val="00246903"/>
    <w:rsid w:val="00261C5C"/>
    <w:rsid w:val="00280DF9"/>
    <w:rsid w:val="00284E60"/>
    <w:rsid w:val="00287BD7"/>
    <w:rsid w:val="00291900"/>
    <w:rsid w:val="00293B33"/>
    <w:rsid w:val="002A66B9"/>
    <w:rsid w:val="002B16CB"/>
    <w:rsid w:val="002B3A60"/>
    <w:rsid w:val="002B5804"/>
    <w:rsid w:val="002C01D8"/>
    <w:rsid w:val="002E0D27"/>
    <w:rsid w:val="002E240C"/>
    <w:rsid w:val="002F0156"/>
    <w:rsid w:val="002F3407"/>
    <w:rsid w:val="002F62BD"/>
    <w:rsid w:val="002F6DD5"/>
    <w:rsid w:val="003015D0"/>
    <w:rsid w:val="00303F2E"/>
    <w:rsid w:val="003064A7"/>
    <w:rsid w:val="0031458B"/>
    <w:rsid w:val="003155A9"/>
    <w:rsid w:val="00325CBE"/>
    <w:rsid w:val="003275B0"/>
    <w:rsid w:val="003317EE"/>
    <w:rsid w:val="0033293C"/>
    <w:rsid w:val="00332B43"/>
    <w:rsid w:val="00335D74"/>
    <w:rsid w:val="00337123"/>
    <w:rsid w:val="0034191A"/>
    <w:rsid w:val="003519CA"/>
    <w:rsid w:val="00353C75"/>
    <w:rsid w:val="003607CD"/>
    <w:rsid w:val="00363F74"/>
    <w:rsid w:val="00370831"/>
    <w:rsid w:val="00376A02"/>
    <w:rsid w:val="00391D2C"/>
    <w:rsid w:val="003A11E9"/>
    <w:rsid w:val="003A748D"/>
    <w:rsid w:val="003B268C"/>
    <w:rsid w:val="003B4AF0"/>
    <w:rsid w:val="003C062E"/>
    <w:rsid w:val="003C5892"/>
    <w:rsid w:val="003C7969"/>
    <w:rsid w:val="003D62AF"/>
    <w:rsid w:val="003D7CD9"/>
    <w:rsid w:val="003E5663"/>
    <w:rsid w:val="003E7D6B"/>
    <w:rsid w:val="003F068E"/>
    <w:rsid w:val="003F4C86"/>
    <w:rsid w:val="003F7948"/>
    <w:rsid w:val="003F7D77"/>
    <w:rsid w:val="0040023E"/>
    <w:rsid w:val="00404C72"/>
    <w:rsid w:val="00410578"/>
    <w:rsid w:val="004262CD"/>
    <w:rsid w:val="00430E87"/>
    <w:rsid w:val="004310AE"/>
    <w:rsid w:val="004375FD"/>
    <w:rsid w:val="004448A0"/>
    <w:rsid w:val="0045240A"/>
    <w:rsid w:val="00452942"/>
    <w:rsid w:val="00455BEF"/>
    <w:rsid w:val="00474F13"/>
    <w:rsid w:val="00475B50"/>
    <w:rsid w:val="00476944"/>
    <w:rsid w:val="00476E74"/>
    <w:rsid w:val="004971D4"/>
    <w:rsid w:val="004B251B"/>
    <w:rsid w:val="004B2A69"/>
    <w:rsid w:val="004E363A"/>
    <w:rsid w:val="004F22A4"/>
    <w:rsid w:val="004F5A06"/>
    <w:rsid w:val="00512288"/>
    <w:rsid w:val="005140FB"/>
    <w:rsid w:val="00516A38"/>
    <w:rsid w:val="005302A6"/>
    <w:rsid w:val="005363FE"/>
    <w:rsid w:val="005419D3"/>
    <w:rsid w:val="00541CFE"/>
    <w:rsid w:val="00542F6F"/>
    <w:rsid w:val="005513E3"/>
    <w:rsid w:val="0055230D"/>
    <w:rsid w:val="00555319"/>
    <w:rsid w:val="00556BFF"/>
    <w:rsid w:val="00557BD7"/>
    <w:rsid w:val="005608A4"/>
    <w:rsid w:val="005831C1"/>
    <w:rsid w:val="00595238"/>
    <w:rsid w:val="00595F5B"/>
    <w:rsid w:val="00595FC4"/>
    <w:rsid w:val="005A6F56"/>
    <w:rsid w:val="005B0886"/>
    <w:rsid w:val="005C0918"/>
    <w:rsid w:val="005C1812"/>
    <w:rsid w:val="005C59F8"/>
    <w:rsid w:val="005D3C0C"/>
    <w:rsid w:val="005E0345"/>
    <w:rsid w:val="005E3CF6"/>
    <w:rsid w:val="005E60A7"/>
    <w:rsid w:val="005E73D5"/>
    <w:rsid w:val="00605A69"/>
    <w:rsid w:val="006151C5"/>
    <w:rsid w:val="00616987"/>
    <w:rsid w:val="00623825"/>
    <w:rsid w:val="006257DE"/>
    <w:rsid w:val="0063119B"/>
    <w:rsid w:val="0063456A"/>
    <w:rsid w:val="00635A88"/>
    <w:rsid w:val="00643766"/>
    <w:rsid w:val="0064556F"/>
    <w:rsid w:val="00654638"/>
    <w:rsid w:val="00654D91"/>
    <w:rsid w:val="006551B2"/>
    <w:rsid w:val="00660727"/>
    <w:rsid w:val="006731F3"/>
    <w:rsid w:val="00677F77"/>
    <w:rsid w:val="00682636"/>
    <w:rsid w:val="0069594C"/>
    <w:rsid w:val="006B0899"/>
    <w:rsid w:val="006B20A7"/>
    <w:rsid w:val="006B582D"/>
    <w:rsid w:val="006C0F0D"/>
    <w:rsid w:val="006C170C"/>
    <w:rsid w:val="006C40EC"/>
    <w:rsid w:val="006C45FB"/>
    <w:rsid w:val="006D04D5"/>
    <w:rsid w:val="006D05CF"/>
    <w:rsid w:val="006D4C27"/>
    <w:rsid w:val="006D503F"/>
    <w:rsid w:val="006D7C2A"/>
    <w:rsid w:val="006F1BDC"/>
    <w:rsid w:val="006F4865"/>
    <w:rsid w:val="00702A7E"/>
    <w:rsid w:val="00703A24"/>
    <w:rsid w:val="00707BDE"/>
    <w:rsid w:val="0071332A"/>
    <w:rsid w:val="00717DFA"/>
    <w:rsid w:val="00733AAC"/>
    <w:rsid w:val="00753EDE"/>
    <w:rsid w:val="00763457"/>
    <w:rsid w:val="00795C79"/>
    <w:rsid w:val="007A0692"/>
    <w:rsid w:val="007A3641"/>
    <w:rsid w:val="007C2004"/>
    <w:rsid w:val="007C2A63"/>
    <w:rsid w:val="007C3B48"/>
    <w:rsid w:val="007C512A"/>
    <w:rsid w:val="007C755A"/>
    <w:rsid w:val="007E1739"/>
    <w:rsid w:val="007E550E"/>
    <w:rsid w:val="007F6FC1"/>
    <w:rsid w:val="00802E0D"/>
    <w:rsid w:val="00816ED8"/>
    <w:rsid w:val="00820E04"/>
    <w:rsid w:val="00825E70"/>
    <w:rsid w:val="0083144B"/>
    <w:rsid w:val="00831EF8"/>
    <w:rsid w:val="00832FEA"/>
    <w:rsid w:val="00836FA9"/>
    <w:rsid w:val="008422EE"/>
    <w:rsid w:val="00855925"/>
    <w:rsid w:val="008571F8"/>
    <w:rsid w:val="00872EC4"/>
    <w:rsid w:val="00877A6B"/>
    <w:rsid w:val="008812C3"/>
    <w:rsid w:val="008859B3"/>
    <w:rsid w:val="0088683F"/>
    <w:rsid w:val="008876C0"/>
    <w:rsid w:val="008944DE"/>
    <w:rsid w:val="00896244"/>
    <w:rsid w:val="008A397A"/>
    <w:rsid w:val="008B15C8"/>
    <w:rsid w:val="008C0ACE"/>
    <w:rsid w:val="008C1EE6"/>
    <w:rsid w:val="008D129A"/>
    <w:rsid w:val="008D2E5D"/>
    <w:rsid w:val="008D505E"/>
    <w:rsid w:val="008E7086"/>
    <w:rsid w:val="008F0225"/>
    <w:rsid w:val="008F150A"/>
    <w:rsid w:val="008F3C22"/>
    <w:rsid w:val="008F5522"/>
    <w:rsid w:val="0090452C"/>
    <w:rsid w:val="00910A1E"/>
    <w:rsid w:val="00913992"/>
    <w:rsid w:val="0091552C"/>
    <w:rsid w:val="00915EFA"/>
    <w:rsid w:val="009178C4"/>
    <w:rsid w:val="00930CC7"/>
    <w:rsid w:val="0093374F"/>
    <w:rsid w:val="00934621"/>
    <w:rsid w:val="009353AC"/>
    <w:rsid w:val="009363F3"/>
    <w:rsid w:val="009368DD"/>
    <w:rsid w:val="009435B2"/>
    <w:rsid w:val="009472A5"/>
    <w:rsid w:val="00950A56"/>
    <w:rsid w:val="00951EB2"/>
    <w:rsid w:val="00961E02"/>
    <w:rsid w:val="00962D90"/>
    <w:rsid w:val="00963EBE"/>
    <w:rsid w:val="009803A2"/>
    <w:rsid w:val="009905BC"/>
    <w:rsid w:val="00994CF9"/>
    <w:rsid w:val="009A0D4E"/>
    <w:rsid w:val="009A2302"/>
    <w:rsid w:val="009A654D"/>
    <w:rsid w:val="009A7385"/>
    <w:rsid w:val="009A7818"/>
    <w:rsid w:val="009C7898"/>
    <w:rsid w:val="009E1467"/>
    <w:rsid w:val="009F3BE4"/>
    <w:rsid w:val="00A048DE"/>
    <w:rsid w:val="00A13514"/>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079A2"/>
    <w:rsid w:val="00B12AB0"/>
    <w:rsid w:val="00B273A5"/>
    <w:rsid w:val="00B3408B"/>
    <w:rsid w:val="00B40C3F"/>
    <w:rsid w:val="00B65D5E"/>
    <w:rsid w:val="00B70B7E"/>
    <w:rsid w:val="00B718D3"/>
    <w:rsid w:val="00B84A54"/>
    <w:rsid w:val="00B8515A"/>
    <w:rsid w:val="00B95514"/>
    <w:rsid w:val="00BA3707"/>
    <w:rsid w:val="00BB0363"/>
    <w:rsid w:val="00BB2F10"/>
    <w:rsid w:val="00BD2727"/>
    <w:rsid w:val="00BD589F"/>
    <w:rsid w:val="00BD7EF3"/>
    <w:rsid w:val="00BE24D4"/>
    <w:rsid w:val="00BF0916"/>
    <w:rsid w:val="00C00764"/>
    <w:rsid w:val="00C00D62"/>
    <w:rsid w:val="00C037ED"/>
    <w:rsid w:val="00C056C2"/>
    <w:rsid w:val="00C14717"/>
    <w:rsid w:val="00C20E5F"/>
    <w:rsid w:val="00C31ED6"/>
    <w:rsid w:val="00C45CE3"/>
    <w:rsid w:val="00C477B6"/>
    <w:rsid w:val="00C525D4"/>
    <w:rsid w:val="00C66E9A"/>
    <w:rsid w:val="00C74109"/>
    <w:rsid w:val="00C756EF"/>
    <w:rsid w:val="00C75F44"/>
    <w:rsid w:val="00C75F7C"/>
    <w:rsid w:val="00C856A1"/>
    <w:rsid w:val="00C943DE"/>
    <w:rsid w:val="00CA1E71"/>
    <w:rsid w:val="00CA4FBE"/>
    <w:rsid w:val="00CA65FC"/>
    <w:rsid w:val="00CA796D"/>
    <w:rsid w:val="00CB3E7A"/>
    <w:rsid w:val="00CB652D"/>
    <w:rsid w:val="00CC4AC2"/>
    <w:rsid w:val="00CC5FEA"/>
    <w:rsid w:val="00CD0196"/>
    <w:rsid w:val="00CD2785"/>
    <w:rsid w:val="00CD5B6B"/>
    <w:rsid w:val="00D01434"/>
    <w:rsid w:val="00D03BB7"/>
    <w:rsid w:val="00D122D0"/>
    <w:rsid w:val="00D215F0"/>
    <w:rsid w:val="00D25A52"/>
    <w:rsid w:val="00D46D22"/>
    <w:rsid w:val="00D56242"/>
    <w:rsid w:val="00D60565"/>
    <w:rsid w:val="00D62737"/>
    <w:rsid w:val="00D63189"/>
    <w:rsid w:val="00D70714"/>
    <w:rsid w:val="00D732FC"/>
    <w:rsid w:val="00D768D1"/>
    <w:rsid w:val="00D81082"/>
    <w:rsid w:val="00D83BB1"/>
    <w:rsid w:val="00DB03EA"/>
    <w:rsid w:val="00DB3960"/>
    <w:rsid w:val="00DC2AE7"/>
    <w:rsid w:val="00DD1E66"/>
    <w:rsid w:val="00DE3885"/>
    <w:rsid w:val="00DE54F9"/>
    <w:rsid w:val="00DF2827"/>
    <w:rsid w:val="00DF3FF2"/>
    <w:rsid w:val="00DF7459"/>
    <w:rsid w:val="00E03A7C"/>
    <w:rsid w:val="00E127C8"/>
    <w:rsid w:val="00E17B09"/>
    <w:rsid w:val="00E26E40"/>
    <w:rsid w:val="00E60894"/>
    <w:rsid w:val="00E76DFC"/>
    <w:rsid w:val="00E800B4"/>
    <w:rsid w:val="00E8752A"/>
    <w:rsid w:val="00E90E39"/>
    <w:rsid w:val="00E90FFB"/>
    <w:rsid w:val="00EA4DDB"/>
    <w:rsid w:val="00EB29E8"/>
    <w:rsid w:val="00EC2239"/>
    <w:rsid w:val="00ED34D1"/>
    <w:rsid w:val="00EE3F65"/>
    <w:rsid w:val="00EE49AE"/>
    <w:rsid w:val="00EE4E91"/>
    <w:rsid w:val="00F02051"/>
    <w:rsid w:val="00F15764"/>
    <w:rsid w:val="00F20553"/>
    <w:rsid w:val="00F212AC"/>
    <w:rsid w:val="00F26723"/>
    <w:rsid w:val="00F274DA"/>
    <w:rsid w:val="00F340BA"/>
    <w:rsid w:val="00F343C8"/>
    <w:rsid w:val="00F377CD"/>
    <w:rsid w:val="00F41F11"/>
    <w:rsid w:val="00F50670"/>
    <w:rsid w:val="00F6356A"/>
    <w:rsid w:val="00F65BA4"/>
    <w:rsid w:val="00F65ECA"/>
    <w:rsid w:val="00F678E5"/>
    <w:rsid w:val="00F7569E"/>
    <w:rsid w:val="00F77B80"/>
    <w:rsid w:val="00F8710D"/>
    <w:rsid w:val="00F90183"/>
    <w:rsid w:val="00F901BB"/>
    <w:rsid w:val="00F9606E"/>
    <w:rsid w:val="00FC1870"/>
    <w:rsid w:val="00FD60D8"/>
    <w:rsid w:val="00FD70D5"/>
    <w:rsid w:val="00FE3258"/>
    <w:rsid w:val="00FF5FBE"/>
    <w:rsid w:val="0FFBFF16"/>
    <w:rsid w:val="1B5BD5CB"/>
    <w:rsid w:val="2B7FE859"/>
    <w:rsid w:val="37DE9357"/>
    <w:rsid w:val="37FF75D6"/>
    <w:rsid w:val="3FAE324C"/>
    <w:rsid w:val="42FEF63D"/>
    <w:rsid w:val="49FFC345"/>
    <w:rsid w:val="79E2E77F"/>
    <w:rsid w:val="7E4FA09B"/>
    <w:rsid w:val="90B19B8E"/>
    <w:rsid w:val="95FFAF40"/>
    <w:rsid w:val="9FFD6124"/>
    <w:rsid w:val="AF3A47EB"/>
    <w:rsid w:val="B5F7166A"/>
    <w:rsid w:val="BF34B4EF"/>
    <w:rsid w:val="DEFFFFFB"/>
    <w:rsid w:val="E65CCC1A"/>
    <w:rsid w:val="E6FEBD04"/>
    <w:rsid w:val="EFDF9801"/>
    <w:rsid w:val="F5BFA4AE"/>
    <w:rsid w:val="F6B95EF7"/>
    <w:rsid w:val="FDDFE631"/>
    <w:rsid w:val="FFBB5B9E"/>
    <w:rsid w:val="FFFD327C"/>
    <w:rsid w:val="FFFF89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nhideWhenUsed="0" w:uiPriority="0" w:name="footnote text"/>
    <w:lsdException w:uiPriority="99" w:semiHidden="0" w:name="annotation text"/>
    <w:lsdException w:unhideWhenUsed="0" w:uiPriority="0" w:semiHidden="0"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nhideWhenUsed="0" w:uiPriority="0"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0" w:name="Balloon Text"/>
    <w:lsdException w:unhideWhenUsed="0" w:uiPriority="0" w:semiHidden="0" w:name="Table Grid"/>
    <w:lsdException w:uiPriority="99" w:name="Table Theme"/>
    <w:lsdException w:qFormat="1" w:unhideWhenUsed="0" w:uiPriority="99"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Times New Roman" w:cs="Times New Roman"/>
      <w:lang w:val="en-GB" w:eastAsia="en-GB" w:bidi="ar-SA"/>
    </w:rPr>
  </w:style>
  <w:style w:type="paragraph" w:styleId="2">
    <w:name w:val="heading 1"/>
    <w:basedOn w:val="1"/>
    <w:next w:val="1"/>
    <w:qFormat/>
    <w:uiPriority w:val="0"/>
    <w:pPr>
      <w:keepNext/>
      <w:outlineLvl w:val="0"/>
    </w:pPr>
    <w:rPr>
      <w:b/>
    </w:rPr>
  </w:style>
  <w:style w:type="paragraph" w:styleId="3">
    <w:name w:val="heading 2"/>
    <w:basedOn w:val="1"/>
    <w:next w:val="1"/>
    <w:qFormat/>
    <w:uiPriority w:val="0"/>
    <w:pPr>
      <w:keepNext/>
      <w:spacing w:before="240" w:after="60"/>
      <w:outlineLvl w:val="1"/>
    </w:pPr>
    <w:rPr>
      <w:b/>
      <w:i/>
      <w:sz w:val="24"/>
    </w:rPr>
  </w:style>
  <w:style w:type="character" w:default="1" w:styleId="15">
    <w:name w:val="Default Paragraph Font"/>
    <w:semiHidden/>
    <w:unhideWhenUsed/>
    <w:uiPriority w:val="1"/>
  </w:style>
  <w:style w:type="table" w:default="1" w:styleId="13">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3"/>
    <w:unhideWhenUsed/>
    <w:uiPriority w:val="99"/>
    <w:rPr>
      <w:lang w:val="zh-CN" w:eastAsia="zh-CN"/>
    </w:rPr>
  </w:style>
  <w:style w:type="paragraph" w:styleId="5">
    <w:name w:val="Body Text"/>
    <w:basedOn w:val="1"/>
    <w:uiPriority w:val="0"/>
    <w:pPr>
      <w:jc w:val="both"/>
    </w:pPr>
    <w:rPr>
      <w:b/>
    </w:rPr>
  </w:style>
  <w:style w:type="paragraph" w:styleId="6">
    <w:name w:val="Block Text"/>
    <w:basedOn w:val="1"/>
    <w:uiPriority w:val="0"/>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7">
    <w:name w:val="Balloon Text"/>
    <w:basedOn w:val="1"/>
    <w:semiHidden/>
    <w:uiPriority w:val="0"/>
    <w:rPr>
      <w:rFonts w:ascii="Tahoma" w:hAnsi="Tahoma" w:cs="Tahoma"/>
      <w:sz w:val="16"/>
      <w:szCs w:val="16"/>
    </w:rPr>
  </w:style>
  <w:style w:type="paragraph" w:styleId="8">
    <w:name w:val="footer"/>
    <w:basedOn w:val="1"/>
    <w:link w:val="25"/>
    <w:uiPriority w:val="99"/>
    <w:pPr>
      <w:tabs>
        <w:tab w:val="center" w:pos="4320"/>
        <w:tab w:val="right" w:pos="8640"/>
      </w:tabs>
    </w:pPr>
  </w:style>
  <w:style w:type="paragraph" w:styleId="9">
    <w:name w:val="header"/>
    <w:basedOn w:val="1"/>
    <w:uiPriority w:val="0"/>
    <w:pPr>
      <w:tabs>
        <w:tab w:val="center" w:pos="4320"/>
        <w:tab w:val="right" w:pos="8640"/>
      </w:tabs>
    </w:pPr>
  </w:style>
  <w:style w:type="paragraph" w:styleId="10">
    <w:name w:val="footnote text"/>
    <w:basedOn w:val="1"/>
    <w:semiHidden/>
    <w:uiPriority w:val="0"/>
  </w:style>
  <w:style w:type="paragraph" w:styleId="11">
    <w:name w:val="Normal (Web)"/>
    <w:basedOn w:val="1"/>
    <w:semiHidden/>
    <w:unhideWhenUsed/>
    <w:uiPriority w:val="99"/>
    <w:pPr>
      <w:spacing w:before="100" w:beforeAutospacing="1" w:after="100" w:afterAutospacing="1"/>
    </w:pPr>
    <w:rPr>
      <w:rFonts w:ascii="Times New Roman" w:hAnsi="Times New Roman"/>
      <w:sz w:val="24"/>
      <w:szCs w:val="24"/>
    </w:rPr>
  </w:style>
  <w:style w:type="paragraph" w:styleId="12">
    <w:name w:val="annotation subject"/>
    <w:basedOn w:val="4"/>
    <w:next w:val="4"/>
    <w:link w:val="24"/>
    <w:semiHidden/>
    <w:unhideWhenUsed/>
    <w:uiPriority w:val="99"/>
    <w:rPr>
      <w:b/>
      <w:bCs/>
    </w:rPr>
  </w:style>
  <w:style w:type="table" w:styleId="14">
    <w:name w:val="Table Grid"/>
    <w:basedOn w:val="13"/>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Strong"/>
    <w:qFormat/>
    <w:uiPriority w:val="22"/>
    <w:rPr>
      <w:b/>
      <w:bCs/>
    </w:rPr>
  </w:style>
  <w:style w:type="character" w:styleId="17">
    <w:name w:val="FollowedHyperlink"/>
    <w:uiPriority w:val="0"/>
    <w:rPr>
      <w:color w:val="800080"/>
      <w:u w:val="single"/>
    </w:rPr>
  </w:style>
  <w:style w:type="character" w:styleId="18">
    <w:name w:val="Hyperlink"/>
    <w:uiPriority w:val="0"/>
    <w:rPr>
      <w:color w:val="0000FF"/>
      <w:u w:val="single"/>
    </w:rPr>
  </w:style>
  <w:style w:type="character" w:styleId="19">
    <w:name w:val="annotation reference"/>
    <w:semiHidden/>
    <w:unhideWhenUsed/>
    <w:uiPriority w:val="99"/>
    <w:rPr>
      <w:sz w:val="16"/>
      <w:szCs w:val="16"/>
    </w:rPr>
  </w:style>
  <w:style w:type="character" w:styleId="20">
    <w:name w:val="footnote reference"/>
    <w:semiHidden/>
    <w:uiPriority w:val="0"/>
    <w:rPr>
      <w:vertAlign w:val="superscript"/>
    </w:rPr>
  </w:style>
  <w:style w:type="paragraph" w:customStyle="1" w:styleId="21">
    <w:name w:val="Heading Erasmod"/>
    <w:basedOn w:val="3"/>
    <w:uiPriority w:val="0"/>
    <w:pPr>
      <w:pBdr>
        <w:top w:val="single" w:color="auto" w:sz="6" w:space="1"/>
        <w:left w:val="single" w:color="auto" w:sz="6" w:space="1"/>
        <w:bottom w:val="single" w:color="auto" w:sz="6" w:space="1"/>
        <w:right w:val="single" w:color="auto" w:sz="6" w:space="1"/>
      </w:pBdr>
      <w:spacing w:before="0" w:after="120"/>
    </w:pPr>
    <w:rPr>
      <w:i w:val="0"/>
      <w:caps/>
      <w:sz w:val="28"/>
    </w:rPr>
  </w:style>
  <w:style w:type="paragraph" w:customStyle="1" w:styleId="22">
    <w:name w:val="Medium List 2 - Accent 21"/>
    <w:hidden/>
    <w:semiHidden/>
    <w:uiPriority w:val="99"/>
    <w:rPr>
      <w:rFonts w:ascii="Arial" w:hAnsi="Arial" w:eastAsia="Times New Roman" w:cs="Times New Roman"/>
      <w:lang w:val="en-GB" w:eastAsia="en-GB" w:bidi="ar-SA"/>
    </w:rPr>
  </w:style>
  <w:style w:type="character" w:customStyle="1" w:styleId="23">
    <w:name w:val="Comment Text Char"/>
    <w:link w:val="4"/>
    <w:uiPriority w:val="99"/>
    <w:rPr>
      <w:rFonts w:ascii="Arial" w:hAnsi="Arial"/>
    </w:rPr>
  </w:style>
  <w:style w:type="character" w:customStyle="1" w:styleId="24">
    <w:name w:val="Comment Subject Char"/>
    <w:link w:val="12"/>
    <w:semiHidden/>
    <w:uiPriority w:val="99"/>
    <w:rPr>
      <w:rFonts w:ascii="Arial" w:hAnsi="Arial"/>
      <w:b/>
      <w:bCs/>
    </w:rPr>
  </w:style>
  <w:style w:type="character" w:customStyle="1" w:styleId="25">
    <w:name w:val="Footer Char"/>
    <w:link w:val="8"/>
    <w:uiPriority w:val="99"/>
    <w:rPr>
      <w:rFonts w:ascii="Arial" w:hAnsi="Arial"/>
    </w:rPr>
  </w:style>
  <w:style w:type="paragraph" w:styleId="26">
    <w:name w:val="List Paragraph"/>
    <w:basedOn w:val="1"/>
    <w:qFormat/>
    <w:uiPriority w:val="99"/>
    <w:pPr>
      <w:ind w:left="720"/>
    </w:pPr>
  </w:style>
  <w:style w:type="paragraph" w:customStyle="1" w:styleId="27">
    <w:name w:val="Revision"/>
    <w:hidden/>
    <w:semiHidden/>
    <w:uiPriority w:val="99"/>
    <w:rPr>
      <w:rFonts w:ascii="Arial" w:hAnsi="Arial" w:eastAsia="Times New Roman" w:cs="Times New Roman"/>
      <w:lang w:val="en-GB" w:eastAsia="en-GB" w:bidi="ar-SA"/>
    </w:rPr>
  </w:style>
  <w:style w:type="paragraph" w:styleId="28">
    <w:name w:val="No Spacing"/>
    <w:qFormat/>
    <w:uiPriority w:val="99"/>
    <w:pPr>
      <w:overflowPunct w:val="0"/>
      <w:autoSpaceDE w:val="0"/>
      <w:autoSpaceDN w:val="0"/>
      <w:adjustRightInd w:val="0"/>
    </w:pPr>
    <w:rPr>
      <w:rFonts w:ascii="Calibri" w:hAnsi="Calibri" w:eastAsia="Times New Roman" w:cs="Times New Roman"/>
      <w:sz w:val="22"/>
      <w:lang w:val="en-GB" w:eastAsia="en-US" w:bidi="ar-SA"/>
    </w:rPr>
  </w:style>
  <w:style w:type="character" w:customStyle="1" w:styleId="29">
    <w:name w:val="Unresolved Mention1"/>
    <w:basedOn w:val="15"/>
    <w:semiHidden/>
    <w:unhideWhenUsed/>
    <w:uiPriority w:val="99"/>
    <w:rPr>
      <w:color w:val="605E5C"/>
      <w:shd w:val="clear" w:color="auto" w:fill="E1DFDD"/>
    </w:rPr>
  </w:style>
  <w:style w:type="character" w:customStyle="1" w:styleId="30">
    <w:name w:val="Unresolved Mention"/>
    <w:basedOn w:val="15"/>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UWTSD</Company>
  <Pages>7</Pages>
  <Words>555</Words>
  <Characters>3164</Characters>
  <Lines>26</Lines>
  <Paragraphs>7</Paragraphs>
  <TotalTime>23</TotalTime>
  <ScaleCrop>false</ScaleCrop>
  <LinksUpToDate>false</LinksUpToDate>
  <CharactersWithSpaces>3712</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2025-01-07T23:59:00Z</dcterms:created>
  <dc:creator>Academic Office</dc:creator>
  <cp:lastModifiedBy>anne</cp:lastModifiedBy>
  <cp:lastPrinted>2016-11-02T21:01:00Z</cp:lastPrinted>
  <dcterms:modified xsi:type="dcterms:W3CDTF">2025-02-17T11:57:24Z</dcterms:modified>
  <dc:title>PG1</dc:title>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MediaServiceImageTags">
    <vt:lpwstr/>
  </property>
  <property fmtid="{D5CDD505-2E9C-101B-9397-08002B2CF9AE}" pid="7" name="KSOProductBuildVer">
    <vt:lpwstr>2052-6.7.1.8828</vt:lpwstr>
  </property>
  <property fmtid="{D5CDD505-2E9C-101B-9397-08002B2CF9AE}" pid="8" name="ICV">
    <vt:lpwstr>0EBA8BD0FA14A2B286619D67EC6D218B_42</vt:lpwstr>
  </property>
</Properties>
</file>