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B6C57" w14:textId="40B63C8E" w:rsidR="008C4A84" w:rsidRPr="008C4A84" w:rsidRDefault="008C4A84" w:rsidP="008C4A84">
      <w:pPr>
        <w:jc w:val="center"/>
        <w:rPr>
          <w:rFonts w:ascii="Arial" w:hAnsi="Arial" w:cs="Arial"/>
          <w:sz w:val="24"/>
          <w:szCs w:val="24"/>
        </w:rPr>
      </w:pPr>
      <w:r>
        <w:rPr>
          <w:rFonts w:ascii="Arial" w:hAnsi="Arial" w:cs="Arial"/>
          <w:b/>
        </w:rPr>
        <w:t>Equality and Diversity</w:t>
      </w:r>
      <w:r>
        <w:rPr>
          <w:rFonts w:ascii="Arial" w:hAnsi="Arial" w:cs="Arial"/>
          <w:b/>
        </w:rPr>
        <w:t xml:space="preserve"> </w:t>
      </w:r>
      <w:r>
        <w:rPr>
          <w:rFonts w:ascii="Arial" w:hAnsi="Arial" w:cs="Arial"/>
          <w:b/>
        </w:rPr>
        <w:t>BMLW4001</w:t>
      </w:r>
    </w:p>
    <w:p w14:paraId="28081747" w14:textId="77777777" w:rsidR="008C4A84" w:rsidRPr="008C4A84" w:rsidRDefault="008C4A84" w:rsidP="008C4A84">
      <w:pPr>
        <w:rPr>
          <w:rFonts w:ascii="Arial" w:hAnsi="Arial" w:cs="Arial"/>
          <w:sz w:val="24"/>
          <w:szCs w:val="24"/>
        </w:rPr>
      </w:pPr>
      <w:r w:rsidRPr="008C4A84">
        <w:rPr>
          <w:rFonts w:ascii="Arial" w:hAnsi="Arial" w:cs="Arial"/>
          <w:b/>
          <w:bCs/>
          <w:sz w:val="24"/>
          <w:szCs w:val="24"/>
        </w:rPr>
        <w:t>Introduction</w:t>
      </w:r>
      <w:r w:rsidRPr="008C4A84">
        <w:rPr>
          <w:rFonts w:ascii="Arial" w:hAnsi="Arial" w:cs="Arial"/>
          <w:sz w:val="24"/>
          <w:szCs w:val="24"/>
        </w:rPr>
        <w:t>:</w:t>
      </w:r>
    </w:p>
    <w:p w14:paraId="5971D82E" w14:textId="00740302" w:rsidR="008C4A84" w:rsidRPr="008C4A84" w:rsidRDefault="008C4A84" w:rsidP="008C4A84">
      <w:pPr>
        <w:rPr>
          <w:rFonts w:ascii="Arial" w:hAnsi="Arial" w:cs="Arial"/>
          <w:sz w:val="24"/>
          <w:szCs w:val="24"/>
        </w:rPr>
      </w:pPr>
      <w:r w:rsidRPr="008C4A84">
        <w:rPr>
          <w:rFonts w:ascii="Arial" w:hAnsi="Arial" w:cs="Arial"/>
          <w:sz w:val="24"/>
          <w:szCs w:val="24"/>
        </w:rPr>
        <w:t>Equality and diversity are essential principles that contribute to a legal system that is just and inclusive.</w:t>
      </w:r>
      <w:r>
        <w:rPr>
          <w:rFonts w:ascii="Arial" w:hAnsi="Arial" w:cs="Arial"/>
          <w:sz w:val="24"/>
          <w:szCs w:val="24"/>
        </w:rPr>
        <w:t xml:space="preserve"> </w:t>
      </w:r>
      <w:r w:rsidRPr="008C4A84">
        <w:rPr>
          <w:rFonts w:ascii="Arial" w:hAnsi="Arial" w:cs="Arial"/>
          <w:sz w:val="24"/>
          <w:szCs w:val="24"/>
        </w:rPr>
        <w:t>In the legal profession, the promotion of these principles is not only an ethical requirement but also enshrined in key legislative acts and regulatory frameworks.</w:t>
      </w:r>
      <w:r>
        <w:rPr>
          <w:rFonts w:ascii="Arial" w:hAnsi="Arial" w:cs="Arial"/>
          <w:sz w:val="24"/>
          <w:szCs w:val="24"/>
        </w:rPr>
        <w:t xml:space="preserve"> In this</w:t>
      </w:r>
      <w:r w:rsidRPr="008C4A84">
        <w:rPr>
          <w:rFonts w:ascii="Arial" w:hAnsi="Arial" w:cs="Arial"/>
          <w:sz w:val="24"/>
          <w:szCs w:val="24"/>
        </w:rPr>
        <w:t xml:space="preserve"> </w:t>
      </w:r>
      <w:r>
        <w:rPr>
          <w:rFonts w:ascii="Arial" w:hAnsi="Arial" w:cs="Arial"/>
          <w:sz w:val="24"/>
          <w:szCs w:val="24"/>
        </w:rPr>
        <w:t xml:space="preserve">essay, I would like to </w:t>
      </w:r>
      <w:r w:rsidRPr="008C4A84">
        <w:rPr>
          <w:rFonts w:ascii="Arial" w:hAnsi="Arial" w:cs="Arial"/>
          <w:sz w:val="24"/>
          <w:szCs w:val="24"/>
        </w:rPr>
        <w:t>explore how individuals working in the legal profession and regulatory bodies, such as the Solicitors Regulation Authority (</w:t>
      </w:r>
      <w:r w:rsidRPr="008C4A84">
        <w:rPr>
          <w:rFonts w:ascii="Arial" w:hAnsi="Arial" w:cs="Arial"/>
          <w:b/>
          <w:bCs/>
          <w:sz w:val="24"/>
          <w:szCs w:val="24"/>
        </w:rPr>
        <w:t>SRA</w:t>
      </w:r>
      <w:r w:rsidRPr="008C4A84">
        <w:rPr>
          <w:rFonts w:ascii="Arial" w:hAnsi="Arial" w:cs="Arial"/>
          <w:sz w:val="24"/>
          <w:szCs w:val="24"/>
        </w:rPr>
        <w:t>), Bar Standards Board (</w:t>
      </w:r>
      <w:r w:rsidRPr="008C4A84">
        <w:rPr>
          <w:rFonts w:ascii="Arial" w:hAnsi="Arial" w:cs="Arial"/>
          <w:b/>
          <w:bCs/>
          <w:sz w:val="24"/>
          <w:szCs w:val="24"/>
        </w:rPr>
        <w:t>BSB</w:t>
      </w:r>
      <w:r w:rsidRPr="008C4A84">
        <w:rPr>
          <w:rFonts w:ascii="Arial" w:hAnsi="Arial" w:cs="Arial"/>
          <w:sz w:val="24"/>
          <w:szCs w:val="24"/>
        </w:rPr>
        <w:t>), and Chartered Institute of Legal Executives (</w:t>
      </w:r>
      <w:r w:rsidRPr="008C4A84">
        <w:rPr>
          <w:rFonts w:ascii="Arial" w:hAnsi="Arial" w:cs="Arial"/>
          <w:b/>
          <w:bCs/>
          <w:sz w:val="24"/>
          <w:szCs w:val="24"/>
        </w:rPr>
        <w:t>CILEX</w:t>
      </w:r>
      <w:r w:rsidRPr="008C4A84">
        <w:rPr>
          <w:rFonts w:ascii="Arial" w:hAnsi="Arial" w:cs="Arial"/>
          <w:sz w:val="24"/>
          <w:szCs w:val="24"/>
        </w:rPr>
        <w:t>) Regulation, contribute to fostering equality and diversity.</w:t>
      </w:r>
    </w:p>
    <w:p w14:paraId="7F7F514C" w14:textId="77777777" w:rsidR="008C4A84" w:rsidRPr="008C4A84" w:rsidRDefault="008C4A84" w:rsidP="008C4A84">
      <w:pPr>
        <w:rPr>
          <w:rFonts w:ascii="Arial" w:hAnsi="Arial" w:cs="Arial"/>
          <w:sz w:val="24"/>
          <w:szCs w:val="24"/>
        </w:rPr>
      </w:pPr>
    </w:p>
    <w:p w14:paraId="186125A0" w14:textId="1275D174" w:rsidR="008C4A84" w:rsidRPr="008C4A84" w:rsidRDefault="008C4A84" w:rsidP="008C4A84">
      <w:pPr>
        <w:rPr>
          <w:rFonts w:ascii="Arial" w:hAnsi="Arial" w:cs="Arial"/>
          <w:sz w:val="24"/>
          <w:szCs w:val="24"/>
        </w:rPr>
      </w:pPr>
      <w:r w:rsidRPr="008C4A84">
        <w:rPr>
          <w:rFonts w:ascii="Arial" w:hAnsi="Arial" w:cs="Arial"/>
          <w:b/>
          <w:bCs/>
          <w:sz w:val="24"/>
          <w:szCs w:val="24"/>
        </w:rPr>
        <w:t>Legislative Framework</w:t>
      </w:r>
      <w:r w:rsidRPr="008C4A84">
        <w:rPr>
          <w:rFonts w:ascii="Arial" w:hAnsi="Arial" w:cs="Arial"/>
          <w:sz w:val="24"/>
          <w:szCs w:val="24"/>
        </w:rPr>
        <w:t>:</w:t>
      </w:r>
    </w:p>
    <w:p w14:paraId="62D5536E" w14:textId="5EA8D362" w:rsidR="008C4A84" w:rsidRPr="00FB575B" w:rsidRDefault="00F421EA" w:rsidP="008C4A84">
      <w:pPr>
        <w:rPr>
          <w:rFonts w:ascii="Arial" w:hAnsi="Arial" w:cs="Arial"/>
          <w:color w:val="1E1E1E"/>
          <w:sz w:val="24"/>
          <w:szCs w:val="24"/>
          <w:shd w:val="clear" w:color="auto" w:fill="FFFFFF"/>
        </w:rPr>
      </w:pPr>
      <w:r w:rsidRPr="008C4A84">
        <w:rPr>
          <w:rFonts w:ascii="Arial" w:hAnsi="Arial" w:cs="Arial"/>
          <w:sz w:val="24"/>
          <w:szCs w:val="24"/>
        </w:rPr>
        <w:t>The Legal Services Act 2007 is a crucial element in the regulation of legal services in England and Wales.</w:t>
      </w:r>
      <w:r>
        <w:rPr>
          <w:rFonts w:ascii="Arial" w:hAnsi="Arial" w:cs="Arial"/>
          <w:sz w:val="24"/>
          <w:szCs w:val="24"/>
        </w:rPr>
        <w:t xml:space="preserve"> </w:t>
      </w:r>
      <w:r w:rsidRPr="008C4A84">
        <w:rPr>
          <w:rFonts w:ascii="Arial" w:hAnsi="Arial" w:cs="Arial"/>
          <w:sz w:val="24"/>
          <w:szCs w:val="24"/>
        </w:rPr>
        <w:t xml:space="preserve">While its primary focus is on market </w:t>
      </w:r>
      <w:r>
        <w:rPr>
          <w:rFonts w:ascii="Arial" w:hAnsi="Arial" w:cs="Arial"/>
          <w:sz w:val="24"/>
          <w:szCs w:val="24"/>
        </w:rPr>
        <w:t>liberalization</w:t>
      </w:r>
      <w:r w:rsidRPr="008C4A84">
        <w:rPr>
          <w:rFonts w:ascii="Arial" w:hAnsi="Arial" w:cs="Arial"/>
          <w:sz w:val="24"/>
          <w:szCs w:val="24"/>
        </w:rPr>
        <w:t xml:space="preserve">, it also emphasizes principles based on equality and diversity. </w:t>
      </w:r>
      <w:r>
        <w:rPr>
          <w:rFonts w:ascii="Arial" w:hAnsi="Arial" w:cs="Arial"/>
          <w:sz w:val="24"/>
          <w:szCs w:val="24"/>
        </w:rPr>
        <w:t xml:space="preserve">If we have a look at the </w:t>
      </w:r>
      <w:r w:rsidR="00C20B10" w:rsidRPr="00FB575B">
        <w:rPr>
          <w:rFonts w:ascii="Arial" w:hAnsi="Arial" w:cs="Arial"/>
          <w:b/>
          <w:bCs/>
          <w:color w:val="1E1E1E"/>
          <w:shd w:val="clear" w:color="auto" w:fill="FFFFFF"/>
        </w:rPr>
        <w:t>(</w:t>
      </w:r>
      <w:r w:rsidR="00FB575B">
        <w:rPr>
          <w:rFonts w:ascii="Arial" w:hAnsi="Arial" w:cs="Arial"/>
          <w:b/>
          <w:bCs/>
          <w:color w:val="1E1E1E"/>
          <w:shd w:val="clear" w:color="auto" w:fill="FFFFFF"/>
        </w:rPr>
        <w:t>L</w:t>
      </w:r>
      <w:r w:rsidR="00C20B10" w:rsidRPr="00FB575B">
        <w:rPr>
          <w:rFonts w:ascii="Arial" w:hAnsi="Arial" w:cs="Arial"/>
          <w:b/>
          <w:bCs/>
          <w:color w:val="1E1E1E"/>
          <w:shd w:val="clear" w:color="auto" w:fill="FFFFFF"/>
        </w:rPr>
        <w:t>egal Services Act, 2007, s. 29</w:t>
      </w:r>
      <w:r w:rsidR="00FB575B">
        <w:rPr>
          <w:rFonts w:ascii="Arial" w:hAnsi="Arial" w:cs="Arial"/>
          <w:b/>
          <w:bCs/>
          <w:color w:val="1E1E1E"/>
          <w:shd w:val="clear" w:color="auto" w:fill="FFFFFF"/>
        </w:rPr>
        <w:t>,</w:t>
      </w:r>
      <w:r w:rsidR="00FB575B" w:rsidRPr="00FB575B">
        <w:t xml:space="preserve"> </w:t>
      </w:r>
      <w:hyperlink r:id="rId5" w:history="1">
        <w:r w:rsidR="00FB575B" w:rsidRPr="00715C97">
          <w:rPr>
            <w:rStyle w:val="Hyperlink"/>
            <w:rFonts w:ascii="Arial" w:hAnsi="Arial" w:cs="Arial"/>
            <w:b/>
            <w:bCs/>
            <w:shd w:val="clear" w:color="auto" w:fill="FFFFFF"/>
          </w:rPr>
          <w:t>https://www.legislation.gov.uk/ukpga/2007/29</w:t>
        </w:r>
      </w:hyperlink>
      <w:r w:rsidR="00FB575B">
        <w:rPr>
          <w:rFonts w:ascii="Arial" w:hAnsi="Arial" w:cs="Arial"/>
          <w:b/>
          <w:bCs/>
          <w:color w:val="1E1E1E"/>
          <w:shd w:val="clear" w:color="auto" w:fill="FFFFFF"/>
        </w:rPr>
        <w:t xml:space="preserve"> </w:t>
      </w:r>
      <w:r w:rsidR="00C20B10" w:rsidRPr="00FB575B">
        <w:rPr>
          <w:rFonts w:ascii="Arial" w:hAnsi="Arial" w:cs="Arial"/>
          <w:b/>
          <w:bCs/>
          <w:color w:val="1E1E1E"/>
          <w:shd w:val="clear" w:color="auto" w:fill="FFFFFF"/>
        </w:rPr>
        <w:t>).</w:t>
      </w:r>
      <w:r w:rsidR="00C20B10" w:rsidRPr="000B0369">
        <w:rPr>
          <w:rFonts w:ascii="Arial" w:hAnsi="Arial" w:cs="Arial"/>
          <w:color w:val="1E1E1E"/>
          <w:shd w:val="clear" w:color="auto" w:fill="FFFFFF"/>
        </w:rPr>
        <w:t xml:space="preserve"> </w:t>
      </w:r>
      <w:r>
        <w:rPr>
          <w:rFonts w:ascii="Arial" w:hAnsi="Arial" w:cs="Arial"/>
          <w:sz w:val="24"/>
          <w:szCs w:val="24"/>
        </w:rPr>
        <w:t xml:space="preserve">where </w:t>
      </w:r>
      <w:r w:rsidRPr="000B0369">
        <w:rPr>
          <w:rFonts w:ascii="Arial" w:hAnsi="Arial" w:cs="Arial"/>
          <w:color w:val="1E1E1E"/>
          <w:shd w:val="clear" w:color="auto" w:fill="FFFFFF"/>
        </w:rPr>
        <w:t xml:space="preserve">it </w:t>
      </w:r>
      <w:r w:rsidR="000B0369" w:rsidRPr="000B0369">
        <w:rPr>
          <w:rFonts w:ascii="Arial" w:hAnsi="Arial" w:cs="Arial"/>
          <w:color w:val="1E1E1E"/>
          <w:shd w:val="clear" w:color="auto" w:fill="FFFFFF"/>
        </w:rPr>
        <w:t>says,</w:t>
      </w:r>
      <w:r w:rsidRPr="000B0369">
        <w:rPr>
          <w:rFonts w:ascii="Arial" w:hAnsi="Arial" w:cs="Arial"/>
          <w:color w:val="1E1E1E"/>
          <w:shd w:val="clear" w:color="auto" w:fill="FFFFFF"/>
        </w:rPr>
        <w:t xml:space="preserve"> </w:t>
      </w:r>
      <w:r w:rsidR="000B0369" w:rsidRPr="00FB575B">
        <w:rPr>
          <w:rFonts w:ascii="Arial" w:hAnsi="Arial" w:cs="Arial"/>
          <w:i/>
          <w:iCs/>
          <w:color w:val="1E1E1E"/>
          <w:sz w:val="24"/>
          <w:szCs w:val="24"/>
          <w:shd w:val="clear" w:color="auto" w:fill="FFFFFF"/>
        </w:rPr>
        <w:t>“</w:t>
      </w:r>
      <w:r w:rsidR="000B0369" w:rsidRPr="00FB575B">
        <w:rPr>
          <w:rFonts w:ascii="Arial" w:hAnsi="Arial" w:cs="Arial"/>
          <w:i/>
          <w:iCs/>
          <w:color w:val="1E1E1E"/>
          <w:sz w:val="24"/>
          <w:szCs w:val="24"/>
          <w:shd w:val="clear" w:color="auto" w:fill="FFFFFF"/>
        </w:rPr>
        <w:t>to make provision about the application of the Legal Profession and Legal Aid (Scotland) Act 2007; to make provision about the Scottish legal services ombudsman; and for connected purposes.</w:t>
      </w:r>
      <w:r w:rsidR="000B0369" w:rsidRPr="00FB575B">
        <w:rPr>
          <w:rFonts w:ascii="Arial" w:hAnsi="Arial" w:cs="Arial"/>
          <w:i/>
          <w:iCs/>
          <w:color w:val="1E1E1E"/>
          <w:sz w:val="24"/>
          <w:szCs w:val="24"/>
          <w:shd w:val="clear" w:color="auto" w:fill="FFFFFF"/>
        </w:rPr>
        <w:t>”</w:t>
      </w:r>
      <w:r w:rsidR="000B0369" w:rsidRPr="00FB575B">
        <w:rPr>
          <w:rFonts w:ascii="Arial" w:hAnsi="Arial" w:cs="Arial"/>
          <w:color w:val="1E1E1E"/>
          <w:sz w:val="24"/>
          <w:szCs w:val="24"/>
          <w:shd w:val="clear" w:color="auto" w:fill="FFFFFF"/>
        </w:rPr>
        <w:t xml:space="preserve"> We can understand from this its intention to promote how to facilitate the services across the board.</w:t>
      </w:r>
    </w:p>
    <w:p w14:paraId="1D1746F2" w14:textId="7B2F7A2A" w:rsidR="000B0369" w:rsidRPr="00FB575B" w:rsidRDefault="000B0369" w:rsidP="000B0369">
      <w:pPr>
        <w:rPr>
          <w:rFonts w:ascii="Arial" w:hAnsi="Arial" w:cs="Arial"/>
          <w:color w:val="1E1E1E"/>
          <w:sz w:val="24"/>
          <w:szCs w:val="24"/>
          <w:shd w:val="clear" w:color="auto" w:fill="FFFFFF"/>
        </w:rPr>
      </w:pPr>
      <w:r w:rsidRPr="00FB575B">
        <w:rPr>
          <w:rFonts w:ascii="Arial" w:hAnsi="Arial" w:cs="Arial"/>
          <w:color w:val="1E1E1E"/>
          <w:sz w:val="24"/>
          <w:szCs w:val="24"/>
          <w:shd w:val="clear" w:color="auto" w:fill="FFFFFF"/>
        </w:rPr>
        <w:t>After</w:t>
      </w:r>
      <w:r w:rsidRPr="00FB575B">
        <w:rPr>
          <w:rFonts w:ascii="Arial" w:hAnsi="Arial" w:cs="Arial"/>
          <w:color w:val="1E1E1E"/>
          <w:sz w:val="24"/>
          <w:szCs w:val="24"/>
          <w:shd w:val="clear" w:color="auto" w:fill="FFFFFF"/>
        </w:rPr>
        <w:t xml:space="preserve"> examining the Legal Services Act 2007, Section 29 emphasizes its commitment</w:t>
      </w:r>
      <w:r w:rsidR="00C20B10" w:rsidRPr="00FB575B">
        <w:rPr>
          <w:rFonts w:ascii="Arial" w:hAnsi="Arial" w:cs="Arial"/>
          <w:color w:val="1E1E1E"/>
          <w:sz w:val="24"/>
          <w:szCs w:val="24"/>
          <w:shd w:val="clear" w:color="auto" w:fill="FFFFFF"/>
        </w:rPr>
        <w:t xml:space="preserve"> and the provision demonstrates the Act's overarching intention to regulate and facilitate legal services effectively, addressing various aspects related to legal practices and oversight</w:t>
      </w:r>
      <w:r w:rsidR="00FB575B" w:rsidRPr="00FB575B">
        <w:rPr>
          <w:rFonts w:ascii="Arial" w:hAnsi="Arial" w:cs="Arial"/>
          <w:color w:val="1E1E1E"/>
          <w:sz w:val="24"/>
          <w:szCs w:val="24"/>
          <w:shd w:val="clear" w:color="auto" w:fill="FFFFFF"/>
        </w:rPr>
        <w:t>.</w:t>
      </w:r>
    </w:p>
    <w:p w14:paraId="04B96E82" w14:textId="573AFD59" w:rsidR="000B0369" w:rsidRPr="00FB575B" w:rsidRDefault="000B0369" w:rsidP="000B0369">
      <w:pPr>
        <w:rPr>
          <w:rFonts w:ascii="Arial" w:hAnsi="Arial" w:cs="Arial"/>
          <w:color w:val="1E1E1E"/>
          <w:sz w:val="24"/>
          <w:szCs w:val="24"/>
          <w:shd w:val="clear" w:color="auto" w:fill="FFFFFF"/>
        </w:rPr>
      </w:pPr>
      <w:r w:rsidRPr="00FB575B">
        <w:rPr>
          <w:rFonts w:ascii="Arial" w:hAnsi="Arial" w:cs="Arial"/>
          <w:color w:val="1E1E1E"/>
          <w:sz w:val="24"/>
          <w:szCs w:val="24"/>
          <w:shd w:val="clear" w:color="auto" w:fill="FFFFFF"/>
        </w:rPr>
        <w:t>This broad and inclusive approach aligns with the Act's goal to ensure a well-regulated legal services landscape, promoting efficiency, fairness, and accountability. It implies a commitment to creating a level playing field for legal professionals and encouraging inclusivity in legal service provision</w:t>
      </w:r>
      <w:r w:rsidR="00C20B10" w:rsidRPr="00FB575B">
        <w:rPr>
          <w:rFonts w:ascii="Arial" w:hAnsi="Arial" w:cs="Arial"/>
          <w:color w:val="1E1E1E"/>
          <w:sz w:val="24"/>
          <w:szCs w:val="24"/>
          <w:shd w:val="clear" w:color="auto" w:fill="FFFFFF"/>
        </w:rPr>
        <w:t>.</w:t>
      </w:r>
    </w:p>
    <w:p w14:paraId="58D11963" w14:textId="38CC6665" w:rsidR="000B0369" w:rsidRDefault="000B0369" w:rsidP="000B0369">
      <w:pPr>
        <w:rPr>
          <w:rFonts w:ascii="Arial" w:hAnsi="Arial" w:cs="Arial"/>
          <w:color w:val="1E1E1E"/>
          <w:sz w:val="24"/>
          <w:szCs w:val="24"/>
          <w:shd w:val="clear" w:color="auto" w:fill="FFFFFF"/>
        </w:rPr>
      </w:pPr>
      <w:r w:rsidRPr="00FB575B">
        <w:rPr>
          <w:rFonts w:ascii="Arial" w:hAnsi="Arial" w:cs="Arial"/>
          <w:color w:val="1E1E1E"/>
          <w:sz w:val="24"/>
          <w:szCs w:val="24"/>
          <w:shd w:val="clear" w:color="auto" w:fill="FFFFFF"/>
        </w:rPr>
        <w:t>In the context of promoting equality and diversity in the legal profession, this provision within the Legal Services Act 2007 underscores the regulatory framework's role in fostering an environment that facilitates services across the board, promoting accessibility and fairness (Author, Year). Such provisions contribute to the broader initiative of promoting equality and diversity within the legal sector.</w:t>
      </w:r>
    </w:p>
    <w:p w14:paraId="14810E94" w14:textId="77777777" w:rsidR="00CF0A93" w:rsidRPr="00FB575B" w:rsidRDefault="00CF0A93" w:rsidP="000B0369">
      <w:pPr>
        <w:rPr>
          <w:rFonts w:ascii="Arial" w:hAnsi="Arial" w:cs="Arial"/>
          <w:color w:val="1E1E1E"/>
          <w:sz w:val="24"/>
          <w:szCs w:val="24"/>
          <w:shd w:val="clear" w:color="auto" w:fill="FFFFFF"/>
        </w:rPr>
      </w:pPr>
    </w:p>
    <w:p w14:paraId="6C8AE4B5" w14:textId="77777777" w:rsidR="00CF0A93" w:rsidRDefault="008C4A84" w:rsidP="008C4A84">
      <w:pPr>
        <w:rPr>
          <w:rFonts w:ascii="Arial" w:hAnsi="Arial" w:cs="Arial"/>
          <w:sz w:val="24"/>
          <w:szCs w:val="24"/>
        </w:rPr>
      </w:pPr>
      <w:r w:rsidRPr="0034676E">
        <w:rPr>
          <w:rFonts w:ascii="Arial" w:hAnsi="Arial" w:cs="Arial"/>
          <w:b/>
          <w:bCs/>
          <w:sz w:val="24"/>
          <w:szCs w:val="24"/>
        </w:rPr>
        <w:t>The Equality Act 2010</w:t>
      </w:r>
      <w:r w:rsidRPr="008C4A84">
        <w:rPr>
          <w:rFonts w:ascii="Arial" w:hAnsi="Arial" w:cs="Arial"/>
          <w:sz w:val="24"/>
          <w:szCs w:val="24"/>
        </w:rPr>
        <w:t xml:space="preserve"> </w:t>
      </w:r>
    </w:p>
    <w:p w14:paraId="7056889C" w14:textId="4FF10AF2" w:rsidR="00CF0A93" w:rsidRDefault="00CF0A93" w:rsidP="008C4A84">
      <w:pPr>
        <w:rPr>
          <w:rFonts w:ascii="Arial" w:hAnsi="Arial" w:cs="Arial"/>
          <w:sz w:val="24"/>
          <w:szCs w:val="24"/>
        </w:rPr>
      </w:pPr>
      <w:r>
        <w:rPr>
          <w:rFonts w:ascii="Arial" w:hAnsi="Arial" w:cs="Arial"/>
          <w:sz w:val="24"/>
          <w:szCs w:val="24"/>
        </w:rPr>
        <w:t>P</w:t>
      </w:r>
      <w:r w:rsidR="008C4A84" w:rsidRPr="008C4A84">
        <w:rPr>
          <w:rFonts w:ascii="Arial" w:hAnsi="Arial" w:cs="Arial"/>
          <w:sz w:val="24"/>
          <w:szCs w:val="24"/>
        </w:rPr>
        <w:t xml:space="preserve">lays a pivotal role in eliminating discrimination and advancing equality across various sectors, including the legal profession. </w:t>
      </w:r>
      <w:r>
        <w:rPr>
          <w:rFonts w:ascii="Arial" w:hAnsi="Arial" w:cs="Arial"/>
          <w:color w:val="202124"/>
          <w:sz w:val="24"/>
          <w:szCs w:val="24"/>
          <w:shd w:val="clear" w:color="auto" w:fill="FFFFFF"/>
        </w:rPr>
        <w:t xml:space="preserve">The Act </w:t>
      </w:r>
      <w:proofErr w:type="gramStart"/>
      <w:r>
        <w:rPr>
          <w:rFonts w:ascii="Arial" w:hAnsi="Arial" w:cs="Arial"/>
          <w:color w:val="202124"/>
          <w:sz w:val="24"/>
          <w:szCs w:val="24"/>
          <w:shd w:val="clear" w:color="auto" w:fill="FFFFFF"/>
        </w:rPr>
        <w:t>basically e</w:t>
      </w:r>
      <w:r w:rsidRPr="00CF0A93">
        <w:rPr>
          <w:rFonts w:ascii="Arial" w:hAnsi="Arial" w:cs="Arial"/>
          <w:color w:val="202124"/>
          <w:sz w:val="24"/>
          <w:szCs w:val="24"/>
          <w:shd w:val="clear" w:color="auto" w:fill="FFFFFF"/>
        </w:rPr>
        <w:t>stablishes</w:t>
      </w:r>
      <w:proofErr w:type="gramEnd"/>
      <w:r w:rsidRPr="00CF0A93">
        <w:rPr>
          <w:rFonts w:ascii="Arial" w:hAnsi="Arial" w:cs="Arial"/>
          <w:color w:val="202124"/>
          <w:sz w:val="24"/>
          <w:szCs w:val="24"/>
          <w:shd w:val="clear" w:color="auto" w:fill="FFFFFF"/>
        </w:rPr>
        <w:t xml:space="preserve"> the key concepts on which the Act is based </w:t>
      </w:r>
      <w:r>
        <w:rPr>
          <w:rFonts w:ascii="Arial" w:hAnsi="Arial" w:cs="Arial"/>
          <w:color w:val="202124"/>
          <w:sz w:val="24"/>
          <w:szCs w:val="24"/>
          <w:shd w:val="clear" w:color="auto" w:fill="FFFFFF"/>
        </w:rPr>
        <w:t>and allows for implementation and includes</w:t>
      </w:r>
      <w:r w:rsidRPr="00CF0A93">
        <w:rPr>
          <w:rFonts w:ascii="Arial" w:hAnsi="Arial" w:cs="Arial"/>
          <w:color w:val="202124"/>
          <w:sz w:val="24"/>
          <w:szCs w:val="24"/>
          <w:shd w:val="clear" w:color="auto" w:fill="FFFFFF"/>
        </w:rPr>
        <w:t xml:space="preserve"> the</w:t>
      </w:r>
      <w:r>
        <w:rPr>
          <w:rFonts w:ascii="Arial" w:hAnsi="Arial" w:cs="Arial"/>
          <w:color w:val="202124"/>
          <w:sz w:val="24"/>
          <w:szCs w:val="24"/>
          <w:shd w:val="clear" w:color="auto" w:fill="FFFFFF"/>
        </w:rPr>
        <w:t xml:space="preserve"> following</w:t>
      </w:r>
      <w:r w:rsidRPr="00CF0A93">
        <w:rPr>
          <w:rFonts w:ascii="Arial" w:hAnsi="Arial" w:cs="Arial"/>
          <w:color w:val="202124"/>
          <w:sz w:val="24"/>
          <w:szCs w:val="24"/>
          <w:shd w:val="clear" w:color="auto" w:fill="FFFFFF"/>
        </w:rPr>
        <w:t xml:space="preserve"> characteristics </w:t>
      </w:r>
      <w:r>
        <w:rPr>
          <w:rFonts w:ascii="Arial" w:hAnsi="Arial" w:cs="Arial"/>
          <w:color w:val="202124"/>
          <w:sz w:val="24"/>
          <w:szCs w:val="24"/>
          <w:shd w:val="clear" w:color="auto" w:fill="FFFFFF"/>
        </w:rPr>
        <w:t>that</w:t>
      </w:r>
      <w:r w:rsidRPr="00CF0A93">
        <w:rPr>
          <w:rFonts w:ascii="Arial" w:hAnsi="Arial" w:cs="Arial"/>
          <w:color w:val="202124"/>
          <w:sz w:val="24"/>
          <w:szCs w:val="24"/>
          <w:shd w:val="clear" w:color="auto" w:fill="FFFFFF"/>
        </w:rPr>
        <w:t xml:space="preserve"> are protected (age, disability, gender reassignment, marriage and civil partnership, pregnancy and maternity, race, religion or belief, sex</w:t>
      </w:r>
      <w:r>
        <w:rPr>
          <w:rFonts w:ascii="Arial" w:hAnsi="Arial" w:cs="Arial"/>
          <w:color w:val="202124"/>
          <w:sz w:val="24"/>
          <w:szCs w:val="24"/>
          <w:shd w:val="clear" w:color="auto" w:fill="FFFFFF"/>
        </w:rPr>
        <w:t>,</w:t>
      </w:r>
      <w:r w:rsidRPr="00CF0A93">
        <w:rPr>
          <w:rFonts w:ascii="Arial" w:hAnsi="Arial" w:cs="Arial"/>
          <w:color w:val="202124"/>
          <w:sz w:val="24"/>
          <w:szCs w:val="24"/>
          <w:shd w:val="clear" w:color="auto" w:fill="FFFFFF"/>
        </w:rPr>
        <w:t xml:space="preserve"> and sexual orientation</w:t>
      </w:r>
      <w:r w:rsidRPr="00CF0A93">
        <w:rPr>
          <w:rFonts w:ascii="Arial" w:hAnsi="Arial" w:cs="Arial"/>
          <w:color w:val="202124"/>
          <w:sz w:val="24"/>
          <w:szCs w:val="24"/>
          <w:shd w:val="clear" w:color="auto" w:fill="FFFFFF"/>
        </w:rPr>
        <w:t>).</w:t>
      </w:r>
      <w:r w:rsidR="00963090">
        <w:rPr>
          <w:rFonts w:ascii="Arial" w:hAnsi="Arial" w:cs="Arial"/>
          <w:color w:val="202124"/>
          <w:sz w:val="24"/>
          <w:szCs w:val="24"/>
          <w:shd w:val="clear" w:color="auto" w:fill="FFFFFF"/>
        </w:rPr>
        <w:t xml:space="preserve"> </w:t>
      </w:r>
      <w:proofErr w:type="gramStart"/>
      <w:r w:rsidR="00963090">
        <w:rPr>
          <w:rFonts w:ascii="Arial" w:hAnsi="Arial" w:cs="Arial"/>
          <w:color w:val="202124"/>
          <w:sz w:val="24"/>
          <w:szCs w:val="24"/>
          <w:shd w:val="clear" w:color="auto" w:fill="FFFFFF"/>
        </w:rPr>
        <w:t>Many</w:t>
      </w:r>
      <w:proofErr w:type="gramEnd"/>
      <w:r w:rsidR="00963090">
        <w:rPr>
          <w:rFonts w:ascii="Arial" w:hAnsi="Arial" w:cs="Arial"/>
          <w:color w:val="202124"/>
          <w:sz w:val="24"/>
          <w:szCs w:val="24"/>
          <w:shd w:val="clear" w:color="auto" w:fill="FFFFFF"/>
        </w:rPr>
        <w:t xml:space="preserve"> aspects of either trade or profession should and need to benefit from understanding equality and diversity especially people </w:t>
      </w:r>
      <w:r w:rsidR="003632A4">
        <w:rPr>
          <w:rFonts w:ascii="Arial" w:hAnsi="Arial" w:cs="Arial"/>
          <w:color w:val="202124"/>
          <w:sz w:val="24"/>
          <w:szCs w:val="24"/>
          <w:shd w:val="clear" w:color="auto" w:fill="FFFFFF"/>
        </w:rPr>
        <w:t>who</w:t>
      </w:r>
      <w:r w:rsidR="00963090">
        <w:rPr>
          <w:rFonts w:ascii="Arial" w:hAnsi="Arial" w:cs="Arial"/>
          <w:color w:val="202124"/>
          <w:sz w:val="24"/>
          <w:szCs w:val="24"/>
          <w:shd w:val="clear" w:color="auto" w:fill="FFFFFF"/>
        </w:rPr>
        <w:t xml:space="preserve"> have </w:t>
      </w:r>
      <w:r w:rsidR="00963090">
        <w:rPr>
          <w:rFonts w:ascii="Arial" w:hAnsi="Arial" w:cs="Arial"/>
          <w:color w:val="202124"/>
          <w:sz w:val="24"/>
          <w:szCs w:val="24"/>
          <w:shd w:val="clear" w:color="auto" w:fill="FFFFFF"/>
        </w:rPr>
        <w:lastRenderedPageBreak/>
        <w:t xml:space="preserve">progressed </w:t>
      </w:r>
      <w:r w:rsidR="003632A4">
        <w:rPr>
          <w:rFonts w:ascii="Arial" w:hAnsi="Arial" w:cs="Arial"/>
          <w:color w:val="202124"/>
          <w:sz w:val="24"/>
          <w:szCs w:val="24"/>
          <w:shd w:val="clear" w:color="auto" w:fill="FFFFFF"/>
        </w:rPr>
        <w:t xml:space="preserve">within a company and are established in positions of control or people management. </w:t>
      </w:r>
      <w:r w:rsidR="007F11C6">
        <w:rPr>
          <w:rFonts w:ascii="Arial" w:hAnsi="Arial" w:cs="Arial"/>
          <w:color w:val="202124"/>
          <w:sz w:val="24"/>
          <w:szCs w:val="24"/>
          <w:shd w:val="clear" w:color="auto" w:fill="FFFFFF"/>
        </w:rPr>
        <w:t>Strong</w:t>
      </w:r>
      <w:r w:rsidR="003632A4">
        <w:rPr>
          <w:rFonts w:ascii="Arial" w:hAnsi="Arial" w:cs="Arial"/>
          <w:color w:val="202124"/>
          <w:sz w:val="24"/>
          <w:szCs w:val="24"/>
          <w:shd w:val="clear" w:color="auto" w:fill="FFFFFF"/>
        </w:rPr>
        <w:t xml:space="preserve"> familiarity with </w:t>
      </w:r>
      <w:r w:rsidR="007F11C6">
        <w:rPr>
          <w:rFonts w:ascii="Arial" w:hAnsi="Arial" w:cs="Arial"/>
          <w:color w:val="202124"/>
          <w:sz w:val="24"/>
          <w:szCs w:val="24"/>
          <w:shd w:val="clear" w:color="auto" w:fill="FFFFFF"/>
        </w:rPr>
        <w:t xml:space="preserve">up-to-date </w:t>
      </w:r>
      <w:r w:rsidR="003632A4">
        <w:rPr>
          <w:rFonts w:ascii="Arial" w:hAnsi="Arial" w:cs="Arial"/>
          <w:color w:val="202124"/>
          <w:sz w:val="24"/>
          <w:szCs w:val="24"/>
          <w:shd w:val="clear" w:color="auto" w:fill="FFFFFF"/>
        </w:rPr>
        <w:t xml:space="preserve">policies </w:t>
      </w:r>
      <w:r w:rsidR="007F11C6">
        <w:rPr>
          <w:rFonts w:ascii="Arial" w:hAnsi="Arial" w:cs="Arial"/>
          <w:color w:val="202124"/>
          <w:sz w:val="24"/>
          <w:szCs w:val="24"/>
          <w:shd w:val="clear" w:color="auto" w:fill="FFFFFF"/>
        </w:rPr>
        <w:t xml:space="preserve">and procedures needs to be upheld at all times which makes the practice, trade, and profession have integrity at the heart of its foundation. </w:t>
      </w:r>
    </w:p>
    <w:p w14:paraId="6D3DC299" w14:textId="77777777" w:rsidR="007F11C6" w:rsidRDefault="007F11C6" w:rsidP="008C4A84">
      <w:pPr>
        <w:rPr>
          <w:rFonts w:ascii="Arial" w:hAnsi="Arial" w:cs="Arial"/>
          <w:sz w:val="24"/>
          <w:szCs w:val="24"/>
        </w:rPr>
      </w:pPr>
    </w:p>
    <w:p w14:paraId="2B62CF8C" w14:textId="3D4DE4FD" w:rsidR="008C4A84" w:rsidRPr="00CF0A93" w:rsidRDefault="008C4A84" w:rsidP="008C4A84">
      <w:pPr>
        <w:rPr>
          <w:rFonts w:ascii="Arial" w:hAnsi="Arial" w:cs="Arial"/>
          <w:b/>
          <w:bCs/>
          <w:sz w:val="24"/>
          <w:szCs w:val="24"/>
        </w:rPr>
      </w:pPr>
      <w:r w:rsidRPr="00CF0A93">
        <w:rPr>
          <w:rFonts w:ascii="Arial" w:hAnsi="Arial" w:cs="Arial"/>
          <w:b/>
          <w:bCs/>
          <w:sz w:val="24"/>
          <w:szCs w:val="24"/>
        </w:rPr>
        <w:t>Solicitors Regulation Authority (SRA):</w:t>
      </w:r>
    </w:p>
    <w:p w14:paraId="08C0F2A6" w14:textId="3EDBBC2A" w:rsidR="008C4A84" w:rsidRPr="004A18E1" w:rsidRDefault="00971467" w:rsidP="008C4A84">
      <w:pPr>
        <w:rPr>
          <w:rFonts w:ascii="Arial" w:hAnsi="Arial" w:cs="Arial"/>
          <w:i/>
          <w:iCs/>
          <w:sz w:val="24"/>
          <w:szCs w:val="24"/>
        </w:rPr>
      </w:pPr>
      <w:r w:rsidRPr="008C4A84">
        <w:rPr>
          <w:rFonts w:ascii="Arial" w:hAnsi="Arial" w:cs="Arial"/>
          <w:sz w:val="24"/>
          <w:szCs w:val="24"/>
        </w:rPr>
        <w:t xml:space="preserve">The SRA Code of Conduct provides guidance to solicitors in their professional </w:t>
      </w:r>
      <w:r>
        <w:rPr>
          <w:rFonts w:ascii="Arial" w:hAnsi="Arial" w:cs="Arial"/>
          <w:sz w:val="24"/>
          <w:szCs w:val="24"/>
        </w:rPr>
        <w:t>endeavours</w:t>
      </w:r>
      <w:r w:rsidRPr="008C4A84">
        <w:rPr>
          <w:rFonts w:ascii="Arial" w:hAnsi="Arial" w:cs="Arial"/>
          <w:sz w:val="24"/>
          <w:szCs w:val="24"/>
        </w:rPr>
        <w:t>, with explicit and implicit commitments to equality and diversity.</w:t>
      </w:r>
      <w:r>
        <w:rPr>
          <w:rFonts w:ascii="Arial" w:hAnsi="Arial" w:cs="Arial"/>
          <w:sz w:val="24"/>
          <w:szCs w:val="24"/>
        </w:rPr>
        <w:t xml:space="preserve"> Running a practice means not only smooth and efficient operations but also ensuring that each person who is a potential client or already established client are all treated fairly. Treating clients fairly does not mean that they are all treated the same, for example, you would not treat a person who is writing a will the same as a person who is purchasing a home. Each one is unique and requires the necessary treatment in order to attain the best possible outcomes in a manner that befits each circumstance. </w:t>
      </w:r>
      <w:r w:rsidR="004A18E1">
        <w:rPr>
          <w:rFonts w:ascii="Arial" w:hAnsi="Arial" w:cs="Arial"/>
          <w:sz w:val="24"/>
          <w:szCs w:val="24"/>
        </w:rPr>
        <w:t xml:space="preserve">Regardless of the practitioner's personal views they should never influence or try to mislead a client by imposing their points that could cause harm to the client's experience. This goes in line with what </w:t>
      </w:r>
      <w:proofErr w:type="gramStart"/>
      <w:r w:rsidR="004A18E1">
        <w:rPr>
          <w:rFonts w:ascii="Arial" w:hAnsi="Arial" w:cs="Arial"/>
          <w:sz w:val="24"/>
          <w:szCs w:val="24"/>
        </w:rPr>
        <w:t>is said</w:t>
      </w:r>
      <w:proofErr w:type="gramEnd"/>
      <w:r w:rsidR="004A18E1">
        <w:rPr>
          <w:rFonts w:ascii="Arial" w:hAnsi="Arial" w:cs="Arial"/>
          <w:sz w:val="24"/>
          <w:szCs w:val="24"/>
        </w:rPr>
        <w:t xml:space="preserve"> on the SRA official website </w:t>
      </w:r>
      <w:r w:rsidR="004A18E1" w:rsidRPr="004A18E1">
        <w:rPr>
          <w:rFonts w:ascii="Arial" w:hAnsi="Arial" w:cs="Arial"/>
          <w:i/>
          <w:iCs/>
          <w:sz w:val="24"/>
          <w:szCs w:val="24"/>
        </w:rPr>
        <w:t>“</w:t>
      </w:r>
      <w:r w:rsidR="004A18E1" w:rsidRPr="004A18E1">
        <w:rPr>
          <w:rFonts w:ascii="Arial" w:hAnsi="Arial" w:cs="Arial"/>
          <w:i/>
          <w:iCs/>
          <w:sz w:val="24"/>
          <w:szCs w:val="24"/>
        </w:rPr>
        <w:t>You do not mislead or attempt to mislead your clients, the court or others, either by your own acts or omissions or allowing or being complicit in the acts or omissions of others (including your client).</w:t>
      </w:r>
      <w:r w:rsidR="004A18E1" w:rsidRPr="004A18E1">
        <w:rPr>
          <w:rFonts w:ascii="Arial" w:hAnsi="Arial" w:cs="Arial"/>
          <w:i/>
          <w:iCs/>
          <w:sz w:val="24"/>
          <w:szCs w:val="24"/>
        </w:rPr>
        <w:t>”</w:t>
      </w:r>
      <w:r w:rsidR="004A18E1">
        <w:rPr>
          <w:rFonts w:ascii="Arial" w:hAnsi="Arial" w:cs="Arial"/>
          <w:i/>
          <w:iCs/>
          <w:sz w:val="24"/>
          <w:szCs w:val="24"/>
        </w:rPr>
        <w:t xml:space="preserve"> </w:t>
      </w:r>
      <w:hyperlink r:id="rId6" w:history="1">
        <w:r w:rsidR="004A18E1" w:rsidRPr="00715C97">
          <w:rPr>
            <w:rStyle w:val="Hyperlink"/>
            <w:rFonts w:ascii="Arial" w:hAnsi="Arial" w:cs="Arial"/>
            <w:i/>
            <w:iCs/>
            <w:sz w:val="24"/>
            <w:szCs w:val="24"/>
          </w:rPr>
          <w:t>https://www.sra.org.uk/solicitors/standards-regulations/code-conduct-solicitors/</w:t>
        </w:r>
      </w:hyperlink>
      <w:r w:rsidR="004A18E1">
        <w:rPr>
          <w:rFonts w:ascii="Arial" w:hAnsi="Arial" w:cs="Arial"/>
          <w:i/>
          <w:iCs/>
          <w:sz w:val="24"/>
          <w:szCs w:val="24"/>
        </w:rPr>
        <w:t xml:space="preserve"> , </w:t>
      </w:r>
      <w:r w:rsidR="004A18E1" w:rsidRPr="004A18E1">
        <w:rPr>
          <w:rFonts w:ascii="Arial" w:hAnsi="Arial" w:cs="Arial"/>
          <w:i/>
          <w:iCs/>
          <w:sz w:val="24"/>
          <w:szCs w:val="24"/>
        </w:rPr>
        <w:t>Code of Conduct for Solicitors, RELs and RFLs</w:t>
      </w:r>
      <w:r w:rsidR="004A18E1">
        <w:rPr>
          <w:rFonts w:ascii="Arial" w:hAnsi="Arial" w:cs="Arial"/>
          <w:i/>
          <w:iCs/>
          <w:sz w:val="24"/>
          <w:szCs w:val="24"/>
        </w:rPr>
        <w:t>, 1.4)</w:t>
      </w:r>
    </w:p>
    <w:p w14:paraId="6D29740A" w14:textId="77777777" w:rsidR="008C4A84" w:rsidRPr="008C4A84" w:rsidRDefault="008C4A84" w:rsidP="008C4A84">
      <w:pPr>
        <w:rPr>
          <w:rFonts w:ascii="Arial" w:hAnsi="Arial" w:cs="Arial"/>
          <w:sz w:val="24"/>
          <w:szCs w:val="24"/>
        </w:rPr>
      </w:pPr>
    </w:p>
    <w:p w14:paraId="1E1FC125" w14:textId="4083B49C" w:rsidR="004A18E1" w:rsidRPr="004A18E1" w:rsidRDefault="008C4A84" w:rsidP="004A18E1">
      <w:pPr>
        <w:rPr>
          <w:rFonts w:ascii="Arial" w:hAnsi="Arial" w:cs="Arial"/>
          <w:b/>
          <w:bCs/>
          <w:sz w:val="24"/>
          <w:szCs w:val="24"/>
        </w:rPr>
      </w:pPr>
      <w:r w:rsidRPr="004A18E1">
        <w:rPr>
          <w:rFonts w:ascii="Arial" w:hAnsi="Arial" w:cs="Arial"/>
          <w:b/>
          <w:bCs/>
          <w:sz w:val="24"/>
          <w:szCs w:val="24"/>
        </w:rPr>
        <w:t>Bar Standards Board (BSB):</w:t>
      </w:r>
    </w:p>
    <w:p w14:paraId="41583626" w14:textId="27EB284D" w:rsidR="008C4A84" w:rsidRDefault="004A18E1" w:rsidP="004A18E1">
      <w:pPr>
        <w:rPr>
          <w:rFonts w:ascii="Arial" w:hAnsi="Arial" w:cs="Arial"/>
          <w:sz w:val="24"/>
          <w:szCs w:val="24"/>
        </w:rPr>
      </w:pPr>
      <w:r w:rsidRPr="004A18E1">
        <w:rPr>
          <w:rFonts w:ascii="Arial" w:hAnsi="Arial" w:cs="Arial"/>
          <w:sz w:val="24"/>
          <w:szCs w:val="24"/>
        </w:rPr>
        <w:t xml:space="preserve">The Bar Standards Board (BSB) is the regulatory body for barristers in England and Wales. </w:t>
      </w:r>
      <w:r w:rsidR="00325AD2" w:rsidRPr="004A18E1">
        <w:rPr>
          <w:rFonts w:ascii="Arial" w:hAnsi="Arial" w:cs="Arial"/>
          <w:sz w:val="24"/>
          <w:szCs w:val="24"/>
        </w:rPr>
        <w:t>It is crucial to maintain standards of professional conduct and supervise the education and training of aspiring barristers.</w:t>
      </w:r>
      <w:r w:rsidR="00325AD2">
        <w:rPr>
          <w:rFonts w:ascii="Arial" w:hAnsi="Arial" w:cs="Arial"/>
          <w:sz w:val="24"/>
          <w:szCs w:val="24"/>
        </w:rPr>
        <w:t xml:space="preserve"> </w:t>
      </w:r>
      <w:r w:rsidRPr="004A18E1">
        <w:rPr>
          <w:rFonts w:ascii="Arial" w:hAnsi="Arial" w:cs="Arial"/>
          <w:sz w:val="24"/>
          <w:szCs w:val="24"/>
        </w:rPr>
        <w:t>Here are key points about the Bar Standards Board:</w:t>
      </w:r>
    </w:p>
    <w:p w14:paraId="2A131C10" w14:textId="1726A103" w:rsidR="00325AD2" w:rsidRPr="00325AD2" w:rsidRDefault="00325AD2" w:rsidP="00325AD2">
      <w:pPr>
        <w:rPr>
          <w:rFonts w:ascii="Arial" w:hAnsi="Arial" w:cs="Arial"/>
          <w:sz w:val="24"/>
          <w:szCs w:val="24"/>
        </w:rPr>
      </w:pPr>
      <w:r w:rsidRPr="00325AD2">
        <w:rPr>
          <w:rFonts w:ascii="Arial" w:hAnsi="Arial" w:cs="Arial"/>
          <w:sz w:val="24"/>
          <w:szCs w:val="24"/>
        </w:rPr>
        <w:t>Regulatory Function:</w:t>
      </w:r>
    </w:p>
    <w:p w14:paraId="3A284C55" w14:textId="26B8C95E" w:rsidR="00325AD2" w:rsidRPr="00325AD2" w:rsidRDefault="00325AD2" w:rsidP="00325AD2">
      <w:pPr>
        <w:rPr>
          <w:rFonts w:ascii="Arial" w:hAnsi="Arial" w:cs="Arial"/>
          <w:sz w:val="24"/>
          <w:szCs w:val="24"/>
        </w:rPr>
      </w:pPr>
      <w:r w:rsidRPr="00325AD2">
        <w:rPr>
          <w:rFonts w:ascii="Arial" w:hAnsi="Arial" w:cs="Arial"/>
          <w:sz w:val="24"/>
          <w:szCs w:val="24"/>
        </w:rPr>
        <w:t>The BSB is responsible for regulating barristers and specialized legal services firms to ensure they adhere to high professional standards.</w:t>
      </w:r>
    </w:p>
    <w:p w14:paraId="37052D66" w14:textId="77777777" w:rsidR="00325AD2" w:rsidRPr="00325AD2" w:rsidRDefault="00325AD2" w:rsidP="00325AD2">
      <w:pPr>
        <w:rPr>
          <w:rFonts w:ascii="Arial" w:hAnsi="Arial" w:cs="Arial"/>
          <w:sz w:val="24"/>
          <w:szCs w:val="24"/>
        </w:rPr>
      </w:pPr>
      <w:r w:rsidRPr="00325AD2">
        <w:rPr>
          <w:rFonts w:ascii="Arial" w:hAnsi="Arial" w:cs="Arial"/>
          <w:sz w:val="24"/>
          <w:szCs w:val="24"/>
        </w:rPr>
        <w:t xml:space="preserve">It sets out rules and regulations in the BSB Handbook, which barristers </w:t>
      </w:r>
      <w:proofErr w:type="gramStart"/>
      <w:r w:rsidRPr="00325AD2">
        <w:rPr>
          <w:rFonts w:ascii="Arial" w:hAnsi="Arial" w:cs="Arial"/>
          <w:sz w:val="24"/>
          <w:szCs w:val="24"/>
        </w:rPr>
        <w:t>are obligated</w:t>
      </w:r>
      <w:proofErr w:type="gramEnd"/>
      <w:r w:rsidRPr="00325AD2">
        <w:rPr>
          <w:rFonts w:ascii="Arial" w:hAnsi="Arial" w:cs="Arial"/>
          <w:sz w:val="24"/>
          <w:szCs w:val="24"/>
        </w:rPr>
        <w:t xml:space="preserve"> to follow.</w:t>
      </w:r>
    </w:p>
    <w:p w14:paraId="391BD91B" w14:textId="3FFBC043" w:rsidR="00325AD2" w:rsidRPr="00325AD2" w:rsidRDefault="00325AD2" w:rsidP="00325AD2">
      <w:pPr>
        <w:rPr>
          <w:rFonts w:ascii="Arial" w:hAnsi="Arial" w:cs="Arial"/>
          <w:sz w:val="24"/>
          <w:szCs w:val="24"/>
        </w:rPr>
      </w:pPr>
      <w:r w:rsidRPr="00325AD2">
        <w:rPr>
          <w:rFonts w:ascii="Arial" w:hAnsi="Arial" w:cs="Arial"/>
          <w:sz w:val="24"/>
          <w:szCs w:val="24"/>
        </w:rPr>
        <w:t>Professional Standards:</w:t>
      </w:r>
    </w:p>
    <w:p w14:paraId="3F5F03B8" w14:textId="1EE80342" w:rsidR="00325AD2" w:rsidRDefault="00325AD2" w:rsidP="00325AD2">
      <w:pPr>
        <w:rPr>
          <w:rFonts w:ascii="Arial" w:hAnsi="Arial" w:cs="Arial"/>
          <w:sz w:val="24"/>
          <w:szCs w:val="24"/>
        </w:rPr>
      </w:pPr>
      <w:r w:rsidRPr="00325AD2">
        <w:rPr>
          <w:rFonts w:ascii="Arial" w:hAnsi="Arial" w:cs="Arial"/>
          <w:sz w:val="24"/>
          <w:szCs w:val="24"/>
        </w:rPr>
        <w:t>The BSB maintains and enforces professional standards to ensure the integrity and reputation of the Bar.</w:t>
      </w:r>
      <w:r>
        <w:rPr>
          <w:rFonts w:ascii="Arial" w:hAnsi="Arial" w:cs="Arial"/>
          <w:sz w:val="24"/>
          <w:szCs w:val="24"/>
        </w:rPr>
        <w:t xml:space="preserve"> </w:t>
      </w:r>
      <w:r w:rsidRPr="00325AD2">
        <w:rPr>
          <w:rFonts w:ascii="Arial" w:hAnsi="Arial" w:cs="Arial"/>
          <w:sz w:val="24"/>
          <w:szCs w:val="24"/>
        </w:rPr>
        <w:t>These standards cover ethical conduct, client confidentiality, and the proper handling of cases.</w:t>
      </w:r>
    </w:p>
    <w:p w14:paraId="5CB3C72F" w14:textId="45D1B51F" w:rsidR="00325AD2" w:rsidRDefault="00325AD2" w:rsidP="00325AD2">
      <w:pPr>
        <w:rPr>
          <w:rFonts w:ascii="Arial" w:hAnsi="Arial" w:cs="Arial"/>
          <w:sz w:val="24"/>
          <w:szCs w:val="24"/>
        </w:rPr>
      </w:pPr>
    </w:p>
    <w:p w14:paraId="191E3E4E" w14:textId="77777777" w:rsidR="00325AD2" w:rsidRPr="00325AD2" w:rsidRDefault="00325AD2" w:rsidP="00325AD2">
      <w:pPr>
        <w:rPr>
          <w:rFonts w:ascii="Arial" w:hAnsi="Arial" w:cs="Arial"/>
          <w:sz w:val="24"/>
          <w:szCs w:val="24"/>
        </w:rPr>
      </w:pPr>
    </w:p>
    <w:p w14:paraId="1B613140" w14:textId="3F5BCD5F" w:rsidR="00325AD2" w:rsidRPr="00325AD2" w:rsidRDefault="00325AD2" w:rsidP="00325AD2">
      <w:pPr>
        <w:rPr>
          <w:rFonts w:ascii="Arial" w:hAnsi="Arial" w:cs="Arial"/>
          <w:sz w:val="24"/>
          <w:szCs w:val="24"/>
        </w:rPr>
      </w:pPr>
      <w:r w:rsidRPr="00325AD2">
        <w:rPr>
          <w:rFonts w:ascii="Arial" w:hAnsi="Arial" w:cs="Arial"/>
          <w:sz w:val="24"/>
          <w:szCs w:val="24"/>
        </w:rPr>
        <w:lastRenderedPageBreak/>
        <w:t>Education and Training:</w:t>
      </w:r>
    </w:p>
    <w:p w14:paraId="134F2E80" w14:textId="3FE2944C" w:rsidR="00325AD2" w:rsidRDefault="00325AD2" w:rsidP="00325AD2">
      <w:pPr>
        <w:rPr>
          <w:rFonts w:ascii="Arial" w:hAnsi="Arial" w:cs="Arial"/>
          <w:sz w:val="24"/>
          <w:szCs w:val="24"/>
        </w:rPr>
      </w:pPr>
      <w:r w:rsidRPr="00325AD2">
        <w:rPr>
          <w:rFonts w:ascii="Arial" w:hAnsi="Arial" w:cs="Arial"/>
          <w:sz w:val="24"/>
          <w:szCs w:val="24"/>
        </w:rPr>
        <w:t>The BSB oversees the education and training of barristers, determining the requirements for academic qualifications and vocational qualifications.</w:t>
      </w:r>
      <w:r>
        <w:rPr>
          <w:rFonts w:ascii="Arial" w:hAnsi="Arial" w:cs="Arial"/>
          <w:sz w:val="24"/>
          <w:szCs w:val="24"/>
        </w:rPr>
        <w:t xml:space="preserve"> </w:t>
      </w:r>
      <w:r w:rsidRPr="00325AD2">
        <w:rPr>
          <w:rFonts w:ascii="Arial" w:hAnsi="Arial" w:cs="Arial"/>
          <w:sz w:val="24"/>
          <w:szCs w:val="24"/>
        </w:rPr>
        <w:t>It ensures that barristers acquire the necessary skills and knowledge to practice law competently.</w:t>
      </w:r>
    </w:p>
    <w:p w14:paraId="725FF8D4" w14:textId="77777777" w:rsidR="00325AD2" w:rsidRPr="00325AD2" w:rsidRDefault="00325AD2" w:rsidP="00325AD2">
      <w:pPr>
        <w:rPr>
          <w:rFonts w:ascii="Arial" w:hAnsi="Arial" w:cs="Arial"/>
          <w:sz w:val="24"/>
          <w:szCs w:val="24"/>
        </w:rPr>
      </w:pPr>
    </w:p>
    <w:p w14:paraId="22EC10DF" w14:textId="380BB1D1" w:rsidR="00325AD2" w:rsidRPr="00325AD2" w:rsidRDefault="00325AD2" w:rsidP="00325AD2">
      <w:pPr>
        <w:rPr>
          <w:rFonts w:ascii="Arial" w:hAnsi="Arial" w:cs="Arial"/>
          <w:sz w:val="24"/>
          <w:szCs w:val="24"/>
        </w:rPr>
      </w:pPr>
      <w:r w:rsidRPr="00325AD2">
        <w:rPr>
          <w:rFonts w:ascii="Arial" w:hAnsi="Arial" w:cs="Arial"/>
          <w:sz w:val="24"/>
          <w:szCs w:val="24"/>
        </w:rPr>
        <w:t>Equality and Diversity:</w:t>
      </w:r>
    </w:p>
    <w:p w14:paraId="7979A0AE" w14:textId="798EFFF7" w:rsidR="00325AD2" w:rsidRDefault="00325AD2" w:rsidP="00325AD2">
      <w:pPr>
        <w:rPr>
          <w:rFonts w:ascii="Arial" w:hAnsi="Arial" w:cs="Arial"/>
          <w:sz w:val="24"/>
          <w:szCs w:val="24"/>
        </w:rPr>
      </w:pPr>
      <w:r w:rsidRPr="00325AD2">
        <w:rPr>
          <w:rFonts w:ascii="Arial" w:hAnsi="Arial" w:cs="Arial"/>
          <w:sz w:val="24"/>
          <w:szCs w:val="24"/>
        </w:rPr>
        <w:t>The BSB is responsible for promoting equality and diversity within the legal profession.</w:t>
      </w:r>
      <w:r>
        <w:rPr>
          <w:rFonts w:ascii="Arial" w:hAnsi="Arial" w:cs="Arial"/>
          <w:sz w:val="24"/>
          <w:szCs w:val="24"/>
        </w:rPr>
        <w:t xml:space="preserve"> </w:t>
      </w:r>
      <w:r w:rsidRPr="00325AD2">
        <w:rPr>
          <w:rFonts w:ascii="Arial" w:hAnsi="Arial" w:cs="Arial"/>
          <w:sz w:val="24"/>
          <w:szCs w:val="24"/>
        </w:rPr>
        <w:t>It has specific rules and policies in place to address issues related to discrimination and to encourage a diverse and inclusive Bar.</w:t>
      </w:r>
    </w:p>
    <w:p w14:paraId="7DFEA462" w14:textId="77777777" w:rsidR="00325AD2" w:rsidRPr="00325AD2" w:rsidRDefault="00325AD2" w:rsidP="00325AD2">
      <w:pPr>
        <w:rPr>
          <w:rFonts w:ascii="Arial" w:hAnsi="Arial" w:cs="Arial"/>
          <w:sz w:val="24"/>
          <w:szCs w:val="24"/>
        </w:rPr>
      </w:pPr>
    </w:p>
    <w:p w14:paraId="4D60E20D" w14:textId="33B172D9" w:rsidR="00325AD2" w:rsidRPr="00325AD2" w:rsidRDefault="00325AD2" w:rsidP="00325AD2">
      <w:pPr>
        <w:rPr>
          <w:rFonts w:ascii="Arial" w:hAnsi="Arial" w:cs="Arial"/>
          <w:sz w:val="24"/>
          <w:szCs w:val="24"/>
        </w:rPr>
      </w:pPr>
      <w:r w:rsidRPr="00325AD2">
        <w:rPr>
          <w:rFonts w:ascii="Arial" w:hAnsi="Arial" w:cs="Arial"/>
          <w:sz w:val="24"/>
          <w:szCs w:val="24"/>
        </w:rPr>
        <w:t>Complaints Handling:</w:t>
      </w:r>
    </w:p>
    <w:p w14:paraId="09FD79BC" w14:textId="24A1B1E9" w:rsidR="00325AD2" w:rsidRDefault="00325AD2" w:rsidP="00325AD2">
      <w:pPr>
        <w:rPr>
          <w:rFonts w:ascii="Arial" w:hAnsi="Arial" w:cs="Arial"/>
          <w:sz w:val="24"/>
          <w:szCs w:val="24"/>
        </w:rPr>
      </w:pPr>
      <w:r w:rsidRPr="00325AD2">
        <w:rPr>
          <w:rFonts w:ascii="Arial" w:hAnsi="Arial" w:cs="Arial"/>
          <w:sz w:val="24"/>
          <w:szCs w:val="24"/>
        </w:rPr>
        <w:t>The BSB manages complaints against barristers, examining allegations of professional misconduct or breaches of its Code of Conduct.</w:t>
      </w:r>
      <w:r>
        <w:rPr>
          <w:rFonts w:ascii="Arial" w:hAnsi="Arial" w:cs="Arial"/>
          <w:sz w:val="24"/>
          <w:szCs w:val="24"/>
        </w:rPr>
        <w:t xml:space="preserve"> </w:t>
      </w:r>
      <w:r w:rsidRPr="00325AD2">
        <w:rPr>
          <w:rFonts w:ascii="Arial" w:hAnsi="Arial" w:cs="Arial"/>
          <w:sz w:val="24"/>
          <w:szCs w:val="24"/>
        </w:rPr>
        <w:t>Disciplinary processes are in place to address any breaches and maintain public confidence in the legal profession.</w:t>
      </w:r>
    </w:p>
    <w:p w14:paraId="4F3DABB0" w14:textId="77777777" w:rsidR="00325AD2" w:rsidRPr="00325AD2" w:rsidRDefault="00325AD2" w:rsidP="00325AD2">
      <w:pPr>
        <w:rPr>
          <w:rFonts w:ascii="Arial" w:hAnsi="Arial" w:cs="Arial"/>
          <w:sz w:val="24"/>
          <w:szCs w:val="24"/>
        </w:rPr>
      </w:pPr>
    </w:p>
    <w:p w14:paraId="4C81D593" w14:textId="398FB318" w:rsidR="00325AD2" w:rsidRPr="00325AD2" w:rsidRDefault="00325AD2" w:rsidP="00325AD2">
      <w:pPr>
        <w:rPr>
          <w:rFonts w:ascii="Arial" w:hAnsi="Arial" w:cs="Arial"/>
          <w:sz w:val="24"/>
          <w:szCs w:val="24"/>
        </w:rPr>
      </w:pPr>
      <w:r w:rsidRPr="00325AD2">
        <w:rPr>
          <w:rFonts w:ascii="Arial" w:hAnsi="Arial" w:cs="Arial"/>
          <w:sz w:val="24"/>
          <w:szCs w:val="24"/>
        </w:rPr>
        <w:t>Oversight of Legal Services Entities:</w:t>
      </w:r>
    </w:p>
    <w:p w14:paraId="2BEB422B" w14:textId="6EFC333F" w:rsidR="00325AD2" w:rsidRDefault="00325AD2" w:rsidP="00325AD2">
      <w:pPr>
        <w:rPr>
          <w:rFonts w:ascii="Arial" w:hAnsi="Arial" w:cs="Arial"/>
          <w:sz w:val="24"/>
          <w:szCs w:val="24"/>
        </w:rPr>
      </w:pPr>
      <w:r w:rsidRPr="00325AD2">
        <w:rPr>
          <w:rFonts w:ascii="Arial" w:hAnsi="Arial" w:cs="Arial"/>
          <w:sz w:val="24"/>
          <w:szCs w:val="24"/>
        </w:rPr>
        <w:t>The BSB regulates not only individual barristers but also legal services entities, including barristers' chambers and individuals providing advocacy services.</w:t>
      </w:r>
    </w:p>
    <w:p w14:paraId="5F342855" w14:textId="77777777" w:rsidR="00325AD2" w:rsidRPr="00325AD2" w:rsidRDefault="00325AD2" w:rsidP="00325AD2">
      <w:pPr>
        <w:rPr>
          <w:rFonts w:ascii="Arial" w:hAnsi="Arial" w:cs="Arial"/>
          <w:sz w:val="24"/>
          <w:szCs w:val="24"/>
        </w:rPr>
      </w:pPr>
    </w:p>
    <w:p w14:paraId="356EEBAA" w14:textId="58D66567" w:rsidR="00325AD2" w:rsidRPr="00325AD2" w:rsidRDefault="00325AD2" w:rsidP="00325AD2">
      <w:pPr>
        <w:rPr>
          <w:rFonts w:ascii="Arial" w:hAnsi="Arial" w:cs="Arial"/>
          <w:sz w:val="24"/>
          <w:szCs w:val="24"/>
        </w:rPr>
      </w:pPr>
      <w:r w:rsidRPr="00325AD2">
        <w:rPr>
          <w:rFonts w:ascii="Arial" w:hAnsi="Arial" w:cs="Arial"/>
          <w:sz w:val="24"/>
          <w:szCs w:val="24"/>
        </w:rPr>
        <w:t>Continuing Professional Development (CPD):</w:t>
      </w:r>
    </w:p>
    <w:p w14:paraId="7B53A69B" w14:textId="4D404627" w:rsidR="00325AD2" w:rsidRDefault="00325AD2" w:rsidP="00325AD2">
      <w:pPr>
        <w:rPr>
          <w:rFonts w:ascii="Arial" w:hAnsi="Arial" w:cs="Arial"/>
          <w:sz w:val="24"/>
          <w:szCs w:val="24"/>
        </w:rPr>
      </w:pPr>
      <w:r w:rsidRPr="00325AD2">
        <w:rPr>
          <w:rFonts w:ascii="Arial" w:hAnsi="Arial" w:cs="Arial"/>
          <w:sz w:val="24"/>
          <w:szCs w:val="24"/>
        </w:rPr>
        <w:t>The BSB mandates barristers to engage in continuing professional development to keep up with legal developments and enhance their abilities.</w:t>
      </w:r>
    </w:p>
    <w:p w14:paraId="271BD963" w14:textId="77777777" w:rsidR="00325AD2" w:rsidRPr="00325AD2" w:rsidRDefault="00325AD2" w:rsidP="00325AD2">
      <w:pPr>
        <w:rPr>
          <w:rFonts w:ascii="Arial" w:hAnsi="Arial" w:cs="Arial"/>
          <w:sz w:val="24"/>
          <w:szCs w:val="24"/>
        </w:rPr>
      </w:pPr>
    </w:p>
    <w:p w14:paraId="468B8DA5" w14:textId="33FCF769" w:rsidR="00325AD2" w:rsidRPr="00325AD2" w:rsidRDefault="00325AD2" w:rsidP="00325AD2">
      <w:pPr>
        <w:rPr>
          <w:rFonts w:ascii="Arial" w:hAnsi="Arial" w:cs="Arial"/>
          <w:sz w:val="24"/>
          <w:szCs w:val="24"/>
        </w:rPr>
      </w:pPr>
      <w:r w:rsidRPr="00325AD2">
        <w:rPr>
          <w:rFonts w:ascii="Arial" w:hAnsi="Arial" w:cs="Arial"/>
          <w:sz w:val="24"/>
          <w:szCs w:val="24"/>
        </w:rPr>
        <w:t>Public Protection:</w:t>
      </w:r>
    </w:p>
    <w:p w14:paraId="72C5DFE2" w14:textId="368D550F" w:rsidR="00325AD2" w:rsidRDefault="00325AD2" w:rsidP="00325AD2">
      <w:pPr>
        <w:rPr>
          <w:rFonts w:ascii="Arial" w:hAnsi="Arial" w:cs="Arial"/>
          <w:sz w:val="24"/>
          <w:szCs w:val="24"/>
        </w:rPr>
      </w:pPr>
      <w:r w:rsidRPr="00325AD2">
        <w:rPr>
          <w:rFonts w:ascii="Arial" w:hAnsi="Arial" w:cs="Arial"/>
          <w:sz w:val="24"/>
          <w:szCs w:val="24"/>
        </w:rPr>
        <w:t>One of the key objectives of the BSB is to safeguard the public by ensuring that barristers provide quality and ethical legal services.</w:t>
      </w:r>
    </w:p>
    <w:p w14:paraId="6704EF0C" w14:textId="77777777" w:rsidR="00325AD2" w:rsidRPr="00325AD2" w:rsidRDefault="00325AD2" w:rsidP="00325AD2">
      <w:pPr>
        <w:rPr>
          <w:rFonts w:ascii="Arial" w:hAnsi="Arial" w:cs="Arial"/>
          <w:sz w:val="24"/>
          <w:szCs w:val="24"/>
        </w:rPr>
      </w:pPr>
    </w:p>
    <w:p w14:paraId="04AD781A" w14:textId="0AAC4C91" w:rsidR="00325AD2" w:rsidRPr="00325AD2" w:rsidRDefault="00325AD2" w:rsidP="00325AD2">
      <w:pPr>
        <w:rPr>
          <w:rFonts w:ascii="Arial" w:hAnsi="Arial" w:cs="Arial"/>
          <w:sz w:val="24"/>
          <w:szCs w:val="24"/>
        </w:rPr>
      </w:pPr>
      <w:r w:rsidRPr="00325AD2">
        <w:rPr>
          <w:rFonts w:ascii="Arial" w:hAnsi="Arial" w:cs="Arial"/>
          <w:sz w:val="24"/>
          <w:szCs w:val="24"/>
        </w:rPr>
        <w:t>Transparent Governance:</w:t>
      </w:r>
    </w:p>
    <w:p w14:paraId="0375D8B6" w14:textId="717F6C77" w:rsidR="00325AD2" w:rsidRDefault="00325AD2" w:rsidP="00325AD2">
      <w:pPr>
        <w:rPr>
          <w:rFonts w:ascii="Arial" w:hAnsi="Arial" w:cs="Arial"/>
          <w:sz w:val="24"/>
          <w:szCs w:val="24"/>
        </w:rPr>
      </w:pPr>
      <w:r w:rsidRPr="00325AD2">
        <w:rPr>
          <w:rFonts w:ascii="Arial" w:hAnsi="Arial" w:cs="Arial"/>
          <w:sz w:val="24"/>
          <w:szCs w:val="24"/>
        </w:rPr>
        <w:t>The BSB employs transparent governance structures and consults with stakeholders to ensure that its regulatory decisions align with the interests of both the legal profession and the public.</w:t>
      </w:r>
      <w:r>
        <w:rPr>
          <w:rFonts w:ascii="Arial" w:hAnsi="Arial" w:cs="Arial"/>
          <w:sz w:val="24"/>
          <w:szCs w:val="24"/>
        </w:rPr>
        <w:t xml:space="preserve"> </w:t>
      </w:r>
      <w:r w:rsidRPr="00325AD2">
        <w:rPr>
          <w:rFonts w:ascii="Arial" w:hAnsi="Arial" w:cs="Arial"/>
          <w:sz w:val="24"/>
          <w:szCs w:val="24"/>
        </w:rPr>
        <w:t>Understanding the role and functions of the Bar Standards Board is essential for barristers and legal professionals, as compliance with its regulations is integral to maintaining professional standing within the legal community.</w:t>
      </w:r>
    </w:p>
    <w:p w14:paraId="04A276C0" w14:textId="77777777" w:rsidR="004A18E1" w:rsidRPr="008C4A84" w:rsidRDefault="004A18E1" w:rsidP="004A18E1">
      <w:pPr>
        <w:rPr>
          <w:rFonts w:ascii="Arial" w:hAnsi="Arial" w:cs="Arial"/>
          <w:sz w:val="24"/>
          <w:szCs w:val="24"/>
        </w:rPr>
      </w:pPr>
    </w:p>
    <w:p w14:paraId="70221928" w14:textId="77777777" w:rsidR="008C4A84" w:rsidRPr="008C4A84" w:rsidRDefault="008C4A84" w:rsidP="008C4A84">
      <w:pPr>
        <w:rPr>
          <w:rFonts w:ascii="Arial" w:hAnsi="Arial" w:cs="Arial"/>
          <w:sz w:val="24"/>
          <w:szCs w:val="24"/>
        </w:rPr>
      </w:pPr>
      <w:r w:rsidRPr="008C4A84">
        <w:rPr>
          <w:rFonts w:ascii="Arial" w:hAnsi="Arial" w:cs="Arial"/>
          <w:sz w:val="24"/>
          <w:szCs w:val="24"/>
        </w:rPr>
        <w:lastRenderedPageBreak/>
        <w:t>Chartered Institute of Legal Executives (CILEX) Regulation:</w:t>
      </w:r>
    </w:p>
    <w:p w14:paraId="672C0D10" w14:textId="31672B98" w:rsidR="008C4A84" w:rsidRPr="00D36E2B" w:rsidRDefault="00025EE8" w:rsidP="008C4A84">
      <w:pPr>
        <w:rPr>
          <w:rFonts w:ascii="Arial" w:hAnsi="Arial" w:cs="Arial"/>
          <w:i/>
          <w:iCs/>
          <w:sz w:val="24"/>
          <w:szCs w:val="24"/>
        </w:rPr>
      </w:pPr>
      <w:r w:rsidRPr="008C4A84">
        <w:rPr>
          <w:rFonts w:ascii="Arial" w:hAnsi="Arial" w:cs="Arial"/>
          <w:sz w:val="24"/>
          <w:szCs w:val="24"/>
        </w:rPr>
        <w:t xml:space="preserve">CILEX's Code of Conduct </w:t>
      </w:r>
      <w:r>
        <w:rPr>
          <w:rFonts w:ascii="Arial" w:hAnsi="Arial" w:cs="Arial"/>
          <w:sz w:val="24"/>
          <w:szCs w:val="24"/>
        </w:rPr>
        <w:t>emphasizes</w:t>
      </w:r>
      <w:r w:rsidRPr="008C4A84">
        <w:rPr>
          <w:rFonts w:ascii="Arial" w:hAnsi="Arial" w:cs="Arial"/>
          <w:sz w:val="24"/>
          <w:szCs w:val="24"/>
        </w:rPr>
        <w:t xml:space="preserve"> the importance of ethical </w:t>
      </w:r>
      <w:r>
        <w:rPr>
          <w:rFonts w:ascii="Arial" w:hAnsi="Arial" w:cs="Arial"/>
          <w:sz w:val="24"/>
          <w:szCs w:val="24"/>
        </w:rPr>
        <w:t>behaviour</w:t>
      </w:r>
      <w:r w:rsidRPr="008C4A84">
        <w:rPr>
          <w:rFonts w:ascii="Arial" w:hAnsi="Arial" w:cs="Arial"/>
          <w:sz w:val="24"/>
          <w:szCs w:val="24"/>
        </w:rPr>
        <w:t>, including promoting equality and diversity.</w:t>
      </w:r>
      <w:r>
        <w:rPr>
          <w:rFonts w:ascii="Arial" w:hAnsi="Arial" w:cs="Arial"/>
          <w:sz w:val="24"/>
          <w:szCs w:val="24"/>
        </w:rPr>
        <w:t xml:space="preserve"> The organization provides assistance to you whether you are a member of the public, a training provider, an employer, or a law practitioner. As part of the marketing campaign</w:t>
      </w:r>
      <w:r w:rsidR="00D36E2B">
        <w:rPr>
          <w:rFonts w:ascii="Arial" w:hAnsi="Arial" w:cs="Arial"/>
          <w:sz w:val="24"/>
          <w:szCs w:val="24"/>
        </w:rPr>
        <w:t>,</w:t>
      </w:r>
      <w:r>
        <w:rPr>
          <w:rFonts w:ascii="Arial" w:hAnsi="Arial" w:cs="Arial"/>
          <w:sz w:val="24"/>
          <w:szCs w:val="24"/>
        </w:rPr>
        <w:t xml:space="preserve"> </w:t>
      </w:r>
      <w:r w:rsidR="00D36E2B">
        <w:rPr>
          <w:rFonts w:ascii="Arial" w:hAnsi="Arial" w:cs="Arial"/>
          <w:sz w:val="24"/>
          <w:szCs w:val="24"/>
        </w:rPr>
        <w:t xml:space="preserve">it is stated </w:t>
      </w:r>
      <w:r w:rsidR="00D36E2B" w:rsidRPr="00D36E2B">
        <w:rPr>
          <w:rFonts w:ascii="Arial" w:hAnsi="Arial" w:cs="Arial"/>
          <w:i/>
          <w:iCs/>
          <w:sz w:val="24"/>
          <w:szCs w:val="24"/>
        </w:rPr>
        <w:t>“</w:t>
      </w:r>
      <w:r w:rsidR="00D36E2B" w:rsidRPr="00D36E2B">
        <w:rPr>
          <w:rFonts w:ascii="Arial" w:hAnsi="Arial" w:cs="Arial"/>
          <w:i/>
          <w:iCs/>
          <w:sz w:val="24"/>
          <w:szCs w:val="24"/>
        </w:rPr>
        <w:t>Our role is to protect consumers’ interests, promote high professional standards and encourage a diverse and effective legal profession.</w:t>
      </w:r>
      <w:r w:rsidR="00D36E2B" w:rsidRPr="00D36E2B">
        <w:rPr>
          <w:rFonts w:ascii="Arial" w:hAnsi="Arial" w:cs="Arial"/>
          <w:i/>
          <w:iCs/>
          <w:sz w:val="24"/>
          <w:szCs w:val="24"/>
        </w:rPr>
        <w:t xml:space="preserve">” </w:t>
      </w:r>
      <w:r w:rsidR="00D36E2B">
        <w:rPr>
          <w:rFonts w:ascii="Arial" w:hAnsi="Arial" w:cs="Arial"/>
          <w:i/>
          <w:iCs/>
          <w:sz w:val="24"/>
          <w:szCs w:val="24"/>
        </w:rPr>
        <w:t xml:space="preserve">, </w:t>
      </w:r>
      <w:hyperlink r:id="rId7" w:history="1">
        <w:r w:rsidR="00D36E2B" w:rsidRPr="00715C97">
          <w:rPr>
            <w:rStyle w:val="Hyperlink"/>
            <w:rFonts w:ascii="Arial" w:hAnsi="Arial" w:cs="Arial"/>
            <w:i/>
            <w:iCs/>
            <w:sz w:val="24"/>
            <w:szCs w:val="24"/>
          </w:rPr>
          <w:t>https://cilexregulation.org.uk/</w:t>
        </w:r>
      </w:hyperlink>
      <w:r w:rsidR="00D36E2B">
        <w:rPr>
          <w:rFonts w:ascii="Arial" w:hAnsi="Arial" w:cs="Arial"/>
          <w:i/>
          <w:iCs/>
          <w:sz w:val="24"/>
          <w:szCs w:val="24"/>
        </w:rPr>
        <w:t xml:space="preserve"> , page 1)</w:t>
      </w:r>
    </w:p>
    <w:p w14:paraId="1FFE10A1" w14:textId="77777777" w:rsidR="008C4A84" w:rsidRPr="008C4A84" w:rsidRDefault="008C4A84" w:rsidP="008C4A84">
      <w:pPr>
        <w:rPr>
          <w:rFonts w:ascii="Arial" w:hAnsi="Arial" w:cs="Arial"/>
          <w:sz w:val="24"/>
          <w:szCs w:val="24"/>
        </w:rPr>
      </w:pPr>
    </w:p>
    <w:p w14:paraId="146D7003" w14:textId="43968DB1" w:rsidR="008C4A84" w:rsidRPr="008C4A84" w:rsidRDefault="008C4A84" w:rsidP="008C4A84">
      <w:pPr>
        <w:rPr>
          <w:rFonts w:ascii="Arial" w:hAnsi="Arial" w:cs="Arial"/>
          <w:sz w:val="24"/>
          <w:szCs w:val="24"/>
        </w:rPr>
      </w:pPr>
      <w:r w:rsidRPr="008C4A84">
        <w:rPr>
          <w:rFonts w:ascii="Arial" w:hAnsi="Arial" w:cs="Arial"/>
          <w:sz w:val="24"/>
          <w:szCs w:val="24"/>
        </w:rPr>
        <w:t>Implementation and Enforcement:</w:t>
      </w:r>
    </w:p>
    <w:p w14:paraId="456ECFD2" w14:textId="77777777" w:rsidR="008C4A84" w:rsidRPr="008C4A84" w:rsidRDefault="008C4A84" w:rsidP="008C4A84">
      <w:pPr>
        <w:rPr>
          <w:rFonts w:ascii="Arial" w:hAnsi="Arial" w:cs="Arial"/>
          <w:sz w:val="24"/>
          <w:szCs w:val="24"/>
        </w:rPr>
      </w:pPr>
      <w:r w:rsidRPr="008C4A84">
        <w:rPr>
          <w:rFonts w:ascii="Arial" w:hAnsi="Arial" w:cs="Arial"/>
          <w:sz w:val="24"/>
          <w:szCs w:val="24"/>
        </w:rPr>
        <w:t>Monitoring and Reporting:</w:t>
      </w:r>
    </w:p>
    <w:p w14:paraId="472795FD" w14:textId="2E655543" w:rsidR="008C4A84" w:rsidRPr="008C4A84" w:rsidRDefault="009E51FB" w:rsidP="008C4A84">
      <w:pPr>
        <w:rPr>
          <w:rFonts w:ascii="Arial" w:hAnsi="Arial" w:cs="Arial"/>
          <w:sz w:val="24"/>
          <w:szCs w:val="24"/>
        </w:rPr>
      </w:pPr>
      <w:r w:rsidRPr="008C4A84">
        <w:rPr>
          <w:rFonts w:ascii="Arial" w:hAnsi="Arial" w:cs="Arial"/>
          <w:sz w:val="24"/>
          <w:szCs w:val="24"/>
        </w:rPr>
        <w:t xml:space="preserve">Regulators implement mechanisms for monitoring and reporting on equality and diversity initiatives, safeguarding transparency and accountability. </w:t>
      </w:r>
      <w:r>
        <w:rPr>
          <w:rFonts w:ascii="Arial" w:hAnsi="Arial" w:cs="Arial"/>
          <w:sz w:val="24"/>
          <w:szCs w:val="24"/>
        </w:rPr>
        <w:t xml:space="preserve">Monitoring and reporting are once again an important part of the </w:t>
      </w:r>
      <w:r w:rsidR="00365FCE">
        <w:rPr>
          <w:rFonts w:ascii="Arial" w:hAnsi="Arial" w:cs="Arial"/>
          <w:sz w:val="24"/>
          <w:szCs w:val="24"/>
        </w:rPr>
        <w:t>structure because</w:t>
      </w:r>
      <w:r>
        <w:rPr>
          <w:rFonts w:ascii="Arial" w:hAnsi="Arial" w:cs="Arial"/>
          <w:sz w:val="24"/>
          <w:szCs w:val="24"/>
        </w:rPr>
        <w:t xml:space="preserve"> you may be aware of equality and diversity however if you are not looking for improvements then there will be </w:t>
      </w:r>
      <w:r w:rsidR="00365FCE">
        <w:rPr>
          <w:rFonts w:ascii="Arial" w:hAnsi="Arial" w:cs="Arial"/>
          <w:sz w:val="24"/>
          <w:szCs w:val="24"/>
        </w:rPr>
        <w:t xml:space="preserve">a </w:t>
      </w:r>
      <w:r>
        <w:rPr>
          <w:rFonts w:ascii="Arial" w:hAnsi="Arial" w:cs="Arial"/>
          <w:sz w:val="24"/>
          <w:szCs w:val="24"/>
        </w:rPr>
        <w:t xml:space="preserve">very minute effect </w:t>
      </w:r>
      <w:r w:rsidR="00365FCE">
        <w:rPr>
          <w:rFonts w:ascii="Arial" w:hAnsi="Arial" w:cs="Arial"/>
          <w:sz w:val="24"/>
          <w:szCs w:val="24"/>
        </w:rPr>
        <w:t>on</w:t>
      </w:r>
      <w:r>
        <w:rPr>
          <w:rFonts w:ascii="Arial" w:hAnsi="Arial" w:cs="Arial"/>
          <w:sz w:val="24"/>
          <w:szCs w:val="24"/>
        </w:rPr>
        <w:t xml:space="preserve"> the entire element. </w:t>
      </w:r>
    </w:p>
    <w:p w14:paraId="54B1D790" w14:textId="77777777" w:rsidR="008C4A84" w:rsidRPr="008C4A84" w:rsidRDefault="008C4A84" w:rsidP="008C4A84">
      <w:pPr>
        <w:rPr>
          <w:rFonts w:ascii="Arial" w:hAnsi="Arial" w:cs="Arial"/>
          <w:sz w:val="24"/>
          <w:szCs w:val="24"/>
        </w:rPr>
      </w:pPr>
    </w:p>
    <w:p w14:paraId="45A7822F" w14:textId="77777777" w:rsidR="008C4A84" w:rsidRPr="008C4A84" w:rsidRDefault="008C4A84" w:rsidP="008C4A84">
      <w:pPr>
        <w:rPr>
          <w:rFonts w:ascii="Arial" w:hAnsi="Arial" w:cs="Arial"/>
          <w:sz w:val="24"/>
          <w:szCs w:val="24"/>
        </w:rPr>
      </w:pPr>
      <w:r w:rsidRPr="008C4A84">
        <w:rPr>
          <w:rFonts w:ascii="Arial" w:hAnsi="Arial" w:cs="Arial"/>
          <w:sz w:val="24"/>
          <w:szCs w:val="24"/>
        </w:rPr>
        <w:t>Training and Education:</w:t>
      </w:r>
    </w:p>
    <w:p w14:paraId="463A1ADE" w14:textId="64A34F1C" w:rsidR="008C4A84" w:rsidRPr="008C4A84" w:rsidRDefault="008C4A84" w:rsidP="008C4A84">
      <w:pPr>
        <w:rPr>
          <w:rFonts w:ascii="Arial" w:hAnsi="Arial" w:cs="Arial"/>
          <w:sz w:val="24"/>
          <w:szCs w:val="24"/>
        </w:rPr>
      </w:pPr>
      <w:r w:rsidRPr="008C4A84">
        <w:rPr>
          <w:rFonts w:ascii="Arial" w:hAnsi="Arial" w:cs="Arial"/>
          <w:sz w:val="24"/>
          <w:szCs w:val="24"/>
        </w:rPr>
        <w:t xml:space="preserve">Training and education are pivotal in raising awareness among legal professionals. </w:t>
      </w:r>
      <w:r w:rsidR="009E51FB" w:rsidRPr="008C4A84">
        <w:rPr>
          <w:rFonts w:ascii="Arial" w:hAnsi="Arial" w:cs="Arial"/>
          <w:sz w:val="24"/>
          <w:szCs w:val="24"/>
        </w:rPr>
        <w:t>The regulatory bodies require ongoing education to address the issue of equality and diversity.</w:t>
      </w:r>
    </w:p>
    <w:p w14:paraId="3E258FAA" w14:textId="77777777" w:rsidR="008C4A84" w:rsidRPr="008C4A84" w:rsidRDefault="008C4A84" w:rsidP="008C4A84">
      <w:pPr>
        <w:rPr>
          <w:rFonts w:ascii="Arial" w:hAnsi="Arial" w:cs="Arial"/>
          <w:sz w:val="24"/>
          <w:szCs w:val="24"/>
        </w:rPr>
      </w:pPr>
    </w:p>
    <w:p w14:paraId="42053E81" w14:textId="77777777" w:rsidR="008C4A84" w:rsidRPr="008C4A84" w:rsidRDefault="008C4A84" w:rsidP="008C4A84">
      <w:pPr>
        <w:rPr>
          <w:rFonts w:ascii="Arial" w:hAnsi="Arial" w:cs="Arial"/>
          <w:sz w:val="24"/>
          <w:szCs w:val="24"/>
        </w:rPr>
      </w:pPr>
      <w:r w:rsidRPr="008C4A84">
        <w:rPr>
          <w:rFonts w:ascii="Arial" w:hAnsi="Arial" w:cs="Arial"/>
          <w:sz w:val="24"/>
          <w:szCs w:val="24"/>
        </w:rPr>
        <w:t>Challenges and Future Considerations:</w:t>
      </w:r>
    </w:p>
    <w:p w14:paraId="5E3BBB38" w14:textId="77777777" w:rsidR="008C4A84" w:rsidRPr="008C4A84" w:rsidRDefault="008C4A84" w:rsidP="008C4A84">
      <w:pPr>
        <w:rPr>
          <w:rFonts w:ascii="Arial" w:hAnsi="Arial" w:cs="Arial"/>
          <w:sz w:val="24"/>
          <w:szCs w:val="24"/>
        </w:rPr>
      </w:pPr>
    </w:p>
    <w:p w14:paraId="348A43D0" w14:textId="77777777" w:rsidR="008C4A84" w:rsidRPr="008C4A84" w:rsidRDefault="008C4A84" w:rsidP="008C4A84">
      <w:pPr>
        <w:rPr>
          <w:rFonts w:ascii="Arial" w:hAnsi="Arial" w:cs="Arial"/>
          <w:sz w:val="24"/>
          <w:szCs w:val="24"/>
        </w:rPr>
      </w:pPr>
      <w:r w:rsidRPr="008C4A84">
        <w:rPr>
          <w:rFonts w:ascii="Arial" w:hAnsi="Arial" w:cs="Arial"/>
          <w:sz w:val="24"/>
          <w:szCs w:val="24"/>
        </w:rPr>
        <w:t>Challenges in Promoting Equality and Diversity:</w:t>
      </w:r>
    </w:p>
    <w:p w14:paraId="6378709E" w14:textId="39227098" w:rsidR="00C212D2" w:rsidRDefault="00EC1C6A" w:rsidP="00C212D2">
      <w:pPr>
        <w:rPr>
          <w:rFonts w:ascii="Arial" w:hAnsi="Arial" w:cs="Arial"/>
          <w:sz w:val="24"/>
          <w:szCs w:val="24"/>
        </w:rPr>
      </w:pPr>
      <w:r w:rsidRPr="008C4A84">
        <w:rPr>
          <w:rFonts w:ascii="Arial" w:hAnsi="Arial" w:cs="Arial"/>
          <w:sz w:val="24"/>
          <w:szCs w:val="24"/>
        </w:rPr>
        <w:t>Despite remarkable efforts, the challenges persist in promoting equality and diversity.</w:t>
      </w:r>
      <w:r w:rsidR="00D01F5E">
        <w:rPr>
          <w:rFonts w:ascii="Arial" w:hAnsi="Arial" w:cs="Arial"/>
          <w:sz w:val="24"/>
          <w:szCs w:val="24"/>
        </w:rPr>
        <w:t xml:space="preserve"> Each person has an opinion, and as a practitioner, </w:t>
      </w:r>
      <w:r w:rsidR="00421F13">
        <w:rPr>
          <w:rFonts w:ascii="Arial" w:hAnsi="Arial" w:cs="Arial"/>
          <w:sz w:val="24"/>
          <w:szCs w:val="24"/>
        </w:rPr>
        <w:t>individual opinions</w:t>
      </w:r>
      <w:r w:rsidR="00D01F5E">
        <w:rPr>
          <w:rFonts w:ascii="Arial" w:hAnsi="Arial" w:cs="Arial"/>
          <w:sz w:val="24"/>
          <w:szCs w:val="24"/>
        </w:rPr>
        <w:t xml:space="preserve"> cannot and should not oppose the client in any </w:t>
      </w:r>
      <w:r w:rsidR="00C212D2">
        <w:rPr>
          <w:rFonts w:ascii="Arial" w:hAnsi="Arial" w:cs="Arial"/>
          <w:sz w:val="24"/>
          <w:szCs w:val="24"/>
        </w:rPr>
        <w:t>form</w:t>
      </w:r>
      <w:r w:rsidR="00D01F5E">
        <w:rPr>
          <w:rFonts w:ascii="Arial" w:hAnsi="Arial" w:cs="Arial"/>
          <w:sz w:val="24"/>
          <w:szCs w:val="24"/>
        </w:rPr>
        <w:t xml:space="preserve">. </w:t>
      </w:r>
      <w:proofErr w:type="gramStart"/>
      <w:r w:rsidR="00C212D2" w:rsidRPr="00C212D2">
        <w:rPr>
          <w:rFonts w:ascii="Arial" w:hAnsi="Arial" w:cs="Arial"/>
          <w:sz w:val="24"/>
          <w:szCs w:val="24"/>
        </w:rPr>
        <w:t>In confronting these challenges, it</w:t>
      </w:r>
      <w:proofErr w:type="gramEnd"/>
      <w:r w:rsidR="00C212D2" w:rsidRPr="00C212D2">
        <w:rPr>
          <w:rFonts w:ascii="Arial" w:hAnsi="Arial" w:cs="Arial"/>
          <w:sz w:val="24"/>
          <w:szCs w:val="24"/>
        </w:rPr>
        <w:t xml:space="preserve"> becomes evident that the pursuit of equality and</w:t>
      </w:r>
      <w:r w:rsidR="00365FCE">
        <w:rPr>
          <w:rFonts w:ascii="Arial" w:hAnsi="Arial" w:cs="Arial"/>
          <w:sz w:val="24"/>
          <w:szCs w:val="24"/>
        </w:rPr>
        <w:t xml:space="preserve"> the</w:t>
      </w:r>
      <w:r w:rsidR="00C212D2" w:rsidRPr="00C212D2">
        <w:rPr>
          <w:rFonts w:ascii="Arial" w:hAnsi="Arial" w:cs="Arial"/>
          <w:sz w:val="24"/>
          <w:szCs w:val="24"/>
        </w:rPr>
        <w:t xml:space="preserve"> diversity in the legal profession necessitates ongoing dialogue, education, and a commitment to fostering a culture of respect. </w:t>
      </w:r>
    </w:p>
    <w:p w14:paraId="52B79287" w14:textId="77777777" w:rsidR="00365FCE" w:rsidRDefault="00365FCE" w:rsidP="00C212D2">
      <w:pPr>
        <w:rPr>
          <w:rFonts w:ascii="Arial" w:hAnsi="Arial" w:cs="Arial"/>
          <w:sz w:val="24"/>
          <w:szCs w:val="24"/>
        </w:rPr>
      </w:pPr>
    </w:p>
    <w:p w14:paraId="27D6A7C8" w14:textId="70EF7626" w:rsidR="00C212D2" w:rsidRDefault="00C212D2" w:rsidP="00C212D2">
      <w:pPr>
        <w:rPr>
          <w:rFonts w:ascii="Arial" w:hAnsi="Arial" w:cs="Arial"/>
          <w:sz w:val="24"/>
          <w:szCs w:val="24"/>
        </w:rPr>
      </w:pPr>
    </w:p>
    <w:p w14:paraId="2D948F7C" w14:textId="77777777" w:rsidR="00C212D2" w:rsidRPr="00C212D2" w:rsidRDefault="00C212D2" w:rsidP="00C212D2">
      <w:pPr>
        <w:rPr>
          <w:rFonts w:ascii="Arial" w:hAnsi="Arial" w:cs="Arial"/>
          <w:sz w:val="24"/>
          <w:szCs w:val="24"/>
        </w:rPr>
      </w:pPr>
    </w:p>
    <w:p w14:paraId="1E855716" w14:textId="77777777" w:rsidR="00C212D2" w:rsidRPr="00C212D2" w:rsidRDefault="00C212D2" w:rsidP="00C212D2">
      <w:pPr>
        <w:rPr>
          <w:rFonts w:ascii="Arial" w:hAnsi="Arial" w:cs="Arial"/>
          <w:sz w:val="24"/>
          <w:szCs w:val="24"/>
        </w:rPr>
      </w:pPr>
    </w:p>
    <w:p w14:paraId="7C6A99DD" w14:textId="77777777" w:rsidR="00C212D2" w:rsidRPr="00C212D2" w:rsidRDefault="00C212D2" w:rsidP="00C212D2">
      <w:pPr>
        <w:rPr>
          <w:rFonts w:ascii="Arial" w:hAnsi="Arial" w:cs="Arial"/>
          <w:sz w:val="24"/>
          <w:szCs w:val="24"/>
        </w:rPr>
      </w:pPr>
    </w:p>
    <w:p w14:paraId="472B81A7" w14:textId="77777777" w:rsidR="00C212D2" w:rsidRDefault="00C212D2" w:rsidP="008C4A84">
      <w:pPr>
        <w:rPr>
          <w:rFonts w:ascii="Arial" w:hAnsi="Arial" w:cs="Arial"/>
          <w:sz w:val="24"/>
          <w:szCs w:val="24"/>
        </w:rPr>
      </w:pPr>
    </w:p>
    <w:p w14:paraId="25F072C1" w14:textId="35B3A0C5" w:rsidR="008C4A84" w:rsidRPr="008C4A84" w:rsidRDefault="008C4A84" w:rsidP="008C4A84">
      <w:pPr>
        <w:rPr>
          <w:rFonts w:ascii="Arial" w:hAnsi="Arial" w:cs="Arial"/>
          <w:sz w:val="24"/>
          <w:szCs w:val="24"/>
        </w:rPr>
      </w:pPr>
      <w:r w:rsidRPr="008C4A84">
        <w:rPr>
          <w:rFonts w:ascii="Arial" w:hAnsi="Arial" w:cs="Arial"/>
          <w:sz w:val="24"/>
          <w:szCs w:val="24"/>
        </w:rPr>
        <w:lastRenderedPageBreak/>
        <w:t>Future Developments:</w:t>
      </w:r>
    </w:p>
    <w:p w14:paraId="146F2C82" w14:textId="7F9E9649" w:rsidR="008C4A84" w:rsidRPr="008C4A84" w:rsidRDefault="00421F13" w:rsidP="008C4A84">
      <w:pPr>
        <w:rPr>
          <w:rFonts w:ascii="Arial" w:hAnsi="Arial" w:cs="Arial"/>
          <w:sz w:val="24"/>
          <w:szCs w:val="24"/>
        </w:rPr>
      </w:pPr>
      <w:r w:rsidRPr="008C4A84">
        <w:rPr>
          <w:rFonts w:ascii="Arial" w:hAnsi="Arial" w:cs="Arial"/>
          <w:sz w:val="24"/>
          <w:szCs w:val="24"/>
        </w:rPr>
        <w:t>The ongoing and proposed changes in legislation and regulations indicate a commitment to further enhance equality and diversity in the legal profession.</w:t>
      </w:r>
      <w:r w:rsidR="00C212D2">
        <w:rPr>
          <w:rFonts w:ascii="Arial" w:hAnsi="Arial" w:cs="Arial"/>
          <w:sz w:val="24"/>
          <w:szCs w:val="24"/>
        </w:rPr>
        <w:t xml:space="preserve"> </w:t>
      </w:r>
      <w:r w:rsidR="00C212D2" w:rsidRPr="00C212D2">
        <w:rPr>
          <w:rFonts w:ascii="Arial" w:hAnsi="Arial" w:cs="Arial"/>
          <w:sz w:val="24"/>
          <w:szCs w:val="24"/>
        </w:rPr>
        <w:t xml:space="preserve">The commitment to enhancing equality and diversity extends beyond a mere acknowledgment of challenges; it reflects a conscientious effort to create a legal ecosystem that mirrors the rich tapestry of the communities it serves. The </w:t>
      </w:r>
      <w:r w:rsidR="00C212D2" w:rsidRPr="00C212D2">
        <w:rPr>
          <w:rFonts w:ascii="Arial" w:hAnsi="Arial" w:cs="Arial"/>
          <w:sz w:val="24"/>
          <w:szCs w:val="24"/>
        </w:rPr>
        <w:t>initiative-taking</w:t>
      </w:r>
      <w:r w:rsidR="00C212D2" w:rsidRPr="00C212D2">
        <w:rPr>
          <w:rFonts w:ascii="Arial" w:hAnsi="Arial" w:cs="Arial"/>
          <w:sz w:val="24"/>
          <w:szCs w:val="24"/>
        </w:rPr>
        <w:t xml:space="preserve"> nature of these changes not only addresses existing disparities but also anticipates and mitigates potential future challenges.</w:t>
      </w:r>
    </w:p>
    <w:p w14:paraId="080B3B44" w14:textId="77777777" w:rsidR="008C4A84" w:rsidRPr="008C4A84" w:rsidRDefault="008C4A84" w:rsidP="008C4A84">
      <w:pPr>
        <w:rPr>
          <w:rFonts w:ascii="Arial" w:hAnsi="Arial" w:cs="Arial"/>
          <w:sz w:val="24"/>
          <w:szCs w:val="24"/>
        </w:rPr>
      </w:pPr>
    </w:p>
    <w:p w14:paraId="5F6E852A" w14:textId="73F9D4F4" w:rsidR="00421F13" w:rsidRPr="00421F13" w:rsidRDefault="00421F13" w:rsidP="00421F13">
      <w:pPr>
        <w:rPr>
          <w:rFonts w:ascii="Arial" w:hAnsi="Arial" w:cs="Arial"/>
          <w:sz w:val="24"/>
          <w:szCs w:val="24"/>
        </w:rPr>
      </w:pPr>
      <w:r w:rsidRPr="00421F13">
        <w:rPr>
          <w:rFonts w:ascii="Arial" w:hAnsi="Arial" w:cs="Arial"/>
          <w:sz w:val="24"/>
          <w:szCs w:val="24"/>
        </w:rPr>
        <w:t xml:space="preserve">In conclusion, the legal landscape is intricately woven with a commitment to equality and diversity, buttressed by legislative acts and the pivotal roles played by regulatory bodies such as the SRA, BSB, and CILEX Regulation. These entities serve as custodians of ethical standards, fostering an environment where fairness and inclusivity are not merely regulatory obligations but integral to the profession's identity. The concerted efforts undertaken by these regulatory bodies, despite persistent challenges, exemplify a collective dedication to transforming the legal profession into a reflection of the diverse society it serves. As the legal system evolves, ongoing initiatives and future developments signal </w:t>
      </w:r>
      <w:r w:rsidR="00365FCE" w:rsidRPr="00421F13">
        <w:rPr>
          <w:rFonts w:ascii="Arial" w:hAnsi="Arial" w:cs="Arial"/>
          <w:sz w:val="24"/>
          <w:szCs w:val="24"/>
        </w:rPr>
        <w:t>an initiative-taking</w:t>
      </w:r>
      <w:r w:rsidRPr="00421F13">
        <w:rPr>
          <w:rFonts w:ascii="Arial" w:hAnsi="Arial" w:cs="Arial"/>
          <w:sz w:val="24"/>
          <w:szCs w:val="24"/>
        </w:rPr>
        <w:t xml:space="preserve"> stance toward nurturing a profession that not only upholds the rule of law but stands as a beacon of justice and equity. The pursuit of equality and diversity is, therefore, not only a responsibility of the legal profession but a cornerstone for building a more just and equitable society through the medium of law</w:t>
      </w:r>
      <w:r w:rsidR="00365FCE">
        <w:rPr>
          <w:rFonts w:ascii="Arial" w:hAnsi="Arial" w:cs="Arial"/>
          <w:sz w:val="24"/>
          <w:szCs w:val="24"/>
        </w:rPr>
        <w:t xml:space="preserve"> and legal practice</w:t>
      </w:r>
      <w:r w:rsidRPr="00421F13">
        <w:rPr>
          <w:rFonts w:ascii="Arial" w:hAnsi="Arial" w:cs="Arial"/>
          <w:sz w:val="24"/>
          <w:szCs w:val="24"/>
        </w:rPr>
        <w:t>.</w:t>
      </w:r>
    </w:p>
    <w:p w14:paraId="2DF78A54" w14:textId="77777777" w:rsidR="00421F13" w:rsidRPr="00421F13" w:rsidRDefault="00421F13" w:rsidP="00421F13">
      <w:pPr>
        <w:rPr>
          <w:rFonts w:ascii="Arial" w:hAnsi="Arial" w:cs="Arial"/>
          <w:sz w:val="24"/>
          <w:szCs w:val="24"/>
        </w:rPr>
      </w:pPr>
    </w:p>
    <w:p w14:paraId="0C828BD7" w14:textId="77777777" w:rsidR="00421F13" w:rsidRPr="00421F13" w:rsidRDefault="00421F13" w:rsidP="00421F13">
      <w:pPr>
        <w:rPr>
          <w:rFonts w:ascii="Arial" w:hAnsi="Arial" w:cs="Arial"/>
          <w:sz w:val="24"/>
          <w:szCs w:val="24"/>
        </w:rPr>
      </w:pPr>
    </w:p>
    <w:p w14:paraId="073B69FC" w14:textId="77777777" w:rsidR="00421F13" w:rsidRPr="00421F13" w:rsidRDefault="00421F13" w:rsidP="00421F13">
      <w:pPr>
        <w:rPr>
          <w:rFonts w:ascii="Arial" w:hAnsi="Arial" w:cs="Arial"/>
          <w:sz w:val="24"/>
          <w:szCs w:val="24"/>
        </w:rPr>
      </w:pPr>
    </w:p>
    <w:p w14:paraId="0D5DA8D7" w14:textId="77777777" w:rsidR="00421F13" w:rsidRPr="00421F13" w:rsidRDefault="00421F13" w:rsidP="00421F13">
      <w:pPr>
        <w:rPr>
          <w:rFonts w:ascii="Arial" w:hAnsi="Arial" w:cs="Arial"/>
          <w:sz w:val="24"/>
          <w:szCs w:val="24"/>
        </w:rPr>
      </w:pPr>
    </w:p>
    <w:p w14:paraId="5D22EDBC" w14:textId="77777777" w:rsidR="00421F13" w:rsidRPr="00421F13" w:rsidRDefault="00421F13" w:rsidP="00421F13">
      <w:pPr>
        <w:rPr>
          <w:rFonts w:ascii="Arial" w:hAnsi="Arial" w:cs="Arial"/>
          <w:sz w:val="24"/>
          <w:szCs w:val="24"/>
        </w:rPr>
      </w:pPr>
    </w:p>
    <w:p w14:paraId="200736E4" w14:textId="77777777" w:rsidR="00421F13" w:rsidRPr="00421F13" w:rsidRDefault="00421F13" w:rsidP="00421F13">
      <w:pPr>
        <w:rPr>
          <w:rFonts w:ascii="Arial" w:hAnsi="Arial" w:cs="Arial"/>
          <w:sz w:val="24"/>
          <w:szCs w:val="24"/>
        </w:rPr>
      </w:pPr>
    </w:p>
    <w:p w14:paraId="70934411" w14:textId="1C423729" w:rsidR="00ED7E6C" w:rsidRPr="008C4A84" w:rsidRDefault="00ED7E6C" w:rsidP="008C4A84">
      <w:pPr>
        <w:rPr>
          <w:rFonts w:ascii="Arial" w:hAnsi="Arial" w:cs="Arial"/>
          <w:sz w:val="24"/>
          <w:szCs w:val="24"/>
        </w:rPr>
      </w:pPr>
    </w:p>
    <w:sectPr w:rsidR="00ED7E6C" w:rsidRPr="008C4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85362"/>
    <w:multiLevelType w:val="multilevel"/>
    <w:tmpl w:val="607CD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5076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A84"/>
    <w:rsid w:val="00025EE8"/>
    <w:rsid w:val="000B0369"/>
    <w:rsid w:val="00325AD2"/>
    <w:rsid w:val="0034676E"/>
    <w:rsid w:val="003632A4"/>
    <w:rsid w:val="00365FCE"/>
    <w:rsid w:val="003A0A83"/>
    <w:rsid w:val="00421F13"/>
    <w:rsid w:val="004A18E1"/>
    <w:rsid w:val="007F11C6"/>
    <w:rsid w:val="008C4A84"/>
    <w:rsid w:val="00963090"/>
    <w:rsid w:val="00971467"/>
    <w:rsid w:val="009C0179"/>
    <w:rsid w:val="009E51FB"/>
    <w:rsid w:val="00C20B10"/>
    <w:rsid w:val="00C212D2"/>
    <w:rsid w:val="00CF0A93"/>
    <w:rsid w:val="00D01F5E"/>
    <w:rsid w:val="00D36E2B"/>
    <w:rsid w:val="00EC1C6A"/>
    <w:rsid w:val="00ED7E6C"/>
    <w:rsid w:val="00EF791B"/>
    <w:rsid w:val="00F421EA"/>
    <w:rsid w:val="00FB5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8F26C1"/>
  <w15:chartTrackingRefBased/>
  <w15:docId w15:val="{30276048-EEA1-411C-B4ED-BECCD51D3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75B"/>
    <w:rPr>
      <w:color w:val="0563C1" w:themeColor="hyperlink"/>
      <w:u w:val="single"/>
    </w:rPr>
  </w:style>
  <w:style w:type="character" w:styleId="UnresolvedMention">
    <w:name w:val="Unresolved Mention"/>
    <w:basedOn w:val="DefaultParagraphFont"/>
    <w:uiPriority w:val="99"/>
    <w:semiHidden/>
    <w:unhideWhenUsed/>
    <w:rsid w:val="00FB57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0906">
      <w:bodyDiv w:val="1"/>
      <w:marLeft w:val="0"/>
      <w:marRight w:val="0"/>
      <w:marTop w:val="0"/>
      <w:marBottom w:val="0"/>
      <w:divBdr>
        <w:top w:val="none" w:sz="0" w:space="0" w:color="auto"/>
        <w:left w:val="none" w:sz="0" w:space="0" w:color="auto"/>
        <w:bottom w:val="none" w:sz="0" w:space="0" w:color="auto"/>
        <w:right w:val="none" w:sz="0" w:space="0" w:color="auto"/>
      </w:divBdr>
    </w:div>
    <w:div w:id="806052547">
      <w:bodyDiv w:val="1"/>
      <w:marLeft w:val="0"/>
      <w:marRight w:val="0"/>
      <w:marTop w:val="0"/>
      <w:marBottom w:val="0"/>
      <w:divBdr>
        <w:top w:val="none" w:sz="0" w:space="0" w:color="auto"/>
        <w:left w:val="none" w:sz="0" w:space="0" w:color="auto"/>
        <w:bottom w:val="none" w:sz="0" w:space="0" w:color="auto"/>
        <w:right w:val="none" w:sz="0" w:space="0" w:color="auto"/>
      </w:divBdr>
    </w:div>
    <w:div w:id="1443574795">
      <w:bodyDiv w:val="1"/>
      <w:marLeft w:val="0"/>
      <w:marRight w:val="0"/>
      <w:marTop w:val="0"/>
      <w:marBottom w:val="0"/>
      <w:divBdr>
        <w:top w:val="none" w:sz="0" w:space="0" w:color="auto"/>
        <w:left w:val="none" w:sz="0" w:space="0" w:color="auto"/>
        <w:bottom w:val="none" w:sz="0" w:space="0" w:color="auto"/>
        <w:right w:val="none" w:sz="0" w:space="0" w:color="auto"/>
      </w:divBdr>
      <w:divsChild>
        <w:div w:id="1292515727">
          <w:marLeft w:val="0"/>
          <w:marRight w:val="0"/>
          <w:marTop w:val="0"/>
          <w:marBottom w:val="0"/>
          <w:divBdr>
            <w:top w:val="single" w:sz="2" w:space="0" w:color="D9D9E3"/>
            <w:left w:val="single" w:sz="2" w:space="0" w:color="D9D9E3"/>
            <w:bottom w:val="single" w:sz="2" w:space="0" w:color="D9D9E3"/>
            <w:right w:val="single" w:sz="2" w:space="0" w:color="D9D9E3"/>
          </w:divBdr>
          <w:divsChild>
            <w:div w:id="2078629216">
              <w:marLeft w:val="0"/>
              <w:marRight w:val="0"/>
              <w:marTop w:val="0"/>
              <w:marBottom w:val="0"/>
              <w:divBdr>
                <w:top w:val="single" w:sz="2" w:space="0" w:color="D9D9E3"/>
                <w:left w:val="single" w:sz="2" w:space="0" w:color="D9D9E3"/>
                <w:bottom w:val="single" w:sz="2" w:space="0" w:color="D9D9E3"/>
                <w:right w:val="single" w:sz="2" w:space="0" w:color="D9D9E3"/>
              </w:divBdr>
              <w:divsChild>
                <w:div w:id="1565485280">
                  <w:marLeft w:val="0"/>
                  <w:marRight w:val="0"/>
                  <w:marTop w:val="0"/>
                  <w:marBottom w:val="0"/>
                  <w:divBdr>
                    <w:top w:val="single" w:sz="2" w:space="0" w:color="D9D9E3"/>
                    <w:left w:val="single" w:sz="2" w:space="0" w:color="D9D9E3"/>
                    <w:bottom w:val="single" w:sz="2" w:space="0" w:color="D9D9E3"/>
                    <w:right w:val="single" w:sz="2" w:space="0" w:color="D9D9E3"/>
                  </w:divBdr>
                  <w:divsChild>
                    <w:div w:id="976840940">
                      <w:marLeft w:val="0"/>
                      <w:marRight w:val="0"/>
                      <w:marTop w:val="0"/>
                      <w:marBottom w:val="0"/>
                      <w:divBdr>
                        <w:top w:val="single" w:sz="2" w:space="0" w:color="D9D9E3"/>
                        <w:left w:val="single" w:sz="2" w:space="0" w:color="D9D9E3"/>
                        <w:bottom w:val="single" w:sz="2" w:space="0" w:color="D9D9E3"/>
                        <w:right w:val="single" w:sz="2" w:space="0" w:color="D9D9E3"/>
                      </w:divBdr>
                      <w:divsChild>
                        <w:div w:id="377825781">
                          <w:marLeft w:val="0"/>
                          <w:marRight w:val="0"/>
                          <w:marTop w:val="0"/>
                          <w:marBottom w:val="0"/>
                          <w:divBdr>
                            <w:top w:val="single" w:sz="2" w:space="0" w:color="D9D9E3"/>
                            <w:left w:val="single" w:sz="2" w:space="0" w:color="D9D9E3"/>
                            <w:bottom w:val="single" w:sz="2" w:space="0" w:color="D9D9E3"/>
                            <w:right w:val="single" w:sz="2" w:space="0" w:color="D9D9E3"/>
                          </w:divBdr>
                          <w:divsChild>
                            <w:div w:id="183250307">
                              <w:marLeft w:val="0"/>
                              <w:marRight w:val="0"/>
                              <w:marTop w:val="100"/>
                              <w:marBottom w:val="100"/>
                              <w:divBdr>
                                <w:top w:val="single" w:sz="2" w:space="0" w:color="D9D9E3"/>
                                <w:left w:val="single" w:sz="2" w:space="0" w:color="D9D9E3"/>
                                <w:bottom w:val="single" w:sz="2" w:space="0" w:color="D9D9E3"/>
                                <w:right w:val="single" w:sz="2" w:space="0" w:color="D9D9E3"/>
                              </w:divBdr>
                              <w:divsChild>
                                <w:div w:id="876627139">
                                  <w:marLeft w:val="0"/>
                                  <w:marRight w:val="0"/>
                                  <w:marTop w:val="0"/>
                                  <w:marBottom w:val="0"/>
                                  <w:divBdr>
                                    <w:top w:val="single" w:sz="2" w:space="0" w:color="D9D9E3"/>
                                    <w:left w:val="single" w:sz="2" w:space="0" w:color="D9D9E3"/>
                                    <w:bottom w:val="single" w:sz="2" w:space="0" w:color="D9D9E3"/>
                                    <w:right w:val="single" w:sz="2" w:space="0" w:color="D9D9E3"/>
                                  </w:divBdr>
                                  <w:divsChild>
                                    <w:div w:id="1657370914">
                                      <w:marLeft w:val="0"/>
                                      <w:marRight w:val="0"/>
                                      <w:marTop w:val="0"/>
                                      <w:marBottom w:val="0"/>
                                      <w:divBdr>
                                        <w:top w:val="single" w:sz="2" w:space="0" w:color="D9D9E3"/>
                                        <w:left w:val="single" w:sz="2" w:space="0" w:color="D9D9E3"/>
                                        <w:bottom w:val="single" w:sz="2" w:space="0" w:color="D9D9E3"/>
                                        <w:right w:val="single" w:sz="2" w:space="0" w:color="D9D9E3"/>
                                      </w:divBdr>
                                      <w:divsChild>
                                        <w:div w:id="1820613200">
                                          <w:marLeft w:val="0"/>
                                          <w:marRight w:val="0"/>
                                          <w:marTop w:val="0"/>
                                          <w:marBottom w:val="0"/>
                                          <w:divBdr>
                                            <w:top w:val="single" w:sz="2" w:space="0" w:color="D9D9E3"/>
                                            <w:left w:val="single" w:sz="2" w:space="0" w:color="D9D9E3"/>
                                            <w:bottom w:val="single" w:sz="2" w:space="0" w:color="D9D9E3"/>
                                            <w:right w:val="single" w:sz="2" w:space="0" w:color="D9D9E3"/>
                                          </w:divBdr>
                                          <w:divsChild>
                                            <w:div w:id="606347943">
                                              <w:marLeft w:val="0"/>
                                              <w:marRight w:val="0"/>
                                              <w:marTop w:val="0"/>
                                              <w:marBottom w:val="0"/>
                                              <w:divBdr>
                                                <w:top w:val="single" w:sz="2" w:space="0" w:color="D9D9E3"/>
                                                <w:left w:val="single" w:sz="2" w:space="0" w:color="D9D9E3"/>
                                                <w:bottom w:val="single" w:sz="2" w:space="0" w:color="D9D9E3"/>
                                                <w:right w:val="single" w:sz="2" w:space="0" w:color="D9D9E3"/>
                                              </w:divBdr>
                                              <w:divsChild>
                                                <w:div w:id="1410230060">
                                                  <w:marLeft w:val="0"/>
                                                  <w:marRight w:val="0"/>
                                                  <w:marTop w:val="0"/>
                                                  <w:marBottom w:val="0"/>
                                                  <w:divBdr>
                                                    <w:top w:val="single" w:sz="2" w:space="0" w:color="D9D9E3"/>
                                                    <w:left w:val="single" w:sz="2" w:space="0" w:color="D9D9E3"/>
                                                    <w:bottom w:val="single" w:sz="2" w:space="0" w:color="D9D9E3"/>
                                                    <w:right w:val="single" w:sz="2" w:space="0" w:color="D9D9E3"/>
                                                  </w:divBdr>
                                                  <w:divsChild>
                                                    <w:div w:id="1534029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2337262">
          <w:marLeft w:val="0"/>
          <w:marRight w:val="0"/>
          <w:marTop w:val="0"/>
          <w:marBottom w:val="0"/>
          <w:divBdr>
            <w:top w:val="none" w:sz="0" w:space="0" w:color="auto"/>
            <w:left w:val="none" w:sz="0" w:space="0" w:color="auto"/>
            <w:bottom w:val="none" w:sz="0" w:space="0" w:color="auto"/>
            <w:right w:val="none" w:sz="0" w:space="0" w:color="auto"/>
          </w:divBdr>
        </w:div>
      </w:divsChild>
    </w:div>
    <w:div w:id="1634604332">
      <w:bodyDiv w:val="1"/>
      <w:marLeft w:val="0"/>
      <w:marRight w:val="0"/>
      <w:marTop w:val="0"/>
      <w:marBottom w:val="0"/>
      <w:divBdr>
        <w:top w:val="none" w:sz="0" w:space="0" w:color="auto"/>
        <w:left w:val="none" w:sz="0" w:space="0" w:color="auto"/>
        <w:bottom w:val="none" w:sz="0" w:space="0" w:color="auto"/>
        <w:right w:val="none" w:sz="0" w:space="0" w:color="auto"/>
      </w:divBdr>
      <w:divsChild>
        <w:div w:id="1679234459">
          <w:marLeft w:val="0"/>
          <w:marRight w:val="0"/>
          <w:marTop w:val="0"/>
          <w:marBottom w:val="0"/>
          <w:divBdr>
            <w:top w:val="single" w:sz="2" w:space="0" w:color="D9D9E3"/>
            <w:left w:val="single" w:sz="2" w:space="0" w:color="D9D9E3"/>
            <w:bottom w:val="single" w:sz="2" w:space="0" w:color="D9D9E3"/>
            <w:right w:val="single" w:sz="2" w:space="0" w:color="D9D9E3"/>
          </w:divBdr>
          <w:divsChild>
            <w:div w:id="7948502">
              <w:marLeft w:val="0"/>
              <w:marRight w:val="0"/>
              <w:marTop w:val="0"/>
              <w:marBottom w:val="0"/>
              <w:divBdr>
                <w:top w:val="single" w:sz="2" w:space="0" w:color="D9D9E3"/>
                <w:left w:val="single" w:sz="2" w:space="0" w:color="D9D9E3"/>
                <w:bottom w:val="single" w:sz="2" w:space="0" w:color="D9D9E3"/>
                <w:right w:val="single" w:sz="2" w:space="0" w:color="D9D9E3"/>
              </w:divBdr>
              <w:divsChild>
                <w:div w:id="740055209">
                  <w:marLeft w:val="0"/>
                  <w:marRight w:val="0"/>
                  <w:marTop w:val="0"/>
                  <w:marBottom w:val="0"/>
                  <w:divBdr>
                    <w:top w:val="single" w:sz="2" w:space="0" w:color="D9D9E3"/>
                    <w:left w:val="single" w:sz="2" w:space="0" w:color="D9D9E3"/>
                    <w:bottom w:val="single" w:sz="2" w:space="0" w:color="D9D9E3"/>
                    <w:right w:val="single" w:sz="2" w:space="0" w:color="D9D9E3"/>
                  </w:divBdr>
                  <w:divsChild>
                    <w:div w:id="151222141">
                      <w:marLeft w:val="0"/>
                      <w:marRight w:val="0"/>
                      <w:marTop w:val="0"/>
                      <w:marBottom w:val="0"/>
                      <w:divBdr>
                        <w:top w:val="single" w:sz="2" w:space="0" w:color="D9D9E3"/>
                        <w:left w:val="single" w:sz="2" w:space="0" w:color="D9D9E3"/>
                        <w:bottom w:val="single" w:sz="2" w:space="0" w:color="D9D9E3"/>
                        <w:right w:val="single" w:sz="2" w:space="0" w:color="D9D9E3"/>
                      </w:divBdr>
                      <w:divsChild>
                        <w:div w:id="1422337891">
                          <w:marLeft w:val="0"/>
                          <w:marRight w:val="0"/>
                          <w:marTop w:val="0"/>
                          <w:marBottom w:val="0"/>
                          <w:divBdr>
                            <w:top w:val="single" w:sz="2" w:space="0" w:color="D9D9E3"/>
                            <w:left w:val="single" w:sz="2" w:space="0" w:color="D9D9E3"/>
                            <w:bottom w:val="single" w:sz="2" w:space="0" w:color="D9D9E3"/>
                            <w:right w:val="single" w:sz="2" w:space="0" w:color="D9D9E3"/>
                          </w:divBdr>
                          <w:divsChild>
                            <w:div w:id="2141144011">
                              <w:marLeft w:val="0"/>
                              <w:marRight w:val="0"/>
                              <w:marTop w:val="100"/>
                              <w:marBottom w:val="100"/>
                              <w:divBdr>
                                <w:top w:val="single" w:sz="2" w:space="0" w:color="D9D9E3"/>
                                <w:left w:val="single" w:sz="2" w:space="0" w:color="D9D9E3"/>
                                <w:bottom w:val="single" w:sz="2" w:space="0" w:color="D9D9E3"/>
                                <w:right w:val="single" w:sz="2" w:space="0" w:color="D9D9E3"/>
                              </w:divBdr>
                              <w:divsChild>
                                <w:div w:id="485362859">
                                  <w:marLeft w:val="0"/>
                                  <w:marRight w:val="0"/>
                                  <w:marTop w:val="0"/>
                                  <w:marBottom w:val="0"/>
                                  <w:divBdr>
                                    <w:top w:val="single" w:sz="2" w:space="0" w:color="D9D9E3"/>
                                    <w:left w:val="single" w:sz="2" w:space="0" w:color="D9D9E3"/>
                                    <w:bottom w:val="single" w:sz="2" w:space="0" w:color="D9D9E3"/>
                                    <w:right w:val="single" w:sz="2" w:space="0" w:color="D9D9E3"/>
                                  </w:divBdr>
                                  <w:divsChild>
                                    <w:div w:id="53432473">
                                      <w:marLeft w:val="0"/>
                                      <w:marRight w:val="0"/>
                                      <w:marTop w:val="0"/>
                                      <w:marBottom w:val="0"/>
                                      <w:divBdr>
                                        <w:top w:val="single" w:sz="2" w:space="0" w:color="D9D9E3"/>
                                        <w:left w:val="single" w:sz="2" w:space="0" w:color="D9D9E3"/>
                                        <w:bottom w:val="single" w:sz="2" w:space="0" w:color="D9D9E3"/>
                                        <w:right w:val="single" w:sz="2" w:space="0" w:color="D9D9E3"/>
                                      </w:divBdr>
                                      <w:divsChild>
                                        <w:div w:id="405686040">
                                          <w:marLeft w:val="0"/>
                                          <w:marRight w:val="0"/>
                                          <w:marTop w:val="0"/>
                                          <w:marBottom w:val="0"/>
                                          <w:divBdr>
                                            <w:top w:val="single" w:sz="2" w:space="0" w:color="D9D9E3"/>
                                            <w:left w:val="single" w:sz="2" w:space="0" w:color="D9D9E3"/>
                                            <w:bottom w:val="single" w:sz="2" w:space="0" w:color="D9D9E3"/>
                                            <w:right w:val="single" w:sz="2" w:space="0" w:color="D9D9E3"/>
                                          </w:divBdr>
                                          <w:divsChild>
                                            <w:div w:id="137041478">
                                              <w:marLeft w:val="0"/>
                                              <w:marRight w:val="0"/>
                                              <w:marTop w:val="0"/>
                                              <w:marBottom w:val="0"/>
                                              <w:divBdr>
                                                <w:top w:val="single" w:sz="2" w:space="0" w:color="D9D9E3"/>
                                                <w:left w:val="single" w:sz="2" w:space="0" w:color="D9D9E3"/>
                                                <w:bottom w:val="single" w:sz="2" w:space="0" w:color="D9D9E3"/>
                                                <w:right w:val="single" w:sz="2" w:space="0" w:color="D9D9E3"/>
                                              </w:divBdr>
                                              <w:divsChild>
                                                <w:div w:id="1038704643">
                                                  <w:marLeft w:val="0"/>
                                                  <w:marRight w:val="0"/>
                                                  <w:marTop w:val="0"/>
                                                  <w:marBottom w:val="0"/>
                                                  <w:divBdr>
                                                    <w:top w:val="single" w:sz="2" w:space="0" w:color="D9D9E3"/>
                                                    <w:left w:val="single" w:sz="2" w:space="0" w:color="D9D9E3"/>
                                                    <w:bottom w:val="single" w:sz="2" w:space="0" w:color="D9D9E3"/>
                                                    <w:right w:val="single" w:sz="2" w:space="0" w:color="D9D9E3"/>
                                                  </w:divBdr>
                                                  <w:divsChild>
                                                    <w:div w:id="10588175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0922623">
          <w:marLeft w:val="0"/>
          <w:marRight w:val="0"/>
          <w:marTop w:val="0"/>
          <w:marBottom w:val="0"/>
          <w:divBdr>
            <w:top w:val="none" w:sz="0" w:space="0" w:color="auto"/>
            <w:left w:val="none" w:sz="0" w:space="0" w:color="auto"/>
            <w:bottom w:val="none" w:sz="0" w:space="0" w:color="auto"/>
            <w:right w:val="none" w:sz="0" w:space="0" w:color="auto"/>
          </w:divBdr>
        </w:div>
      </w:divsChild>
    </w:div>
    <w:div w:id="1763455061">
      <w:bodyDiv w:val="1"/>
      <w:marLeft w:val="0"/>
      <w:marRight w:val="0"/>
      <w:marTop w:val="0"/>
      <w:marBottom w:val="0"/>
      <w:divBdr>
        <w:top w:val="none" w:sz="0" w:space="0" w:color="auto"/>
        <w:left w:val="none" w:sz="0" w:space="0" w:color="auto"/>
        <w:bottom w:val="none" w:sz="0" w:space="0" w:color="auto"/>
        <w:right w:val="none" w:sz="0" w:space="0" w:color="auto"/>
      </w:divBdr>
      <w:divsChild>
        <w:div w:id="1570572806">
          <w:marLeft w:val="0"/>
          <w:marRight w:val="0"/>
          <w:marTop w:val="0"/>
          <w:marBottom w:val="0"/>
          <w:divBdr>
            <w:top w:val="single" w:sz="2" w:space="0" w:color="D9D9E3"/>
            <w:left w:val="single" w:sz="2" w:space="0" w:color="D9D9E3"/>
            <w:bottom w:val="single" w:sz="2" w:space="0" w:color="D9D9E3"/>
            <w:right w:val="single" w:sz="2" w:space="0" w:color="D9D9E3"/>
          </w:divBdr>
          <w:divsChild>
            <w:div w:id="915480037">
              <w:marLeft w:val="0"/>
              <w:marRight w:val="0"/>
              <w:marTop w:val="0"/>
              <w:marBottom w:val="0"/>
              <w:divBdr>
                <w:top w:val="single" w:sz="2" w:space="0" w:color="D9D9E3"/>
                <w:left w:val="single" w:sz="2" w:space="0" w:color="D9D9E3"/>
                <w:bottom w:val="single" w:sz="2" w:space="0" w:color="D9D9E3"/>
                <w:right w:val="single" w:sz="2" w:space="0" w:color="D9D9E3"/>
              </w:divBdr>
              <w:divsChild>
                <w:div w:id="649598979">
                  <w:marLeft w:val="0"/>
                  <w:marRight w:val="0"/>
                  <w:marTop w:val="0"/>
                  <w:marBottom w:val="0"/>
                  <w:divBdr>
                    <w:top w:val="single" w:sz="2" w:space="0" w:color="D9D9E3"/>
                    <w:left w:val="single" w:sz="2" w:space="0" w:color="D9D9E3"/>
                    <w:bottom w:val="single" w:sz="2" w:space="0" w:color="D9D9E3"/>
                    <w:right w:val="single" w:sz="2" w:space="0" w:color="D9D9E3"/>
                  </w:divBdr>
                  <w:divsChild>
                    <w:div w:id="1548226872">
                      <w:marLeft w:val="0"/>
                      <w:marRight w:val="0"/>
                      <w:marTop w:val="0"/>
                      <w:marBottom w:val="0"/>
                      <w:divBdr>
                        <w:top w:val="single" w:sz="2" w:space="0" w:color="D9D9E3"/>
                        <w:left w:val="single" w:sz="2" w:space="0" w:color="D9D9E3"/>
                        <w:bottom w:val="single" w:sz="2" w:space="0" w:color="D9D9E3"/>
                        <w:right w:val="single" w:sz="2" w:space="0" w:color="D9D9E3"/>
                      </w:divBdr>
                      <w:divsChild>
                        <w:div w:id="758256143">
                          <w:marLeft w:val="0"/>
                          <w:marRight w:val="0"/>
                          <w:marTop w:val="0"/>
                          <w:marBottom w:val="0"/>
                          <w:divBdr>
                            <w:top w:val="single" w:sz="2" w:space="0" w:color="D9D9E3"/>
                            <w:left w:val="single" w:sz="2" w:space="0" w:color="D9D9E3"/>
                            <w:bottom w:val="single" w:sz="2" w:space="0" w:color="D9D9E3"/>
                            <w:right w:val="single" w:sz="2" w:space="0" w:color="D9D9E3"/>
                          </w:divBdr>
                          <w:divsChild>
                            <w:div w:id="1135486806">
                              <w:marLeft w:val="0"/>
                              <w:marRight w:val="0"/>
                              <w:marTop w:val="100"/>
                              <w:marBottom w:val="100"/>
                              <w:divBdr>
                                <w:top w:val="single" w:sz="2" w:space="0" w:color="D9D9E3"/>
                                <w:left w:val="single" w:sz="2" w:space="0" w:color="D9D9E3"/>
                                <w:bottom w:val="single" w:sz="2" w:space="0" w:color="D9D9E3"/>
                                <w:right w:val="single" w:sz="2" w:space="0" w:color="D9D9E3"/>
                              </w:divBdr>
                              <w:divsChild>
                                <w:div w:id="1684745311">
                                  <w:marLeft w:val="0"/>
                                  <w:marRight w:val="0"/>
                                  <w:marTop w:val="0"/>
                                  <w:marBottom w:val="0"/>
                                  <w:divBdr>
                                    <w:top w:val="single" w:sz="2" w:space="0" w:color="D9D9E3"/>
                                    <w:left w:val="single" w:sz="2" w:space="0" w:color="D9D9E3"/>
                                    <w:bottom w:val="single" w:sz="2" w:space="0" w:color="D9D9E3"/>
                                    <w:right w:val="single" w:sz="2" w:space="0" w:color="D9D9E3"/>
                                  </w:divBdr>
                                  <w:divsChild>
                                    <w:div w:id="922297873">
                                      <w:marLeft w:val="0"/>
                                      <w:marRight w:val="0"/>
                                      <w:marTop w:val="0"/>
                                      <w:marBottom w:val="0"/>
                                      <w:divBdr>
                                        <w:top w:val="single" w:sz="2" w:space="0" w:color="D9D9E3"/>
                                        <w:left w:val="single" w:sz="2" w:space="0" w:color="D9D9E3"/>
                                        <w:bottom w:val="single" w:sz="2" w:space="0" w:color="D9D9E3"/>
                                        <w:right w:val="single" w:sz="2" w:space="0" w:color="D9D9E3"/>
                                      </w:divBdr>
                                      <w:divsChild>
                                        <w:div w:id="342558782">
                                          <w:marLeft w:val="0"/>
                                          <w:marRight w:val="0"/>
                                          <w:marTop w:val="0"/>
                                          <w:marBottom w:val="0"/>
                                          <w:divBdr>
                                            <w:top w:val="single" w:sz="2" w:space="0" w:color="D9D9E3"/>
                                            <w:left w:val="single" w:sz="2" w:space="0" w:color="D9D9E3"/>
                                            <w:bottom w:val="single" w:sz="2" w:space="0" w:color="D9D9E3"/>
                                            <w:right w:val="single" w:sz="2" w:space="0" w:color="D9D9E3"/>
                                          </w:divBdr>
                                          <w:divsChild>
                                            <w:div w:id="1685550903">
                                              <w:marLeft w:val="0"/>
                                              <w:marRight w:val="0"/>
                                              <w:marTop w:val="0"/>
                                              <w:marBottom w:val="0"/>
                                              <w:divBdr>
                                                <w:top w:val="single" w:sz="2" w:space="0" w:color="D9D9E3"/>
                                                <w:left w:val="single" w:sz="2" w:space="0" w:color="D9D9E3"/>
                                                <w:bottom w:val="single" w:sz="2" w:space="0" w:color="D9D9E3"/>
                                                <w:right w:val="single" w:sz="2" w:space="0" w:color="D9D9E3"/>
                                              </w:divBdr>
                                              <w:divsChild>
                                                <w:div w:id="1215577018">
                                                  <w:marLeft w:val="0"/>
                                                  <w:marRight w:val="0"/>
                                                  <w:marTop w:val="0"/>
                                                  <w:marBottom w:val="0"/>
                                                  <w:divBdr>
                                                    <w:top w:val="single" w:sz="2" w:space="0" w:color="D9D9E3"/>
                                                    <w:left w:val="single" w:sz="2" w:space="0" w:color="D9D9E3"/>
                                                    <w:bottom w:val="single" w:sz="2" w:space="0" w:color="D9D9E3"/>
                                                    <w:right w:val="single" w:sz="2" w:space="0" w:color="D9D9E3"/>
                                                  </w:divBdr>
                                                  <w:divsChild>
                                                    <w:div w:id="1048607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3497414">
          <w:marLeft w:val="0"/>
          <w:marRight w:val="0"/>
          <w:marTop w:val="0"/>
          <w:marBottom w:val="0"/>
          <w:divBdr>
            <w:top w:val="none" w:sz="0" w:space="0" w:color="auto"/>
            <w:left w:val="none" w:sz="0" w:space="0" w:color="auto"/>
            <w:bottom w:val="none" w:sz="0" w:space="0" w:color="auto"/>
            <w:right w:val="none" w:sz="0" w:space="0" w:color="auto"/>
          </w:divBdr>
        </w:div>
      </w:divsChild>
    </w:div>
    <w:div w:id="2020765669">
      <w:bodyDiv w:val="1"/>
      <w:marLeft w:val="0"/>
      <w:marRight w:val="0"/>
      <w:marTop w:val="0"/>
      <w:marBottom w:val="0"/>
      <w:divBdr>
        <w:top w:val="none" w:sz="0" w:space="0" w:color="auto"/>
        <w:left w:val="none" w:sz="0" w:space="0" w:color="auto"/>
        <w:bottom w:val="none" w:sz="0" w:space="0" w:color="auto"/>
        <w:right w:val="none" w:sz="0" w:space="0" w:color="auto"/>
      </w:divBdr>
    </w:div>
    <w:div w:id="2025278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ilexregulation.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ra.org.uk/solicitors/standards-regulations/code-conduct-solicitors/" TargetMode="External"/><Relationship Id="rId5" Type="http://schemas.openxmlformats.org/officeDocument/2006/relationships/hyperlink" Target="https://www.legislation.gov.uk/ukpga/2007/2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548</TotalTime>
  <Pages>5</Pages>
  <Words>1500</Words>
  <Characters>8813</Characters>
  <Application>Microsoft Office Word</Application>
  <DocSecurity>0</DocSecurity>
  <Lines>180</Lines>
  <Paragraphs>46</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10271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Mayzer</dc:creator>
  <cp:keywords/>
  <dc:description/>
  <cp:lastModifiedBy>Mayzer</cp:lastModifiedBy>
  <cp:revision>8</cp:revision>
  <dcterms:created xsi:type="dcterms:W3CDTF">2023-12-15T14:47:00Z</dcterms:created>
  <dcterms:modified xsi:type="dcterms:W3CDTF">2023-12-15T23:57:00Z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9e33a48d-b00e-44ec-87b8-b71b68116490</vt:lpwstr>
  </property>
</Properties>
</file>