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3D0AC5" w:rsidRDefault="002E72C1">
      <w:r>
        <w:t>Exam 2 – PC6702 – Sam Thomas – 16/11/2020</w:t>
      </w:r>
      <w:r w:rsidR="005974C3">
        <w:t xml:space="preserve"> 1922416</w:t>
      </w:r>
      <w:bookmarkStart w:id="0" w:name="_GoBack"/>
      <w:bookmarkEnd w:id="0"/>
      <w:r>
        <w:br/>
      </w:r>
      <w:r>
        <w:br/>
      </w:r>
      <w:r>
        <w:br/>
      </w:r>
      <w:r>
        <w:br/>
        <w:t>1. Any vehicle driving on a public road or anywhere the public has access to must stop when required to do so by a constable in uniform or a traffic officer. Failure to do so is an offence.</w:t>
      </w:r>
      <w:r>
        <w:br/>
      </w:r>
      <w:r w:rsidR="008D52D8">
        <w:br/>
      </w:r>
      <w:r>
        <w:t>2.</w:t>
      </w:r>
      <w:r w:rsidR="004C2CB9">
        <w:t xml:space="preserve"> If a constable in uniform or traffic officer has reasonable suspicion that a person has committed an offence while their vehicle is in motion they can require preliminary tests to be carried out to determine if they are under the influence of drink or drugs.</w:t>
      </w:r>
      <w:r>
        <w:br/>
      </w:r>
      <w:r>
        <w:br/>
        <w:t>3.</w:t>
      </w:r>
      <w:r w:rsidR="00B3431A">
        <w:t xml:space="preserve"> It is an offence for somebody to drive</w:t>
      </w:r>
      <w:r>
        <w:t xml:space="preserve"> in a manner that a competent driver would consider to be lacking due care and attention or reasonable consideration.</w:t>
      </w:r>
      <w:r>
        <w:br/>
      </w:r>
      <w:r>
        <w:br/>
        <w:t>4. Sneezing, duress, sudden mechanic</w:t>
      </w:r>
      <w:r w:rsidR="008D52D8">
        <w:t>al failure, sudden illness</w:t>
      </w:r>
      <w:r w:rsidR="008D52D8">
        <w:br/>
      </w:r>
      <w:r w:rsidR="008D52D8">
        <w:br/>
        <w:t xml:space="preserve">5. A constable in uniform or traffic officer has the right to seize any vehicle if it is being driven on a public road with no insurance. </w:t>
      </w:r>
      <w:r>
        <w:br/>
      </w:r>
      <w:r>
        <w:br/>
        <w:t>6. A collision where damage is caused by the vehicle involved in the collision to any other vehicles</w:t>
      </w:r>
      <w:r w:rsidR="00330AF3">
        <w:t>, persons, property or land, anything built on the land.</w:t>
      </w:r>
      <w:r>
        <w:br/>
      </w:r>
      <w:r>
        <w:br/>
        <w:t xml:space="preserve">7. Any length of highway the public has access to. Any place the public has free access to. A vehicle made or adapted for use on the road. </w:t>
      </w:r>
      <w:r w:rsidR="00D32077">
        <w:br/>
      </w:r>
      <w:r w:rsidR="00D32077">
        <w:br/>
        <w:t xml:space="preserve">8. The driver must give his name and address, the owner of the car’s name and address, the car’s registration details and his insurance details. </w:t>
      </w:r>
      <w:r w:rsidR="00D32077">
        <w:br/>
      </w:r>
      <w:r w:rsidR="00D32077">
        <w:br/>
        <w:t xml:space="preserve">9. A constable has the power to enter any place, using force if required if he suspects there to be inside; any person who has been driving over the prescribed limit, any person who has failed a preliminary test, any person believed to have been driving over the prescribed limit, </w:t>
      </w:r>
      <w:proofErr w:type="gramStart"/>
      <w:r w:rsidR="00D32077">
        <w:t>any</w:t>
      </w:r>
      <w:proofErr w:type="gramEnd"/>
      <w:r w:rsidR="00D32077">
        <w:t xml:space="preserve"> person who has refused a preliminary test. </w:t>
      </w:r>
      <w:r w:rsidR="00D32077">
        <w:br/>
      </w:r>
      <w:r w:rsidR="00D32077">
        <w:br/>
        <w:t>10. Any person who causes death as a result of dangerous driving is guilty of an offence.</w:t>
      </w:r>
      <w:r w:rsidR="00D32077">
        <w:br/>
      </w:r>
      <w:r w:rsidR="00D32077">
        <w:br/>
        <w:t xml:space="preserve">11. 35 micrograms for alcohol. 5 micrograms for cannabis. </w:t>
      </w:r>
      <w:r w:rsidR="00D32077">
        <w:br/>
      </w:r>
      <w:r w:rsidR="00D32077">
        <w:br/>
        <w:t xml:space="preserve">12. A solicitor, they are there to make sure their client’s interviews are being carried out in accordance with the law and their client’s rights are being protected.  </w:t>
      </w:r>
      <w:r>
        <w:br/>
      </w:r>
      <w:r w:rsidR="00D32077">
        <w:t xml:space="preserve">Appropriate adults, they are there to help facilitate the interview. They are not there to answer any questions but to help the suspect understand the questions being put to them. </w:t>
      </w:r>
      <w:r w:rsidR="00A41E49">
        <w:br/>
      </w:r>
      <w:r w:rsidR="00A41E49">
        <w:br/>
        <w:t xml:space="preserve">13. PEACE – Planning and preparation, this is done prior to interviewing so that you have a clear idea of what you wish to discuss in the interview. Engage and explain, this can help build rapport with the interviewee and lead to more information being disclosed. Account, this is where you get a full and accurate account from the person being interviewed. Closure, this is the ending of the interview where you can summarise what was said and clarify any points you need. You can also ask if anything has been missed or if there is anything they would like to add. Evaluate, this takes place </w:t>
      </w:r>
      <w:r w:rsidR="00A41E49">
        <w:lastRenderedPageBreak/>
        <w:t xml:space="preserve">after the interview. You need to evaluate the questions asked as well as the information gained. </w:t>
      </w:r>
      <w:r w:rsidR="00A41E49">
        <w:br/>
      </w:r>
      <w:r w:rsidR="00A41E49">
        <w:br/>
        <w:t>14. If a person habitually uses controlling behaviour</w:t>
      </w:r>
      <w:r w:rsidR="00894603">
        <w:t xml:space="preserve"> which has a detrimental effect</w:t>
      </w:r>
      <w:r w:rsidR="00A41E49">
        <w:t xml:space="preserve"> on another who is either in an intimate relationship or has been or is a member of the same family </w:t>
      </w:r>
      <w:r w:rsidR="00894603">
        <w:t>they are guilty of an offence.</w:t>
      </w:r>
      <w:r w:rsidR="00894603">
        <w:br/>
      </w:r>
      <w:r w:rsidR="00894603">
        <w:br/>
        <w:t xml:space="preserve">15. The new offence of ‘Coercive Control’ is important because until recently people could control their partner or relative financially, socially and in many other ways and there was nothing that could be done to prosecute them. Intimidation was not seen as a crime but people were living in fear and could not be helped. </w:t>
      </w:r>
      <w:r w:rsidR="00894603">
        <w:br/>
      </w:r>
      <w:r w:rsidR="00894603">
        <w:br/>
        <w:t>16.</w:t>
      </w:r>
      <w:r w:rsidR="006302BF">
        <w:t xml:space="preserve"> A PPN can be submitted and the child can be removed for up to 48 hours for the circumstances to be improved.</w:t>
      </w:r>
      <w:r w:rsidR="00894603">
        <w:br/>
      </w:r>
      <w:r w:rsidR="00894603">
        <w:br/>
        <w:t xml:space="preserve">17. </w:t>
      </w:r>
      <w:r w:rsidR="006302BF">
        <w:t xml:space="preserve">If any person over the age of 16 who is responsible for a child allows it to be a victim of neglect, physical harm, or abuse is guilty of an offence. </w:t>
      </w:r>
      <w:r>
        <w:br/>
      </w:r>
      <w:r w:rsidR="006302BF">
        <w:br/>
        <w:t>18. Completing PPNs and assigning a severity to the case will then dictate how the case is dealt with. This will be passed onto MARAC which is made up of many agencies who can make decisions based off of this and manage the risk.</w:t>
      </w:r>
      <w:r w:rsidR="006302BF">
        <w:br/>
      </w:r>
      <w:r w:rsidR="006302BF">
        <w:br/>
        <w:t xml:space="preserve">19. For a PPN there is a requirement for the person receiving it to be over the age of 18 and for there to be a threat of physical violence. The people involved do not need to be living at the same address. If they do live at the same address the PPN can prohibit the receiver from attending the address, it also prohibits the receiver from evicting the victim or coming within a certain distance of the address. </w:t>
      </w:r>
      <w:r w:rsidR="00CF4372">
        <w:br/>
      </w:r>
      <w:r w:rsidR="00CF4372">
        <w:br/>
        <w:t xml:space="preserve">20. Where this violence or threat of violence but an arrest cannot be made a DVPN may be applied for. This can stop the suspect from returning to the address of the victim for up to 48 hours. </w:t>
      </w:r>
      <w:r w:rsidR="00CF4372">
        <w:t xml:space="preserve">The people involved do not need to be living at the same address. If they do </w:t>
      </w:r>
      <w:r w:rsidR="00CF4372">
        <w:t>live at the same address the DVPN</w:t>
      </w:r>
      <w:r w:rsidR="00CF4372">
        <w:t xml:space="preserve"> can prohibit the receiver from attending the address, it also prohibits the receiver from evicting the victim or coming within a certain distance of the address. </w:t>
      </w:r>
      <w:r w:rsidR="00CF4372">
        <w:t xml:space="preserve">This is done to give the victim some breathing space and enable them to make a decision going forward. A DVPN needs to be served in person and in writing. If needed the police can also apply for a DVPO which needs to be heard by a magistrate within 48 hours of serving a DVPO. This can extend for up to 28 days. </w:t>
      </w:r>
      <w:r w:rsidR="00CF4372">
        <w:br/>
      </w:r>
      <w:r w:rsidR="00CF4372">
        <w:br/>
        <w:t xml:space="preserve">21. Child sexual exploitation is where a child is groomed for sexual purposes. This can be done by family members, older friends or strangers online. </w:t>
      </w:r>
      <w:r w:rsidR="00CF4372">
        <w:br/>
      </w:r>
      <w:r w:rsidR="00CF4372">
        <w:br/>
        <w:t xml:space="preserve">22. The offence of rape is committed if (a) penetrates (b)’s mouth, vagina or anus with his penis without consent or believing that (b) would consent. </w:t>
      </w:r>
      <w:r w:rsidR="00CF4372">
        <w:br/>
      </w:r>
      <w:r w:rsidR="00CF4372">
        <w:br/>
        <w:t xml:space="preserve">23. The victim was in fear of violence being used against them. They were administered a substance with a stupefying effect without knowledge or consent. Unconsciousness. Unable to </w:t>
      </w:r>
      <w:r w:rsidR="008D52D8">
        <w:t xml:space="preserve">object through physical disability. </w:t>
      </w:r>
      <w:r w:rsidR="008D52D8">
        <w:br/>
      </w:r>
      <w:r w:rsidR="008D52D8">
        <w:br/>
        <w:t xml:space="preserve">24. A constable may search any premises linked to a suspect after he has been arrested if he has reasonable suspicion he will find evidence for that offence. </w:t>
      </w:r>
      <w:r w:rsidR="008D52D8">
        <w:br/>
      </w:r>
      <w:r w:rsidR="008D52D8">
        <w:lastRenderedPageBreak/>
        <w:br/>
        <w:t xml:space="preserve">25. A constable may seize any property found when executing a search if it is of evidential value. </w:t>
      </w:r>
      <w:r w:rsidR="00CF4372">
        <w:br/>
      </w:r>
      <w:r>
        <w:br/>
      </w:r>
    </w:p>
    <w:sectPr w:rsidR="003D0AC5" w:rsidSect="009F5417">
      <w:headerReference w:type="even" r:id="rId6"/>
      <w:headerReference w:type="default" r:id="rId7"/>
      <w:footerReference w:type="even" r:id="rId8"/>
      <w:footerReference w:type="default" r:id="rId9"/>
      <w:headerReference w:type="first" r:id="rId10"/>
      <w:footerReference w:type="first" r:id="rId11"/>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9F5417" w:rsidRDefault="009F5417" w:rsidP="009F5417">
      <w:pPr>
        <w:spacing w:after="0" w:line="240" w:lineRule="auto"/>
      </w:pPr>
      <w:r>
        <w:separator/>
      </w:r>
    </w:p>
  </w:endnote>
  <w:endnote w:type="continuationSeparator" w:id="0">
    <w:p w:rsidR="009F5417" w:rsidRDefault="009F5417" w:rsidP="009F541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4C2CB9" w:rsidRDefault="00E279B0" w:rsidP="00E279B0">
    <w:pPr>
      <w:pStyle w:val="Footer"/>
      <w:rPr>
        <w:color w:val="000000"/>
        <w:sz w:val="17"/>
      </w:rPr>
    </w:pPr>
    <w:bookmarkStart w:id="3" w:name="TITUS1FooterEvenPages"/>
    <w:r>
      <w:rPr>
        <w:color w:val="000000"/>
        <w:sz w:val="17"/>
      </w:rPr>
      <w:t> </w:t>
    </w:r>
  </w:p>
  <w:bookmarkEnd w:id="3"/>
  <w:p w:rsidR="004C2CB9" w:rsidRDefault="004C2CB9" w:rsidP="004C2CB9">
    <w:pPr>
      <w:pStyle w:val="Footer"/>
    </w:pPr>
  </w:p>
  <w:p w:rsidR="009F5417" w:rsidRDefault="009F541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F5417" w:rsidRDefault="00E279B0" w:rsidP="00E279B0">
    <w:pPr>
      <w:pStyle w:val="Footer"/>
      <w:rPr>
        <w:color w:val="000000"/>
        <w:sz w:val="17"/>
      </w:rPr>
    </w:pPr>
    <w:bookmarkStart w:id="4" w:name="TITUS1FooterPrimary"/>
    <w:r>
      <w:rPr>
        <w:color w:val="000000"/>
        <w:sz w:val="17"/>
      </w:rPr>
      <w:t> </w:t>
    </w:r>
  </w:p>
  <w:bookmarkEnd w:id="4"/>
  <w:p w:rsidR="009F5417" w:rsidRDefault="009F541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F5417" w:rsidRDefault="00E279B0" w:rsidP="00E279B0">
    <w:pPr>
      <w:pStyle w:val="Footer"/>
      <w:rPr>
        <w:color w:val="000000"/>
        <w:sz w:val="17"/>
      </w:rPr>
    </w:pPr>
    <w:bookmarkStart w:id="6" w:name="TITUS1FooterFirstPage"/>
    <w:r>
      <w:rPr>
        <w:color w:val="000000"/>
        <w:sz w:val="17"/>
      </w:rPr>
      <w:t> </w:t>
    </w:r>
  </w:p>
  <w:bookmarkEnd w:id="6"/>
  <w:p w:rsidR="009F5417" w:rsidRDefault="009F541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9F5417" w:rsidRDefault="009F5417" w:rsidP="009F5417">
      <w:pPr>
        <w:spacing w:after="0" w:line="240" w:lineRule="auto"/>
      </w:pPr>
      <w:r>
        <w:separator/>
      </w:r>
    </w:p>
  </w:footnote>
  <w:footnote w:type="continuationSeparator" w:id="0">
    <w:p w:rsidR="009F5417" w:rsidRDefault="009F5417" w:rsidP="009F541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4C2CB9" w:rsidRDefault="00E279B0" w:rsidP="00E279B0">
    <w:pPr>
      <w:pStyle w:val="Header"/>
      <w:rPr>
        <w:color w:val="000000"/>
        <w:sz w:val="17"/>
      </w:rPr>
    </w:pPr>
    <w:bookmarkStart w:id="1" w:name="TITUS1HeaderEvenPages"/>
    <w:r>
      <w:rPr>
        <w:color w:val="000000"/>
        <w:sz w:val="17"/>
      </w:rPr>
      <w:t> </w:t>
    </w:r>
  </w:p>
  <w:bookmarkEnd w:id="1"/>
  <w:p w:rsidR="004C2CB9" w:rsidRDefault="004C2CB9" w:rsidP="004C2CB9">
    <w:pPr>
      <w:pStyle w:val="Header"/>
    </w:pPr>
  </w:p>
  <w:p w:rsidR="009F5417" w:rsidRDefault="009F541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F5417" w:rsidRDefault="00E279B0" w:rsidP="00E279B0">
    <w:pPr>
      <w:pStyle w:val="Header"/>
      <w:rPr>
        <w:color w:val="000000"/>
        <w:sz w:val="17"/>
      </w:rPr>
    </w:pPr>
    <w:bookmarkStart w:id="2" w:name="TITUS1HeaderPrimary"/>
    <w:r>
      <w:rPr>
        <w:color w:val="000000"/>
        <w:sz w:val="17"/>
      </w:rPr>
      <w:t> </w:t>
    </w:r>
  </w:p>
  <w:bookmarkEnd w:id="2"/>
  <w:p w:rsidR="009F5417" w:rsidRDefault="009F541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F5417" w:rsidRDefault="00E279B0" w:rsidP="00E279B0">
    <w:pPr>
      <w:pStyle w:val="Header"/>
      <w:rPr>
        <w:color w:val="000000"/>
        <w:sz w:val="17"/>
      </w:rPr>
    </w:pPr>
    <w:bookmarkStart w:id="5" w:name="TITUS1HeaderFirstPage"/>
    <w:r>
      <w:rPr>
        <w:color w:val="000000"/>
        <w:sz w:val="17"/>
      </w:rPr>
      <w:t> </w:t>
    </w:r>
  </w:p>
  <w:bookmarkEnd w:id="5"/>
  <w:p w:rsidR="009F5417" w:rsidRDefault="009F5417">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proofState w:spelling="clean" w:grammar="clean"/>
  <w:defaultTabStop w:val="720"/>
  <w:evenAndOddHeaders/>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E72C1"/>
    <w:rsid w:val="001C2E8F"/>
    <w:rsid w:val="002E72C1"/>
    <w:rsid w:val="00330AF3"/>
    <w:rsid w:val="00331DFE"/>
    <w:rsid w:val="003D0AC5"/>
    <w:rsid w:val="00443DDA"/>
    <w:rsid w:val="004C2CB9"/>
    <w:rsid w:val="004C58E8"/>
    <w:rsid w:val="005757C8"/>
    <w:rsid w:val="005974C3"/>
    <w:rsid w:val="006302BF"/>
    <w:rsid w:val="00894603"/>
    <w:rsid w:val="008D52D8"/>
    <w:rsid w:val="00931C43"/>
    <w:rsid w:val="009F5417"/>
    <w:rsid w:val="00A41E49"/>
    <w:rsid w:val="00B3431A"/>
    <w:rsid w:val="00B753DE"/>
    <w:rsid w:val="00CF4372"/>
    <w:rsid w:val="00D32077"/>
    <w:rsid w:val="00E279B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15B394B"/>
  <w15:chartTrackingRefBased/>
  <w15:docId w15:val="{3433B351-9092-4346-B1DE-CC6B4E6EDA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F5417"/>
    <w:pPr>
      <w:tabs>
        <w:tab w:val="center" w:pos="4513"/>
        <w:tab w:val="right" w:pos="9026"/>
      </w:tabs>
      <w:spacing w:after="0" w:line="240" w:lineRule="auto"/>
    </w:pPr>
  </w:style>
  <w:style w:type="character" w:customStyle="1" w:styleId="HeaderChar">
    <w:name w:val="Header Char"/>
    <w:basedOn w:val="DefaultParagraphFont"/>
    <w:link w:val="Header"/>
    <w:uiPriority w:val="99"/>
    <w:rsid w:val="009F5417"/>
  </w:style>
  <w:style w:type="paragraph" w:styleId="Footer">
    <w:name w:val="footer"/>
    <w:basedOn w:val="Normal"/>
    <w:link w:val="FooterChar"/>
    <w:uiPriority w:val="99"/>
    <w:unhideWhenUsed/>
    <w:rsid w:val="009F5417"/>
    <w:pPr>
      <w:tabs>
        <w:tab w:val="center" w:pos="4513"/>
        <w:tab w:val="right" w:pos="9026"/>
      </w:tabs>
      <w:spacing w:after="0" w:line="240" w:lineRule="auto"/>
    </w:pPr>
  </w:style>
  <w:style w:type="character" w:customStyle="1" w:styleId="FooterChar">
    <w:name w:val="Footer Char"/>
    <w:basedOn w:val="DefaultParagraphFont"/>
    <w:link w:val="Footer"/>
    <w:uiPriority w:val="99"/>
    <w:rsid w:val="009F541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eader" Target="header2.xm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11" Type="http://schemas.openxmlformats.org/officeDocument/2006/relationships/footer" Target="footer3.xml"/><Relationship Id="rId5" Type="http://schemas.openxmlformats.org/officeDocument/2006/relationships/endnotes" Target="endnotes.xml"/><Relationship Id="rId10" Type="http://schemas.openxmlformats.org/officeDocument/2006/relationships/header" Target="header3.xml"/><Relationship Id="rId4" Type="http://schemas.openxmlformats.org/officeDocument/2006/relationships/footnotes" Target="footnote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875</Words>
  <Characters>4989</Characters>
  <Application>Microsoft Office Word</Application>
  <DocSecurity>0</DocSecurity>
  <Lines>41</Lines>
  <Paragraphs>11</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5853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 Thomas</dc:creator>
  <cp:keywords/>
  <dc:description/>
  <cp:lastModifiedBy>Sam Thomas</cp:lastModifiedBy>
  <cp:revision>2</cp:revision>
  <dcterms:created xsi:type="dcterms:W3CDTF">2020-11-16T15:01:00Z</dcterms:created>
  <dcterms:modified xsi:type="dcterms:W3CDTF">2020-11-16T15:01:00Z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79040693-ed26-4927-ac00-6b2cec9b14a7</vt:lpwstr>
  </property>
  <property fmtid="{D5CDD505-2E9C-101B-9397-08002B2CF9AE}" pid="3" name="Classification">
    <vt:lpwstr>OFFICIAL</vt:lpwstr>
  </property>
  <property fmtid="{D5CDD505-2E9C-101B-9397-08002B2CF9AE}" pid="4" name="Visibility">
    <vt:lpwstr>NOT VISIBLE</vt:lpwstr>
  </property>
</Properties>
</file>