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A03D1" w14:textId="1C2F4E6F" w:rsidR="009140D4" w:rsidRPr="005E7C1D" w:rsidRDefault="000F52CD" w:rsidP="009140D4">
      <w:pPr>
        <w:tabs>
          <w:tab w:val="left" w:pos="3119"/>
        </w:tabs>
        <w:spacing w:after="0"/>
        <w:rPr>
          <w:rFonts w:cs="Times New Roman"/>
          <w:b/>
          <w:bCs/>
        </w:rPr>
      </w:pPr>
      <w:r>
        <w:rPr>
          <w:rFonts w:cs="Times New Roman"/>
          <w:b/>
          <w:bCs/>
        </w:rPr>
        <w:t>C</w:t>
      </w:r>
      <w:r w:rsidR="009140D4" w:rsidRPr="005E7C1D">
        <w:rPr>
          <w:rFonts w:cs="Times New Roman"/>
          <w:b/>
          <w:bCs/>
        </w:rPr>
        <w:t>ompare and contrast UK political approaches to migration/immigration with Norwegian government policies.</w:t>
      </w:r>
    </w:p>
    <w:p w14:paraId="3916DB33" w14:textId="77777777" w:rsidR="0077506E" w:rsidRDefault="0077506E"/>
    <w:p w14:paraId="6269CAF7" w14:textId="187BE573" w:rsidR="00D37095" w:rsidRDefault="004027F0">
      <w:r>
        <w:tab/>
      </w:r>
      <w:r w:rsidR="00DE7961">
        <w:t>Political approaches to migration and immigration differ between the UK and Norway according to whether migration to each country is voluntary or involuntary</w:t>
      </w:r>
      <w:r w:rsidR="00D37095">
        <w:t xml:space="preserve"> and depending on the origin country of the migrant</w:t>
      </w:r>
      <w:r w:rsidR="00DE7961">
        <w:t xml:space="preserve">. </w:t>
      </w:r>
      <w:r>
        <w:t>The major difference</w:t>
      </w:r>
      <w:r w:rsidR="00DE7961">
        <w:t xml:space="preserve"> </w:t>
      </w:r>
      <w:r w:rsidR="001D1BFD">
        <w:t xml:space="preserve">to focus on is </w:t>
      </w:r>
      <w:r w:rsidR="00B55406">
        <w:t xml:space="preserve">the </w:t>
      </w:r>
      <w:r w:rsidR="00DE7961">
        <w:t>voluntary migration of EU citizens</w:t>
      </w:r>
      <w:r w:rsidR="00E645A3">
        <w:t xml:space="preserve"> to Norway compared to the UK</w:t>
      </w:r>
      <w:r w:rsidR="00DE7961">
        <w:t xml:space="preserve">. </w:t>
      </w:r>
      <w:r w:rsidR="00E645A3">
        <w:t>This is because in</w:t>
      </w:r>
      <w:r w:rsidR="00D37095">
        <w:t xml:space="preserve"> cases involving voluntary migration, the origin country of the applicant impacts the administrative formalities they must follow and requirements they must meet to migrate to Norway. This is because Norway has different entry requirements for EU and non-EU citizens</w:t>
      </w:r>
      <w:r w:rsidR="0050657A">
        <w:t xml:space="preserve"> </w:t>
      </w:r>
      <w:r w:rsidR="0050657A" w:rsidRPr="009C5631">
        <w:rPr>
          <w:i/>
          <w:iCs/>
        </w:rPr>
        <w:t xml:space="preserve">(Immigration Act, </w:t>
      </w:r>
      <w:r w:rsidR="009C5631" w:rsidRPr="009C5631">
        <w:rPr>
          <w:i/>
          <w:iCs/>
        </w:rPr>
        <w:t>20</w:t>
      </w:r>
      <w:r w:rsidR="009C5631">
        <w:rPr>
          <w:i/>
          <w:iCs/>
        </w:rPr>
        <w:t>18</w:t>
      </w:r>
      <w:r w:rsidR="009C5631" w:rsidRPr="009C5631">
        <w:rPr>
          <w:i/>
          <w:iCs/>
        </w:rPr>
        <w:t>)</w:t>
      </w:r>
      <w:r w:rsidR="00D37095" w:rsidRPr="009C5631">
        <w:rPr>
          <w:i/>
          <w:iCs/>
        </w:rPr>
        <w:t>.</w:t>
      </w:r>
      <w:r w:rsidR="00D37095">
        <w:t xml:space="preserve"> On the other hand, EU and non-EU migrants now have the same entry requirements in the UK.</w:t>
      </w:r>
    </w:p>
    <w:p w14:paraId="12BD8BA0" w14:textId="73840705" w:rsidR="00DE7961" w:rsidRDefault="00DE7961" w:rsidP="00D37095">
      <w:pPr>
        <w:ind w:firstLine="720"/>
      </w:pPr>
      <w:r>
        <w:t>In Norway</w:t>
      </w:r>
      <w:r w:rsidR="00B55406">
        <w:t>,</w:t>
      </w:r>
      <w:r>
        <w:t xml:space="preserve"> free movement of EU citizens is permitted due to the implementation of the </w:t>
      </w:r>
      <w:r w:rsidRPr="002340C1">
        <w:rPr>
          <w:i/>
          <w:iCs/>
        </w:rPr>
        <w:t>EU Directive 2004</w:t>
      </w:r>
      <w:r w:rsidR="00785B26">
        <w:rPr>
          <w:i/>
          <w:iCs/>
        </w:rPr>
        <w:t>/</w:t>
      </w:r>
      <w:r w:rsidR="00785B26">
        <w:rPr>
          <w:i/>
          <w:iCs/>
        </w:rPr>
        <w:t xml:space="preserve">38/EC </w:t>
      </w:r>
      <w:r w:rsidR="00785B26">
        <w:rPr>
          <w:i/>
          <w:iCs/>
        </w:rPr>
        <w:t>(</w:t>
      </w:r>
      <w:r w:rsidR="00785B26">
        <w:rPr>
          <w:i/>
          <w:iCs/>
        </w:rPr>
        <w:t>2004</w:t>
      </w:r>
      <w:r w:rsidR="00AB1FC0">
        <w:rPr>
          <w:i/>
          <w:iCs/>
        </w:rPr>
        <w:t>)</w:t>
      </w:r>
      <w:r w:rsidRPr="002340C1">
        <w:t xml:space="preserve"> into </w:t>
      </w:r>
      <w:r w:rsidR="00B55406" w:rsidRPr="002340C1">
        <w:t xml:space="preserve">the </w:t>
      </w:r>
      <w:r w:rsidRPr="002340C1">
        <w:t xml:space="preserve">Norwegian </w:t>
      </w:r>
      <w:r w:rsidR="00B55406" w:rsidRPr="002340C1">
        <w:rPr>
          <w:i/>
          <w:iCs/>
        </w:rPr>
        <w:t>Immigration Ac</w:t>
      </w:r>
      <w:r w:rsidR="00014C68">
        <w:rPr>
          <w:i/>
          <w:iCs/>
        </w:rPr>
        <w:t>t (20</w:t>
      </w:r>
      <w:r w:rsidR="009C5631">
        <w:rPr>
          <w:i/>
          <w:iCs/>
        </w:rPr>
        <w:t>18</w:t>
      </w:r>
      <w:r w:rsidR="00014C68">
        <w:rPr>
          <w:i/>
          <w:iCs/>
        </w:rPr>
        <w:t>)</w:t>
      </w:r>
      <w:r w:rsidR="00B55406" w:rsidRPr="002340C1">
        <w:t xml:space="preserve"> Chapter 13</w:t>
      </w:r>
      <w:r w:rsidRPr="002340C1">
        <w:t>.</w:t>
      </w:r>
      <w:r>
        <w:t xml:space="preserve"> Although Norway is not </w:t>
      </w:r>
      <w:r w:rsidR="00D37095">
        <w:t>a part</w:t>
      </w:r>
      <w:r>
        <w:t xml:space="preserve"> of the EU, it is </w:t>
      </w:r>
      <w:r w:rsidR="00B55406">
        <w:t>a part</w:t>
      </w:r>
      <w:r>
        <w:t xml:space="preserve"> of the European Economic Area (EEA) which</w:t>
      </w:r>
      <w:r w:rsidR="00B55406">
        <w:t xml:space="preserve"> permits free movement of the four freedoms: services, capital, goods and workers between Norway and other EU countries. This makes migration between EEA and EU countries a simple and easy process with </w:t>
      </w:r>
      <w:r w:rsidR="00D53161">
        <w:t>‘no</w:t>
      </w:r>
      <w:r w:rsidR="00E15D47">
        <w:t xml:space="preserve"> high fees, no difficult formalities and no special requirements’ (Praino et al., 2023</w:t>
      </w:r>
      <w:r w:rsidR="00295B0F">
        <w:t xml:space="preserve">, </w:t>
      </w:r>
      <w:proofErr w:type="spellStart"/>
      <w:r w:rsidR="00295B0F">
        <w:t>p</w:t>
      </w:r>
      <w:r w:rsidR="00AB1FC0">
        <w:t>.</w:t>
      </w:r>
      <w:r w:rsidR="00295B0F">
        <w:t>2</w:t>
      </w:r>
      <w:proofErr w:type="spellEnd"/>
      <w:r w:rsidR="00E15D47">
        <w:t>)</w:t>
      </w:r>
      <w:r w:rsidR="00B55406">
        <w:t xml:space="preserve"> </w:t>
      </w:r>
      <w:r w:rsidR="009A20D3">
        <w:t xml:space="preserve">which </w:t>
      </w:r>
      <w:r w:rsidR="00B41CAE">
        <w:t>may</w:t>
      </w:r>
      <w:r w:rsidR="009A20D3">
        <w:t xml:space="preserve"> hinder</w:t>
      </w:r>
      <w:r w:rsidR="00B55406">
        <w:t xml:space="preserve"> a </w:t>
      </w:r>
      <w:r w:rsidR="00CB27B8">
        <w:t>person’s</w:t>
      </w:r>
      <w:r w:rsidR="00B55406">
        <w:t xml:space="preserve"> ability to migrate.</w:t>
      </w:r>
    </w:p>
    <w:p w14:paraId="4DA166C6" w14:textId="627200B4" w:rsidR="00CB27B8" w:rsidRDefault="00B55406" w:rsidP="002A5679">
      <w:pPr>
        <w:ind w:firstLine="720"/>
      </w:pPr>
      <w:r>
        <w:t>On the other hand,</w:t>
      </w:r>
      <w:r w:rsidR="004027F0">
        <w:t xml:space="preserve"> </w:t>
      </w:r>
      <w:r w:rsidR="0050598E">
        <w:t>due to Brexit</w:t>
      </w:r>
      <w:r>
        <w:t xml:space="preserve">, UK citizens </w:t>
      </w:r>
      <w:r w:rsidR="00CB27B8">
        <w:t xml:space="preserve">no longer </w:t>
      </w:r>
      <w:r>
        <w:t xml:space="preserve">enjoy the </w:t>
      </w:r>
      <w:r w:rsidR="00D37095">
        <w:t>ease</w:t>
      </w:r>
      <w:r>
        <w:t xml:space="preserve"> of free movement between EU countries </w:t>
      </w:r>
      <w:r w:rsidR="00CB27B8">
        <w:t xml:space="preserve">which </w:t>
      </w:r>
      <w:r w:rsidR="004027F0">
        <w:t xml:space="preserve">ended </w:t>
      </w:r>
      <w:r w:rsidR="0050598E">
        <w:t xml:space="preserve">on December 31st, 2020 (Home Office, 2020). </w:t>
      </w:r>
      <w:r w:rsidR="00750B8F">
        <w:t>Instead, the UK</w:t>
      </w:r>
      <w:r w:rsidR="0050598E">
        <w:t xml:space="preserve"> has </w:t>
      </w:r>
      <w:r w:rsidR="00750B8F">
        <w:t>adopted</w:t>
      </w:r>
      <w:r w:rsidR="0050598E">
        <w:t xml:space="preserve"> </w:t>
      </w:r>
      <w:r w:rsidR="00750B8F">
        <w:t>a</w:t>
      </w:r>
      <w:r w:rsidR="0050598E">
        <w:t xml:space="preserve"> Points-Based System </w:t>
      </w:r>
      <w:r w:rsidR="006E66A0">
        <w:t xml:space="preserve">(PBS) </w:t>
      </w:r>
      <w:r w:rsidR="00750B8F">
        <w:t>of immigration which applies to EU and non-EU citizens alike</w:t>
      </w:r>
      <w:r w:rsidR="00DE7961">
        <w:t>, making</w:t>
      </w:r>
      <w:r w:rsidR="00CB27B8">
        <w:t xml:space="preserve"> immigration between EU countries and the UK </w:t>
      </w:r>
      <w:r w:rsidR="00D37095">
        <w:t>just as</w:t>
      </w:r>
      <w:r w:rsidR="00CB27B8">
        <w:t xml:space="preserve"> difficult </w:t>
      </w:r>
      <w:r w:rsidR="00D37095">
        <w:t xml:space="preserve">as migration to the UK from any other country. This is </w:t>
      </w:r>
      <w:r w:rsidR="00CB27B8">
        <w:t>because administrative formalities</w:t>
      </w:r>
      <w:r w:rsidR="00822BC1">
        <w:t xml:space="preserve"> which previously only applied to non-EU citizens, </w:t>
      </w:r>
      <w:r w:rsidR="002A5679">
        <w:t xml:space="preserve">are now also relevant to EU citizens </w:t>
      </w:r>
      <w:r w:rsidR="00CB27B8">
        <w:t>including income requirements, visa applications and fees</w:t>
      </w:r>
      <w:r w:rsidR="00FD1096">
        <w:t>.</w:t>
      </w:r>
    </w:p>
    <w:p w14:paraId="73D6B54F" w14:textId="69D02A72" w:rsidR="00FD1096" w:rsidRDefault="002D08E0">
      <w:r>
        <w:tab/>
      </w:r>
      <w:r w:rsidR="00D37095">
        <w:t xml:space="preserve"> However, both Norwegian and British migration policies vary depending on the type of migration the applicant is applying for. Therefore</w:t>
      </w:r>
      <w:r w:rsidR="00972584">
        <w:t>,</w:t>
      </w:r>
      <w:r w:rsidR="00D37095">
        <w:t xml:space="preserve"> I will</w:t>
      </w:r>
      <w:r w:rsidR="00FD1096">
        <w:t xml:space="preserve"> focus on Norwegian and British immigration policies for study</w:t>
      </w:r>
      <w:r w:rsidR="00B73E28">
        <w:t xml:space="preserve">, </w:t>
      </w:r>
      <w:r w:rsidR="00FD1096">
        <w:t xml:space="preserve">family </w:t>
      </w:r>
      <w:r w:rsidR="00B73E28">
        <w:t xml:space="preserve">and work </w:t>
      </w:r>
      <w:r w:rsidR="00FD1096">
        <w:t xml:space="preserve">migration according to the applicant’s country of origin. </w:t>
      </w:r>
    </w:p>
    <w:p w14:paraId="21AB01CD" w14:textId="5B49295B" w:rsidR="00D37095" w:rsidRPr="00972584" w:rsidRDefault="00D37095">
      <w:pPr>
        <w:rPr>
          <w:b/>
          <w:bCs/>
        </w:rPr>
      </w:pPr>
      <w:r w:rsidRPr="00972584">
        <w:rPr>
          <w:b/>
          <w:bCs/>
        </w:rPr>
        <w:t xml:space="preserve">Study </w:t>
      </w:r>
      <w:r w:rsidR="00972584" w:rsidRPr="00972584">
        <w:rPr>
          <w:b/>
          <w:bCs/>
        </w:rPr>
        <w:t>migration.</w:t>
      </w:r>
      <w:r w:rsidRPr="00972584">
        <w:rPr>
          <w:b/>
          <w:bCs/>
        </w:rPr>
        <w:t xml:space="preserve"> </w:t>
      </w:r>
    </w:p>
    <w:p w14:paraId="624D569F" w14:textId="0639AA88" w:rsidR="00396C37" w:rsidRDefault="002D08E0" w:rsidP="00396C37">
      <w:pPr>
        <w:ind w:firstLine="720"/>
      </w:pPr>
      <w:r>
        <w:t xml:space="preserve">The origin country of </w:t>
      </w:r>
      <w:r w:rsidR="003A6883">
        <w:t xml:space="preserve">international </w:t>
      </w:r>
      <w:r>
        <w:t>student</w:t>
      </w:r>
      <w:r w:rsidR="003A6883">
        <w:t>s</w:t>
      </w:r>
      <w:r w:rsidR="00972584">
        <w:t xml:space="preserve"> seeking higher education</w:t>
      </w:r>
      <w:r w:rsidR="003A6883">
        <w:t xml:space="preserve"> </w:t>
      </w:r>
      <w:r>
        <w:t>does not waiver</w:t>
      </w:r>
      <w:r w:rsidR="006E66A0">
        <w:t xml:space="preserve"> the main</w:t>
      </w:r>
      <w:r>
        <w:t xml:space="preserve"> entry requirements to study in the UK. All international students are expected to take the ‘student route’ </w:t>
      </w:r>
      <w:r w:rsidR="003A6883">
        <w:t>during their application process</w:t>
      </w:r>
      <w:r w:rsidR="006E66A0">
        <w:t xml:space="preserve">. The PBS </w:t>
      </w:r>
      <w:r w:rsidR="003A6883">
        <w:t>requires them to acquire 70 points to be granted permission to study in the UK (Home Office, 2020). These points are accumulated by being accepted to study higher education</w:t>
      </w:r>
      <w:r w:rsidR="00972584">
        <w:t xml:space="preserve"> in the UK and</w:t>
      </w:r>
      <w:r w:rsidR="003A6883">
        <w:t xml:space="preserve"> </w:t>
      </w:r>
      <w:r w:rsidR="00972584">
        <w:t xml:space="preserve">meeting the </w:t>
      </w:r>
      <w:r w:rsidR="003A6883">
        <w:t>financial and English language requirement</w:t>
      </w:r>
      <w:r w:rsidR="00972584">
        <w:t>s</w:t>
      </w:r>
      <w:r w:rsidR="003A6883">
        <w:t xml:space="preserve">. Students must also pay a visa application fee for their application to be processed. </w:t>
      </w:r>
      <w:r w:rsidR="007868F7">
        <w:t xml:space="preserve">The only requirement </w:t>
      </w:r>
      <w:r w:rsidR="004E171D">
        <w:t>waivered for student migrants in the UK according to their country of origin is the English language requirement</w:t>
      </w:r>
      <w:r w:rsidR="00F833EA">
        <w:t xml:space="preserve"> because</w:t>
      </w:r>
      <w:r w:rsidR="004E171D">
        <w:t xml:space="preserve"> there are some countries </w:t>
      </w:r>
      <w:r w:rsidR="00F833EA">
        <w:t>laid out by the British government which do not require the applicant to prove their level of English</w:t>
      </w:r>
      <w:r w:rsidR="005B0A7F">
        <w:t xml:space="preserve"> (Home Office, 2020)</w:t>
      </w:r>
      <w:r w:rsidR="00F833EA">
        <w:t>.</w:t>
      </w:r>
      <w:r w:rsidR="005B0A7F">
        <w:t xml:space="preserve"> </w:t>
      </w:r>
    </w:p>
    <w:p w14:paraId="64916A0E" w14:textId="70BA4876" w:rsidR="003A6883" w:rsidRPr="00396C37" w:rsidRDefault="005E7C1D" w:rsidP="00396C37">
      <w:pPr>
        <w:ind w:firstLine="720"/>
      </w:pPr>
      <w:r>
        <w:t xml:space="preserve">International students </w:t>
      </w:r>
      <w:r w:rsidR="00972584">
        <w:t xml:space="preserve">coming to Norway from </w:t>
      </w:r>
      <w:r>
        <w:t>outside the EU,</w:t>
      </w:r>
      <w:r w:rsidR="00972584">
        <w:t xml:space="preserve"> have similar </w:t>
      </w:r>
      <w:r>
        <w:t xml:space="preserve">requirements to those in the UK: </w:t>
      </w:r>
      <w:r w:rsidR="00972584">
        <w:t xml:space="preserve">section 6-19 of the Norwegian </w:t>
      </w:r>
      <w:r w:rsidR="00972584" w:rsidRPr="0057232A">
        <w:rPr>
          <w:i/>
          <w:iCs/>
        </w:rPr>
        <w:t>Immigration Regulations (</w:t>
      </w:r>
      <w:r w:rsidR="00B9683A">
        <w:rPr>
          <w:i/>
          <w:iCs/>
        </w:rPr>
        <w:t>2009</w:t>
      </w:r>
      <w:r w:rsidR="00972584" w:rsidRPr="0057232A">
        <w:rPr>
          <w:i/>
          <w:iCs/>
        </w:rPr>
        <w:t>)</w:t>
      </w:r>
      <w:r w:rsidR="00972584">
        <w:t xml:space="preserve"> requires </w:t>
      </w:r>
      <w:r>
        <w:t xml:space="preserve">they must </w:t>
      </w:r>
      <w:r>
        <w:lastRenderedPageBreak/>
        <w:t>have been accepted to study at an approved educational institution</w:t>
      </w:r>
      <w:r w:rsidR="00972584">
        <w:t>,</w:t>
      </w:r>
      <w:r>
        <w:t xml:space="preserve"> they must meet the subsistence requirement under section 10-7 </w:t>
      </w:r>
      <w:r w:rsidRPr="0057232A">
        <w:rPr>
          <w:i/>
          <w:iCs/>
        </w:rPr>
        <w:t>I</w:t>
      </w:r>
      <w:r w:rsidR="00972584" w:rsidRPr="0057232A">
        <w:rPr>
          <w:i/>
          <w:iCs/>
        </w:rPr>
        <w:t>mmigration Regulations</w:t>
      </w:r>
      <w:r w:rsidRPr="0057232A">
        <w:rPr>
          <w:i/>
          <w:iCs/>
        </w:rPr>
        <w:t xml:space="preserve"> (</w:t>
      </w:r>
      <w:r w:rsidR="00B9683A">
        <w:rPr>
          <w:i/>
          <w:iCs/>
        </w:rPr>
        <w:t>2009</w:t>
      </w:r>
      <w:r w:rsidRPr="0057232A">
        <w:rPr>
          <w:i/>
          <w:iCs/>
        </w:rPr>
        <w:t>)</w:t>
      </w:r>
      <w:r>
        <w:t xml:space="preserve"> and are expected to pay a visa application fee. International students coming from outside of the EU must also register with the police after arriving in Norway to obtain a residence card.</w:t>
      </w:r>
      <w:r w:rsidR="00972584">
        <w:t xml:space="preserve"> The main difference </w:t>
      </w:r>
      <w:r w:rsidR="000B62E4">
        <w:t xml:space="preserve">between non-EU </w:t>
      </w:r>
      <w:r w:rsidR="004A043C">
        <w:t xml:space="preserve">student migration and al UK student migration is that students in Norway </w:t>
      </w:r>
      <w:r w:rsidR="004E3855">
        <w:t xml:space="preserve">do not have </w:t>
      </w:r>
      <w:r w:rsidR="00972584">
        <w:t>to meet a Norwegian language requirement equivalent to the English language requirement for internation</w:t>
      </w:r>
      <w:r w:rsidR="004E3855">
        <w:t>al</w:t>
      </w:r>
      <w:r w:rsidR="00972584">
        <w:t xml:space="preserve"> students in the UK. This is perhaps because </w:t>
      </w:r>
      <w:proofErr w:type="gramStart"/>
      <w:r w:rsidR="00972584">
        <w:t>the majority of</w:t>
      </w:r>
      <w:proofErr w:type="gramEnd"/>
      <w:r w:rsidR="00972584">
        <w:t xml:space="preserve"> the Norwegian population speaks English as their second language</w:t>
      </w:r>
      <w:r w:rsidR="00396C37">
        <w:t xml:space="preserve"> (</w:t>
      </w:r>
      <w:proofErr w:type="spellStart"/>
      <w:r w:rsidR="00396C37">
        <w:t>Ploscaru</w:t>
      </w:r>
      <w:proofErr w:type="spellEnd"/>
      <w:r w:rsidR="00396C37">
        <w:t>, 2024)</w:t>
      </w:r>
      <w:r w:rsidR="00972584">
        <w:t xml:space="preserve"> so many higher education courses are delivered in English </w:t>
      </w:r>
      <w:r w:rsidR="00396C37">
        <w:t xml:space="preserve">reducing the need for students to learn Norwegian. </w:t>
      </w:r>
    </w:p>
    <w:p w14:paraId="4E7F02BD" w14:textId="40218ABA" w:rsidR="00396C37" w:rsidRDefault="00396C37">
      <w:pPr>
        <w:spacing w:after="160" w:line="259" w:lineRule="auto"/>
      </w:pPr>
      <w:r>
        <w:tab/>
        <w:t>However, in Norway</w:t>
      </w:r>
      <w:r w:rsidR="008421F5">
        <w:t xml:space="preserve">, </w:t>
      </w:r>
      <w:r w:rsidR="007F25AD">
        <w:t xml:space="preserve">if </w:t>
      </w:r>
      <w:r>
        <w:t>international students</w:t>
      </w:r>
      <w:r w:rsidR="00D767A4">
        <w:t xml:space="preserve"> are</w:t>
      </w:r>
      <w:r w:rsidR="008421F5">
        <w:t xml:space="preserve"> from within </w:t>
      </w:r>
      <w:r w:rsidR="007F25AD">
        <w:t xml:space="preserve">EEA or </w:t>
      </w:r>
      <w:r w:rsidR="008421F5">
        <w:t>EU</w:t>
      </w:r>
      <w:r w:rsidR="007F25AD">
        <w:t xml:space="preserve"> countries </w:t>
      </w:r>
      <w:proofErr w:type="gramStart"/>
      <w:r w:rsidR="007F25AD">
        <w:t>this</w:t>
      </w:r>
      <w:r>
        <w:t xml:space="preserve"> waiver</w:t>
      </w:r>
      <w:r w:rsidR="007F25AD">
        <w:t>s</w:t>
      </w:r>
      <w:proofErr w:type="gramEnd"/>
      <w:r w:rsidR="007F25AD">
        <w:t xml:space="preserve"> </w:t>
      </w:r>
      <w:r>
        <w:t>some entry requirements</w:t>
      </w:r>
      <w:r w:rsidR="007F25AD">
        <w:t xml:space="preserve"> because s</w:t>
      </w:r>
      <w:r w:rsidR="000225C5">
        <w:t xml:space="preserve">ection 112 of the Norwegian </w:t>
      </w:r>
      <w:r w:rsidR="000225C5" w:rsidRPr="000D5E96">
        <w:rPr>
          <w:i/>
          <w:iCs/>
        </w:rPr>
        <w:t xml:space="preserve">Immigration Act </w:t>
      </w:r>
      <w:r w:rsidR="00260EAC" w:rsidRPr="000D5E96">
        <w:rPr>
          <w:i/>
          <w:iCs/>
        </w:rPr>
        <w:t>(</w:t>
      </w:r>
      <w:r w:rsidR="00947293" w:rsidRPr="000D5E96">
        <w:rPr>
          <w:i/>
          <w:iCs/>
        </w:rPr>
        <w:t>2018</w:t>
      </w:r>
      <w:r w:rsidR="00260EAC" w:rsidRPr="000D5E96">
        <w:rPr>
          <w:i/>
          <w:iCs/>
        </w:rPr>
        <w:t xml:space="preserve">) </w:t>
      </w:r>
      <w:r w:rsidR="000E1528">
        <w:t>permits the free movement of students within the EU</w:t>
      </w:r>
      <w:r w:rsidR="00260EAC">
        <w:t xml:space="preserve"> for over three months</w:t>
      </w:r>
      <w:r w:rsidR="000E1528">
        <w:t xml:space="preserve">. </w:t>
      </w:r>
      <w:r w:rsidR="007F25AD">
        <w:t>Although free movement is permitted, s</w:t>
      </w:r>
      <w:r w:rsidR="00F80935">
        <w:t xml:space="preserve">ection 117 of the Norwegian </w:t>
      </w:r>
      <w:r w:rsidR="00F80935" w:rsidRPr="002340C1">
        <w:rPr>
          <w:i/>
          <w:iCs/>
        </w:rPr>
        <w:t>Immigration Act (</w:t>
      </w:r>
      <w:r w:rsidR="00947293" w:rsidRPr="002340C1">
        <w:rPr>
          <w:i/>
          <w:iCs/>
        </w:rPr>
        <w:t>2018</w:t>
      </w:r>
      <w:r w:rsidR="00F80935" w:rsidRPr="002340C1">
        <w:rPr>
          <w:i/>
          <w:iCs/>
        </w:rPr>
        <w:t>)</w:t>
      </w:r>
      <w:r w:rsidR="00F80935">
        <w:t xml:space="preserve"> </w:t>
      </w:r>
      <w:r w:rsidR="00741808">
        <w:t xml:space="preserve">provides </w:t>
      </w:r>
      <w:r w:rsidR="00260EAC">
        <w:t>some conditions</w:t>
      </w:r>
      <w:r w:rsidR="00741808">
        <w:t xml:space="preserve"> for EEA </w:t>
      </w:r>
      <w:r w:rsidR="00820075">
        <w:t xml:space="preserve">and EU </w:t>
      </w:r>
      <w:r w:rsidR="0036285D">
        <w:t xml:space="preserve">students entering Norway. It requires that the student should register with the authorities within three months of arriving in Norway </w:t>
      </w:r>
      <w:r w:rsidR="004C25D7">
        <w:t xml:space="preserve">if they plan to continue their studies for over three months. When registering, </w:t>
      </w:r>
      <w:r w:rsidR="0036285D">
        <w:t>they</w:t>
      </w:r>
      <w:r w:rsidR="00820075">
        <w:t xml:space="preserve"> </w:t>
      </w:r>
      <w:r w:rsidR="0036285D">
        <w:t xml:space="preserve">will provide their passport, </w:t>
      </w:r>
      <w:r w:rsidR="00263715">
        <w:t>proof of a</w:t>
      </w:r>
      <w:r w:rsidR="0036285D">
        <w:t xml:space="preserve">cceptance in an approved </w:t>
      </w:r>
      <w:r w:rsidR="00263715">
        <w:t>educational system, health insurance</w:t>
      </w:r>
      <w:r w:rsidR="00873BAB">
        <w:t xml:space="preserve"> and proof of substance, after which they will be </w:t>
      </w:r>
      <w:r w:rsidR="005B0EDD">
        <w:t xml:space="preserve">issued a registration certificate. </w:t>
      </w:r>
    </w:p>
    <w:p w14:paraId="3BF89F0F" w14:textId="30501843" w:rsidR="00D64245" w:rsidRDefault="00D64245">
      <w:pPr>
        <w:spacing w:after="160" w:line="259" w:lineRule="auto"/>
      </w:pPr>
      <w:r>
        <w:tab/>
        <w:t>Although EEA and EU students coming to Norway to study must comply with these requirements,</w:t>
      </w:r>
      <w:r w:rsidR="0071485B">
        <w:t xml:space="preserve"> the main benefit of the freedom of movement means that they do not need to apply for a visa </w:t>
      </w:r>
      <w:r w:rsidR="00DE6C1D">
        <w:t>to enter</w:t>
      </w:r>
      <w:r w:rsidR="0071485B">
        <w:t xml:space="preserve"> Norway which means they do not have pay visa processing fees. </w:t>
      </w:r>
      <w:r w:rsidR="003925BB">
        <w:t>Therefore</w:t>
      </w:r>
      <w:r w:rsidR="0071485B">
        <w:t xml:space="preserve">, </w:t>
      </w:r>
      <w:r w:rsidR="00322BF0">
        <w:t xml:space="preserve">they are not restricted by the terms of a visa which dictates when they can arrive in Norway and when they </w:t>
      </w:r>
      <w:proofErr w:type="gramStart"/>
      <w:r w:rsidR="00322BF0">
        <w:t>have to</w:t>
      </w:r>
      <w:proofErr w:type="gramEnd"/>
      <w:r w:rsidR="00322BF0">
        <w:t xml:space="preserve"> leave. </w:t>
      </w:r>
    </w:p>
    <w:p w14:paraId="45E783B3" w14:textId="1DFC3D61" w:rsidR="00E07B6E" w:rsidRDefault="00E07B6E">
      <w:pPr>
        <w:spacing w:after="160" w:line="259" w:lineRule="auto"/>
        <w:rPr>
          <w:b/>
          <w:bCs/>
        </w:rPr>
      </w:pPr>
      <w:r w:rsidRPr="00E07B6E">
        <w:rPr>
          <w:b/>
          <w:bCs/>
        </w:rPr>
        <w:t xml:space="preserve">Family migration. </w:t>
      </w:r>
    </w:p>
    <w:p w14:paraId="490F2C5D" w14:textId="2291944A" w:rsidR="00E07B6E" w:rsidRDefault="00E07B6E">
      <w:pPr>
        <w:spacing w:after="160" w:line="259" w:lineRule="auto"/>
      </w:pPr>
      <w:r>
        <w:tab/>
      </w:r>
      <w:r w:rsidR="00792A33">
        <w:t>Family immigration to Norway from non-EU countries</w:t>
      </w:r>
      <w:r w:rsidR="006C1882">
        <w:t xml:space="preserve"> when the sponsor is Norwegian</w:t>
      </w:r>
      <w:r w:rsidR="00792A33">
        <w:t xml:space="preserve"> </w:t>
      </w:r>
      <w:r w:rsidR="00C03A0C">
        <w:t xml:space="preserve">or has a right to residence in Norway </w:t>
      </w:r>
      <w:r w:rsidR="00792A33">
        <w:t xml:space="preserve">has similar </w:t>
      </w:r>
      <w:r w:rsidR="00865058">
        <w:t>requirements</w:t>
      </w:r>
      <w:r w:rsidR="00792A33">
        <w:t xml:space="preserve"> and fees to </w:t>
      </w:r>
      <w:r w:rsidR="00865058">
        <w:t xml:space="preserve">all family immigration to the UK. </w:t>
      </w:r>
      <w:r w:rsidR="00743E1E">
        <w:t xml:space="preserve">For </w:t>
      </w:r>
      <w:r w:rsidR="0096543B">
        <w:t>example,</w:t>
      </w:r>
      <w:r w:rsidR="00743E1E">
        <w:t xml:space="preserve"> to apply as a spouse</w:t>
      </w:r>
      <w:r w:rsidR="00C53085">
        <w:t xml:space="preserve">, both countries require </w:t>
      </w:r>
      <w:r w:rsidR="00D61FC4">
        <w:t>the marriage or partnership to be valid, the couple must liv</w:t>
      </w:r>
      <w:r w:rsidR="00E50013">
        <w:t>e</w:t>
      </w:r>
      <w:r w:rsidR="00D61FC4">
        <w:t xml:space="preserve"> together</w:t>
      </w:r>
      <w:r w:rsidR="0010461A">
        <w:t xml:space="preserve"> when entering the realm</w:t>
      </w:r>
      <w:r w:rsidR="000A37C3">
        <w:t xml:space="preserve">, </w:t>
      </w:r>
      <w:r w:rsidR="00592126">
        <w:t>meet the</w:t>
      </w:r>
      <w:r w:rsidR="000A37C3">
        <w:t xml:space="preserve"> financial requirement</w:t>
      </w:r>
      <w:r w:rsidR="00CB204E">
        <w:t>s</w:t>
      </w:r>
      <w:r w:rsidR="000A37C3">
        <w:t xml:space="preserve">, </w:t>
      </w:r>
      <w:r w:rsidR="00592126">
        <w:t>and pay a visa application fee</w:t>
      </w:r>
      <w:r w:rsidR="00F35DA9">
        <w:t xml:space="preserve"> (Gov.UK, n.d.)</w:t>
      </w:r>
      <w:r w:rsidR="00592126">
        <w:t xml:space="preserve">. </w:t>
      </w:r>
      <w:r w:rsidR="0096543B">
        <w:t>The</w:t>
      </w:r>
      <w:r w:rsidR="00DC307E">
        <w:t xml:space="preserve"> only notable</w:t>
      </w:r>
      <w:r w:rsidR="0096543B">
        <w:t xml:space="preserve"> </w:t>
      </w:r>
      <w:r w:rsidR="00341918">
        <w:t xml:space="preserve">difference </w:t>
      </w:r>
      <w:r w:rsidR="00F35DA9">
        <w:t>in terms of immigration for spouses is</w:t>
      </w:r>
      <w:r w:rsidR="00DC307E">
        <w:t xml:space="preserve"> </w:t>
      </w:r>
      <w:r w:rsidR="00F35DA9">
        <w:t>that</w:t>
      </w:r>
      <w:r w:rsidR="00341918">
        <w:t xml:space="preserve"> Norway </w:t>
      </w:r>
      <w:r w:rsidR="00F35DA9">
        <w:t>has</w:t>
      </w:r>
      <w:r w:rsidR="00341918">
        <w:t xml:space="preserve"> an extra </w:t>
      </w:r>
      <w:r w:rsidR="00536CB5">
        <w:t xml:space="preserve">requirement </w:t>
      </w:r>
      <w:r w:rsidR="001A4D5E">
        <w:t>for</w:t>
      </w:r>
      <w:r w:rsidR="00536CB5">
        <w:t xml:space="preserve"> both the applicant and the s</w:t>
      </w:r>
      <w:r w:rsidR="004B05C4">
        <w:t>p</w:t>
      </w:r>
      <w:r w:rsidR="00536CB5">
        <w:t xml:space="preserve">onsor to be over 24 years old unless they fall under the </w:t>
      </w:r>
      <w:r w:rsidR="006472AD">
        <w:t>exceptions</w:t>
      </w:r>
      <w:r w:rsidR="00CA073A">
        <w:t xml:space="preserve"> </w:t>
      </w:r>
      <w:r w:rsidR="00CA073A" w:rsidRPr="00D95FD9">
        <w:rPr>
          <w:i/>
          <w:iCs/>
        </w:rPr>
        <w:t>(Immigration Act, 2018)</w:t>
      </w:r>
      <w:r w:rsidR="006472AD" w:rsidRPr="00D95FD9">
        <w:rPr>
          <w:i/>
          <w:iCs/>
        </w:rPr>
        <w:t>.</w:t>
      </w:r>
      <w:r w:rsidR="006472AD">
        <w:t xml:space="preserve"> This rule was introduced </w:t>
      </w:r>
      <w:r w:rsidR="00112B4E">
        <w:t xml:space="preserve">to prevent </w:t>
      </w:r>
      <w:r w:rsidR="00CA073A">
        <w:t>forced marriages being a way of gaining entry to Norway</w:t>
      </w:r>
      <w:r w:rsidR="003D287E">
        <w:t>. However, i</w:t>
      </w:r>
      <w:r w:rsidR="00CC468D">
        <w:t xml:space="preserve">f it is clear to the Norwegian immigration authorities that the applicant is not in a forced marriage but is under 24 years old, they may use discrepancy to still </w:t>
      </w:r>
      <w:r w:rsidR="00942787">
        <w:t xml:space="preserve">grant their immigration application. </w:t>
      </w:r>
    </w:p>
    <w:p w14:paraId="14FA6ADD" w14:textId="687BD6CC" w:rsidR="004378B2" w:rsidRDefault="00547C1C">
      <w:pPr>
        <w:spacing w:after="160" w:line="259" w:lineRule="auto"/>
      </w:pPr>
      <w:r>
        <w:tab/>
      </w:r>
      <w:proofErr w:type="gramStart"/>
      <w:r w:rsidR="00F32279">
        <w:t>Similar to</w:t>
      </w:r>
      <w:proofErr w:type="gramEnd"/>
      <w:r w:rsidR="00F32279">
        <w:t xml:space="preserve"> student </w:t>
      </w:r>
      <w:r w:rsidR="00B21889">
        <w:t xml:space="preserve">migration, the main difference between Norwegian and British </w:t>
      </w:r>
      <w:r w:rsidR="00936871">
        <w:t xml:space="preserve">family </w:t>
      </w:r>
      <w:r w:rsidR="00B21889">
        <w:t xml:space="preserve">immigration policies comes </w:t>
      </w:r>
      <w:r w:rsidR="006904C3">
        <w:t xml:space="preserve">from </w:t>
      </w:r>
      <w:r w:rsidR="00565B30">
        <w:t xml:space="preserve">the </w:t>
      </w:r>
      <w:r w:rsidR="00222631">
        <w:t>diminished</w:t>
      </w:r>
      <w:r w:rsidR="001A558A">
        <w:t xml:space="preserve"> requirements for EU applicants compared to non-EU applicants to Norway. Just like </w:t>
      </w:r>
      <w:r w:rsidR="005E16AF">
        <w:t xml:space="preserve">EU </w:t>
      </w:r>
      <w:r w:rsidR="001A558A">
        <w:t xml:space="preserve">student </w:t>
      </w:r>
      <w:r w:rsidR="005E16AF">
        <w:t xml:space="preserve">migrants, EU family migrants benefit from having less </w:t>
      </w:r>
      <w:r w:rsidR="00476FD2">
        <w:t>restrictions</w:t>
      </w:r>
      <w:r w:rsidR="009E6FD1">
        <w:t xml:space="preserve"> and requirements</w:t>
      </w:r>
      <w:r w:rsidR="00476FD2">
        <w:t xml:space="preserve"> imposed upon them</w:t>
      </w:r>
      <w:r w:rsidR="007C2D2D">
        <w:t xml:space="preserve"> due to the right of free movement. </w:t>
      </w:r>
      <w:r w:rsidR="001D165D">
        <w:t xml:space="preserve">However, Praino (et al., 2023) identifies </w:t>
      </w:r>
      <w:r w:rsidR="00267614">
        <w:t>an area o</w:t>
      </w:r>
      <w:r w:rsidR="001B3DDD">
        <w:t>f</w:t>
      </w:r>
      <w:r w:rsidR="00267614">
        <w:t xml:space="preserve"> reverse discrimination within Norwegian family </w:t>
      </w:r>
      <w:r w:rsidR="00D4015F">
        <w:t>immigration</w:t>
      </w:r>
      <w:r w:rsidR="00267614">
        <w:t xml:space="preserve"> policies whereby EU citizens benefit </w:t>
      </w:r>
      <w:r w:rsidR="00833FE2">
        <w:t xml:space="preserve">more from freedom of movement </w:t>
      </w:r>
      <w:r w:rsidR="00BB4A59">
        <w:t xml:space="preserve">in Norway </w:t>
      </w:r>
      <w:r w:rsidR="00833FE2">
        <w:t>than Norwegian citizens</w:t>
      </w:r>
      <w:r w:rsidR="0026275B">
        <w:t xml:space="preserve"> themselves</w:t>
      </w:r>
      <w:r w:rsidR="00833FE2">
        <w:t xml:space="preserve">. This is because </w:t>
      </w:r>
      <w:r w:rsidR="001B4556">
        <w:t xml:space="preserve">the freedom of movement rules which apply to EU citizens also extend to their non-EU family members permitting them to </w:t>
      </w:r>
      <w:r w:rsidR="00971795">
        <w:t xml:space="preserve">bypass </w:t>
      </w:r>
      <w:r w:rsidR="00DF64D9">
        <w:t xml:space="preserve">most </w:t>
      </w:r>
      <w:r w:rsidR="00077A53">
        <w:t xml:space="preserve">restrictions to </w:t>
      </w:r>
      <w:r w:rsidR="004D6DA2">
        <w:t xml:space="preserve">family </w:t>
      </w:r>
      <w:r w:rsidR="00077A53">
        <w:t>migration</w:t>
      </w:r>
      <w:r w:rsidR="00D4015F">
        <w:t xml:space="preserve"> </w:t>
      </w:r>
      <w:r w:rsidR="00D4015F" w:rsidRPr="004D6DA2">
        <w:rPr>
          <w:i/>
          <w:iCs/>
        </w:rPr>
        <w:t>(Immigration Act, 2018)</w:t>
      </w:r>
      <w:r w:rsidR="00077A53" w:rsidRPr="004D6DA2">
        <w:rPr>
          <w:i/>
          <w:iCs/>
        </w:rPr>
        <w:t>.</w:t>
      </w:r>
      <w:r w:rsidR="00C90823" w:rsidRPr="004D6DA2">
        <w:rPr>
          <w:i/>
          <w:iCs/>
        </w:rPr>
        <w:t xml:space="preserve"> </w:t>
      </w:r>
      <w:r w:rsidR="00D4015F">
        <w:t>Whereas</w:t>
      </w:r>
      <w:r w:rsidR="00C90823">
        <w:t xml:space="preserve"> </w:t>
      </w:r>
      <w:r w:rsidR="00DF64D9">
        <w:t xml:space="preserve">this is not the case for </w:t>
      </w:r>
      <w:r w:rsidR="00F171C2">
        <w:t xml:space="preserve">non-EU family members </w:t>
      </w:r>
      <w:r w:rsidR="006158D0">
        <w:t xml:space="preserve">of Norwegian citizens </w:t>
      </w:r>
      <w:r w:rsidR="00DF64D9">
        <w:t xml:space="preserve">who </w:t>
      </w:r>
      <w:r w:rsidR="006158D0">
        <w:t xml:space="preserve">are still applicable to regular </w:t>
      </w:r>
      <w:r w:rsidR="00D4015F">
        <w:t xml:space="preserve">immigration rules </w:t>
      </w:r>
      <w:r w:rsidR="00D4015F" w:rsidRPr="004D6DA2">
        <w:rPr>
          <w:i/>
          <w:iCs/>
        </w:rPr>
        <w:t>(Immigration Act, 2018).</w:t>
      </w:r>
      <w:r w:rsidR="00D4015F">
        <w:t xml:space="preserve"> </w:t>
      </w:r>
      <w:r w:rsidR="004378B2">
        <w:lastRenderedPageBreak/>
        <w:t xml:space="preserve">Comparatively, </w:t>
      </w:r>
      <w:r w:rsidR="00E9401B">
        <w:t xml:space="preserve">UK citizens do not face reverse discrimination because there </w:t>
      </w:r>
      <w:r w:rsidR="00024F0D">
        <w:t>are no family immigration rules which benefit one group over another.</w:t>
      </w:r>
    </w:p>
    <w:p w14:paraId="0527D6BC" w14:textId="2E0C6283" w:rsidR="00BA4BF8" w:rsidRPr="00BE578C" w:rsidRDefault="00404AD7">
      <w:pPr>
        <w:spacing w:after="160" w:line="259" w:lineRule="auto"/>
        <w:rPr>
          <w:b/>
          <w:bCs/>
        </w:rPr>
      </w:pPr>
      <w:r w:rsidRPr="00BE578C">
        <w:rPr>
          <w:b/>
          <w:bCs/>
        </w:rPr>
        <w:t xml:space="preserve">Work migration. </w:t>
      </w:r>
    </w:p>
    <w:p w14:paraId="32F1269E" w14:textId="4F86593A" w:rsidR="00404AD7" w:rsidRDefault="007066B6">
      <w:pPr>
        <w:spacing w:after="160" w:line="259" w:lineRule="auto"/>
      </w:pPr>
      <w:r>
        <w:tab/>
        <w:t xml:space="preserve">Both Norway and UK have </w:t>
      </w:r>
      <w:r w:rsidR="00033EA4">
        <w:t>a skilled worker permit</w:t>
      </w:r>
      <w:r w:rsidR="00DF182E">
        <w:t>s</w:t>
      </w:r>
      <w:r w:rsidR="00033EA4">
        <w:t xml:space="preserve"> for migrant workers</w:t>
      </w:r>
      <w:r w:rsidR="00134EEB">
        <w:t xml:space="preserve"> which requires a minimum skill level in the relevant profession </w:t>
      </w:r>
      <w:r w:rsidR="00072BEA">
        <w:t xml:space="preserve">and a job offer from a </w:t>
      </w:r>
      <w:r w:rsidR="00D5154A">
        <w:t xml:space="preserve">licenced sponsor (Home Office, 2020). </w:t>
      </w:r>
      <w:r w:rsidR="00B757B1">
        <w:t xml:space="preserve">In </w:t>
      </w:r>
      <w:r w:rsidR="00B757B1" w:rsidRPr="00B757B1">
        <w:t xml:space="preserve">the UK this is relevant for all incoming </w:t>
      </w:r>
      <w:r w:rsidR="00B757B1">
        <w:t xml:space="preserve">migrant workers whereas in Norway a skilled workers permit is only relevant for non-EU migrants </w:t>
      </w:r>
      <w:r w:rsidR="00B757B1" w:rsidRPr="00B757B1">
        <w:rPr>
          <w:i/>
          <w:iCs/>
        </w:rPr>
        <w:t>(Immigration Regulations, 20</w:t>
      </w:r>
      <w:r w:rsidR="00A949E5">
        <w:rPr>
          <w:i/>
          <w:iCs/>
        </w:rPr>
        <w:t>0</w:t>
      </w:r>
      <w:r w:rsidR="00B757B1" w:rsidRPr="00B757B1">
        <w:rPr>
          <w:i/>
          <w:iCs/>
        </w:rPr>
        <w:t>9).</w:t>
      </w:r>
      <w:r w:rsidR="00B757B1">
        <w:t xml:space="preserve"> </w:t>
      </w:r>
      <w:r w:rsidR="00BD60F4">
        <w:t xml:space="preserve">Although a skilled worker permit in the UK has very similar </w:t>
      </w:r>
      <w:r w:rsidR="00266515">
        <w:t>requirements</w:t>
      </w:r>
      <w:r w:rsidR="00BD60F4">
        <w:t xml:space="preserve"> to a skilled workers permit in Norway, the</w:t>
      </w:r>
      <w:r w:rsidR="00266515">
        <w:t>re are different conditions on how many skilled workers permits can be granted in each country. T</w:t>
      </w:r>
      <w:r w:rsidR="00A72C7E">
        <w:t xml:space="preserve">he UK does not have a cap on the number of skilled </w:t>
      </w:r>
      <w:proofErr w:type="gramStart"/>
      <w:r w:rsidR="00A72C7E">
        <w:t>worker</w:t>
      </w:r>
      <w:proofErr w:type="gramEnd"/>
      <w:r w:rsidR="00706167">
        <w:t xml:space="preserve"> permits it can accept </w:t>
      </w:r>
      <w:r w:rsidR="00D905D1">
        <w:t>(Home Office, 2020), whereas Norway has a quota system wh</w:t>
      </w:r>
      <w:r w:rsidR="00F02C88">
        <w:t xml:space="preserve">ich limits the number of incoming skilled workers once the quota has been filled </w:t>
      </w:r>
      <w:r w:rsidR="00706167">
        <w:t xml:space="preserve">for a specific profession </w:t>
      </w:r>
      <w:r w:rsidR="00F02C88" w:rsidRPr="00F02C88">
        <w:rPr>
          <w:i/>
          <w:iCs/>
        </w:rPr>
        <w:t xml:space="preserve">(Immigration Regulations, 2009). </w:t>
      </w:r>
    </w:p>
    <w:p w14:paraId="3295D96A" w14:textId="51A7FC8D" w:rsidR="00BE578C" w:rsidRDefault="00BE578C">
      <w:pPr>
        <w:spacing w:after="160" w:line="259" w:lineRule="auto"/>
      </w:pPr>
      <w:r>
        <w:tab/>
      </w:r>
      <w:r w:rsidR="00E5330D">
        <w:t xml:space="preserve">Work migration </w:t>
      </w:r>
      <w:r w:rsidR="007E1E54">
        <w:t xml:space="preserve">for EU citizens into Norway is also impacted by </w:t>
      </w:r>
      <w:r w:rsidR="00F81B00">
        <w:t xml:space="preserve">freedom of movement </w:t>
      </w:r>
      <w:r w:rsidR="007E1E54">
        <w:t xml:space="preserve">between EEA and EU countries. </w:t>
      </w:r>
      <w:r w:rsidR="00E1586B">
        <w:t xml:space="preserve">Therefore, </w:t>
      </w:r>
      <w:proofErr w:type="gramStart"/>
      <w:r w:rsidR="00E1586B">
        <w:t>similar to</w:t>
      </w:r>
      <w:proofErr w:type="gramEnd"/>
      <w:r w:rsidR="00E1586B">
        <w:t xml:space="preserve"> student migration, EU citizens do not require a visa to work in Norway</w:t>
      </w:r>
      <w:r w:rsidR="00423044">
        <w:t xml:space="preserve">, the only administrative formalities they must comply with are those laid out in section 117 of the </w:t>
      </w:r>
      <w:r w:rsidR="00423044" w:rsidRPr="00423044">
        <w:rPr>
          <w:i/>
          <w:iCs/>
        </w:rPr>
        <w:t xml:space="preserve">Immigration Act (2004) </w:t>
      </w:r>
      <w:r w:rsidR="00423044">
        <w:t>as previously mentioned</w:t>
      </w:r>
      <w:r w:rsidR="0071619A">
        <w:t xml:space="preserve"> which again </w:t>
      </w:r>
      <w:r w:rsidR="00BD1457">
        <w:t>mak</w:t>
      </w:r>
      <w:r w:rsidR="0071619A">
        <w:t>es</w:t>
      </w:r>
      <w:r w:rsidR="00BD1457">
        <w:t xml:space="preserve"> it easier and cheaper for </w:t>
      </w:r>
      <w:r w:rsidR="00B51F88">
        <w:t xml:space="preserve">EU citizens to migrate to Norway where </w:t>
      </w:r>
      <w:r w:rsidR="00B73E28">
        <w:t xml:space="preserve">many entry requirements are waivered compared to the UK. </w:t>
      </w:r>
    </w:p>
    <w:p w14:paraId="58B4EC71" w14:textId="77777777" w:rsidR="00B73E28" w:rsidRPr="00F02C88" w:rsidRDefault="00B73E28">
      <w:pPr>
        <w:spacing w:after="160" w:line="259" w:lineRule="auto"/>
      </w:pPr>
    </w:p>
    <w:p w14:paraId="28938FEA" w14:textId="44946D10" w:rsidR="00BA4BF8" w:rsidRDefault="001D2BF7">
      <w:pPr>
        <w:spacing w:after="160" w:line="259" w:lineRule="auto"/>
      </w:pPr>
      <w:r>
        <w:tab/>
        <w:t xml:space="preserve">Overall, </w:t>
      </w:r>
      <w:r w:rsidR="00601207">
        <w:t xml:space="preserve">immigration policies </w:t>
      </w:r>
      <w:r w:rsidR="00570609">
        <w:t>regarding voluntary migration to</w:t>
      </w:r>
      <w:r w:rsidR="00601207">
        <w:t xml:space="preserve"> Norway and the UK are relatively similar until </w:t>
      </w:r>
      <w:r w:rsidR="0099023F">
        <w:t xml:space="preserve">we look at the alternative rules </w:t>
      </w:r>
      <w:r w:rsidR="00881FF5">
        <w:t xml:space="preserve">only </w:t>
      </w:r>
      <w:r w:rsidR="007D59F0">
        <w:t xml:space="preserve">applicable to </w:t>
      </w:r>
      <w:r w:rsidR="0099023F">
        <w:t>EU citizens</w:t>
      </w:r>
      <w:r w:rsidR="009A489C">
        <w:t xml:space="preserve"> </w:t>
      </w:r>
      <w:r w:rsidR="007D59F0">
        <w:t>migrating into</w:t>
      </w:r>
      <w:r w:rsidR="009A489C">
        <w:t xml:space="preserve"> Norway</w:t>
      </w:r>
      <w:r w:rsidR="00FD406A">
        <w:t xml:space="preserve">. </w:t>
      </w:r>
      <w:r w:rsidR="00D01CB4">
        <w:t>Although both countries are not EU member states, b</w:t>
      </w:r>
      <w:r w:rsidR="00FD406A">
        <w:t xml:space="preserve">ecause Norway is part of the EEA this allows freedom of movement, making it easier for EU citizens to </w:t>
      </w:r>
      <w:r w:rsidR="00D01CB4">
        <w:t>migrate to Norway with limited formalities and restrictions</w:t>
      </w:r>
      <w:r w:rsidR="00C04EFE">
        <w:t xml:space="preserve"> </w:t>
      </w:r>
      <w:r w:rsidR="00C04EFE" w:rsidRPr="00C04EFE">
        <w:rPr>
          <w:i/>
          <w:iCs/>
        </w:rPr>
        <w:t>(Immigration Act, 2018)</w:t>
      </w:r>
      <w:r w:rsidR="00D01CB4" w:rsidRPr="00C04EFE">
        <w:rPr>
          <w:i/>
          <w:iCs/>
        </w:rPr>
        <w:t xml:space="preserve">. </w:t>
      </w:r>
      <w:r w:rsidR="00D01CB4">
        <w:t xml:space="preserve">Whereas, post-Brexit Britain has opted for </w:t>
      </w:r>
      <w:r w:rsidR="00C04EFE">
        <w:t>a PBS</w:t>
      </w:r>
      <w:r w:rsidR="00D01CB4">
        <w:t xml:space="preserve"> which does not give special privileges to EU countries</w:t>
      </w:r>
      <w:r w:rsidR="001133F0">
        <w:t xml:space="preserve"> and instead treats EU and non-EU citizens alike</w:t>
      </w:r>
      <w:r w:rsidR="00274D4A">
        <w:t xml:space="preserve"> (Home Office, 2020). </w:t>
      </w:r>
    </w:p>
    <w:p w14:paraId="644314D5" w14:textId="77777777" w:rsidR="00F81702" w:rsidRDefault="00F81702">
      <w:pPr>
        <w:spacing w:after="160" w:line="259" w:lineRule="auto"/>
      </w:pPr>
    </w:p>
    <w:p w14:paraId="4F9A1ABD" w14:textId="77777777" w:rsidR="00F81702" w:rsidRPr="00E07B6E" w:rsidRDefault="00F81702">
      <w:pPr>
        <w:spacing w:after="160" w:line="259" w:lineRule="auto"/>
      </w:pPr>
    </w:p>
    <w:p w14:paraId="383771F7" w14:textId="7B3BF308" w:rsidR="00802888" w:rsidRDefault="00802888">
      <w:pPr>
        <w:spacing w:after="160" w:line="259" w:lineRule="auto"/>
      </w:pPr>
      <w:r>
        <w:br w:type="page"/>
      </w:r>
    </w:p>
    <w:p w14:paraId="69D3A407" w14:textId="5ECDABDD" w:rsidR="009140D4" w:rsidRDefault="00802888">
      <w:r>
        <w:lastRenderedPageBreak/>
        <w:t xml:space="preserve">Reference list </w:t>
      </w:r>
    </w:p>
    <w:p w14:paraId="7D6105B8" w14:textId="51C2228A" w:rsidR="001B6BC8" w:rsidRPr="00D42B61" w:rsidRDefault="00CB3A57">
      <w:r>
        <w:rPr>
          <w:i/>
          <w:iCs/>
        </w:rPr>
        <w:t>Directive 2004/38/EC</w:t>
      </w:r>
      <w:r w:rsidR="00785B26">
        <w:rPr>
          <w:i/>
          <w:iCs/>
        </w:rPr>
        <w:t xml:space="preserve"> 2004</w:t>
      </w:r>
      <w:r>
        <w:rPr>
          <w:i/>
          <w:iCs/>
        </w:rPr>
        <w:t xml:space="preserve">, </w:t>
      </w:r>
      <w:r w:rsidR="00D42B61">
        <w:rPr>
          <w:i/>
          <w:iCs/>
        </w:rPr>
        <w:t xml:space="preserve">c. 1. </w:t>
      </w:r>
      <w:r w:rsidR="00D42B61">
        <w:t xml:space="preserve">Available at: </w:t>
      </w:r>
      <w:hyperlink r:id="rId4" w:history="1">
        <w:r w:rsidR="00D42B61">
          <w:rPr>
            <w:rStyle w:val="Hyperlink"/>
          </w:rPr>
          <w:t>eur-lex.europa.eu/legal-content/EN/TXT/PDF/?uri=CELEX:32004L0038&amp;qid=1611755285533&amp;from=EN</w:t>
        </w:r>
      </w:hyperlink>
      <w:r w:rsidR="00D42B61">
        <w:t xml:space="preserve"> (Accessed: 12 June 2024). </w:t>
      </w:r>
    </w:p>
    <w:p w14:paraId="0EDE3C75" w14:textId="77777777" w:rsidR="008B30DF" w:rsidRDefault="008B30DF" w:rsidP="008B30DF">
      <w:r>
        <w:t xml:space="preserve">GOV. UK (2020) </w:t>
      </w:r>
      <w:r>
        <w:rPr>
          <w:i/>
          <w:iCs/>
        </w:rPr>
        <w:t xml:space="preserve">UK points-based immigration system: further details statement. </w:t>
      </w:r>
      <w:r>
        <w:t xml:space="preserve">Available at: </w:t>
      </w:r>
      <w:hyperlink w:history="1">
        <w:r w:rsidRPr="00D07804">
          <w:rPr>
            <w:rStyle w:val="Hyperlink"/>
          </w:rPr>
          <w:t>UK points-based immigration system: further details statement - GOV.UK (www.gov.uk)</w:t>
        </w:r>
      </w:hyperlink>
      <w:r>
        <w:rPr>
          <w:rStyle w:val="Hyperlink"/>
        </w:rPr>
        <w:t xml:space="preserve"> </w:t>
      </w:r>
      <w:r>
        <w:t>(Accessed: 11 June 2024).</w:t>
      </w:r>
    </w:p>
    <w:p w14:paraId="76A9CDA2" w14:textId="5382AB47" w:rsidR="00014C68" w:rsidRDefault="00286BE9">
      <w:pPr>
        <w:rPr>
          <w:i/>
          <w:iCs/>
        </w:rPr>
      </w:pPr>
      <w:r>
        <w:rPr>
          <w:i/>
          <w:iCs/>
        </w:rPr>
        <w:t xml:space="preserve">Immigration Act </w:t>
      </w:r>
      <w:r w:rsidR="00554F2A">
        <w:rPr>
          <w:i/>
          <w:iCs/>
        </w:rPr>
        <w:t xml:space="preserve">2018, </w:t>
      </w:r>
      <w:r w:rsidR="00DB4685">
        <w:rPr>
          <w:i/>
          <w:iCs/>
        </w:rPr>
        <w:t xml:space="preserve">c. 13. </w:t>
      </w:r>
      <w:r w:rsidR="00DB4685">
        <w:t xml:space="preserve">Available at: </w:t>
      </w:r>
      <w:hyperlink r:id="rId5" w:anchor="KAPITTEL_14" w:history="1">
        <w:r w:rsidR="00BB22CF">
          <w:rPr>
            <w:rStyle w:val="Hyperlink"/>
          </w:rPr>
          <w:t xml:space="preserve">Act relating to the admission of foreign nationals into the realm and their stay here (Immigration Act) - Chapter 13 Special provisions for foreign nationals who fall under the Agreement on the European ... - </w:t>
        </w:r>
        <w:proofErr w:type="spellStart"/>
        <w:r w:rsidR="00BB22CF">
          <w:rPr>
            <w:rStyle w:val="Hyperlink"/>
          </w:rPr>
          <w:t>Lovdata</w:t>
        </w:r>
        <w:proofErr w:type="spellEnd"/>
      </w:hyperlink>
      <w:r w:rsidR="00BB22CF">
        <w:t xml:space="preserve"> (Accessed: 12 June 2024). </w:t>
      </w:r>
      <w:r w:rsidR="00DB4685">
        <w:rPr>
          <w:i/>
          <w:iCs/>
        </w:rPr>
        <w:t xml:space="preserve"> </w:t>
      </w:r>
    </w:p>
    <w:p w14:paraId="14E04923" w14:textId="53A4409A" w:rsidR="005E7C1D" w:rsidRDefault="00C668F9">
      <w:pPr>
        <w:rPr>
          <w:rStyle w:val="Hyperlink"/>
          <w:color w:val="auto"/>
          <w:u w:val="none"/>
        </w:rPr>
      </w:pPr>
      <w:r>
        <w:rPr>
          <w:i/>
          <w:iCs/>
        </w:rPr>
        <w:t>Immigration Regulations</w:t>
      </w:r>
      <w:r w:rsidR="00983819">
        <w:rPr>
          <w:i/>
          <w:iCs/>
        </w:rPr>
        <w:t xml:space="preserve"> 2009, </w:t>
      </w:r>
      <w:r w:rsidR="00983819" w:rsidRPr="00DB4685">
        <w:rPr>
          <w:i/>
          <w:iCs/>
        </w:rPr>
        <w:t xml:space="preserve">c. </w:t>
      </w:r>
      <w:r w:rsidR="009441C7" w:rsidRPr="00DB4685">
        <w:rPr>
          <w:i/>
          <w:iCs/>
        </w:rPr>
        <w:t>6</w:t>
      </w:r>
      <w:r w:rsidR="003E18FC" w:rsidRPr="00DB4685">
        <w:rPr>
          <w:i/>
          <w:iCs/>
        </w:rPr>
        <w:t xml:space="preserve"> -11</w:t>
      </w:r>
      <w:r w:rsidR="009A3B3D" w:rsidRPr="00DB4685">
        <w:rPr>
          <w:i/>
          <w:iCs/>
        </w:rPr>
        <w:t>.</w:t>
      </w:r>
      <w:r w:rsidR="009A3B3D">
        <w:t xml:space="preserve"> Available at: </w:t>
      </w:r>
      <w:hyperlink r:id="rId6" w:history="1">
        <w:r w:rsidR="005E7C1D">
          <w:rPr>
            <w:rStyle w:val="Hyperlink"/>
          </w:rPr>
          <w:t>immigration-regulations.pdf (regjeringen.no)</w:t>
        </w:r>
      </w:hyperlink>
      <w:r w:rsidR="009A3B3D">
        <w:rPr>
          <w:rStyle w:val="Hyperlink"/>
        </w:rPr>
        <w:t xml:space="preserve"> </w:t>
      </w:r>
      <w:r w:rsidR="009A3B3D">
        <w:rPr>
          <w:rStyle w:val="Hyperlink"/>
          <w:color w:val="auto"/>
          <w:u w:val="none"/>
        </w:rPr>
        <w:t>(Accessed</w:t>
      </w:r>
      <w:r w:rsidR="003E18FC">
        <w:rPr>
          <w:rStyle w:val="Hyperlink"/>
          <w:color w:val="auto"/>
          <w:u w:val="none"/>
        </w:rPr>
        <w:t xml:space="preserve">: 11 June 2023). </w:t>
      </w:r>
    </w:p>
    <w:p w14:paraId="21B6052D" w14:textId="7D0DD4E2" w:rsidR="003A148D" w:rsidRDefault="003A148D" w:rsidP="003A148D">
      <w:pPr>
        <w:rPr>
          <w:rStyle w:val="Hyperlink"/>
        </w:rPr>
      </w:pPr>
      <w:proofErr w:type="spellStart"/>
      <w:r>
        <w:t>Ploscaru</w:t>
      </w:r>
      <w:proofErr w:type="spellEnd"/>
      <w:r>
        <w:t xml:space="preserve">, D. </w:t>
      </w:r>
      <w:r w:rsidR="00BD18E5">
        <w:t xml:space="preserve">(2024) </w:t>
      </w:r>
      <w:r w:rsidR="00BD18E5">
        <w:rPr>
          <w:i/>
          <w:iCs/>
        </w:rPr>
        <w:t xml:space="preserve">How Many People in Norway Speak English? </w:t>
      </w:r>
      <w:r w:rsidR="00BD18E5">
        <w:t xml:space="preserve">Available at: </w:t>
      </w:r>
      <w:hyperlink r:id="rId7" w:history="1">
        <w:r>
          <w:rPr>
            <w:rStyle w:val="Hyperlink"/>
          </w:rPr>
          <w:t xml:space="preserve">How Many People in Norway Speak </w:t>
        </w:r>
        <w:r>
          <w:rPr>
            <w:rStyle w:val="Hyperlink"/>
          </w:rPr>
          <w:t>E</w:t>
        </w:r>
        <w:r>
          <w:rPr>
            <w:rStyle w:val="Hyperlink"/>
          </w:rPr>
          <w:t>nglish? [2023 Data] (thehistoryofenglish.com)</w:t>
        </w:r>
      </w:hyperlink>
      <w:r w:rsidR="00BD18E5" w:rsidRPr="00BD18E5">
        <w:t xml:space="preserve"> </w:t>
      </w:r>
      <w:r w:rsidR="00BD18E5">
        <w:t>(Accessed: 11 June 2024).</w:t>
      </w:r>
    </w:p>
    <w:p w14:paraId="118CDFD1" w14:textId="77777777" w:rsidR="00D42B61" w:rsidRPr="00F612DB" w:rsidRDefault="00D42B61" w:rsidP="00D42B61">
      <w:r>
        <w:t xml:space="preserve">Praino, D., Nikolic, B., and Corleto, M. (2023) ‘Causing or Preventing (Reverse) Discrimination When Transposing EU Free-Movement Rules in the European Economic Area: A First Categorization of the Approaches Adopted by National Legislators’, </w:t>
      </w:r>
      <w:r>
        <w:rPr>
          <w:i/>
          <w:iCs/>
        </w:rPr>
        <w:t xml:space="preserve">Nordic Journal of Migration Research, </w:t>
      </w:r>
      <w:r>
        <w:t xml:space="preserve">13(3), pp. 1-18. Available at: </w:t>
      </w:r>
      <w:hyperlink r:id="rId8" w:history="1">
        <w:r>
          <w:rPr>
            <w:rStyle w:val="Hyperlink"/>
          </w:rPr>
          <w:t>reverse discrimination.pdf</w:t>
        </w:r>
      </w:hyperlink>
      <w:r>
        <w:t xml:space="preserve"> (Accessed: 11 June 2024). </w:t>
      </w:r>
    </w:p>
    <w:p w14:paraId="116036B1" w14:textId="466B9F4F" w:rsidR="00697B83" w:rsidRPr="00E52186" w:rsidRDefault="00697B83">
      <w:pPr>
        <w:rPr>
          <w:color w:val="0000FF"/>
          <w:u w:val="single"/>
        </w:rPr>
      </w:pPr>
    </w:p>
    <w:sectPr w:rsidR="00697B83" w:rsidRPr="00E521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0D4"/>
    <w:rsid w:val="00014C68"/>
    <w:rsid w:val="000225C5"/>
    <w:rsid w:val="00024F0D"/>
    <w:rsid w:val="00033EA4"/>
    <w:rsid w:val="00034C7A"/>
    <w:rsid w:val="000465EA"/>
    <w:rsid w:val="00072BEA"/>
    <w:rsid w:val="00077A53"/>
    <w:rsid w:val="000A37C3"/>
    <w:rsid w:val="000A3970"/>
    <w:rsid w:val="000B62E4"/>
    <w:rsid w:val="000C2859"/>
    <w:rsid w:val="000D5E96"/>
    <w:rsid w:val="000E1528"/>
    <w:rsid w:val="000F52CD"/>
    <w:rsid w:val="0010461A"/>
    <w:rsid w:val="00112B4E"/>
    <w:rsid w:val="001133F0"/>
    <w:rsid w:val="00134EEB"/>
    <w:rsid w:val="001A4D5E"/>
    <w:rsid w:val="001A558A"/>
    <w:rsid w:val="001B3DDD"/>
    <w:rsid w:val="001B4556"/>
    <w:rsid w:val="001B6BC8"/>
    <w:rsid w:val="001D165D"/>
    <w:rsid w:val="001D1BFD"/>
    <w:rsid w:val="001D2BF7"/>
    <w:rsid w:val="001D6D67"/>
    <w:rsid w:val="001E7C93"/>
    <w:rsid w:val="00203276"/>
    <w:rsid w:val="00205319"/>
    <w:rsid w:val="0020747F"/>
    <w:rsid w:val="00222631"/>
    <w:rsid w:val="002340C1"/>
    <w:rsid w:val="00260EAC"/>
    <w:rsid w:val="0026205C"/>
    <w:rsid w:val="00262395"/>
    <w:rsid w:val="0026275B"/>
    <w:rsid w:val="00263715"/>
    <w:rsid w:val="00266515"/>
    <w:rsid w:val="00267614"/>
    <w:rsid w:val="00274D4A"/>
    <w:rsid w:val="00286BE9"/>
    <w:rsid w:val="002929F7"/>
    <w:rsid w:val="00295B0F"/>
    <w:rsid w:val="002A5679"/>
    <w:rsid w:val="002B5B94"/>
    <w:rsid w:val="002D08E0"/>
    <w:rsid w:val="00322BF0"/>
    <w:rsid w:val="00341918"/>
    <w:rsid w:val="003465F7"/>
    <w:rsid w:val="0036285D"/>
    <w:rsid w:val="003925BB"/>
    <w:rsid w:val="00396C37"/>
    <w:rsid w:val="003A148D"/>
    <w:rsid w:val="003A6883"/>
    <w:rsid w:val="003D287E"/>
    <w:rsid w:val="003E18FC"/>
    <w:rsid w:val="004027F0"/>
    <w:rsid w:val="00404AD7"/>
    <w:rsid w:val="00423044"/>
    <w:rsid w:val="004378B2"/>
    <w:rsid w:val="00476FD2"/>
    <w:rsid w:val="00477490"/>
    <w:rsid w:val="004A043C"/>
    <w:rsid w:val="004B05C4"/>
    <w:rsid w:val="004C25D7"/>
    <w:rsid w:val="004D6DA2"/>
    <w:rsid w:val="004E171D"/>
    <w:rsid w:val="004E3855"/>
    <w:rsid w:val="004F3C23"/>
    <w:rsid w:val="0050598E"/>
    <w:rsid w:val="0050657A"/>
    <w:rsid w:val="00536CB5"/>
    <w:rsid w:val="00547C1C"/>
    <w:rsid w:val="00554F2A"/>
    <w:rsid w:val="00565B30"/>
    <w:rsid w:val="00570609"/>
    <w:rsid w:val="0057232A"/>
    <w:rsid w:val="00592126"/>
    <w:rsid w:val="005B0A7F"/>
    <w:rsid w:val="005B0EDD"/>
    <w:rsid w:val="005E16AF"/>
    <w:rsid w:val="005E7C1D"/>
    <w:rsid w:val="00601207"/>
    <w:rsid w:val="00603048"/>
    <w:rsid w:val="006158D0"/>
    <w:rsid w:val="00631B3D"/>
    <w:rsid w:val="006472AD"/>
    <w:rsid w:val="006904C3"/>
    <w:rsid w:val="00697B83"/>
    <w:rsid w:val="006C1882"/>
    <w:rsid w:val="006E66A0"/>
    <w:rsid w:val="00706167"/>
    <w:rsid w:val="007066B6"/>
    <w:rsid w:val="0071485B"/>
    <w:rsid w:val="0071619A"/>
    <w:rsid w:val="007365EE"/>
    <w:rsid w:val="00741808"/>
    <w:rsid w:val="00743E1E"/>
    <w:rsid w:val="00750B8F"/>
    <w:rsid w:val="00765F1E"/>
    <w:rsid w:val="0077506E"/>
    <w:rsid w:val="00785B26"/>
    <w:rsid w:val="007868F7"/>
    <w:rsid w:val="00792A33"/>
    <w:rsid w:val="00796DC1"/>
    <w:rsid w:val="007A18F2"/>
    <w:rsid w:val="007A63AE"/>
    <w:rsid w:val="007C0EB3"/>
    <w:rsid w:val="007C2D2D"/>
    <w:rsid w:val="007D3135"/>
    <w:rsid w:val="007D59F0"/>
    <w:rsid w:val="007E1E54"/>
    <w:rsid w:val="007F25AD"/>
    <w:rsid w:val="00802888"/>
    <w:rsid w:val="00820075"/>
    <w:rsid w:val="00822BC1"/>
    <w:rsid w:val="00833FE2"/>
    <w:rsid w:val="008421F5"/>
    <w:rsid w:val="00865058"/>
    <w:rsid w:val="00873AC8"/>
    <w:rsid w:val="00873BAB"/>
    <w:rsid w:val="00881FF5"/>
    <w:rsid w:val="008B30DF"/>
    <w:rsid w:val="009140D4"/>
    <w:rsid w:val="00936871"/>
    <w:rsid w:val="00942787"/>
    <w:rsid w:val="009441C7"/>
    <w:rsid w:val="00947293"/>
    <w:rsid w:val="0096543B"/>
    <w:rsid w:val="00971795"/>
    <w:rsid w:val="00972584"/>
    <w:rsid w:val="00983819"/>
    <w:rsid w:val="0099023F"/>
    <w:rsid w:val="009A20D3"/>
    <w:rsid w:val="009A3B3D"/>
    <w:rsid w:val="009A489C"/>
    <w:rsid w:val="009A6379"/>
    <w:rsid w:val="009C5631"/>
    <w:rsid w:val="009E6FD1"/>
    <w:rsid w:val="00A3038F"/>
    <w:rsid w:val="00A72C7E"/>
    <w:rsid w:val="00A931AE"/>
    <w:rsid w:val="00A949E5"/>
    <w:rsid w:val="00AA747D"/>
    <w:rsid w:val="00AB1FC0"/>
    <w:rsid w:val="00AE6774"/>
    <w:rsid w:val="00B21889"/>
    <w:rsid w:val="00B41CAE"/>
    <w:rsid w:val="00B51F88"/>
    <w:rsid w:val="00B55406"/>
    <w:rsid w:val="00B73E28"/>
    <w:rsid w:val="00B757B1"/>
    <w:rsid w:val="00B9683A"/>
    <w:rsid w:val="00BA4BF8"/>
    <w:rsid w:val="00BB22CF"/>
    <w:rsid w:val="00BB4A59"/>
    <w:rsid w:val="00BD1457"/>
    <w:rsid w:val="00BD18E5"/>
    <w:rsid w:val="00BD60F4"/>
    <w:rsid w:val="00BE578C"/>
    <w:rsid w:val="00C03A0C"/>
    <w:rsid w:val="00C04EFE"/>
    <w:rsid w:val="00C419CD"/>
    <w:rsid w:val="00C53085"/>
    <w:rsid w:val="00C668F9"/>
    <w:rsid w:val="00C90823"/>
    <w:rsid w:val="00CA073A"/>
    <w:rsid w:val="00CB204E"/>
    <w:rsid w:val="00CB27B8"/>
    <w:rsid w:val="00CB3A57"/>
    <w:rsid w:val="00CC468D"/>
    <w:rsid w:val="00D01CB4"/>
    <w:rsid w:val="00D36CCD"/>
    <w:rsid w:val="00D37095"/>
    <w:rsid w:val="00D4015F"/>
    <w:rsid w:val="00D42B61"/>
    <w:rsid w:val="00D5154A"/>
    <w:rsid w:val="00D53161"/>
    <w:rsid w:val="00D61FC4"/>
    <w:rsid w:val="00D64245"/>
    <w:rsid w:val="00D767A4"/>
    <w:rsid w:val="00D905D1"/>
    <w:rsid w:val="00D95FD9"/>
    <w:rsid w:val="00DB4685"/>
    <w:rsid w:val="00DC180B"/>
    <w:rsid w:val="00DC307E"/>
    <w:rsid w:val="00DE336E"/>
    <w:rsid w:val="00DE6C1D"/>
    <w:rsid w:val="00DE7961"/>
    <w:rsid w:val="00DF182E"/>
    <w:rsid w:val="00DF64D9"/>
    <w:rsid w:val="00E02CE3"/>
    <w:rsid w:val="00E07B6E"/>
    <w:rsid w:val="00E1586B"/>
    <w:rsid w:val="00E15D47"/>
    <w:rsid w:val="00E50013"/>
    <w:rsid w:val="00E52186"/>
    <w:rsid w:val="00E5330D"/>
    <w:rsid w:val="00E645A3"/>
    <w:rsid w:val="00E80524"/>
    <w:rsid w:val="00E9401B"/>
    <w:rsid w:val="00F02C88"/>
    <w:rsid w:val="00F171C2"/>
    <w:rsid w:val="00F32279"/>
    <w:rsid w:val="00F32D46"/>
    <w:rsid w:val="00F35DA9"/>
    <w:rsid w:val="00F612DB"/>
    <w:rsid w:val="00F80935"/>
    <w:rsid w:val="00F81702"/>
    <w:rsid w:val="00F81B00"/>
    <w:rsid w:val="00F833EA"/>
    <w:rsid w:val="00FD1096"/>
    <w:rsid w:val="00FD4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A3C34"/>
  <w15:chartTrackingRefBased/>
  <w15:docId w15:val="{A2AA50C0-52AA-47E6-9946-2CF36F12B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0D4"/>
    <w:pPr>
      <w:spacing w:after="200" w:line="276" w:lineRule="auto"/>
    </w:pPr>
    <w:rPr>
      <w:kern w:val="0"/>
      <w14:ligatures w14:val="none"/>
    </w:rPr>
  </w:style>
  <w:style w:type="paragraph" w:styleId="Heading1">
    <w:name w:val="heading 1"/>
    <w:basedOn w:val="Normal"/>
    <w:next w:val="Normal"/>
    <w:link w:val="Heading1Char"/>
    <w:uiPriority w:val="9"/>
    <w:qFormat/>
    <w:rsid w:val="009140D4"/>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140D4"/>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140D4"/>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140D4"/>
    <w:pPr>
      <w:keepNext/>
      <w:keepLines/>
      <w:spacing w:before="80" w:after="40" w:line="259" w:lineRule="auto"/>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140D4"/>
    <w:pPr>
      <w:keepNext/>
      <w:keepLines/>
      <w:spacing w:before="80" w:after="40" w:line="259" w:lineRule="auto"/>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140D4"/>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140D4"/>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140D4"/>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140D4"/>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0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140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40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40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40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40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40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40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40D4"/>
    <w:rPr>
      <w:rFonts w:eastAsiaTheme="majorEastAsia" w:cstheme="majorBidi"/>
      <w:color w:val="272727" w:themeColor="text1" w:themeTint="D8"/>
    </w:rPr>
  </w:style>
  <w:style w:type="paragraph" w:styleId="Title">
    <w:name w:val="Title"/>
    <w:basedOn w:val="Normal"/>
    <w:next w:val="Normal"/>
    <w:link w:val="TitleChar"/>
    <w:uiPriority w:val="10"/>
    <w:qFormat/>
    <w:rsid w:val="009140D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140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40D4"/>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140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40D4"/>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9140D4"/>
    <w:rPr>
      <w:i/>
      <w:iCs/>
      <w:color w:val="404040" w:themeColor="text1" w:themeTint="BF"/>
    </w:rPr>
  </w:style>
  <w:style w:type="paragraph" w:styleId="ListParagraph">
    <w:name w:val="List Paragraph"/>
    <w:basedOn w:val="Normal"/>
    <w:uiPriority w:val="34"/>
    <w:qFormat/>
    <w:rsid w:val="009140D4"/>
    <w:pPr>
      <w:spacing w:after="160" w:line="259" w:lineRule="auto"/>
      <w:ind w:left="720"/>
      <w:contextualSpacing/>
    </w:pPr>
    <w:rPr>
      <w:kern w:val="2"/>
      <w14:ligatures w14:val="standardContextual"/>
    </w:rPr>
  </w:style>
  <w:style w:type="character" w:styleId="IntenseEmphasis">
    <w:name w:val="Intense Emphasis"/>
    <w:basedOn w:val="DefaultParagraphFont"/>
    <w:uiPriority w:val="21"/>
    <w:qFormat/>
    <w:rsid w:val="009140D4"/>
    <w:rPr>
      <w:i/>
      <w:iCs/>
      <w:color w:val="2F5496" w:themeColor="accent1" w:themeShade="BF"/>
    </w:rPr>
  </w:style>
  <w:style w:type="paragraph" w:styleId="IntenseQuote">
    <w:name w:val="Intense Quote"/>
    <w:basedOn w:val="Normal"/>
    <w:next w:val="Normal"/>
    <w:link w:val="IntenseQuoteChar"/>
    <w:uiPriority w:val="30"/>
    <w:qFormat/>
    <w:rsid w:val="009140D4"/>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9140D4"/>
    <w:rPr>
      <w:i/>
      <w:iCs/>
      <w:color w:val="2F5496" w:themeColor="accent1" w:themeShade="BF"/>
    </w:rPr>
  </w:style>
  <w:style w:type="character" w:styleId="IntenseReference">
    <w:name w:val="Intense Reference"/>
    <w:basedOn w:val="DefaultParagraphFont"/>
    <w:uiPriority w:val="32"/>
    <w:qFormat/>
    <w:rsid w:val="009140D4"/>
    <w:rPr>
      <w:b/>
      <w:bCs/>
      <w:smallCaps/>
      <w:color w:val="2F5496" w:themeColor="accent1" w:themeShade="BF"/>
      <w:spacing w:val="5"/>
    </w:rPr>
  </w:style>
  <w:style w:type="character" w:styleId="Hyperlink">
    <w:name w:val="Hyperlink"/>
    <w:basedOn w:val="DefaultParagraphFont"/>
    <w:uiPriority w:val="99"/>
    <w:unhideWhenUsed/>
    <w:rsid w:val="00802888"/>
    <w:rPr>
      <w:color w:val="0000FF"/>
      <w:u w:val="single"/>
    </w:rPr>
  </w:style>
  <w:style w:type="character" w:styleId="FollowedHyperlink">
    <w:name w:val="FollowedHyperlink"/>
    <w:basedOn w:val="DefaultParagraphFont"/>
    <w:uiPriority w:val="99"/>
    <w:semiHidden/>
    <w:unhideWhenUsed/>
    <w:rsid w:val="004027F0"/>
    <w:rPr>
      <w:color w:val="954F72" w:themeColor="followedHyperlink"/>
      <w:u w:val="single"/>
    </w:rPr>
  </w:style>
  <w:style w:type="character" w:styleId="UnresolvedMention">
    <w:name w:val="Unresolved Mention"/>
    <w:basedOn w:val="DefaultParagraphFont"/>
    <w:uiPriority w:val="99"/>
    <w:semiHidden/>
    <w:unhideWhenUsed/>
    <w:rsid w:val="00765F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449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ayla\OneDrive\year%203\sources\reverse%20discrimination.pdf" TargetMode="External"/><Relationship Id="rId3" Type="http://schemas.openxmlformats.org/officeDocument/2006/relationships/webSettings" Target="webSettings.xml"/><Relationship Id="rId7" Type="http://schemas.openxmlformats.org/officeDocument/2006/relationships/hyperlink" Target="https://www.thehistoryofenglish.com/how-many-people-in-norway-speak-englis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gjeringen.no/globalassets/upload/jd/dokumenter/forskrifter/immigration-regulations.pdf" TargetMode="External"/><Relationship Id="rId5" Type="http://schemas.openxmlformats.org/officeDocument/2006/relationships/hyperlink" Target="https://lovdata.no/dokument/NLE/lov/2008-05-15-35/KAPITTEL_14" TargetMode="External"/><Relationship Id="rId10" Type="http://schemas.openxmlformats.org/officeDocument/2006/relationships/theme" Target="theme/theme1.xml"/><Relationship Id="rId4" Type="http://schemas.openxmlformats.org/officeDocument/2006/relationships/hyperlink" Target="https://eur-lex.europa.eu/legal-content/EN/TXT/PDF/?uri=CELEX:32004L0038&amp;qid=1611755285533&amp;from=EN"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870</TotalTime>
  <Pages>4</Pages>
  <Words>1702</Words>
  <Characters>9703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Omar-Davies</dc:creator>
  <cp:keywords/>
  <dc:description/>
  <cp:lastModifiedBy>Layla Omar-Davies</cp:lastModifiedBy>
  <cp:revision>196</cp:revision>
  <dcterms:created xsi:type="dcterms:W3CDTF">2024-06-10T12:54:00Z</dcterms:created>
  <dcterms:modified xsi:type="dcterms:W3CDTF">2024-06-12T14:19:00Z</dcterms:modified>
</cp:coreProperties>
</file>