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D8F95" w14:textId="597C6217">
      <w:pPr>
        <w:spacing w:line="360" w:lineRule="auto"/>
        <w:jc w:val="both"/>
        <w:rPr>
          <w:rFonts w:ascii="Arial" w:hAnsi="Arial" w:cs="Arial"/>
          <w:sz w:val="22"/>
          <w:szCs w:val="22"/>
        </w:rPr>
      </w:pPr>
    </w:p>
    <w:p w14:paraId="2A985D9A">
      <w:pPr>
        <w:spacing w:line="360" w:lineRule="auto"/>
        <w:jc w:val="both"/>
        <w:rPr>
          <w:rFonts w:hint="default" w:ascii="Arial" w:hAnsi="Arial" w:cs="Arial"/>
          <w:sz w:val="22"/>
          <w:szCs w:val="22"/>
        </w:rPr>
      </w:pPr>
    </w:p>
    <w:p w:rsidP="19A74918" w14:paraId="4CE345CB" w14:textId="557B4D4E">
      <w:pPr>
        <w:pStyle w:val="2"/>
        <w:bidi w:val="0"/>
        <w:spacing w:line="360" w:lineRule="auto"/>
        <w:jc w:val="center"/>
        <w:rPr>
          <w:rFonts w:ascii="Arial" w:hAnsi="Arial" w:cs="Arial"/>
          <w:sz w:val="22"/>
          <w:szCs w:val="22"/>
        </w:rPr>
      </w:pPr>
    </w:p>
    <w:p w:rsidP="19A74918" w14:paraId="27237965" w14:textId="4515CDAD">
      <w:pPr>
        <w:pStyle w:val="2"/>
        <w:bidi w:val="0"/>
        <w:spacing w:line="360" w:lineRule="auto"/>
        <w:jc w:val="center"/>
        <w:rPr>
          <w:rFonts w:ascii="Arial" w:hAnsi="Arial" w:cs="Arial"/>
          <w:sz w:val="22"/>
          <w:szCs w:val="22"/>
        </w:rPr>
      </w:pPr>
    </w:p>
    <w:p w:rsidP="19A74918" w14:paraId="792E74F9" w14:textId="639B447A">
      <w:pPr>
        <w:pStyle w:val="2"/>
        <w:bidi w:val="0"/>
        <w:spacing w:line="360" w:lineRule="auto"/>
        <w:jc w:val="center"/>
        <w:rPr>
          <w:rFonts w:ascii="Arial" w:hAnsi="Arial" w:cs="Arial"/>
          <w:sz w:val="22"/>
          <w:szCs w:val="22"/>
        </w:rPr>
      </w:pPr>
    </w:p>
    <w:p w:rsidP="19A74918" w14:paraId="2C6C4401" w14:textId="152B54E7">
      <w:pPr>
        <w:pStyle w:val="2"/>
        <w:bidi w:val="0"/>
        <w:spacing w:line="360" w:lineRule="auto"/>
        <w:jc w:val="center"/>
        <w:rPr>
          <w:rFonts w:ascii="Arial" w:hAnsi="Arial" w:cs="Arial"/>
          <w:sz w:val="22"/>
          <w:szCs w:val="22"/>
        </w:rPr>
      </w:pPr>
    </w:p>
    <w:p w:rsidP="19A74918" w14:paraId="275DCD52" w14:textId="26299902">
      <w:pPr>
        <w:pStyle w:val="2"/>
        <w:bidi w:val="0"/>
        <w:spacing w:line="360" w:lineRule="auto"/>
        <w:jc w:val="center"/>
        <w:rPr>
          <w:rFonts w:ascii="Arial" w:hAnsi="Arial" w:cs="Arial"/>
          <w:sz w:val="22"/>
          <w:szCs w:val="22"/>
        </w:rPr>
      </w:pPr>
    </w:p>
    <w:p w:rsidP="19A74918" w14:paraId="51C1DC6E" w14:textId="1E03DCAC">
      <w:pPr>
        <w:pStyle w:val="1"/>
        <w:bidi w:val="0"/>
        <w:rPr>
          <w:sz w:val="22"/>
          <w:szCs w:val="22"/>
        </w:rPr>
      </w:pPr>
      <w:r w:rsidRPr="19A74918" w:rsidR="0EC5CD37">
        <w:rPr>
          <w:sz w:val="22"/>
          <w:szCs w:val="22"/>
        </w:rPr>
        <w:t xml:space="preserve">Student </w:t>
      </w:r>
      <w:r w:rsidRPr="19A74918" w:rsidR="3C6D6A5C">
        <w:rPr>
          <w:sz w:val="22"/>
          <w:szCs w:val="22"/>
        </w:rPr>
        <w:t>Name: Tasmia</w:t>
      </w:r>
      <w:r w:rsidRPr="19A74918" w:rsidR="3C6D6A5C">
        <w:rPr>
          <w:sz w:val="22"/>
          <w:szCs w:val="22"/>
        </w:rPr>
        <w:t xml:space="preserve"> Bano</w:t>
      </w:r>
    </w:p>
    <w:p w:rsidP="19A74918" w14:paraId="70FA8424" w14:textId="3E4322A9">
      <w:pPr>
        <w:pStyle w:val="1"/>
        <w:bidi w:val="0"/>
        <w:rPr>
          <w:sz w:val="22"/>
          <w:szCs w:val="22"/>
        </w:rPr>
      </w:pPr>
      <w:r w:rsidRPr="19A74918" w:rsidR="3C6D6A5C">
        <w:rPr>
          <w:sz w:val="22"/>
          <w:szCs w:val="22"/>
        </w:rPr>
        <w:t>Student ID: 2433992</w:t>
      </w:r>
    </w:p>
    <w:p w:rsidP="19A74918" w14:paraId="4A3C5F8B" w14:textId="77B039D8">
      <w:pPr>
        <w:pStyle w:val="1"/>
        <w:bidi w:val="0"/>
        <w:rPr>
          <w:sz w:val="22"/>
          <w:szCs w:val="22"/>
        </w:rPr>
      </w:pPr>
      <w:r w:rsidRPr="19A74918" w:rsidR="0EC5CD37">
        <w:rPr>
          <w:sz w:val="22"/>
          <w:szCs w:val="22"/>
        </w:rPr>
        <w:t>Course name: Introduction to Health and Socia</w:t>
      </w:r>
      <w:r w:rsidRPr="19A74918" w:rsidR="605C9328">
        <w:rPr>
          <w:sz w:val="22"/>
          <w:szCs w:val="22"/>
        </w:rPr>
        <w:t xml:space="preserve">l Care </w:t>
      </w:r>
    </w:p>
    <w:p w:rsidP="19A74918" w14:paraId="3234DC8A" w14:textId="4E0DF8EA">
      <w:pPr>
        <w:pStyle w:val="1"/>
        <w:bidi w:val="0"/>
        <w:rPr>
          <w:sz w:val="22"/>
          <w:szCs w:val="22"/>
        </w:rPr>
      </w:pPr>
      <w:r w:rsidRPr="19A74918" w:rsidR="605C9328">
        <w:rPr>
          <w:sz w:val="22"/>
          <w:szCs w:val="22"/>
        </w:rPr>
        <w:t>Module code:</w:t>
      </w:r>
      <w:r w:rsidRPr="19A74918" w:rsidR="23547350">
        <w:rPr>
          <w:sz w:val="22"/>
          <w:szCs w:val="22"/>
        </w:rPr>
        <w:t xml:space="preserve"> LCHS4003_BIRM</w:t>
      </w:r>
    </w:p>
    <w:p w:rsidP="19A74918" w14:paraId="6A79CD26" w14:textId="5564CD6D">
      <w:pPr>
        <w:pStyle w:val="1"/>
        <w:bidi w:val="0"/>
        <w:rPr>
          <w:sz w:val="22"/>
          <w:szCs w:val="22"/>
        </w:rPr>
      </w:pPr>
      <w:r w:rsidRPr="19A74918" w:rsidR="23547350">
        <w:rPr>
          <w:sz w:val="22"/>
          <w:szCs w:val="22"/>
        </w:rPr>
        <w:t>Lecturer name: Aishat Bakre</w:t>
      </w:r>
    </w:p>
    <w:p w:rsidP="19A74918" w14:paraId="212E355A" w14:textId="5A16C0C5">
      <w:pPr>
        <w:pStyle w:val="1"/>
        <w:bidi w:val="0"/>
      </w:pPr>
    </w:p>
    <w:p w:rsidP="19A74918" w14:paraId="0BA07F4D" w14:textId="3EC0A940">
      <w:pPr>
        <w:pStyle w:val="1"/>
        <w:bidi w:val="0"/>
      </w:pPr>
    </w:p>
    <w:p w:rsidP="19A74918" w14:paraId="36FFB5C2" w14:textId="601296C2">
      <w:pPr>
        <w:pStyle w:val="1"/>
        <w:bidi w:val="0"/>
      </w:pPr>
    </w:p>
    <w:p w:rsidP="19A74918" w14:paraId="5E54A077" w14:textId="7E547432">
      <w:pPr>
        <w:pStyle w:val="2"/>
        <w:bidi w:val="0"/>
        <w:spacing w:line="360" w:lineRule="auto"/>
        <w:jc w:val="center"/>
        <w:rPr>
          <w:rFonts w:ascii="Arial" w:hAnsi="Arial" w:cs="Arial"/>
          <w:sz w:val="22"/>
          <w:szCs w:val="22"/>
        </w:rPr>
      </w:pPr>
    </w:p>
    <w:p w:rsidP="19A74918" w14:paraId="6F2016C1" w14:textId="03740A4A">
      <w:pPr>
        <w:pStyle w:val="2"/>
        <w:bidi w:val="0"/>
        <w:spacing w:line="360" w:lineRule="auto"/>
        <w:jc w:val="center"/>
        <w:rPr>
          <w:rFonts w:ascii="Arial" w:hAnsi="Arial" w:cs="Arial"/>
          <w:sz w:val="22"/>
          <w:szCs w:val="22"/>
        </w:rPr>
      </w:pPr>
    </w:p>
    <w:p w:rsidP="19A74918" w14:paraId="702C738D" w14:textId="485FC35E">
      <w:pPr>
        <w:pStyle w:val="2"/>
        <w:bidi w:val="0"/>
        <w:spacing w:line="360" w:lineRule="auto"/>
        <w:jc w:val="center"/>
        <w:rPr>
          <w:rFonts w:ascii="Arial" w:hAnsi="Arial" w:cs="Arial"/>
          <w:sz w:val="22"/>
          <w:szCs w:val="22"/>
        </w:rPr>
      </w:pPr>
    </w:p>
    <w:p w:rsidP="19A74918" w14:paraId="38CFD134" w14:textId="3DAED770">
      <w:pPr>
        <w:pStyle w:val="2"/>
        <w:bidi w:val="0"/>
        <w:spacing w:line="360" w:lineRule="auto"/>
        <w:jc w:val="center"/>
        <w:rPr>
          <w:rFonts w:ascii="Arial" w:hAnsi="Arial" w:cs="Arial"/>
          <w:sz w:val="22"/>
          <w:szCs w:val="22"/>
        </w:rPr>
      </w:pPr>
    </w:p>
    <w:p w:rsidP="19A74918" w14:paraId="2BBFF3EC" w14:textId="4B8DB668">
      <w:pPr>
        <w:pStyle w:val="2"/>
        <w:bidi w:val="0"/>
        <w:spacing w:line="360" w:lineRule="auto"/>
        <w:jc w:val="center"/>
        <w:rPr>
          <w:rFonts w:ascii="Arial" w:hAnsi="Arial" w:cs="Arial"/>
          <w:sz w:val="22"/>
          <w:szCs w:val="22"/>
        </w:rPr>
      </w:pPr>
    </w:p>
    <w:p w14:paraId="4102D9A6" w14:textId="5CB0EE82">
      <w:pPr>
        <w:pStyle w:val="2"/>
        <w:bidi w:val="0"/>
        <w:spacing w:line="360" w:lineRule="auto"/>
        <w:jc w:val="center"/>
      </w:pPr>
      <w:r w:rsidRPr="19A74918" w:rsidR="19A74918">
        <w:rPr>
          <w:rFonts w:ascii="Arial" w:hAnsi="Arial" w:cs="Arial"/>
          <w:sz w:val="22"/>
          <w:szCs w:val="22"/>
        </w:rPr>
        <w:t xml:space="preserve">Enhancing Quality of Care through Effective Communication, Administrative Competence, and Interprofessional Collaboration: A Case Study Analysis of </w:t>
      </w:r>
      <w:r w:rsidRPr="19A74918" w:rsidR="19A74918">
        <w:rPr>
          <w:rFonts w:ascii="Arial" w:hAnsi="Arial" w:cs="Arial"/>
          <w:sz w:val="22"/>
          <w:szCs w:val="22"/>
        </w:rPr>
        <w:t>Mrs</w:t>
      </w:r>
      <w:r w:rsidRPr="19A74918" w:rsidR="19A74918">
        <w:rPr>
          <w:rFonts w:ascii="Arial" w:hAnsi="Arial" w:cs="Arial"/>
          <w:sz w:val="22"/>
          <w:szCs w:val="22"/>
        </w:rPr>
        <w:t xml:space="preserve"> Mann</w:t>
      </w:r>
    </w:p>
    <w:p w:rsidR="19A74918" w:rsidP="19A74918" w:rsidRDefault="19A74918" w14:paraId="0AE29E95" w14:textId="285A69EE">
      <w:pPr>
        <w:pStyle w:val="1"/>
        <w:bidi w:val="0"/>
      </w:pPr>
    </w:p>
    <w:p w14:paraId="1A34466A">
      <w:pPr>
        <w:spacing w:line="360" w:lineRule="auto"/>
        <w:jc w:val="both"/>
        <w:rPr>
          <w:rFonts w:hint="default" w:ascii="Arial" w:hAnsi="Arial" w:cs="Arial"/>
          <w:sz w:val="22"/>
          <w:szCs w:val="22"/>
        </w:rPr>
      </w:pPr>
    </w:p>
    <w:p w14:paraId="2B00437C">
      <w:pPr>
        <w:spacing w:line="360" w:lineRule="auto"/>
        <w:jc w:val="both"/>
        <w:rPr>
          <w:rFonts w:hint="default" w:ascii="Arial" w:hAnsi="Arial" w:cs="Arial"/>
          <w:sz w:val="22"/>
          <w:szCs w:val="22"/>
        </w:rPr>
      </w:pPr>
    </w:p>
    <w:p w14:paraId="4D9A6F95">
      <w:pPr>
        <w:spacing w:line="360" w:lineRule="auto"/>
        <w:jc w:val="both"/>
        <w:rPr>
          <w:rFonts w:hint="default" w:ascii="Arial" w:hAnsi="Arial" w:cs="Arial"/>
          <w:sz w:val="22"/>
          <w:szCs w:val="22"/>
        </w:rPr>
      </w:pPr>
    </w:p>
    <w:p w14:paraId="5EDC6A58">
      <w:pPr>
        <w:spacing w:line="360" w:lineRule="auto"/>
        <w:jc w:val="both"/>
        <w:rPr>
          <w:rFonts w:hint="default" w:ascii="Arial" w:hAnsi="Arial" w:cs="Arial"/>
          <w:sz w:val="22"/>
          <w:szCs w:val="22"/>
        </w:rPr>
      </w:pPr>
    </w:p>
    <w:p w14:paraId="5B1C9D64">
      <w:pPr>
        <w:spacing w:line="360" w:lineRule="auto"/>
        <w:jc w:val="both"/>
        <w:rPr>
          <w:rFonts w:hint="default" w:ascii="Arial" w:hAnsi="Arial" w:cs="Arial"/>
          <w:sz w:val="22"/>
          <w:szCs w:val="22"/>
        </w:rPr>
      </w:pPr>
    </w:p>
    <w:p w14:paraId="45561BB8">
      <w:pPr>
        <w:spacing w:line="360" w:lineRule="auto"/>
        <w:jc w:val="both"/>
        <w:rPr>
          <w:rFonts w:hint="default" w:ascii="Arial" w:hAnsi="Arial" w:cs="Arial"/>
          <w:sz w:val="22"/>
          <w:szCs w:val="22"/>
        </w:rPr>
      </w:pPr>
    </w:p>
    <w:p w14:paraId="1771D26B">
      <w:pPr>
        <w:spacing w:line="360" w:lineRule="auto"/>
        <w:jc w:val="both"/>
        <w:rPr>
          <w:rFonts w:hint="default" w:ascii="Arial" w:hAnsi="Arial" w:cs="Arial"/>
          <w:sz w:val="22"/>
          <w:szCs w:val="22"/>
        </w:rPr>
      </w:pPr>
    </w:p>
    <w:p w14:paraId="6DC6B457">
      <w:pPr>
        <w:spacing w:line="360" w:lineRule="auto"/>
        <w:jc w:val="both"/>
        <w:rPr>
          <w:rFonts w:hint="default" w:ascii="Arial" w:hAnsi="Arial" w:cs="Arial"/>
          <w:sz w:val="22"/>
          <w:szCs w:val="22"/>
        </w:rPr>
      </w:pPr>
    </w:p>
    <w:p w14:paraId="2AC61CEA">
      <w:pPr>
        <w:spacing w:line="360" w:lineRule="auto"/>
        <w:jc w:val="both"/>
        <w:rPr>
          <w:rFonts w:hint="default" w:ascii="Arial" w:hAnsi="Arial" w:cs="Arial"/>
          <w:sz w:val="22"/>
          <w:szCs w:val="22"/>
        </w:rPr>
      </w:pPr>
    </w:p>
    <w:p w14:paraId="253D21B3">
      <w:pPr>
        <w:spacing w:line="360" w:lineRule="auto"/>
        <w:jc w:val="both"/>
        <w:rPr>
          <w:rFonts w:hint="default" w:ascii="Arial" w:hAnsi="Arial" w:cs="Arial"/>
          <w:sz w:val="22"/>
          <w:szCs w:val="22"/>
        </w:rPr>
      </w:pPr>
    </w:p>
    <w:p w14:paraId="574BA9FA">
      <w:pPr>
        <w:spacing w:line="360" w:lineRule="auto"/>
        <w:jc w:val="both"/>
        <w:rPr>
          <w:rFonts w:hint="default" w:ascii="Arial" w:hAnsi="Arial" w:cs="Arial"/>
          <w:sz w:val="22"/>
          <w:szCs w:val="22"/>
        </w:rPr>
      </w:pPr>
    </w:p>
    <w:p w14:paraId="515CC7B1">
      <w:pPr>
        <w:spacing w:line="360" w:lineRule="auto"/>
        <w:jc w:val="both"/>
        <w:rPr>
          <w:rFonts w:hint="default" w:ascii="Arial" w:hAnsi="Arial" w:cs="Arial"/>
          <w:sz w:val="22"/>
          <w:szCs w:val="22"/>
        </w:rPr>
      </w:pPr>
    </w:p>
    <w:p w14:paraId="402DCB6B">
      <w:pPr>
        <w:spacing w:line="360" w:lineRule="auto"/>
        <w:jc w:val="both"/>
        <w:rPr>
          <w:rFonts w:hint="default" w:ascii="Arial" w:hAnsi="Arial" w:cs="Arial"/>
          <w:sz w:val="22"/>
          <w:szCs w:val="22"/>
        </w:rPr>
      </w:pPr>
    </w:p>
    <w:p w14:paraId="77561E2B">
      <w:pPr>
        <w:spacing w:line="360" w:lineRule="auto"/>
        <w:jc w:val="both"/>
        <w:rPr>
          <w:rFonts w:hint="default" w:ascii="Arial" w:hAnsi="Arial" w:cs="Arial"/>
          <w:sz w:val="22"/>
          <w:szCs w:val="22"/>
        </w:rPr>
      </w:pPr>
    </w:p>
    <w:p w14:paraId="68C8186F">
      <w:pPr>
        <w:spacing w:line="360" w:lineRule="auto"/>
        <w:jc w:val="both"/>
        <w:rPr>
          <w:rFonts w:hint="default" w:ascii="Arial" w:hAnsi="Arial" w:cs="Arial"/>
          <w:sz w:val="22"/>
          <w:szCs w:val="22"/>
        </w:rPr>
      </w:pPr>
    </w:p>
    <w:p w14:paraId="72294D13">
      <w:pPr>
        <w:spacing w:line="360" w:lineRule="auto"/>
        <w:jc w:val="both"/>
        <w:rPr>
          <w:rFonts w:hint="default" w:ascii="Arial" w:hAnsi="Arial" w:cs="Arial"/>
          <w:sz w:val="22"/>
          <w:szCs w:val="22"/>
        </w:rPr>
      </w:pPr>
    </w:p>
    <w:p w14:paraId="644C6748">
      <w:pPr>
        <w:spacing w:line="360" w:lineRule="auto"/>
        <w:jc w:val="both"/>
        <w:rPr>
          <w:rFonts w:hint="default" w:ascii="Arial" w:hAnsi="Arial" w:cs="Arial"/>
          <w:sz w:val="22"/>
          <w:szCs w:val="22"/>
        </w:rPr>
      </w:pPr>
    </w:p>
    <w:p w14:paraId="5841F883">
      <w:pPr>
        <w:spacing w:line="360" w:lineRule="auto"/>
        <w:jc w:val="both"/>
        <w:rPr>
          <w:rFonts w:hint="default" w:ascii="Arial" w:hAnsi="Arial" w:cs="Arial"/>
          <w:sz w:val="22"/>
          <w:szCs w:val="22"/>
        </w:rPr>
      </w:pPr>
    </w:p>
    <w:p w14:paraId="2E06F391">
      <w:pPr>
        <w:spacing w:line="360" w:lineRule="auto"/>
        <w:jc w:val="both"/>
        <w:rPr>
          <w:rFonts w:hint="default" w:ascii="Arial" w:hAnsi="Arial" w:cs="Arial"/>
          <w:sz w:val="22"/>
          <w:szCs w:val="22"/>
        </w:rPr>
      </w:pPr>
    </w:p>
    <w:p w14:paraId="3022BEC3">
      <w:pPr>
        <w:spacing w:line="360" w:lineRule="auto"/>
        <w:jc w:val="both"/>
        <w:rPr>
          <w:rFonts w:hint="default" w:ascii="Arial" w:hAnsi="Arial" w:cs="Arial"/>
          <w:sz w:val="22"/>
          <w:szCs w:val="22"/>
        </w:rPr>
      </w:pPr>
    </w:p>
    <w:p w14:paraId="01A363B8">
      <w:pPr>
        <w:spacing w:line="360" w:lineRule="auto"/>
        <w:jc w:val="both"/>
        <w:rPr>
          <w:rFonts w:hint="default" w:ascii="Arial" w:hAnsi="Arial" w:cs="Arial"/>
          <w:sz w:val="22"/>
          <w:szCs w:val="22"/>
        </w:rPr>
      </w:pPr>
    </w:p>
    <w:p w14:paraId="5A2E36F0">
      <w:pPr>
        <w:spacing w:line="360" w:lineRule="auto"/>
        <w:jc w:val="both"/>
        <w:rPr>
          <w:rFonts w:hint="default" w:ascii="Arial" w:hAnsi="Arial" w:cs="Arial"/>
          <w:sz w:val="22"/>
          <w:szCs w:val="22"/>
        </w:rPr>
      </w:pPr>
    </w:p>
    <w:p w14:paraId="3391F7BD">
      <w:pPr>
        <w:spacing w:line="360" w:lineRule="auto"/>
        <w:jc w:val="both"/>
        <w:rPr>
          <w:rFonts w:hint="default" w:ascii="Arial" w:hAnsi="Arial" w:cs="Arial"/>
          <w:sz w:val="22"/>
          <w:szCs w:val="22"/>
        </w:rPr>
      </w:pPr>
    </w:p>
    <w:p w14:paraId="3D4A8857">
      <w:pPr>
        <w:spacing w:line="360" w:lineRule="auto"/>
        <w:jc w:val="both"/>
        <w:rPr>
          <w:rFonts w:hint="default" w:ascii="Arial" w:hAnsi="Arial" w:cs="Arial"/>
          <w:sz w:val="22"/>
          <w:szCs w:val="22"/>
        </w:rPr>
      </w:pPr>
    </w:p>
    <w:p w14:paraId="51653C6F">
      <w:pPr>
        <w:spacing w:line="360" w:lineRule="auto"/>
        <w:jc w:val="both"/>
        <w:rPr>
          <w:rFonts w:hint="default" w:ascii="Arial" w:hAnsi="Arial" w:cs="Arial"/>
          <w:sz w:val="22"/>
          <w:szCs w:val="22"/>
        </w:rPr>
      </w:pPr>
    </w:p>
    <w:p w14:paraId="5FCFDDEA">
      <w:pPr>
        <w:spacing w:line="360" w:lineRule="auto"/>
        <w:jc w:val="both"/>
        <w:rPr>
          <w:rFonts w:hint="default" w:ascii="Arial" w:hAnsi="Arial" w:cs="Arial"/>
          <w:sz w:val="22"/>
          <w:szCs w:val="22"/>
        </w:rPr>
      </w:pPr>
    </w:p>
    <w:p w14:paraId="1942DA26">
      <w:pPr>
        <w:spacing w:line="360" w:lineRule="auto"/>
        <w:jc w:val="both"/>
        <w:rPr>
          <w:rFonts w:hint="default" w:ascii="Arial" w:hAnsi="Arial" w:cs="Arial"/>
          <w:sz w:val="22"/>
          <w:szCs w:val="22"/>
        </w:rPr>
      </w:pPr>
    </w:p>
    <w:p w14:paraId="0DF70C16">
      <w:pPr>
        <w:spacing w:line="360" w:lineRule="auto"/>
        <w:jc w:val="both"/>
        <w:rPr>
          <w:rFonts w:hint="default" w:ascii="Arial" w:hAnsi="Arial" w:cs="Arial"/>
          <w:sz w:val="22"/>
          <w:szCs w:val="22"/>
        </w:rPr>
      </w:pPr>
    </w:p>
    <w:p w14:paraId="4DCFD531">
      <w:pPr>
        <w:spacing w:line="360" w:lineRule="auto"/>
        <w:jc w:val="both"/>
        <w:rPr>
          <w:rFonts w:hint="default" w:ascii="Arial" w:hAnsi="Arial" w:cs="Arial"/>
          <w:sz w:val="22"/>
          <w:szCs w:val="22"/>
        </w:rPr>
      </w:pPr>
    </w:p>
    <w:p w14:paraId="7A9DD340">
      <w:pPr>
        <w:spacing w:line="360" w:lineRule="auto"/>
        <w:jc w:val="both"/>
        <w:rPr>
          <w:rFonts w:hint="default" w:ascii="Arial" w:hAnsi="Arial" w:cs="Arial"/>
          <w:sz w:val="22"/>
          <w:szCs w:val="22"/>
        </w:rPr>
      </w:pPr>
    </w:p>
    <w:p w14:paraId="790A71AD">
      <w:pPr>
        <w:spacing w:line="360" w:lineRule="auto"/>
        <w:jc w:val="both"/>
        <w:rPr>
          <w:rFonts w:hint="default" w:ascii="Arial" w:hAnsi="Arial" w:cs="Arial"/>
          <w:sz w:val="22"/>
          <w:szCs w:val="22"/>
        </w:rPr>
      </w:pPr>
    </w:p>
    <w:p w14:paraId="1E5652C1">
      <w:pPr>
        <w:spacing w:line="360" w:lineRule="auto"/>
        <w:jc w:val="both"/>
        <w:rPr>
          <w:rFonts w:hint="default" w:ascii="Arial" w:hAnsi="Arial" w:cs="Arial"/>
          <w:sz w:val="22"/>
          <w:szCs w:val="22"/>
        </w:rPr>
      </w:pPr>
    </w:p>
    <w:p w14:paraId="1B974C40">
      <w:pPr>
        <w:pStyle w:val="2"/>
        <w:bidi w:val="0"/>
        <w:rPr>
          <w:rFonts w:hint="default"/>
        </w:rPr>
      </w:pPr>
      <w:r>
        <w:rPr>
          <w:rFonts w:hint="default"/>
        </w:rPr>
        <w:t>1. Introduction</w:t>
      </w:r>
    </w:p>
    <w:p w14:paraId="4E7154A7">
      <w:pPr>
        <w:spacing w:line="360" w:lineRule="auto"/>
        <w:jc w:val="both"/>
        <w:rPr>
          <w:rFonts w:hint="default" w:ascii="Arial" w:hAnsi="Arial" w:cs="Arial"/>
          <w:sz w:val="22"/>
          <w:szCs w:val="22"/>
        </w:rPr>
      </w:pPr>
    </w:p>
    <w:p w14:paraId="496DD436">
      <w:pPr>
        <w:spacing w:line="360" w:lineRule="auto"/>
        <w:jc w:val="both"/>
        <w:rPr>
          <w:rFonts w:hint="default" w:ascii="Arial" w:hAnsi="Arial" w:cs="Arial"/>
          <w:sz w:val="22"/>
          <w:szCs w:val="22"/>
        </w:rPr>
      </w:pPr>
      <w:r>
        <w:rPr>
          <w:rFonts w:hint="default" w:ascii="Arial" w:hAnsi="Arial" w:cs="Arial"/>
          <w:sz w:val="22"/>
          <w:szCs w:val="22"/>
        </w:rPr>
        <w:t>The report will discuss the role of effective communication, good administrative practice, and teamwork in improving the recovery and safety of Mrs Mann following her hip replacement. Mrs Mann, who is 72 years old, is provided with domiciliary care twice a day and physiotherapy twice a week and this needs to be properly documented and all professionals should exchange information. Her poor English language is an obstacle to communication, and it is essential to engage culturally sensitively (Sharkiya, 2023). SBAR and other structured models enhance the process of care transfers and minimize miscommunication (Coolen et al., 2020). Person-centred care is based on reliable record-keeping and legal data management (GOV.UK, 2022). Combined, these practices will help to keep a multi-agency care of GP, physiotherapist, and carers consistent, safe, and responsive to the unique needs of her case.</w:t>
      </w:r>
    </w:p>
    <w:p w14:paraId="63B398B6">
      <w:pPr>
        <w:spacing w:line="360" w:lineRule="auto"/>
        <w:jc w:val="both"/>
        <w:rPr>
          <w:rFonts w:hint="default" w:ascii="Arial" w:hAnsi="Arial" w:cs="Arial"/>
          <w:sz w:val="22"/>
          <w:szCs w:val="22"/>
        </w:rPr>
      </w:pPr>
    </w:p>
    <w:p w14:paraId="0D7BAEA6">
      <w:pPr>
        <w:pStyle w:val="2"/>
        <w:bidi w:val="0"/>
        <w:rPr>
          <w:rFonts w:hint="default"/>
        </w:rPr>
      </w:pPr>
      <w:r>
        <w:rPr>
          <w:rFonts w:hint="default"/>
        </w:rPr>
        <w:t>2. Effective Communication in the Context of Mrs Mann’s Care</w:t>
      </w:r>
    </w:p>
    <w:p w14:paraId="78732809">
      <w:pPr>
        <w:spacing w:line="360" w:lineRule="auto"/>
        <w:jc w:val="both"/>
        <w:rPr>
          <w:rFonts w:hint="default" w:ascii="Arial" w:hAnsi="Arial" w:cs="Arial"/>
          <w:sz w:val="22"/>
          <w:szCs w:val="22"/>
        </w:rPr>
      </w:pPr>
    </w:p>
    <w:p w14:paraId="0B04C956">
      <w:pPr>
        <w:spacing w:line="360" w:lineRule="auto"/>
        <w:jc w:val="both"/>
        <w:rPr>
          <w:rFonts w:hint="default" w:ascii="Arial" w:hAnsi="Arial" w:cs="Arial"/>
          <w:sz w:val="22"/>
          <w:szCs w:val="22"/>
        </w:rPr>
      </w:pPr>
      <w:r>
        <w:rPr>
          <w:rFonts w:hint="default" w:ascii="Arial" w:hAnsi="Arial" w:cs="Arial"/>
          <w:sz w:val="22"/>
          <w:szCs w:val="22"/>
        </w:rPr>
        <w:t>The definition of good communication in the field of health and social care is the one that conveys information in a clear and precise and in a compassionate way, which leads to the mutual understanding between professionals, patients, and their families. It is a member of the core concepts in the introduction of patient safety, dignity, and person-centred care (Sharkiya, 2023). In elderly patients, communication gaps are revealed by increasing wait time to treatment and increased emotional trauma, and periodic, responsive conversation leads to greater recovery rates and greater patient trust (Jobe, Lindberg and Engstrom, 2020). The obstructions of communication, e.g., not making entries in the records consistently or delays when it comes to changing medications are examples of the concrete dangers that the fragmentation of the communication between carers, and physiotherapists and general practitioner can result in.</w:t>
      </w:r>
    </w:p>
    <w:p w14:paraId="6DFDA1C9">
      <w:pPr>
        <w:spacing w:line="360" w:lineRule="auto"/>
        <w:jc w:val="both"/>
        <w:rPr>
          <w:rFonts w:hint="default" w:ascii="Arial" w:hAnsi="Arial" w:cs="Arial"/>
          <w:sz w:val="22"/>
          <w:szCs w:val="22"/>
        </w:rPr>
      </w:pPr>
    </w:p>
    <w:p w14:paraId="7BC55443">
      <w:pPr>
        <w:spacing w:line="360" w:lineRule="auto"/>
        <w:jc w:val="both"/>
        <w:rPr>
          <w:rFonts w:hint="default" w:ascii="Arial" w:hAnsi="Arial" w:cs="Arial"/>
          <w:sz w:val="22"/>
          <w:szCs w:val="22"/>
        </w:rPr>
      </w:pPr>
      <w:r>
        <w:rPr>
          <w:rFonts w:hint="default" w:ascii="Arial" w:hAnsi="Arial" w:cs="Arial"/>
          <w:sz w:val="22"/>
          <w:szCs w:val="22"/>
        </w:rPr>
        <w:t>In the case of Mrs. Mann, whose first language is Urdu, linguistic and cultural obstacles are the necessity of conscious changes. The dependency of her daughter as the one interpreter may lead to omissions or prejudice. The use of professional interpreters, the administration of culturally customized written resources, and the use of visual aids can be used to make certain that her consent and comprehension are real (NHS England, 2022). The rapport and trust can be enhanced by setting up communication routines that address her cultural orientation, including greeting in Urdu or using gender-appropriate care interactions. Key parts of this domiciliary visits are also obligatory to record key exchanges to be precise where it is aimed at informing the multidisciplinary team to avoid repetition of care instructions (Local Government Association, 2024).</w:t>
      </w:r>
    </w:p>
    <w:p w14:paraId="0A24C877">
      <w:pPr>
        <w:spacing w:line="360" w:lineRule="auto"/>
        <w:jc w:val="both"/>
        <w:rPr>
          <w:rFonts w:hint="default" w:ascii="Arial" w:hAnsi="Arial" w:cs="Arial"/>
          <w:sz w:val="22"/>
          <w:szCs w:val="22"/>
        </w:rPr>
      </w:pPr>
    </w:p>
    <w:p w14:paraId="548439A0">
      <w:pPr>
        <w:spacing w:line="360" w:lineRule="auto"/>
        <w:jc w:val="both"/>
        <w:rPr>
          <w:rFonts w:hint="default" w:ascii="Arial" w:hAnsi="Arial" w:cs="Arial"/>
          <w:sz w:val="22"/>
          <w:szCs w:val="22"/>
        </w:rPr>
      </w:pPr>
      <w:r>
        <w:rPr>
          <w:rFonts w:hint="default" w:ascii="Arial" w:hAnsi="Arial" w:cs="Arial"/>
          <w:sz w:val="22"/>
          <w:szCs w:val="22"/>
        </w:rPr>
        <w:t>The Equality Act 2010 has put in place the requirement that care providers should make reasonable accommodations to persons bearing such characteristics as possession of language and cultural needs. Its principles are applied to ensure that Mrs. Mann is given a fair access to the information and decision-making processes. Diversity and inclusion also entail ensuring that every professional is proactive in eradicating the communication barriers and is not inclined to make assumptions about her understanding or preferences (NHS England, 2022).</w:t>
      </w:r>
    </w:p>
    <w:p w14:paraId="2D4EDB4C">
      <w:pPr>
        <w:spacing w:line="360" w:lineRule="auto"/>
        <w:jc w:val="both"/>
        <w:rPr>
          <w:rFonts w:hint="default" w:ascii="Arial" w:hAnsi="Arial" w:cs="Arial"/>
          <w:sz w:val="22"/>
          <w:szCs w:val="22"/>
        </w:rPr>
      </w:pPr>
    </w:p>
    <w:p w14:paraId="6420E046">
      <w:pPr>
        <w:spacing w:line="360" w:lineRule="auto"/>
        <w:jc w:val="both"/>
        <w:rPr>
          <w:rFonts w:hint="default" w:ascii="Arial" w:hAnsi="Arial" w:cs="Arial"/>
          <w:sz w:val="22"/>
          <w:szCs w:val="22"/>
        </w:rPr>
      </w:pPr>
      <w:r>
        <w:rPr>
          <w:rFonts w:hint="default" w:ascii="Arial" w:hAnsi="Arial" w:cs="Arial"/>
          <w:sz w:val="22"/>
          <w:szCs w:val="22"/>
        </w:rPr>
        <w:t>One structured solution to the exchange of information is the SBAR model, which is an acronym that contains the following Information: Situation, Background, Assessment, Recommendation. It allows professionals to give concise and relevant updates that will minimise the instances of ambiguity and increase the probability of omissions in handovers (Coolen et al., 2020). Through its use in conjunction with the agencies of care, general practitioner and physiotherapist of Mrs Mann, SBAR organizes the roles and makes sure that medication and mobility plans are carried out in a time-sensitive manner. The multidisciplinary team will be able to build a coherent sense of her requirements, preserve her recovery, and support a truly person-centred approach by integrating the SBAR system with the culturally sensitive communication.</w:t>
      </w:r>
    </w:p>
    <w:p w14:paraId="6EC57611">
      <w:pPr>
        <w:spacing w:line="360" w:lineRule="auto"/>
        <w:jc w:val="both"/>
        <w:rPr>
          <w:rFonts w:hint="default" w:ascii="Arial" w:hAnsi="Arial" w:cs="Arial"/>
          <w:sz w:val="22"/>
          <w:szCs w:val="22"/>
        </w:rPr>
      </w:pPr>
    </w:p>
    <w:p w14:paraId="44981E82">
      <w:pPr>
        <w:pStyle w:val="2"/>
        <w:bidi w:val="0"/>
        <w:rPr>
          <w:rFonts w:hint="default"/>
        </w:rPr>
      </w:pPr>
      <w:r>
        <w:rPr>
          <w:rFonts w:hint="default"/>
        </w:rPr>
        <w:t>3. Professional practice: Administrative Skills and Record Keeping.</w:t>
      </w:r>
    </w:p>
    <w:p w14:paraId="2786396D">
      <w:pPr>
        <w:spacing w:line="360" w:lineRule="auto"/>
        <w:jc w:val="both"/>
        <w:rPr>
          <w:rFonts w:hint="default" w:ascii="Arial" w:hAnsi="Arial" w:cs="Arial"/>
          <w:sz w:val="22"/>
          <w:szCs w:val="22"/>
        </w:rPr>
      </w:pPr>
    </w:p>
    <w:p w14:paraId="5F930D17">
      <w:pPr>
        <w:spacing w:line="360" w:lineRule="auto"/>
        <w:jc w:val="both"/>
        <w:rPr>
          <w:rFonts w:hint="default" w:ascii="Arial" w:hAnsi="Arial" w:cs="Arial"/>
          <w:sz w:val="22"/>
          <w:szCs w:val="22"/>
        </w:rPr>
      </w:pPr>
      <w:r>
        <w:rPr>
          <w:rFonts w:hint="default" w:ascii="Arial" w:hAnsi="Arial" w:cs="Arial"/>
          <w:sz w:val="22"/>
          <w:szCs w:val="22"/>
        </w:rPr>
        <w:t>Administrative competence in health and social care presupposes the correct documentation of the information, structured organisation of records and safe data transmission. These competencies support safety, consistent and person-centred care as each professional will have an equal right to up-to-date information about the service user. The case of Mrs Mann showed that sporadic record-keeping had a direct effect on the missed medication adjustment, and thus showed that a single mistake related to records could spoil the safety and coordination. The continuity of her GP, physiotherapist and domiciliary carers is considered to be reliable administrative practice, which means that all interventions are consistent with her post-surgical recovery plan (Local Government Association, 2024).</w:t>
      </w:r>
    </w:p>
    <w:p w14:paraId="135AAAC7">
      <w:pPr>
        <w:spacing w:line="360" w:lineRule="auto"/>
        <w:jc w:val="both"/>
        <w:rPr>
          <w:rFonts w:hint="default" w:ascii="Arial" w:hAnsi="Arial" w:cs="Arial"/>
          <w:sz w:val="22"/>
          <w:szCs w:val="22"/>
        </w:rPr>
      </w:pPr>
    </w:p>
    <w:p w14:paraId="2B6FFD42">
      <w:pPr>
        <w:spacing w:line="360" w:lineRule="auto"/>
        <w:jc w:val="both"/>
        <w:rPr>
          <w:rFonts w:hint="default" w:ascii="Arial" w:hAnsi="Arial" w:cs="Arial"/>
          <w:sz w:val="22"/>
          <w:szCs w:val="22"/>
        </w:rPr>
      </w:pPr>
      <w:r>
        <w:rPr>
          <w:rFonts w:hint="default" w:ascii="Arial" w:hAnsi="Arial" w:cs="Arial"/>
          <w:sz w:val="22"/>
          <w:szCs w:val="22"/>
        </w:rPr>
        <w:t>Professional and ethical requirement is proper, consistent, and timely record keeping. The NHS Code of Practice requires clear, factual and contemporaneous documentation to support accountability as well as traceability (GOV.UK, 2022). The lack of documentation does not only slow down the treatment process but also the erosion of trust between the professionals and the patient. In the case of Mrs Mann, the two-clinical-day lag in making the change in current medication routine endangered the patient with negative consequences. More elaborate documentation, such as wound care, physiotherapy notes, or medication review, is used to confirm that care was provided to the patient correctly and safeguard both the patient and the provider during any audit/review (NHS BMA, 2024).</w:t>
      </w:r>
    </w:p>
    <w:p w14:paraId="490239BA">
      <w:pPr>
        <w:spacing w:line="360" w:lineRule="auto"/>
        <w:jc w:val="both"/>
        <w:rPr>
          <w:rFonts w:hint="default" w:ascii="Arial" w:hAnsi="Arial" w:cs="Arial"/>
          <w:sz w:val="22"/>
          <w:szCs w:val="22"/>
        </w:rPr>
      </w:pPr>
    </w:p>
    <w:p w14:paraId="7B81FA09">
      <w:pPr>
        <w:spacing w:line="360" w:lineRule="auto"/>
        <w:jc w:val="both"/>
        <w:rPr>
          <w:rFonts w:hint="default" w:ascii="Arial" w:hAnsi="Arial" w:cs="Arial"/>
          <w:sz w:val="22"/>
          <w:szCs w:val="22"/>
        </w:rPr>
      </w:pPr>
      <w:r>
        <w:rPr>
          <w:rFonts w:hint="default" w:ascii="Arial" w:hAnsi="Arial" w:cs="Arial"/>
          <w:sz w:val="22"/>
          <w:szCs w:val="22"/>
        </w:rPr>
        <w:t>The Data Protection act 2018 identifies seven such foremost principles; lawfulness, fairness, transparency, limiting the purpose of data, data minimisation, accuracy, and confidentiality. These standards will make sure that the data of Mrs Mann are only gathered and disclosed at the time of production and by authorized individuals. The care agency is to have secure digital systems restrict access and use audit trails to track the parties who look at or update her records (GOV.UK, 2022). Complementary instruments like the Caldicott Principles also utilize the responsibility to justify the use of the data, restrict the identifiable data, and uphold a clear need to know strategy. The GDPR is also less lenient by holding staffs legally obligated to report data breach within 72 hours thus promoting accountability.</w:t>
      </w:r>
    </w:p>
    <w:p w14:paraId="38625407">
      <w:pPr>
        <w:spacing w:line="360" w:lineRule="auto"/>
        <w:jc w:val="both"/>
        <w:rPr>
          <w:rFonts w:hint="default" w:ascii="Arial" w:hAnsi="Arial" w:cs="Arial"/>
          <w:sz w:val="22"/>
          <w:szCs w:val="22"/>
        </w:rPr>
      </w:pPr>
    </w:p>
    <w:p w14:paraId="6A55F212">
      <w:pPr>
        <w:pStyle w:val="2"/>
        <w:bidi w:val="0"/>
        <w:rPr>
          <w:rFonts w:hint="default" w:ascii="Arial" w:hAnsi="Arial" w:cs="Arial"/>
          <w:sz w:val="22"/>
          <w:szCs w:val="22"/>
        </w:rPr>
      </w:pPr>
      <w:r>
        <w:rPr>
          <w:rFonts w:hint="default" w:ascii="Arial" w:hAnsi="Arial" w:cs="Arial"/>
          <w:sz w:val="22"/>
          <w:szCs w:val="22"/>
        </w:rPr>
        <w:t>The legality and professionalism of the data handling is guaranteed through compliance to CQC standards, the NMC and HCPC Codes of Conduct, and the local information governance policies. The Data Saves Lives strategy by NHS England points out to the fact that effective digital record management directly contributes to the improvement of patient outcomes and coordination (NHS England, 2022). These standards will guarantee that all the professionals, in three professions and four agencies, will operate under a single and precise record, which ensures their safety, dignity, and trust in her rehabilitation that continues.</w:t>
      </w:r>
      <w:r>
        <w:rPr>
          <w:rFonts w:hint="default" w:ascii="Arial" w:hAnsi="Arial" w:cs="Arial"/>
          <w:sz w:val="22"/>
          <w:szCs w:val="22"/>
        </w:rPr>
        <w:br w:type="textWrapping"/>
      </w:r>
      <w:r>
        <w:rPr>
          <w:rFonts w:hint="default" w:ascii="Arial" w:hAnsi="Arial" w:cs="Arial"/>
          <w:sz w:val="22"/>
          <w:szCs w:val="22"/>
        </w:rPr>
        <w:br w:type="textWrapping"/>
      </w:r>
      <w:r>
        <w:rPr>
          <w:rFonts w:hint="default" w:ascii="Arial" w:hAnsi="Arial" w:cs="Arial"/>
          <w:sz w:val="22"/>
          <w:szCs w:val="22"/>
        </w:rPr>
        <w:t>4. Collaborative Dealing with Professionals who worked with Mrs Mann.</w:t>
      </w:r>
    </w:p>
    <w:p w14:paraId="0169390C">
      <w:pPr>
        <w:spacing w:line="360" w:lineRule="auto"/>
        <w:jc w:val="both"/>
        <w:rPr>
          <w:rFonts w:hint="default" w:ascii="Arial" w:hAnsi="Arial" w:cs="Arial"/>
          <w:sz w:val="22"/>
          <w:szCs w:val="22"/>
        </w:rPr>
      </w:pPr>
    </w:p>
    <w:p w14:paraId="6E334631">
      <w:pPr>
        <w:spacing w:line="360" w:lineRule="auto"/>
        <w:jc w:val="both"/>
        <w:rPr>
          <w:rFonts w:hint="default" w:ascii="Arial" w:hAnsi="Arial" w:cs="Arial"/>
          <w:sz w:val="22"/>
          <w:szCs w:val="22"/>
        </w:rPr>
      </w:pPr>
      <w:r>
        <w:rPr>
          <w:rFonts w:hint="default" w:ascii="Arial" w:hAnsi="Arial" w:cs="Arial"/>
          <w:sz w:val="22"/>
          <w:szCs w:val="22"/>
        </w:rPr>
        <w:t>The term interprofessional and multi-agency collaboration in health and social care refers to the act of cooperation among professionals of various areas of expertise, including general practitioners, physiotherapists, and domiciliary carers, in providing co-hesive and person-focused care. This teamwork would be fundamental to the recovery of Mrs Mann since her treatment would engaged at least four professionals in two organisations. The collaboration between her rehabilitation plan, medication changes and mobility support helps to make sure there is no duplication or opposition of therapies (Wankah et al., 2022).</w:t>
      </w:r>
    </w:p>
    <w:p w14:paraId="576FCA2F">
      <w:pPr>
        <w:spacing w:line="360" w:lineRule="auto"/>
        <w:jc w:val="both"/>
        <w:rPr>
          <w:rFonts w:hint="default" w:ascii="Arial" w:hAnsi="Arial" w:cs="Arial"/>
          <w:sz w:val="22"/>
          <w:szCs w:val="22"/>
        </w:rPr>
      </w:pPr>
    </w:p>
    <w:p w14:paraId="6733C166">
      <w:pPr>
        <w:spacing w:line="360" w:lineRule="auto"/>
        <w:jc w:val="both"/>
        <w:rPr>
          <w:rFonts w:hint="default" w:ascii="Arial" w:hAnsi="Arial" w:cs="Arial"/>
          <w:sz w:val="22"/>
          <w:szCs w:val="22"/>
        </w:rPr>
      </w:pPr>
      <w:r>
        <w:rPr>
          <w:rFonts w:hint="default" w:ascii="Arial" w:hAnsi="Arial" w:cs="Arial"/>
          <w:sz w:val="22"/>
          <w:szCs w:val="22"/>
        </w:rPr>
        <w:t>The distribution of roles is dependent on the systematic strategies of integrated care planning and shared digital records which allow every professional to see real-time information about the progress of Mrs Mann (Local Government Association, 2024). Frequently held interdisciplinary meetings will enable general practitioner and physiotherapist to discuss the outcome of her pain and mobility management together whereas the domiciliary carers will give feedback on the daily functional improvements. The use of systematic communicational resources, such as the SBAR framework, will help the professionals to provide concise and relevant updates that will restrict the chances of being misinterpreted (Coolen et al., 2020). The approach will ensure that the message about any individual difference in medicine or workout regimen is relayed properly to everyone.</w:t>
      </w:r>
    </w:p>
    <w:p w14:paraId="775E12C3">
      <w:pPr>
        <w:spacing w:line="360" w:lineRule="auto"/>
        <w:jc w:val="both"/>
        <w:rPr>
          <w:rFonts w:hint="default" w:ascii="Arial" w:hAnsi="Arial" w:cs="Arial"/>
          <w:sz w:val="22"/>
          <w:szCs w:val="22"/>
        </w:rPr>
      </w:pPr>
    </w:p>
    <w:p w14:paraId="31F39D4D">
      <w:pPr>
        <w:spacing w:line="360" w:lineRule="auto"/>
        <w:jc w:val="both"/>
        <w:rPr>
          <w:rFonts w:hint="default" w:ascii="Arial" w:hAnsi="Arial" w:cs="Arial"/>
          <w:sz w:val="22"/>
          <w:szCs w:val="22"/>
        </w:rPr>
      </w:pPr>
      <w:r>
        <w:rPr>
          <w:rFonts w:hint="default" w:ascii="Arial" w:hAnsi="Arial" w:cs="Arial"/>
          <w:sz w:val="22"/>
          <w:szCs w:val="22"/>
        </w:rPr>
        <w:t>However, numerous challenges may face collaboration: vague role definition, interruptions in communication, and organisational silos (Simons, 2022). As an example, failure to exchange information between the domiciliary care agency and the physiotherapy team about timely updates may hamper the progress made by Mrs Mann. To overcome these challenges, it is required that there be mutual respect and shared goals alongside leadership that is decisive and subsequently fosters accountability (Jobe, Lindberg and Engstrom, 2020). Between her care team, reflective practices, to be held monthly, could reveal the existing communication gaps and support a group of caregivers in the idea that safe and person-centred outcomes must be a shared evaluation instrument.</w:t>
      </w:r>
    </w:p>
    <w:p w14:paraId="58E2C067">
      <w:pPr>
        <w:spacing w:line="360" w:lineRule="auto"/>
        <w:jc w:val="both"/>
        <w:rPr>
          <w:rFonts w:hint="default" w:ascii="Arial" w:hAnsi="Arial" w:cs="Arial"/>
          <w:sz w:val="22"/>
          <w:szCs w:val="22"/>
        </w:rPr>
      </w:pPr>
    </w:p>
    <w:p w14:paraId="2E1D7884">
      <w:pPr>
        <w:spacing w:line="360" w:lineRule="auto"/>
        <w:jc w:val="both"/>
        <w:rPr>
          <w:rFonts w:hint="default" w:ascii="Arial" w:hAnsi="Arial" w:cs="Arial"/>
          <w:sz w:val="22"/>
          <w:szCs w:val="22"/>
        </w:rPr>
      </w:pPr>
    </w:p>
    <w:p w14:paraId="4165BED8">
      <w:pPr>
        <w:pStyle w:val="2"/>
        <w:numPr>
          <w:ilvl w:val="0"/>
          <w:numId w:val="11"/>
        </w:numPr>
        <w:bidi w:val="0"/>
        <w:rPr>
          <w:rFonts w:hint="default"/>
        </w:rPr>
      </w:pPr>
      <w:r>
        <w:rPr>
          <w:rFonts w:hint="default"/>
        </w:rPr>
        <w:t xml:space="preserve">Conclusion </w:t>
      </w:r>
    </w:p>
    <w:p w14:paraId="39303BD6">
      <w:pPr>
        <w:numPr>
          <w:numId w:val="0"/>
        </w:numPr>
        <w:spacing w:line="360" w:lineRule="auto"/>
        <w:jc w:val="both"/>
        <w:rPr>
          <w:rFonts w:hint="default" w:ascii="Arial" w:hAnsi="Arial" w:cs="Arial"/>
          <w:sz w:val="22"/>
          <w:szCs w:val="22"/>
        </w:rPr>
      </w:pPr>
    </w:p>
    <w:p w14:paraId="435FD7A6">
      <w:pPr>
        <w:numPr>
          <w:numId w:val="0"/>
        </w:numPr>
        <w:spacing w:line="360" w:lineRule="auto"/>
        <w:jc w:val="both"/>
        <w:rPr>
          <w:rFonts w:hint="default" w:ascii="Arial" w:hAnsi="Arial" w:cs="Arial"/>
          <w:sz w:val="22"/>
          <w:szCs w:val="22"/>
        </w:rPr>
      </w:pPr>
      <w:r>
        <w:rPr>
          <w:rFonts w:hint="default" w:ascii="Arial" w:hAnsi="Arial" w:cs="Arial"/>
          <w:sz w:val="22"/>
          <w:szCs w:val="22"/>
        </w:rPr>
        <w:t>The case of Mrs Mann illustrates that effective communication, accurate administration, and strong interprofessional collaboration are the indivisible parts of safe and quality care. Essential, culturally aware communication will avoid misunderstandings and build trust, whereas proper and legal record-keeping will ensure responsibility and continuity of all professionals. Teamwork is facilitated by organized communication tools like SBAR that combine various skills with the aim of addressing her rehabilitation needs. These practices, taken together, serve as a reflection of person-centred values and compliant with UK legislation on health and social-care ethics, that it is crucial to practice safe, dignified, and equitable outcomes when working with all service users through coordinated and informed collaboration.</w:t>
      </w:r>
    </w:p>
    <w:p w14:paraId="32E4FC88">
      <w:pPr>
        <w:spacing w:line="360" w:lineRule="auto"/>
        <w:jc w:val="both"/>
        <w:rPr>
          <w:rFonts w:hint="default" w:ascii="Arial" w:hAnsi="Arial" w:cs="Arial"/>
          <w:sz w:val="22"/>
          <w:szCs w:val="22"/>
        </w:rPr>
      </w:pPr>
    </w:p>
    <w:p w14:paraId="69F6CF79">
      <w:pPr>
        <w:spacing w:line="360" w:lineRule="auto"/>
        <w:jc w:val="both"/>
        <w:rPr>
          <w:rFonts w:hint="default" w:ascii="Arial" w:hAnsi="Arial" w:cs="Arial"/>
          <w:sz w:val="22"/>
          <w:szCs w:val="22"/>
        </w:rPr>
      </w:pPr>
    </w:p>
    <w:p w14:paraId="6E8999A7">
      <w:pPr>
        <w:spacing w:line="360" w:lineRule="auto"/>
        <w:jc w:val="both"/>
        <w:rPr>
          <w:rFonts w:hint="default" w:ascii="Arial" w:hAnsi="Arial" w:cs="Arial"/>
          <w:sz w:val="22"/>
          <w:szCs w:val="22"/>
        </w:rPr>
      </w:pPr>
    </w:p>
    <w:p w14:paraId="79AD63AB">
      <w:pPr>
        <w:spacing w:line="360" w:lineRule="auto"/>
        <w:jc w:val="both"/>
        <w:rPr>
          <w:rFonts w:hint="default" w:ascii="Arial" w:hAnsi="Arial" w:cs="Arial"/>
          <w:sz w:val="22"/>
          <w:szCs w:val="22"/>
        </w:rPr>
      </w:pPr>
    </w:p>
    <w:p w14:paraId="39EEA222">
      <w:pPr>
        <w:spacing w:line="360" w:lineRule="auto"/>
        <w:jc w:val="both"/>
        <w:rPr>
          <w:rFonts w:hint="default" w:ascii="Arial" w:hAnsi="Arial" w:cs="Arial"/>
          <w:sz w:val="22"/>
          <w:szCs w:val="22"/>
        </w:rPr>
      </w:pPr>
    </w:p>
    <w:p w14:paraId="38B5C5CB">
      <w:pPr>
        <w:spacing w:line="360" w:lineRule="auto"/>
        <w:jc w:val="both"/>
        <w:rPr>
          <w:rFonts w:hint="default" w:ascii="Arial" w:hAnsi="Arial" w:cs="Arial"/>
          <w:sz w:val="22"/>
          <w:szCs w:val="22"/>
        </w:rPr>
      </w:pPr>
    </w:p>
    <w:p w14:paraId="4B001893">
      <w:pPr>
        <w:spacing w:line="360" w:lineRule="auto"/>
        <w:jc w:val="both"/>
        <w:rPr>
          <w:rFonts w:hint="default" w:ascii="Arial" w:hAnsi="Arial" w:cs="Arial"/>
          <w:sz w:val="22"/>
          <w:szCs w:val="22"/>
        </w:rPr>
      </w:pPr>
    </w:p>
    <w:p w14:paraId="6442C488">
      <w:pPr>
        <w:spacing w:line="360" w:lineRule="auto"/>
        <w:jc w:val="both"/>
        <w:rPr>
          <w:rFonts w:hint="default" w:ascii="Arial" w:hAnsi="Arial" w:cs="Arial"/>
          <w:sz w:val="22"/>
          <w:szCs w:val="22"/>
        </w:rPr>
      </w:pPr>
    </w:p>
    <w:p w14:paraId="1E246CA0">
      <w:pPr>
        <w:spacing w:line="360" w:lineRule="auto"/>
        <w:jc w:val="both"/>
        <w:rPr>
          <w:rFonts w:hint="default" w:ascii="Arial" w:hAnsi="Arial" w:cs="Arial"/>
          <w:sz w:val="22"/>
          <w:szCs w:val="22"/>
        </w:rPr>
      </w:pPr>
    </w:p>
    <w:p w14:paraId="5A0012DD">
      <w:pPr>
        <w:spacing w:line="360" w:lineRule="auto"/>
        <w:jc w:val="both"/>
        <w:rPr>
          <w:rFonts w:hint="default" w:ascii="Arial" w:hAnsi="Arial" w:cs="Arial"/>
          <w:sz w:val="22"/>
          <w:szCs w:val="22"/>
        </w:rPr>
      </w:pPr>
    </w:p>
    <w:p w14:paraId="3AE765AC">
      <w:pPr>
        <w:spacing w:line="360" w:lineRule="auto"/>
        <w:jc w:val="both"/>
        <w:rPr>
          <w:rFonts w:hint="default" w:ascii="Arial" w:hAnsi="Arial" w:cs="Arial"/>
          <w:sz w:val="22"/>
          <w:szCs w:val="22"/>
        </w:rPr>
      </w:pPr>
    </w:p>
    <w:p w14:paraId="784DA9EE">
      <w:pPr>
        <w:spacing w:line="360" w:lineRule="auto"/>
        <w:jc w:val="both"/>
        <w:rPr>
          <w:rFonts w:hint="default" w:ascii="Arial" w:hAnsi="Arial" w:cs="Arial"/>
          <w:sz w:val="22"/>
          <w:szCs w:val="22"/>
        </w:rPr>
      </w:pPr>
    </w:p>
    <w:p w14:paraId="1C946089">
      <w:pPr>
        <w:spacing w:line="360" w:lineRule="auto"/>
        <w:jc w:val="both"/>
        <w:rPr>
          <w:rFonts w:hint="default" w:ascii="Arial" w:hAnsi="Arial" w:cs="Arial"/>
          <w:sz w:val="22"/>
          <w:szCs w:val="22"/>
        </w:rPr>
      </w:pPr>
    </w:p>
    <w:p w14:paraId="5DBA9621">
      <w:pPr>
        <w:spacing w:line="360" w:lineRule="auto"/>
        <w:jc w:val="both"/>
        <w:rPr>
          <w:rFonts w:hint="default" w:ascii="Arial" w:hAnsi="Arial" w:cs="Arial"/>
          <w:sz w:val="22"/>
          <w:szCs w:val="22"/>
        </w:rPr>
      </w:pPr>
    </w:p>
    <w:p w14:paraId="2C1D1CE8">
      <w:pPr>
        <w:spacing w:line="360" w:lineRule="auto"/>
        <w:jc w:val="both"/>
        <w:rPr>
          <w:rFonts w:hint="default" w:ascii="Arial" w:hAnsi="Arial" w:cs="Arial"/>
          <w:sz w:val="22"/>
          <w:szCs w:val="22"/>
        </w:rPr>
      </w:pPr>
    </w:p>
    <w:p w14:paraId="3DBE391E">
      <w:pPr>
        <w:spacing w:line="360" w:lineRule="auto"/>
        <w:jc w:val="both"/>
        <w:rPr>
          <w:rFonts w:hint="default" w:ascii="Arial" w:hAnsi="Arial" w:cs="Arial"/>
          <w:sz w:val="22"/>
          <w:szCs w:val="22"/>
        </w:rPr>
      </w:pPr>
    </w:p>
    <w:p w14:paraId="463D5D3F">
      <w:pPr>
        <w:spacing w:line="360" w:lineRule="auto"/>
        <w:jc w:val="both"/>
        <w:rPr>
          <w:rFonts w:hint="default" w:ascii="Arial" w:hAnsi="Arial" w:cs="Arial"/>
          <w:sz w:val="22"/>
          <w:szCs w:val="22"/>
        </w:rPr>
      </w:pPr>
    </w:p>
    <w:p w14:paraId="65028E88">
      <w:pPr>
        <w:spacing w:line="360" w:lineRule="auto"/>
        <w:jc w:val="both"/>
        <w:rPr>
          <w:rFonts w:hint="default" w:ascii="Arial" w:hAnsi="Arial" w:cs="Arial"/>
          <w:sz w:val="22"/>
          <w:szCs w:val="22"/>
        </w:rPr>
      </w:pPr>
    </w:p>
    <w:p w14:paraId="31E7B11F">
      <w:pPr>
        <w:spacing w:line="360" w:lineRule="auto"/>
        <w:jc w:val="both"/>
        <w:rPr>
          <w:rFonts w:hint="default" w:ascii="Arial" w:hAnsi="Arial" w:cs="Arial"/>
          <w:sz w:val="22"/>
          <w:szCs w:val="22"/>
        </w:rPr>
      </w:pPr>
    </w:p>
    <w:p w14:paraId="10460144">
      <w:pPr>
        <w:spacing w:line="360" w:lineRule="auto"/>
        <w:jc w:val="both"/>
        <w:rPr>
          <w:rFonts w:hint="default" w:ascii="Arial" w:hAnsi="Arial" w:cs="Arial"/>
          <w:sz w:val="22"/>
          <w:szCs w:val="22"/>
        </w:rPr>
      </w:pPr>
    </w:p>
    <w:p w14:paraId="17979731">
      <w:pPr>
        <w:spacing w:line="360" w:lineRule="auto"/>
        <w:jc w:val="both"/>
        <w:rPr>
          <w:rFonts w:hint="default" w:ascii="Arial" w:hAnsi="Arial" w:cs="Arial"/>
          <w:sz w:val="22"/>
          <w:szCs w:val="22"/>
        </w:rPr>
      </w:pPr>
    </w:p>
    <w:p w14:paraId="7D78AFEC">
      <w:pPr>
        <w:spacing w:line="360" w:lineRule="auto"/>
        <w:jc w:val="both"/>
        <w:rPr>
          <w:rFonts w:hint="default" w:ascii="Arial" w:hAnsi="Arial" w:cs="Arial"/>
          <w:sz w:val="22"/>
          <w:szCs w:val="22"/>
        </w:rPr>
      </w:pPr>
    </w:p>
    <w:p w14:paraId="3A766ACD">
      <w:pPr>
        <w:spacing w:line="360" w:lineRule="auto"/>
        <w:jc w:val="both"/>
        <w:rPr>
          <w:rFonts w:hint="default" w:ascii="Arial" w:hAnsi="Arial" w:cs="Arial"/>
          <w:sz w:val="22"/>
          <w:szCs w:val="22"/>
        </w:rPr>
      </w:pPr>
    </w:p>
    <w:p w14:paraId="1FE63DA9">
      <w:pPr>
        <w:spacing w:line="360" w:lineRule="auto"/>
        <w:jc w:val="both"/>
        <w:rPr>
          <w:rFonts w:hint="default" w:ascii="Arial" w:hAnsi="Arial" w:cs="Arial"/>
          <w:sz w:val="22"/>
          <w:szCs w:val="22"/>
        </w:rPr>
      </w:pPr>
    </w:p>
    <w:p w14:paraId="0E5F5FD1">
      <w:pPr>
        <w:spacing w:line="360" w:lineRule="auto"/>
        <w:jc w:val="both"/>
        <w:rPr>
          <w:rFonts w:hint="default" w:ascii="Arial" w:hAnsi="Arial" w:cs="Arial"/>
          <w:sz w:val="22"/>
          <w:szCs w:val="22"/>
        </w:rPr>
      </w:pPr>
    </w:p>
    <w:p w14:paraId="5F942B78">
      <w:pPr>
        <w:spacing w:line="360" w:lineRule="auto"/>
        <w:jc w:val="both"/>
        <w:rPr>
          <w:rFonts w:hint="default" w:ascii="Arial" w:hAnsi="Arial" w:cs="Arial"/>
          <w:sz w:val="22"/>
          <w:szCs w:val="22"/>
        </w:rPr>
      </w:pPr>
    </w:p>
    <w:p w14:paraId="58DB3DA0">
      <w:pPr>
        <w:spacing w:line="360" w:lineRule="auto"/>
        <w:jc w:val="both"/>
        <w:rPr>
          <w:rFonts w:hint="default" w:ascii="Arial" w:hAnsi="Arial" w:cs="Arial"/>
          <w:sz w:val="22"/>
          <w:szCs w:val="22"/>
        </w:rPr>
      </w:pPr>
    </w:p>
    <w:p w14:paraId="064704D5">
      <w:pPr>
        <w:spacing w:line="360" w:lineRule="auto"/>
        <w:jc w:val="both"/>
        <w:rPr>
          <w:rFonts w:hint="default" w:ascii="Arial" w:hAnsi="Arial" w:cs="Arial"/>
          <w:sz w:val="22"/>
          <w:szCs w:val="22"/>
        </w:rPr>
      </w:pPr>
    </w:p>
    <w:p w14:paraId="33AF06FE">
      <w:pPr>
        <w:pStyle w:val="2"/>
        <w:bidi w:val="0"/>
        <w:rPr>
          <w:rFonts w:hint="default" w:ascii="Arial" w:hAnsi="Arial" w:cs="Arial"/>
          <w:sz w:val="22"/>
          <w:szCs w:val="22"/>
        </w:rPr>
      </w:pPr>
      <w:r>
        <w:rPr>
          <w:rFonts w:hint="default"/>
        </w:rPr>
        <w:t>References</w:t>
      </w:r>
      <w:bookmarkStart w:name="_GoBack" w:id="0"/>
      <w:bookmarkEnd w:id="0"/>
    </w:p>
    <w:p w14:paraId="6125AD48">
      <w:pPr>
        <w:spacing w:line="360" w:lineRule="auto"/>
        <w:ind w:left="998" w:leftChars="0" w:hanging="998" w:hangingChars="454"/>
        <w:jc w:val="both"/>
        <w:rPr>
          <w:rFonts w:hint="default" w:ascii="Arial" w:hAnsi="Arial" w:cs="Arial"/>
          <w:sz w:val="22"/>
          <w:szCs w:val="22"/>
        </w:rPr>
      </w:pPr>
    </w:p>
    <w:p w14:paraId="617FAAC0">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Coolen, E., Engbers, R., Draaisma, J., Heinen, M. and Fluit, C. (2020) ‘The use of SBAR as a structured communication tool in the paediatric non-acute care setting: Bridge or barrier for interprofessional collaboration?’, Journal of Interprofessional Care, pp. 1–10. doi:10.1080/13561820.2020.1816936.</w:t>
      </w:r>
    </w:p>
    <w:p w14:paraId="6305E83D">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GOV.UK (2022) Data saves lives: Reshaping health and social care with data [online]. Available at: https://www.gov.uk/government/publications/data-saves-lives-reshaping-health-and-social-care-with-data/data-saves-lives-reshaping-health-and-social-care-with-data</w:t>
      </w:r>
    </w:p>
    <w:p w14:paraId="7EE9F9DA">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Jobe, I., Lindberg, B. and Engström, Å. (2020) ‘Health and social care professionals' experiences of collaborative planning: Applying the person-centred practice framework’, Nursing Open, 7(6), pp. 2019–2028. doi:10.1002/nop2.597.</w:t>
      </w:r>
    </w:p>
    <w:p w14:paraId="414FE7DA">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Local Government Association (2024) Implementing digital social care records: Lessons learned [online]. Available at: https://www.local.gov.uk/our-support/partners-care-and-health/digital-transformation/implementing-digital-social-care</w:t>
      </w:r>
    </w:p>
    <w:p w14:paraId="553C092A">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NHS BMA (2024) NHSX data strategy briefing [online]. Available at: https://www.bma.org.uk/advice-and-support/ethics/confidentiality-and-health-records/nhsx-data-strategy-briefing</w:t>
      </w:r>
    </w:p>
    <w:p w14:paraId="6A101D49">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NHS England (2022) Working in partnership with people and communities: Statutory guidance [online]. Available at: https://www.england.nhs.uk/long-read/working-in-partnership-with-people-and-communities-statutory-guidance/</w:t>
      </w:r>
    </w:p>
    <w:p w14:paraId="5635778C">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Sharkiya, S.H. (2023) ‘Quality communication can improve patient-centred health outcomes among older patients: A rapid review’, BMC Health Services Research, 23, 886. doi:10.1186/s12913-023-09869-8.</w:t>
      </w:r>
    </w:p>
    <w:p w14:paraId="6E1B93D9">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Simons, M. (2022) ‘Review: Interventions fostering interdisciplinary and inter-organisational collaboration’, Health Services Management Research [online]. Available at: https://www.sciencedirect.com/science/article/pii/S2405452622000222</w:t>
      </w:r>
    </w:p>
    <w:p w14:paraId="735345F4">
      <w:pPr>
        <w:spacing w:line="360" w:lineRule="auto"/>
        <w:ind w:left="998" w:leftChars="0" w:hanging="998" w:hangingChars="454"/>
        <w:jc w:val="both"/>
        <w:rPr>
          <w:rFonts w:hint="default" w:ascii="Arial" w:hAnsi="Arial" w:cs="Arial"/>
          <w:sz w:val="22"/>
          <w:szCs w:val="22"/>
        </w:rPr>
      </w:pPr>
      <w:r>
        <w:rPr>
          <w:rFonts w:hint="default" w:ascii="Arial" w:hAnsi="Arial" w:cs="Arial"/>
          <w:sz w:val="22"/>
          <w:szCs w:val="22"/>
        </w:rPr>
        <w:t>Wankah, P., Breton, M., Steele Gray, C. and Shaw, J. (2022) ‘Enhancing inter-organisational partnerships in integrated care models for older adults: A multiple case study’, Journal of Health Organization and Management, 36(6), pp. 781–795. doi:10.1108/JHOM-02-2022-0055.</w:t>
      </w:r>
    </w:p>
    <w:p w14:paraId="7D32BB7C">
      <w:pPr>
        <w:spacing w:line="360" w:lineRule="auto"/>
        <w:jc w:val="both"/>
        <w:rPr>
          <w:rFonts w:hint="default" w:ascii="Arial" w:hAnsi="Arial" w:cs="Arial"/>
          <w:sz w:val="22"/>
          <w:szCs w:val="22"/>
        </w:rPr>
      </w:pPr>
    </w:p>
    <w:p w14:paraId="309A0C82">
      <w:pPr>
        <w:spacing w:line="360" w:lineRule="auto"/>
        <w:jc w:val="both"/>
        <w:rPr>
          <w:rFonts w:hint="default" w:ascii="Arial" w:hAnsi="Arial" w:cs="Arial"/>
          <w:sz w:val="22"/>
          <w:szCs w:val="22"/>
        </w:rPr>
      </w:pPr>
    </w:p>
    <w:p w14:paraId="688E18CE">
      <w:pPr>
        <w:spacing w:line="360" w:lineRule="auto"/>
        <w:jc w:val="both"/>
        <w:rPr>
          <w:rFonts w:hint="default" w:ascii="Arial" w:hAnsi="Arial" w:cs="Arial"/>
          <w:sz w:val="22"/>
          <w:szCs w:val="22"/>
        </w:rPr>
      </w:pPr>
    </w:p>
    <w:p w14:paraId="1731BA53">
      <w:pPr>
        <w:spacing w:line="360" w:lineRule="auto"/>
        <w:jc w:val="both"/>
        <w:rPr>
          <w:rFonts w:hint="default" w:ascii="Arial" w:hAnsi="Arial" w:cs="Arial"/>
          <w:sz w:val="22"/>
          <w:szCs w:val="22"/>
        </w:rPr>
      </w:pPr>
    </w:p>
    <w:p w14:paraId="44F977AC">
      <w:pPr>
        <w:spacing w:line="360" w:lineRule="auto"/>
        <w:jc w:val="both"/>
        <w:rPr>
          <w:rFonts w:hint="default" w:ascii="Arial" w:hAnsi="Arial" w:cs="Arial"/>
          <w:sz w:val="22"/>
          <w:szCs w:val="22"/>
        </w:rPr>
      </w:pPr>
    </w:p>
    <w:p w14:paraId="5D66C2D5">
      <w:pPr>
        <w:spacing w:line="360" w:lineRule="auto"/>
        <w:jc w:val="both"/>
        <w:rPr>
          <w:rFonts w:hint="default" w:ascii="Arial" w:hAnsi="Arial" w:cs="Arial"/>
          <w:sz w:val="22"/>
          <w:szCs w:val="22"/>
        </w:rPr>
      </w:pPr>
    </w:p>
    <w:p w14:paraId="55CE5D7A">
      <w:pPr>
        <w:spacing w:line="360" w:lineRule="auto"/>
        <w:jc w:val="both"/>
        <w:rPr>
          <w:rFonts w:hint="default" w:ascii="Arial" w:hAnsi="Arial" w:cs="Arial"/>
          <w:sz w:val="22"/>
          <w:szCs w:val="22"/>
        </w:rPr>
      </w:pPr>
    </w:p>
    <w:p w14:paraId="77F26239">
      <w:pPr>
        <w:spacing w:line="360" w:lineRule="auto"/>
        <w:jc w:val="both"/>
        <w:rPr>
          <w:rFonts w:hint="default" w:ascii="Arial" w:hAnsi="Arial" w:cs="Arial"/>
          <w:sz w:val="22"/>
          <w:szCs w:val="22"/>
        </w:rPr>
      </w:pPr>
    </w:p>
    <w:p w14:paraId="2CD52D8D">
      <w:pPr>
        <w:spacing w:line="360" w:lineRule="auto"/>
        <w:jc w:val="both"/>
        <w:rPr>
          <w:rFonts w:hint="default" w:ascii="Arial" w:hAnsi="Arial" w:cs="Arial"/>
          <w:sz w:val="22"/>
          <w:szCs w:val="22"/>
        </w:rPr>
      </w:pPr>
    </w:p>
    <w:p w14:paraId="5B9B44EF">
      <w:pPr>
        <w:spacing w:line="360" w:lineRule="auto"/>
        <w:jc w:val="both"/>
        <w:rPr>
          <w:rFonts w:hint="default" w:ascii="Arial" w:hAnsi="Arial" w:cs="Arial"/>
          <w:sz w:val="22"/>
          <w:szCs w:val="22"/>
        </w:rPr>
      </w:pPr>
    </w:p>
    <w:p w14:paraId="0F83617B">
      <w:pPr>
        <w:spacing w:line="360" w:lineRule="auto"/>
        <w:jc w:val="both"/>
        <w:rPr>
          <w:rFonts w:hint="default" w:ascii="Arial" w:hAnsi="Arial" w:cs="Arial"/>
          <w:sz w:val="22"/>
          <w:szCs w:val="22"/>
        </w:rPr>
      </w:pPr>
    </w:p>
    <w:p w14:paraId="4772D0B1">
      <w:pPr>
        <w:spacing w:line="360" w:lineRule="auto"/>
        <w:jc w:val="both"/>
        <w:rPr>
          <w:rFonts w:hint="default" w:ascii="Arial" w:hAnsi="Arial" w:cs="Arial"/>
          <w:sz w:val="22"/>
          <w:szCs w:val="22"/>
        </w:rPr>
      </w:pPr>
    </w:p>
    <w:p w14:paraId="7E1C534B">
      <w:pPr>
        <w:spacing w:line="360" w:lineRule="auto"/>
        <w:jc w:val="both"/>
        <w:rPr>
          <w:rFonts w:hint="default" w:ascii="Arial" w:hAnsi="Arial" w:cs="Arial"/>
          <w:sz w:val="22"/>
          <w:szCs w:val="22"/>
        </w:rPr>
      </w:pPr>
    </w:p>
    <w:sectPr>
      <w:pgSz w:w="11906" w:h="16838" w:orient="portrait"/>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060872"/>
    <w:multiLevelType w:val="singleLevel"/>
    <w:tmpl w:val="C3060872"/>
    <w:lvl w:ilvl="0" w:tentative="0">
      <w:start w:val="5"/>
      <w:numFmt w:val="decimal"/>
      <w:suff w:val="space"/>
      <w:lvlText w:val="%1."/>
      <w:lvlJc w:val="left"/>
    </w:lvl>
  </w:abstractNum>
  <w:abstractNum w:abstractNumId="1">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92143A"/>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DD58FD"/>
    <w:rsid w:val="00E64C21"/>
    <w:rsid w:val="00EC24C6"/>
    <w:rsid w:val="00EF2933"/>
    <w:rsid w:val="00F05146"/>
    <w:rsid w:val="00F1115D"/>
    <w:rsid w:val="00F3513C"/>
    <w:rsid w:val="00F465C5"/>
    <w:rsid w:val="00F5180D"/>
    <w:rsid w:val="00F51B21"/>
    <w:rsid w:val="00F51D87"/>
    <w:rsid w:val="00F8455C"/>
    <w:rsid w:val="011768D6"/>
    <w:rsid w:val="011BA5A6"/>
    <w:rsid w:val="01427D8B"/>
    <w:rsid w:val="03B3486E"/>
    <w:rsid w:val="03F9258D"/>
    <w:rsid w:val="07B10FD6"/>
    <w:rsid w:val="0EC5CD37"/>
    <w:rsid w:val="10806817"/>
    <w:rsid w:val="14501EBD"/>
    <w:rsid w:val="15044A88"/>
    <w:rsid w:val="160970B6"/>
    <w:rsid w:val="160970B6"/>
    <w:rsid w:val="16891BFD"/>
    <w:rsid w:val="1692143A"/>
    <w:rsid w:val="17AA4BCF"/>
    <w:rsid w:val="19A74918"/>
    <w:rsid w:val="1A0C73AF"/>
    <w:rsid w:val="1AB0C77E"/>
    <w:rsid w:val="1D85BA9D"/>
    <w:rsid w:val="1D85BA9D"/>
    <w:rsid w:val="228928E6"/>
    <w:rsid w:val="23547350"/>
    <w:rsid w:val="28C226FA"/>
    <w:rsid w:val="29716D8C"/>
    <w:rsid w:val="2FF6676E"/>
    <w:rsid w:val="329A539E"/>
    <w:rsid w:val="33485D6A"/>
    <w:rsid w:val="340A3D7C"/>
    <w:rsid w:val="37724C3E"/>
    <w:rsid w:val="37C254A8"/>
    <w:rsid w:val="3869321A"/>
    <w:rsid w:val="387415AD"/>
    <w:rsid w:val="3C6D6A5C"/>
    <w:rsid w:val="3FF16A33"/>
    <w:rsid w:val="3FF16A33"/>
    <w:rsid w:val="408B1BF3"/>
    <w:rsid w:val="460C2568"/>
    <w:rsid w:val="467E9607"/>
    <w:rsid w:val="484B364F"/>
    <w:rsid w:val="4953396D"/>
    <w:rsid w:val="4D1EA041"/>
    <w:rsid w:val="518CE4B3"/>
    <w:rsid w:val="51A57002"/>
    <w:rsid w:val="51FE267C"/>
    <w:rsid w:val="5350123C"/>
    <w:rsid w:val="5515E079"/>
    <w:rsid w:val="57B13D76"/>
    <w:rsid w:val="5ADE677C"/>
    <w:rsid w:val="5B728D10"/>
    <w:rsid w:val="5F589E35"/>
    <w:rsid w:val="605C9328"/>
    <w:rsid w:val="60C842AA"/>
    <w:rsid w:val="613B92E4"/>
    <w:rsid w:val="622357D7"/>
    <w:rsid w:val="64A15EB0"/>
    <w:rsid w:val="658835A0"/>
    <w:rsid w:val="688F39A3"/>
    <w:rsid w:val="6CF564B1"/>
    <w:rsid w:val="72DC42AD"/>
    <w:rsid w:val="797BFC93"/>
    <w:rsid w:val="797BFC93"/>
    <w:rsid w:val="79D843D9"/>
    <w:rsid w:val="7D2E7CE2"/>
    <w:rsid w:val="7D705F8B"/>
    <w:rsid w:val="7E6B6157"/>
    <w:rsid w:val="7E7B0F14"/>
    <w:rsid w:val="7EDFDB22"/>
    <w:rsid w:val="7F440EEB"/>
    <w:rsid w:val="7FB9A739"/>
    <w:rsid w:val="7FB9A739"/>
    <w:rsid w:val="7FF85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qFormat="1"/>
    <w:lsdException w:name="index 2" w:uiPriority="0" w:semiHidden="0" w:unhideWhenUsed="0" w:qFormat="1"/>
    <w:lsdException w:name="index 3" w:uiPriority="0" w:semiHidden="0" w:unhideWhenUsed="0" w:qFormat="1"/>
    <w:lsdException w:name="index 4" w:uiPriority="0" w:semiHidden="0" w:unhideWhenUsed="0" w:qFormat="1"/>
    <w:lsdException w:name="index 5" w:uiPriority="0" w:semiHidden="0" w:unhideWhenUsed="0" w:qFormat="1"/>
    <w:lsdException w:name="index 6" w:uiPriority="0" w:semiHidden="0" w:unhideWhenUsed="0" w:qFormat="1"/>
    <w:lsdException w:name="index 7" w:uiPriority="0" w:semiHidden="0" w:unhideWhenUsed="0" w:qFormat="1"/>
    <w:lsdException w:name="index 8" w:uiPriority="0" w:semiHidden="0" w:unhideWhenUsed="0" w:qFormat="1"/>
    <w:lsdException w:name="index 9" w:uiPriority="0" w:semiHidden="0" w:unhideWhenUsed="0" w:qFormat="1"/>
    <w:lsdException w:name="toc 1" w:uiPriority="0" w:semiHidden="0" w:unhideWhenUsed="0" w:qFormat="1"/>
    <w:lsdException w:name="toc 2" w:uiPriority="0" w:semiHidden="0" w:unhideWhenUsed="0" w:qFormat="1"/>
    <w:lsdException w:name="toc 3" w:uiPriority="0" w:semiHidden="0" w:unhideWhenUsed="0" w:qFormat="1"/>
    <w:lsdException w:name="toc 4" w:uiPriority="0" w:semiHidden="0" w:unhideWhenUsed="0" w:qFormat="1"/>
    <w:lsdException w:name="toc 5" w:uiPriority="0" w:semiHidden="0" w:unhideWhenUsed="0" w:qFormat="1"/>
    <w:lsdException w:name="toc 6" w:uiPriority="0" w:semiHidden="0" w:unhideWhenUsed="0" w:qFormat="1"/>
    <w:lsdException w:name="toc 7" w:uiPriority="0" w:semiHidden="0" w:unhideWhenUsed="0" w:qFormat="1"/>
    <w:lsdException w:name="toc 8" w:uiPriority="0" w:semiHidden="0" w:unhideWhenUsed="0"/>
    <w:lsdException w:name="toc 9" w:uiPriority="0" w:semiHidden="0" w:unhideWhenUsed="0" w:qFormat="1"/>
    <w:lsdException w:name="Normal Indent" w:uiPriority="0" w:semiHidden="0" w:unhideWhenUsed="0" w:qFormat="1"/>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qFormat="1"/>
    <w:lsdException w:name="caption" w:uiPriority="0" w:qFormat="1"/>
    <w:lsdException w:name="table of figures" w:uiPriority="0" w:semiHidden="0" w:unhideWhenUsed="0" w:qFormat="1"/>
    <w:lsdException w:name="envelope address" w:uiPriority="0" w:semiHidden="0" w:unhideWhenUsed="0" w:qFormat="1"/>
    <w:lsdException w:name="envelope return" w:uiPriority="0" w:semiHidden="0" w:unhideWhenUsed="0" w:qFormat="1"/>
    <w:lsdException w:name="footnote reference" w:uiPriority="0" w:semiHidden="0" w:unhideWhenUsed="0" w:qFormat="1"/>
    <w:lsdException w:name="annotation reference" w:uiPriority="0" w:semiHidden="0" w:unhideWhenUsed="0" w:qFormat="1"/>
    <w:lsdException w:name="line number" w:uiPriority="0" w:semiHidden="0" w:unhideWhenUsed="0" w:qFormat="1"/>
    <w:lsdException w:name="page number" w:uiPriority="0" w:semiHidden="0" w:unhideWhenUsed="0" w:qFormat="1"/>
    <w:lsdException w:name="endnote reference" w:uiPriority="0" w:semiHidden="0" w:unhideWhenUsed="0" w:qFormat="1"/>
    <w:lsdException w:name="endnote text" w:uiPriority="0" w:semiHidden="0" w:unhideWhenUsed="0" w:qFormat="1"/>
    <w:lsdException w:name="table of authorities" w:uiPriority="0" w:semiHidden="0" w:unhideWhenUsed="0" w:qFormat="1"/>
    <w:lsdException w:name="macro" w:uiPriority="0" w:semiHidden="0" w:unhideWhenUsed="0" w:qFormat="1"/>
    <w:lsdException w:name="toa heading" w:uiPriority="0" w:semiHidden="0" w:unhideWhenUsed="0" w:qFormat="1"/>
    <w:lsdException w:name="List" w:uiPriority="0" w:semiHidden="0" w:unhideWhenUsed="0" w:qFormat="1"/>
    <w:lsdException w:name="List Bullet" w:uiPriority="0" w:semiHidden="0" w:unhideWhenUsed="0" w:qFormat="1"/>
    <w:lsdException w:name="List Number" w:uiPriority="0" w:semiHidden="0" w:unhideWhenUsed="0" w:qFormat="1"/>
    <w:lsdException w:name="List 2" w:uiPriority="0" w:semiHidden="0" w:unhideWhenUsed="0" w:qFormat="1"/>
    <w:lsdException w:name="List 3" w:uiPriority="0" w:semiHidden="0" w:unhideWhenUsed="0" w:qFormat="1"/>
    <w:lsdException w:name="List 4" w:uiPriority="0" w:semiHidden="0" w:unhideWhenUsed="0" w:qFormat="1"/>
    <w:lsdException w:name="List 5" w:uiPriority="0" w:semiHidden="0" w:unhideWhenUsed="0" w:qFormat="1"/>
    <w:lsdException w:name="List Bullet 2" w:uiPriority="0" w:semiHidden="0" w:unhideWhenUsed="0" w:qFormat="1"/>
    <w:lsdException w:name="List Bullet 3" w:uiPriority="0" w:semiHidden="0" w:unhideWhenUsed="0" w:qFormat="1"/>
    <w:lsdException w:name="List Bullet 4" w:uiPriority="0" w:semiHidden="0" w:unhideWhenUsed="0" w:qFormat="1"/>
    <w:lsdException w:name="List Bullet 5" w:uiPriority="0" w:semiHidden="0" w:unhideWhenUsed="0" w:qFormat="1"/>
    <w:lsdException w:name="List Number 2" w:uiPriority="0" w:semiHidden="0" w:unhideWhenUsed="0" w:qFormat="1"/>
    <w:lsdException w:name="List Number 3" w:uiPriority="0" w:semiHidden="0" w:unhideWhenUsed="0" w:qFormat="1"/>
    <w:lsdException w:name="List Number 4" w:uiPriority="0" w:semiHidden="0" w:unhideWhenUsed="0" w:qFormat="1"/>
    <w:lsdException w:name="List Number 5" w:uiPriority="0" w:semiHidden="0" w:unhideWhenUsed="0" w:qFormat="1"/>
    <w:lsdException w:name="Title" w:uiPriority="0" w:semiHidden="0" w:unhideWhenUsed="0" w:qFormat="1"/>
    <w:lsdException w:name="Closing" w:uiPriority="0" w:semiHidden="0" w:unhideWhenUsed="0" w:qFormat="1"/>
    <w:lsdException w:name="Signature" w:uiPriority="0" w:semiHidden="0" w:unhideWhenUsed="0" w:qFormat="1"/>
    <w:lsdException w:name="Default Paragraph Font" w:uiPriority="1" w:qFormat="1"/>
    <w:lsdException w:name="Body Text" w:uiPriority="0" w:semiHidden="0" w:unhideWhenUsed="0" w:qFormat="1"/>
    <w:lsdException w:name="Body Text Indent" w:uiPriority="0" w:semiHidden="0" w:unhideWhenUsed="0" w:qFormat="1"/>
    <w:lsdException w:name="List Continue" w:uiPriority="0" w:semiHidden="0" w:unhideWhenUsed="0" w:qFormat="1"/>
    <w:lsdException w:name="List Continue 2" w:uiPriority="0" w:semiHidden="0" w:unhideWhenUsed="0" w:qFormat="1"/>
    <w:lsdException w:name="List Continue 3" w:uiPriority="0" w:semiHidden="0" w:unhideWhenUsed="0" w:qFormat="1"/>
    <w:lsdException w:name="List Continue 4" w:uiPriority="0" w:semiHidden="0" w:unhideWhenUsed="0" w:qFormat="1"/>
    <w:lsdException w:name="List Continue 5" w:uiPriority="0" w:semiHidden="0" w:unhideWhenUsed="0" w:qFormat="1"/>
    <w:lsdException w:name="Message Header" w:uiPriority="0" w:semiHidden="0" w:unhideWhenUsed="0" w:qFormat="1"/>
    <w:lsdException w:name="Subtitle" w:uiPriority="0" w:semiHidden="0" w:unhideWhenUsed="0" w:qFormat="1"/>
    <w:lsdException w:name="Salutation" w:uiPriority="0" w:semiHidden="0" w:unhideWhenUsed="0" w:qFormat="1"/>
    <w:lsdException w:name="Date" w:uiPriority="0" w:semiHidden="0" w:unhideWhenUsed="0" w:qFormat="1"/>
    <w:lsdException w:name="Body Text First Indent" w:uiPriority="0" w:semiHidden="0" w:unhideWhenUsed="0" w:qFormat="1"/>
    <w:lsdException w:name="Body Text First Indent 2" w:uiPriority="0" w:semiHidden="0" w:unhideWhenUsed="0" w:qFormat="1"/>
    <w:lsdException w:name="Note Heading" w:uiPriority="0" w:semiHidden="0" w:unhideWhenUsed="0" w:qFormat="1"/>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qFormat="1"/>
    <w:lsdException w:name="E-mail Signature" w:uiPriority="0" w:semiHidden="0" w:unhideWhenUsed="0" w:qFormat="1"/>
    <w:lsdException w:name="Normal (Web)" w:uiPriority="0" w:semiHidden="0" w:unhideWhenUsed="0" w:qFormat="1"/>
    <w:lsdException w:name="HTML Acronym" w:uiPriority="0" w:semiHidden="0" w:unhideWhenUsed="0" w:qFormat="1"/>
    <w:lsdException w:name="HTML Address" w:uiPriority="0" w:semiHidden="0" w:unhideWhenUsed="0" w:qFormat="1"/>
    <w:lsdException w:name="HTML Cite" w:uiPriority="0" w:semiHidden="0" w:unhideWhenUsed="0" w:qFormat="1"/>
    <w:lsdException w:name="HTML Code" w:uiPriority="0" w:semiHidden="0" w:unhideWhenUsed="0" w:qFormat="1"/>
    <w:lsdException w:name="HTML Definition" w:uiPriority="0" w:semiHidden="0" w:unhideWhenUsed="0" w:qFormat="1"/>
    <w:lsdException w:name="HTML Keyboard" w:uiPriority="0" w:semiHidden="0" w:unhideWhenUsed="0" w:qFormat="1"/>
    <w:lsdException w:name="HTML Preformatted" w:uiPriority="0" w:semiHidden="0" w:unhideWhenUsed="0" w:qFormat="1"/>
    <w:lsdException w:name="HTML Sample" w:uiPriority="0" w:semiHidden="0" w:unhideWhenUsed="0" w:qFormat="1"/>
    <w:lsdException w:name="HTML Typewriter" w:uiPriority="0" w:semiHidden="0" w:unhideWhenUsed="0" w:qFormat="1"/>
    <w:lsdException w:name="HTML Variable" w:uiPriority="0" w:semiHidden="0" w:unhideWhenUsed="0" w:qFormat="1"/>
    <w:lsdException w:name="Normal Table" w:uiPriority="0" w:unhideWhenUsed="0" w:qFormat="1"/>
    <w:lsdException w:name="annotation subject" w:uiPriority="0" w:semiHidden="0" w:unhideWhenUsed="0" w:qFormat="1"/>
    <w:lsdException w:name="Table Simple 1" w:uiPriority="0" w:semiHidden="0" w:unhideWhenUsed="0" w:qFormat="1"/>
    <w:lsdException w:name="Table Simple 2" w:uiPriority="0" w:semiHidden="0" w:unhideWhenUsed="0" w:qFormat="1"/>
    <w:lsdException w:name="Table Simple 3" w:uiPriority="0" w:semiHidden="0" w:unhideWhenUsed="0" w:qFormat="1"/>
    <w:lsdException w:name="Table Classic 1" w:uiPriority="0" w:semiHidden="0" w:unhideWhenUsed="0" w:qFormat="1"/>
    <w:lsdException w:name="Table Classic 2" w:uiPriority="0" w:semiHidden="0" w:unhideWhenUsed="0" w:qFormat="1"/>
    <w:lsdException w:name="Table Classic 3" w:uiPriority="0" w:semiHidden="0" w:unhideWhenUsed="0" w:qFormat="1"/>
    <w:lsdException w:name="Table Classic 4" w:uiPriority="0" w:semiHidden="0" w:unhideWhenUsed="0" w:qFormat="1"/>
    <w:lsdException w:name="Table Colorful 1" w:uiPriority="0" w:semiHidden="0" w:unhideWhenUsed="0" w:qFormat="1"/>
    <w:lsdException w:name="Table Colorful 2" w:uiPriority="0" w:semiHidden="0" w:unhideWhenUsed="0" w:qFormat="1"/>
    <w:lsdException w:name="Table Colorful 3" w:uiPriority="0" w:semiHidden="0" w:unhideWhenUsed="0" w:qFormat="1"/>
    <w:lsdException w:name="Table Columns 1" w:uiPriority="0" w:semiHidden="0" w:unhideWhenUsed="0" w:qFormat="1"/>
    <w:lsdException w:name="Table Columns 2" w:uiPriority="0" w:semiHidden="0" w:unhideWhenUsed="0" w:qFormat="1"/>
    <w:lsdException w:name="Table Columns 3" w:uiPriority="0" w:semiHidden="0" w:unhideWhenUsed="0" w:qFormat="1"/>
    <w:lsdException w:name="Table Columns 4" w:uiPriority="0" w:semiHidden="0" w:unhideWhenUsed="0" w:qFormat="1"/>
    <w:lsdException w:name="Table Columns 5" w:uiPriority="0" w:semiHidden="0" w:unhideWhenUsed="0" w:qFormat="1"/>
    <w:lsdException w:name="Table Grid 1" w:uiPriority="0" w:semiHidden="0" w:unhideWhenUsed="0" w:qFormat="1"/>
    <w:lsdException w:name="Table Grid 2" w:uiPriority="0" w:semiHidden="0" w:unhideWhenUsed="0" w:qFormat="1"/>
    <w:lsdException w:name="Table Grid 3" w:uiPriority="0" w:semiHidden="0" w:unhideWhenUsed="0" w:qFormat="1"/>
    <w:lsdException w:name="Table Grid 4" w:uiPriority="0" w:semiHidden="0" w:unhideWhenUsed="0" w:qFormat="1"/>
    <w:lsdException w:name="Table Grid 5" w:uiPriority="0" w:semiHidden="0" w:unhideWhenUsed="0" w:qFormat="1"/>
    <w:lsdException w:name="Table Grid 6" w:uiPriority="0" w:semiHidden="0" w:unhideWhenUsed="0" w:qFormat="1"/>
    <w:lsdException w:name="Table Grid 7" w:uiPriority="0" w:semiHidden="0" w:unhideWhenUsed="0" w:qFormat="1"/>
    <w:lsdException w:name="Table Grid 8" w:uiPriority="0" w:semiHidden="0" w:unhideWhenUsed="0" w:qFormat="1"/>
    <w:lsdException w:name="Table List 1" w:uiPriority="0" w:semiHidden="0" w:unhideWhenUsed="0" w:qFormat="1"/>
    <w:lsdException w:name="Table List 2" w:uiPriority="0" w:semiHidden="0" w:unhideWhenUsed="0" w:qFormat="1"/>
    <w:lsdException w:name="Table List 3" w:uiPriority="0" w:semiHidden="0" w:unhideWhenUsed="0" w:qFormat="1"/>
    <w:lsdException w:name="Table List 4" w:uiPriority="0" w:semiHidden="0" w:unhideWhenUsed="0" w:qFormat="1"/>
    <w:lsdException w:name="Table List 5" w:uiPriority="0" w:semiHidden="0" w:unhideWhenUsed="0" w:qFormat="1"/>
    <w:lsdException w:name="Table List 6" w:uiPriority="0" w:semiHidden="0" w:unhideWhenUsed="0" w:qFormat="1"/>
    <w:lsdException w:name="Table List 7" w:uiPriority="0" w:semiHidden="0" w:unhideWhenUsed="0" w:qFormat="1"/>
    <w:lsdException w:name="Table List 8" w:uiPriority="0" w:semiHidden="0" w:unhideWhenUsed="0" w:qFormat="1"/>
    <w:lsdException w:name="Table 3D effects 1" w:uiPriority="0" w:semiHidden="0" w:unhideWhenUsed="0" w:qFormat="1"/>
    <w:lsdException w:name="Table 3D effects 2" w:uiPriority="0" w:semiHidden="0" w:unhideWhenUsed="0" w:qFormat="1"/>
    <w:lsdException w:name="Table 3D effects 3" w:uiPriority="0" w:semiHidden="0" w:unhideWhenUsed="0" w:qFormat="1"/>
    <w:lsdException w:name="Table Contemporary" w:uiPriority="0" w:semiHidden="0" w:unhideWhenUsed="0" w:qFormat="1"/>
    <w:lsdException w:name="Table Elegant" w:uiPriority="0" w:semiHidden="0" w:unhideWhenUsed="0" w:qFormat="1"/>
    <w:lsdException w:name="Table Professional" w:uiPriority="0" w:semiHidden="0" w:unhideWhenUsed="0" w:qFormat="1"/>
    <w:lsdException w:name="Table Subtle 1" w:uiPriority="0" w:semiHidden="0" w:unhideWhenUsed="0" w:qFormat="1"/>
    <w:lsdException w:name="Table Subtle 2" w:uiPriority="0" w:semiHidden="0" w:unhideWhenUsed="0" w:qFormat="1"/>
    <w:lsdException w:name="Table Web 1" w:uiPriority="0" w:semiHidden="0" w:unhideWhenUsed="0" w:qFormat="1"/>
    <w:lsdException w:name="Table Web 2" w:uiPriority="0" w:semiHidden="0" w:unhideWhenUsed="0"/>
    <w:lsdException w:name="Table Web 3" w:uiPriority="0" w:semiHidden="0" w:unhideWhenUsed="0" w:qFormat="1"/>
    <w:lsdException w:name="Balloon Text" w:uiPriority="0" w:semiHidden="0" w:unhideWhenUsed="0" w:qFormat="1"/>
    <w:lsdException w:name="Table Grid" w:uiPriority="0" w:semiHidden="0" w:unhideWhenUsed="0" w:qFormat="1"/>
    <w:lsdException w:name="Table Theme" w:uiPriority="0" w:semiHidden="0" w:unhideWhenUsed="0" w:qFormat="1"/>
    <w:lsdException w:name="Light Shading" w:uiPriority="60" w:semiHidden="0" w:unhideWhenUsed="0"/>
    <w:lsdException w:name="Light List" w:uiPriority="61" w:semiHidden="0" w:unhideWhenUsed="0" w:qFormat="1"/>
    <w:lsdException w:name="Light Grid" w:uiPriority="62" w:semiHidden="0" w:unhideWhenUsed="0" w:qFormat="1"/>
    <w:lsdException w:name="Medium Shading 1" w:uiPriority="63" w:semiHidden="0" w:unhideWhenUsed="0" w:qFormat="1"/>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qFormat="1"/>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qFormat="1"/>
    <w:lsdException w:name="Light Shading Accent 1" w:uiPriority="60" w:semiHidden="0" w:unhideWhenUsed="0" w:qFormat="1"/>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qFormat="1"/>
    <w:lsdException w:name="Medium List 1 Accent 1" w:uiPriority="65"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qFormat="1"/>
    <w:lsdException w:name="Colorful List Accent 1" w:uiPriority="72" w:semiHidden="0" w:unhideWhenUsed="0" w:qFormat="1"/>
    <w:lsdException w:name="Colorful Grid Accent 1" w:uiPriority="73" w:semiHidden="0" w:unhideWhenUsed="0" w:qFormat="1"/>
    <w:lsdException w:name="Light Shading Accent 2" w:uiPriority="60" w:semiHidden="0" w:unhideWhenUsed="0" w:qFormat="1"/>
    <w:lsdException w:name="Light List Accent 2" w:uiPriority="61" w:semiHidden="0" w:unhideWhenUsed="0" w:qFormat="1"/>
    <w:lsdException w:name="Light Grid Accent 2" w:uiPriority="62" w:semiHidden="0" w:unhideWhenUsed="0" w:qFormat="1"/>
    <w:lsdException w:name="Medium Shading 1 Accent 2" w:uiPriority="63" w:semiHidden="0" w:unhideWhenUsed="0" w:qFormat="1"/>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qFormat="1"/>
    <w:lsdException w:name="Medium Grid 2 Accent 2" w:uiPriority="68" w:semiHidden="0" w:unhideWhenUsed="0"/>
    <w:lsdException w:name="Medium Grid 3 Accent 2" w:uiPriority="69" w:semiHidden="0" w:unhideWhenUsed="0" w:qFormat="1"/>
    <w:lsdException w:name="Dark List Accent 2" w:uiPriority="70" w:semiHidden="0" w:unhideWhenUsed="0"/>
    <w:lsdException w:name="Colorful Shading Accent 2" w:uiPriority="71" w:semiHidden="0" w:unhideWhenUsed="0" w:qFormat="1"/>
    <w:lsdException w:name="Colorful List Accent 2" w:uiPriority="72" w:semiHidden="0" w:unhideWhenUsed="0" w:qFormat="1"/>
    <w:lsdException w:name="Colorful Grid Accent 2" w:uiPriority="73" w:semiHidden="0" w:unhideWhenUsed="0" w:qFormat="1"/>
    <w:lsdException w:name="Light Shading Accent 3" w:uiPriority="60" w:semiHidden="0" w:unhideWhenUsed="0" w:qFormat="1"/>
    <w:lsdException w:name="Light List Accent 3" w:uiPriority="61" w:semiHidden="0" w:unhideWhenUsed="0" w:qFormat="1"/>
    <w:lsdException w:name="Light Grid Accent 3" w:uiPriority="62" w:semiHidden="0" w:unhideWhenUsed="0" w:qFormat="1"/>
    <w:lsdException w:name="Medium Shading 1 Accent 3" w:uiPriority="63" w:semiHidden="0" w:unhideWhenUsed="0" w:qFormat="1"/>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qFormat="1"/>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qFormat="1"/>
    <w:lsdException w:name="Colorful Grid Accent 3" w:uiPriority="73" w:semiHidden="0" w:unhideWhenUsed="0" w:qFormat="1"/>
    <w:lsdException w:name="Light Shading Accent 4" w:uiPriority="60" w:semiHidden="0" w:unhideWhenUsed="0" w:qFormat="1"/>
    <w:lsdException w:name="Light List Accent 4" w:uiPriority="61" w:semiHidden="0" w:unhideWhenUsed="0" w:qFormat="1"/>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qFormat="1"/>
    <w:lsdException w:name="Colorful List Accent 4" w:uiPriority="72" w:semiHidden="0" w:unhideWhenUsed="0" w:qFormat="1"/>
    <w:lsdException w:name="Colorful Grid Accent 4" w:uiPriority="73" w:semiHidden="0" w:unhideWhenUsed="0" w:qFormat="1"/>
    <w:lsdException w:name="Light Shading Accent 5" w:uiPriority="60" w:semiHidden="0" w:unhideWhenUsed="0" w:qFormat="1"/>
    <w:lsdException w:name="Light List Accent 5" w:uiPriority="61" w:semiHidden="0" w:unhideWhenUsed="0" w:qFormat="1"/>
    <w:lsdException w:name="Light Grid Accent 5" w:uiPriority="62" w:semiHidden="0" w:unhideWhenUsed="0"/>
    <w:lsdException w:name="Medium Shading 1 Accent 5" w:uiPriority="63" w:semiHidden="0" w:unhideWhenUsed="0"/>
    <w:lsdException w:name="Medium Shading 2 Accent 5" w:uiPriority="64" w:semiHidden="0" w:unhideWhenUsed="0" w:qFormat="1"/>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qFormat="1"/>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qFormat="1"/>
    <w:lsdException w:name="Colorful Grid Accent 5" w:uiPriority="73" w:semiHidden="0" w:unhideWhenUsed="0" w:qFormat="1"/>
    <w:lsdException w:name="Light Shading Accent 6" w:uiPriority="60" w:semiHidden="0" w:unhideWhenUsed="0" w:qFormat="1"/>
    <w:lsdException w:name="Light List Accent 6" w:uiPriority="61" w:semiHidden="0" w:unhideWhenUsed="0" w:qFormat="1"/>
    <w:lsdException w:name="Light Grid Accent 6" w:uiPriority="62" w:semiHidden="0" w:unhideWhenUsed="0" w:qFormat="1"/>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qFormat="1"/>
    <w:lsdException w:name="Medium Grid 3 Accent 6" w:uiPriority="69" w:semiHidden="0" w:unhideWhenUsed="0"/>
    <w:lsdException w:name="Dark List Accent 6" w:uiPriority="70" w:semiHidden="0" w:unhideWhenUsed="0" w:qFormat="1"/>
    <w:lsdException w:name="Colorful Shading Accent 6" w:uiPriority="71" w:semiHidden="0" w:unhideWhenUsed="0"/>
    <w:lsdException w:name="Colorful List Accent 6" w:uiPriority="72" w:semiHidden="0" w:unhideWhenUsed="0" w:qFormat="1"/>
    <w:lsdException w:name="Colorful Grid Accent 6" w:uiPriority="73" w:semiHidden="0" w:unhideWhenUsed="0" w:qFormat="1"/>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link w:val="249"/>
    <w:qFormat/>
    <w:uiPriority w:val="0"/>
    <w:pPr>
      <w:spacing w:before="0" w:beforeAutospacing="1" w:after="0" w:afterAutospacing="1"/>
      <w:jc w:val="left"/>
      <w:outlineLvl w:val="0"/>
    </w:pPr>
    <w:rPr>
      <w:rFonts w:hint="default" w:eastAsia="SimSun" w:cs="SimSun" w:asciiTheme="minorAscii" w:hAnsiTheme="minorAscii"/>
      <w:b/>
      <w:bCs/>
      <w:color w:val="221F1F"/>
      <w:sz w:val="24"/>
      <w:szCs w:val="48"/>
      <w:lang w:val="en-US" w:eastAsia="zh-CN" w:bidi="ar"/>
    </w:rPr>
  </w:style>
  <w:style w:type="paragraph" w:styleId="3">
    <w:name w:val="heading 2"/>
    <w:next w:val="1"/>
    <w:semiHidden/>
    <w:unhideWhenUsed/>
    <w:qFormat/>
    <w:uiPriority w:val="0"/>
    <w:pPr>
      <w:spacing w:before="0" w:beforeAutospacing="1" w:after="0" w:afterAutospacing="1"/>
      <w:jc w:val="left"/>
      <w:outlineLvl w:val="1"/>
    </w:pPr>
    <w:rPr>
      <w:rFonts w:hint="default" w:eastAsia="SimSun" w:cs="SimSun" w:asciiTheme="minorAscii" w:hAnsiTheme="minorAscii"/>
      <w:b/>
      <w:bCs/>
      <w:kern w:val="0"/>
      <w:sz w:val="24"/>
      <w:szCs w:val="36"/>
      <w:lang w:val="en-US" w:eastAsia="zh-CN" w:bidi="ar"/>
    </w:rPr>
  </w:style>
  <w:style w:type="paragraph" w:styleId="4">
    <w:name w:val="heading 3"/>
    <w:next w:val="1"/>
    <w:semiHidden/>
    <w:unhideWhenUsed/>
    <w:qFormat/>
    <w:uiPriority w:val="0"/>
    <w:pPr>
      <w:spacing w:before="0" w:beforeAutospacing="1" w:after="0" w:afterAutospacing="1"/>
      <w:jc w:val="left"/>
      <w:outlineLvl w:val="2"/>
    </w:pPr>
    <w:rPr>
      <w:rFonts w:hint="default" w:eastAsia="SimSun" w:cs="SimSun" w:asciiTheme="minorAscii" w:hAnsiTheme="minorAscii"/>
      <w:b/>
      <w:bCs/>
      <w:kern w:val="0"/>
      <w:sz w:val="24"/>
      <w:szCs w:val="27"/>
      <w:lang w:val="en-US" w:eastAsia="zh-CN" w:bidi="ar"/>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next w:val="1"/>
    <w:semiHidden/>
    <w:unhideWhenUsed/>
    <w:qFormat/>
    <w:uiPriority w:val="0"/>
    <w:pPr>
      <w:spacing w:before="0" w:beforeAutospacing="1" w:after="0" w:afterAutospacing="1"/>
      <w:jc w:val="left"/>
    </w:pPr>
    <w:rPr>
      <w:rFonts w:hint="eastAsia" w:ascii="SimSun" w:hAnsi="SimSun" w:eastAsia="SimSun" w:cs="SimSun"/>
      <w:b/>
      <w:bCs/>
      <w:kern w:val="0"/>
      <w:sz w:val="15"/>
      <w:szCs w:val="15"/>
      <w:lang w:val="en-US" w:eastAsia="zh-CN" w:bidi="ar"/>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styleId="11" w:default="1">
    <w:name w:val="Default Paragraph Font"/>
    <w:semiHidden/>
    <w:unhideWhenUsed/>
    <w:qFormat/>
    <w:uiPriority w:val="1"/>
  </w:style>
  <w:style w:type="table" w:styleId="12" w:default="1">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rFonts w:asciiTheme="minorAscii" w:hAnsiTheme="minorAscii"/>
      <w:b/>
      <w:sz w:val="24"/>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Space="180" w:wrap="auto" w:hAnchor="page" w:vAnchor="margin" w:xAlign="center" w:yAlign="bottom" w:hRule="exact"/>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49" w:customStyle="1">
    <w:name w:val="Heading 1 Char"/>
    <w:link w:val="2"/>
    <w:qFormat/>
    <w:uiPriority w:val="9"/>
    <w:rPr>
      <w:rFonts w:hint="default" w:eastAsia="Times New Roman" w:cs="Times New Roman" w:asciiTheme="minorAscii" w:hAnsiTheme="minorAscii"/>
      <w:b/>
      <w:bCs/>
      <w:color w:val="221F1F"/>
      <w:sz w:val="24"/>
      <w:szCs w:val="24"/>
      <w:lang w:val="en-US" w:eastAsia="en-US" w:bidi="ar-SA"/>
    </w:rPr>
  </w:style>
</w:styles>
</file>

<file path=word/_rels/document.xml.rels>&#65279;<?xml version="1.0" encoding="utf-8"?><Relationships xmlns="http://schemas.openxmlformats.org/package/2006/relationships"><Relationship Type="http://schemas.openxmlformats.org/officeDocument/2006/relationships/fontTable" Target="fontTable.xml" Id="rId5" /><Relationship Type="http://schemas.openxmlformats.org/officeDocument/2006/relationships/numbering" Target="numbering.xml" Id="rId4" /><Relationship Type="http://schemas.openxmlformats.org/officeDocument/2006/relationships/theme" Target="theme/theme1.xml" Id="rId3" /><Relationship Type="http://schemas.openxmlformats.org/officeDocument/2006/relationships/settings" Target="settings.xml" Id="rId2"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2025-11-16T07:31:00.0000000Z</dcterms:created>
  <dc:creator>tania</dc:creator>
  <lastModifiedBy>Tasmia Bano (2433992)</lastModifiedBy>
  <dcterms:modified xsi:type="dcterms:W3CDTF">2025-11-17T18:20:36.9048814Z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6948F4C7A3EB44D380D271FF44A3525E_13</vt:lpwstr>
  </property>
</Properties>
</file>