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C6DFA2" w14:textId="206AAFD2" w:rsidR="003B0301" w:rsidRDefault="003B0301" w:rsidP="003B0301">
      <w:pPr>
        <w:jc w:val="center"/>
        <w:rPr>
          <w:u w:val="single"/>
        </w:rPr>
      </w:pPr>
      <w:bookmarkStart w:id="0" w:name="_GoBack"/>
      <w:r>
        <w:rPr>
          <w:u w:val="single"/>
        </w:rPr>
        <w:t>Making use o</w:t>
      </w:r>
      <w:r w:rsidR="006F26F9">
        <w:rPr>
          <w:u w:val="single"/>
        </w:rPr>
        <w:t>f</w:t>
      </w:r>
      <w:r>
        <w:rPr>
          <w:u w:val="single"/>
        </w:rPr>
        <w:t xml:space="preserve"> funerary evidence associated with one individual pre-Roman Iron Age site, discuss how the evidence can be used to identify differences in social status in this community.</w:t>
      </w:r>
    </w:p>
    <w:p w14:paraId="536BFA68" w14:textId="707249A3" w:rsidR="003B0301" w:rsidRDefault="003B0301" w:rsidP="003B0301">
      <w:pPr>
        <w:rPr>
          <w:u w:val="single"/>
        </w:rPr>
      </w:pPr>
    </w:p>
    <w:p w14:paraId="6B7FD498" w14:textId="7A4A8933" w:rsidR="003B0301" w:rsidRDefault="003B0301" w:rsidP="003B0301">
      <w:pPr>
        <w:rPr>
          <w:u w:val="single"/>
        </w:rPr>
      </w:pPr>
      <w:r>
        <w:rPr>
          <w:u w:val="single"/>
        </w:rPr>
        <w:t>Introduction.</w:t>
      </w:r>
    </w:p>
    <w:p w14:paraId="6DBAD329" w14:textId="2C9C96E6" w:rsidR="0088690D" w:rsidRDefault="0088690D" w:rsidP="003B0301">
      <w:r>
        <w:t xml:space="preserve">In this essay the Arras culture of Garton Station with regards to social status in the community will be analysed to collaborate a conclusion as to </w:t>
      </w:r>
      <w:r w:rsidR="00FA592A">
        <w:t>whether</w:t>
      </w:r>
      <w:r>
        <w:t xml:space="preserve"> there are differences</w:t>
      </w:r>
      <w:r w:rsidR="00FA592A">
        <w:t>. Within this essay both books and journal articles will be used to contribute to the wider discussion.</w:t>
      </w:r>
    </w:p>
    <w:p w14:paraId="45ADAA04" w14:textId="77777777" w:rsidR="00B41088" w:rsidRDefault="00B41088" w:rsidP="003B0301"/>
    <w:p w14:paraId="56ADC70D" w14:textId="51242067" w:rsidR="003B0301" w:rsidRDefault="00286C8D" w:rsidP="003B0301">
      <w:pPr>
        <w:rPr>
          <w:u w:val="single"/>
        </w:rPr>
      </w:pPr>
      <w:r>
        <w:rPr>
          <w:u w:val="single"/>
        </w:rPr>
        <w:t>Significance of site/time period.</w:t>
      </w:r>
    </w:p>
    <w:p w14:paraId="15A856C6" w14:textId="02552897" w:rsidR="00E1730B" w:rsidRPr="0069274C" w:rsidRDefault="0069274C" w:rsidP="003B0301">
      <w:r>
        <w:t xml:space="preserve">Most sites that are in East Yorkshire </w:t>
      </w:r>
      <w:proofErr w:type="gramStart"/>
      <w:r>
        <w:t>are considered to be</w:t>
      </w:r>
      <w:proofErr w:type="gramEnd"/>
      <w:r>
        <w:t xml:space="preserve"> associated with the Arras culture</w:t>
      </w:r>
      <w:r w:rsidR="0006714A">
        <w:t xml:space="preserve">, according to Timothy </w:t>
      </w:r>
      <w:proofErr w:type="spellStart"/>
      <w:r w:rsidR="0006714A">
        <w:t>Darvill</w:t>
      </w:r>
      <w:proofErr w:type="spellEnd"/>
      <w:r w:rsidR="0006714A">
        <w:t xml:space="preserve"> this is “Middle and late I</w:t>
      </w:r>
      <w:r w:rsidR="00E1730B">
        <w:t>ron Age in eastern Yorkshire”</w:t>
      </w:r>
      <w:r w:rsidR="00E1730B">
        <w:rPr>
          <w:rStyle w:val="FootnoteReference"/>
        </w:rPr>
        <w:footnoteReference w:id="1"/>
      </w:r>
      <w:r w:rsidR="00E1730B">
        <w:t>.</w:t>
      </w:r>
    </w:p>
    <w:p w14:paraId="342E9C5D" w14:textId="194BDFBC" w:rsidR="0069274C" w:rsidRDefault="00FA592A" w:rsidP="003B0301">
      <w:r>
        <w:t>The Garton Station site is in East Yorkshire, this has some sort of significance as</w:t>
      </w:r>
      <w:r w:rsidR="00171274">
        <w:t xml:space="preserve"> Jay, Montgomery, Nehlich, Towers and Evans suggest “that th</w:t>
      </w:r>
      <w:r w:rsidR="004C5FA4">
        <w:t>eir Arras culture affinities with Continental Europe”</w:t>
      </w:r>
      <w:r w:rsidR="004C5FA4">
        <w:rPr>
          <w:rStyle w:val="FootnoteReference"/>
        </w:rPr>
        <w:footnoteReference w:id="2"/>
      </w:r>
      <w:r w:rsidR="004C5FA4">
        <w:t xml:space="preserve">. This shows the significance of this </w:t>
      </w:r>
      <w:proofErr w:type="gramStart"/>
      <w:r w:rsidR="004C5FA4">
        <w:t>particular site</w:t>
      </w:r>
      <w:proofErr w:type="gramEnd"/>
      <w:r w:rsidR="004C5FA4">
        <w:t xml:space="preserve"> as it is in Northern England. Barry Cun</w:t>
      </w:r>
      <w:r w:rsidR="0047003F">
        <w:t xml:space="preserve">liffe suggested that the “Arras Culture burials have much in common with several distinct groups of the La </w:t>
      </w:r>
      <w:proofErr w:type="spellStart"/>
      <w:r w:rsidR="0047003F">
        <w:t>Tène</w:t>
      </w:r>
      <w:proofErr w:type="spellEnd"/>
      <w:r w:rsidR="0047003F">
        <w:t xml:space="preserve"> burials in northern Europe”</w:t>
      </w:r>
      <w:r w:rsidR="0047003F">
        <w:rPr>
          <w:rStyle w:val="FootnoteReference"/>
        </w:rPr>
        <w:footnoteReference w:id="3"/>
      </w:r>
      <w:r w:rsidR="00CB27FF">
        <w:t xml:space="preserve">. Which </w:t>
      </w:r>
      <w:proofErr w:type="spellStart"/>
      <w:r w:rsidR="00CB27FF">
        <w:t>Sarunas</w:t>
      </w:r>
      <w:proofErr w:type="spellEnd"/>
      <w:r w:rsidR="00CB27FF">
        <w:t xml:space="preserve"> </w:t>
      </w:r>
      <w:proofErr w:type="spellStart"/>
      <w:r w:rsidR="00CB27FF">
        <w:t>Milisauska</w:t>
      </w:r>
      <w:proofErr w:type="spellEnd"/>
      <w:r w:rsidR="00CB27FF">
        <w:t xml:space="preserve"> suggests that “La </w:t>
      </w:r>
      <w:proofErr w:type="spellStart"/>
      <w:r w:rsidR="00CB27FF">
        <w:t>Tène</w:t>
      </w:r>
      <w:proofErr w:type="spellEnd"/>
      <w:r w:rsidR="00CB27FF">
        <w:t xml:space="preserve"> style of ornament first appeared around the </w:t>
      </w:r>
      <w:r w:rsidR="00CB27FF">
        <w:lastRenderedPageBreak/>
        <w:t>beginning of the fifth century BC”</w:t>
      </w:r>
      <w:r w:rsidR="00CB27FF">
        <w:rPr>
          <w:rStyle w:val="FootnoteReference"/>
        </w:rPr>
        <w:footnoteReference w:id="4"/>
      </w:r>
      <w:r w:rsidR="00CB27FF">
        <w:t>. And it is suggested that this period end around the first century BCE</w:t>
      </w:r>
      <w:r w:rsidR="0069274C">
        <w:t>.</w:t>
      </w:r>
    </w:p>
    <w:p w14:paraId="0ED2E8FF" w14:textId="4AEA4F24" w:rsidR="003E333E" w:rsidRDefault="003E333E" w:rsidP="003B0301">
      <w:r>
        <w:t xml:space="preserve">It is believed that the burial customs would sometimes change from one thing to another, and that they would be </w:t>
      </w:r>
      <w:proofErr w:type="gramStart"/>
      <w:r>
        <w:t>similar to</w:t>
      </w:r>
      <w:proofErr w:type="gramEnd"/>
      <w:r>
        <w:t xml:space="preserve"> one another for example inhumation or cremation. Yet, when talking about inhumation, Barry Cunliffe states in his book that “This style of burial, hitherto completely alien in Britain, is well known among early La </w:t>
      </w:r>
      <w:proofErr w:type="spellStart"/>
      <w:r>
        <w:t>Tène</w:t>
      </w:r>
      <w:proofErr w:type="spellEnd"/>
      <w:r>
        <w:t xml:space="preserve"> cultures of France and Germany”</w:t>
      </w:r>
      <w:r>
        <w:rPr>
          <w:rStyle w:val="FootnoteReference"/>
        </w:rPr>
        <w:footnoteReference w:id="5"/>
      </w:r>
      <w:r w:rsidR="0057200D">
        <w:t xml:space="preserve">. </w:t>
      </w:r>
      <w:r w:rsidR="0057200D">
        <w:tab/>
        <w:t>To build on this Mandy Jay et al state that the “Garton Station … were contacted with the head to the north (the normative Arras Culture rite)”</w:t>
      </w:r>
      <w:r w:rsidR="0057200D">
        <w:rPr>
          <w:rStyle w:val="FootnoteReference"/>
        </w:rPr>
        <w:footnoteReference w:id="6"/>
      </w:r>
      <w:r w:rsidR="0057200D">
        <w:t xml:space="preserve">. </w:t>
      </w:r>
      <w:proofErr w:type="gramStart"/>
      <w:r w:rsidR="0057200D">
        <w:t>Therefore</w:t>
      </w:r>
      <w:proofErr w:type="gramEnd"/>
      <w:r w:rsidR="0057200D">
        <w:t xml:space="preserve"> showing how this culture in Yorkshire was different to the others in Britain at the time</w:t>
      </w:r>
    </w:p>
    <w:p w14:paraId="59B1DC76" w14:textId="31452045" w:rsidR="003B0301" w:rsidRDefault="00286C8D" w:rsidP="003B0301">
      <w:pPr>
        <w:rPr>
          <w:u w:val="single"/>
        </w:rPr>
      </w:pPr>
      <w:r>
        <w:rPr>
          <w:u w:val="single"/>
        </w:rPr>
        <w:t xml:space="preserve">What sort of individuals were buried </w:t>
      </w:r>
      <w:proofErr w:type="gramStart"/>
      <w:r>
        <w:rPr>
          <w:u w:val="single"/>
        </w:rPr>
        <w:t>ther</w:t>
      </w:r>
      <w:r w:rsidR="00B41088">
        <w:rPr>
          <w:u w:val="single"/>
        </w:rPr>
        <w:t>e</w:t>
      </w:r>
      <w:r>
        <w:rPr>
          <w:u w:val="single"/>
        </w:rPr>
        <w:t>.</w:t>
      </w:r>
      <w:proofErr w:type="gramEnd"/>
    </w:p>
    <w:p w14:paraId="6FAE249A" w14:textId="77777777" w:rsidR="00FC50A3" w:rsidRDefault="00CD2B95" w:rsidP="00CD2B95">
      <w:r>
        <w:t>According to one article a skeleton of a man was found in this site and that it is “of a man aged 30-40 about 1.7m (5ft 9in) in height in apparently good health and with an excellent set of teeth for the time”</w:t>
      </w:r>
      <w:r>
        <w:rPr>
          <w:rStyle w:val="FootnoteReference"/>
        </w:rPr>
        <w:footnoteReference w:id="7"/>
      </w:r>
      <w:r>
        <w:t>. From what is written it suggests that this individual had a high social status due as it seems that he was in good health. The same article also states that “</w:t>
      </w:r>
      <w:r w:rsidR="00FC50A3">
        <w:t>Over 12,000 bone fragments from over 180 cattle were discovered in burial pits around the chariot”</w:t>
      </w:r>
      <w:r w:rsidR="00FC50A3">
        <w:rPr>
          <w:rStyle w:val="FootnoteReference"/>
        </w:rPr>
        <w:footnoteReference w:id="8"/>
      </w:r>
      <w:r w:rsidR="00FC50A3">
        <w:t>. Due to the bones being fragments this could suggest that the bones of the cattle could have been cremated, showing how there could have been a difference for how people and animals were buried.</w:t>
      </w:r>
    </w:p>
    <w:p w14:paraId="7372CF44" w14:textId="2960EADD" w:rsidR="00FC50A3" w:rsidRDefault="00FC50A3" w:rsidP="00FC50A3">
      <w:r>
        <w:lastRenderedPageBreak/>
        <w:t>I.M. Stead wrote in his book they “There was a considerable variety in the barrows/enclosures excavated”</w:t>
      </w:r>
      <w:r>
        <w:rPr>
          <w:rStyle w:val="FootnoteReference"/>
        </w:rPr>
        <w:footnoteReference w:id="9"/>
      </w:r>
      <w:r w:rsidR="00FA683A">
        <w:t xml:space="preserve">. The barrows that are described are the same as a Tumulus but with a different name, but one thing to not is that there are 2 different Tumulus which Kevin </w:t>
      </w:r>
      <w:proofErr w:type="spellStart"/>
      <w:r w:rsidR="00FA683A">
        <w:t>Garstik</w:t>
      </w:r>
      <w:proofErr w:type="spellEnd"/>
      <w:r w:rsidR="00FA683A">
        <w:t xml:space="preserve"> et al suggests that “one served primarily as a mausoleum – mound as cemetery – and one that acted as a memorial focused”</w:t>
      </w:r>
      <w:r w:rsidR="00FA683A">
        <w:rPr>
          <w:rStyle w:val="FootnoteReference"/>
        </w:rPr>
        <w:footnoteReference w:id="10"/>
      </w:r>
      <w:r w:rsidR="0021201B">
        <w:t>.</w:t>
      </w:r>
    </w:p>
    <w:p w14:paraId="42402FD3" w14:textId="329444A6" w:rsidR="00E9247B" w:rsidRDefault="0021201B" w:rsidP="003B0301">
      <w:r>
        <w:t>In the article Mary Jay</w:t>
      </w:r>
      <w:r w:rsidR="005C72C4">
        <w:t xml:space="preserve"> et al</w:t>
      </w:r>
      <w:r>
        <w:t xml:space="preserve"> describes how some bone samples were all taken and states that “Bone samples were all rib, except for three of the chariot </w:t>
      </w:r>
      <w:proofErr w:type="gramStart"/>
      <w:r>
        <w:t>burial</w:t>
      </w:r>
      <w:proofErr w:type="gramEnd"/>
      <w:r>
        <w:t xml:space="preserve">, where samples were taken from both rib and </w:t>
      </w:r>
      <w:proofErr w:type="spellStart"/>
      <w:r>
        <w:t>humerus</w:t>
      </w:r>
      <w:proofErr w:type="spellEnd"/>
      <w:r>
        <w:t>, as well as dentine”</w:t>
      </w:r>
      <w:r>
        <w:rPr>
          <w:rStyle w:val="FootnoteReference"/>
        </w:rPr>
        <w:footnoteReference w:id="11"/>
      </w:r>
      <w:r w:rsidR="00933218">
        <w:t xml:space="preserve">. This could either suggest that there were multiple individuals buried in this area or only one. But once again according to Mandy Jay the “dentine showing a mainly childhood signal, </w:t>
      </w:r>
      <w:proofErr w:type="spellStart"/>
      <w:r w:rsidR="00933218">
        <w:t>humerus</w:t>
      </w:r>
      <w:proofErr w:type="spellEnd"/>
      <w:r w:rsidR="00933218">
        <w:t xml:space="preserve"> showing long-term average lifetime and rib having a higher turnover rate”</w:t>
      </w:r>
      <w:r w:rsidR="00933218">
        <w:rPr>
          <w:rStyle w:val="FootnoteReference"/>
        </w:rPr>
        <w:footnoteReference w:id="12"/>
      </w:r>
      <w:r w:rsidR="00693B68">
        <w:t>. The evidence here therefore shows how there were multiple individuals buried in this area, it could suggest that there was a family buried together or it could be something el</w:t>
      </w:r>
      <w:r w:rsidR="0057200D">
        <w:t>se,</w:t>
      </w:r>
    </w:p>
    <w:p w14:paraId="1C90AD4E" w14:textId="3E54681A" w:rsidR="003B0301" w:rsidRDefault="00E9247B" w:rsidP="003B0301">
      <w:pPr>
        <w:rPr>
          <w:u w:val="single"/>
        </w:rPr>
      </w:pPr>
      <w:r>
        <w:rPr>
          <w:u w:val="single"/>
        </w:rPr>
        <w:t>Significance of the items.</w:t>
      </w:r>
    </w:p>
    <w:p w14:paraId="58A054D4" w14:textId="7806C80F" w:rsidR="00CE368A" w:rsidRDefault="00712A87" w:rsidP="003B0301">
      <w:r>
        <w:t>One notable discovery in the Garton Station is that of chariots where Barry Cunliffe wrote “Actual two-wheeled vehicles, possibl</w:t>
      </w:r>
      <w:r w:rsidR="00A22C77">
        <w:t xml:space="preserve">y of the war chariot kind, have been recorded in a number of Yorkshire burials, most notably at </w:t>
      </w:r>
      <w:proofErr w:type="spellStart"/>
      <w:r w:rsidR="00A22C77">
        <w:t>Wetwang</w:t>
      </w:r>
      <w:proofErr w:type="spellEnd"/>
      <w:r w:rsidR="00A22C77">
        <w:t xml:space="preserve"> Slack Garton Slack”</w:t>
      </w:r>
      <w:r w:rsidR="00A22C77">
        <w:rPr>
          <w:rStyle w:val="FootnoteReference"/>
        </w:rPr>
        <w:footnoteReference w:id="13"/>
      </w:r>
      <w:r w:rsidR="00A22C77">
        <w:t xml:space="preserve">. Suggesting that the people here are of high status. Barry Cunliffe </w:t>
      </w:r>
      <w:r w:rsidR="00A22C77">
        <w:lastRenderedPageBreak/>
        <w:t xml:space="preserve">also argues that the “principle element of the Yorkshire </w:t>
      </w:r>
      <w:r w:rsidR="00C222F3">
        <w:t>cart burials can therefore be seen to be inhumations”</w:t>
      </w:r>
      <w:r w:rsidR="00C222F3">
        <w:rPr>
          <w:rStyle w:val="FootnoteReference"/>
        </w:rPr>
        <w:footnoteReference w:id="14"/>
      </w:r>
      <w:r w:rsidR="002455B0">
        <w:t xml:space="preserve">. </w:t>
      </w:r>
      <w:r w:rsidR="00DE0551">
        <w:t xml:space="preserve">It could be suggested that inhumation is the preferred method of burial as Mandy Jay et al suggests in the article that “inhumations fit within the general pattern and it is the Garton Station and </w:t>
      </w:r>
      <w:proofErr w:type="spellStart"/>
      <w:r w:rsidR="00DE0551">
        <w:t>Kirkburn</w:t>
      </w:r>
      <w:proofErr w:type="spellEnd"/>
      <w:r w:rsidR="00DE0551">
        <w:t xml:space="preserve"> individuals that fill in this area”</w:t>
      </w:r>
      <w:r w:rsidR="00DE0551">
        <w:rPr>
          <w:rStyle w:val="FootnoteReference"/>
        </w:rPr>
        <w:footnoteReference w:id="15"/>
      </w:r>
      <w:r w:rsidR="00DE0551">
        <w:t xml:space="preserve">. </w:t>
      </w:r>
    </w:p>
    <w:p w14:paraId="55C98135" w14:textId="5B70270B" w:rsidR="005A31EC" w:rsidRDefault="005A31EC" w:rsidP="003B0301">
      <w:r>
        <w:t>One thing to remember is that it is not only chariots that were discovered in the Garton Station, but other objects as well, according to Graeme Erskine et al “1 Shield, 14 Iron Spearheads, 1 Iron Sword”</w:t>
      </w:r>
      <w:r>
        <w:rPr>
          <w:rStyle w:val="FootnoteReference"/>
        </w:rPr>
        <w:footnoteReference w:id="16"/>
      </w:r>
      <w:r w:rsidR="00163ECC">
        <w:t>. This suggests that the people that were buried here could have been warriors of some sort due to the weaponry.</w:t>
      </w:r>
    </w:p>
    <w:p w14:paraId="15A0F8DF" w14:textId="77777777" w:rsidR="00E1730B" w:rsidRPr="00E9247B" w:rsidRDefault="00E1730B" w:rsidP="00E1730B">
      <w:r>
        <w:t>One thing that’s stands out is that some glass artefacts were discovered in the site, according to Miranda Green “and other sites in the East Riding of Yorkshire have yielded examples of jet, amber, bronze and more commonly glass”</w:t>
      </w:r>
      <w:r>
        <w:rPr>
          <w:rStyle w:val="FootnoteReference"/>
        </w:rPr>
        <w:footnoteReference w:id="17"/>
      </w:r>
      <w:r>
        <w:t xml:space="preserve">. This is something that is uncommon to find in certain areas, so we could suggest that it was either made in the area or that it was imported, therefore suggesting that </w:t>
      </w:r>
      <w:proofErr w:type="gramStart"/>
      <w:r>
        <w:t>the majority of</w:t>
      </w:r>
      <w:proofErr w:type="gramEnd"/>
      <w:r>
        <w:t xml:space="preserve"> people that lived in this area had some sort of high status, or what we would consider a way to access some wealth. </w:t>
      </w:r>
    </w:p>
    <w:p w14:paraId="03228614" w14:textId="216B320E" w:rsidR="003B0301" w:rsidRDefault="00774540" w:rsidP="003B0301">
      <w:r>
        <w:t xml:space="preserve">Something that was discovered with the chariots were </w:t>
      </w:r>
      <w:proofErr w:type="spellStart"/>
      <w:r>
        <w:t>linch</w:t>
      </w:r>
      <w:proofErr w:type="spellEnd"/>
      <w:r>
        <w:t xml:space="preserve">-pins, which are used to stop a wheel from sliding off whilst it’s riding. I.M Stead states in his book that “A very different </w:t>
      </w:r>
      <w:proofErr w:type="spellStart"/>
      <w:r>
        <w:t>linch</w:t>
      </w:r>
      <w:proofErr w:type="spellEnd"/>
      <w:r>
        <w:t xml:space="preserve">-pin at </w:t>
      </w:r>
      <w:r>
        <w:lastRenderedPageBreak/>
        <w:t>Garton Station had a small iron ring in a comparable position”</w:t>
      </w:r>
      <w:r>
        <w:rPr>
          <w:rStyle w:val="FootnoteReference"/>
        </w:rPr>
        <w:footnoteReference w:id="18"/>
      </w:r>
      <w:r>
        <w:t xml:space="preserve">. Which suggests that the people of this area either had a different knowledge and knew how to make them better, or not enough knowledge and therefore they were not of very good quality. But the evidence we have suggests that </w:t>
      </w:r>
      <w:proofErr w:type="gramStart"/>
      <w:r>
        <w:t>the majority of</w:t>
      </w:r>
      <w:proofErr w:type="gramEnd"/>
      <w:r>
        <w:t xml:space="preserve"> the people that were buried and lived here were had a relatively high social status.</w:t>
      </w:r>
    </w:p>
    <w:p w14:paraId="4D037359" w14:textId="3F731D0B" w:rsidR="003B0301" w:rsidRDefault="003B0301" w:rsidP="003B0301">
      <w:pPr>
        <w:rPr>
          <w:u w:val="single"/>
        </w:rPr>
      </w:pPr>
      <w:r>
        <w:rPr>
          <w:u w:val="single"/>
        </w:rPr>
        <w:t>Conclusion.</w:t>
      </w:r>
    </w:p>
    <w:p w14:paraId="3E2E16C6" w14:textId="1E5FF593" w:rsidR="004C5FA4" w:rsidRPr="00E94DD6" w:rsidRDefault="00E94DD6" w:rsidP="003B0301">
      <w:r>
        <w:t xml:space="preserve">To conclude it is suggested that many of the people that were buried here, were of a high social status </w:t>
      </w:r>
      <w:proofErr w:type="gramStart"/>
      <w:r>
        <w:t>due to the fact that</w:t>
      </w:r>
      <w:proofErr w:type="gramEnd"/>
      <w:r>
        <w:t xml:space="preserve"> many of them were buried with chariots. The only one that we could suggest was of a low social status could be the child, since because of its age it may not have as much</w:t>
      </w:r>
      <w:r w:rsidR="00774540">
        <w:t xml:space="preserve"> status</w:t>
      </w:r>
      <w:r>
        <w:t xml:space="preserve"> as someone in the community who would be older.</w:t>
      </w:r>
    </w:p>
    <w:bookmarkEnd w:id="0" w:displacedByCustomXml="next"/>
    <w:sdt>
      <w:sdtPr>
        <w:id w:val="320775960"/>
        <w:docPartObj>
          <w:docPartGallery w:val="Bibliographies"/>
          <w:docPartUnique/>
        </w:docPartObj>
      </w:sdtPr>
      <w:sdtEndPr>
        <w:rPr>
          <w:rFonts w:ascii="Comic Sans MS" w:eastAsiaTheme="minorHAnsi" w:hAnsi="Comic Sans MS" w:cs="Arial"/>
          <w:color w:val="auto"/>
          <w:spacing w:val="20"/>
          <w:sz w:val="24"/>
          <w:szCs w:val="22"/>
          <w:lang w:val="en-GB"/>
        </w:rPr>
      </w:sdtEndPr>
      <w:sdtContent>
        <w:p w14:paraId="7E43069A" w14:textId="09DD506D" w:rsidR="004C5FA4" w:rsidRDefault="004C5FA4">
          <w:pPr>
            <w:pStyle w:val="Heading1"/>
          </w:pPr>
          <w:r>
            <w:t>Bibliography</w:t>
          </w:r>
        </w:p>
        <w:sdt>
          <w:sdtPr>
            <w:id w:val="111145805"/>
            <w:bibliography/>
          </w:sdtPr>
          <w:sdtContent>
            <w:p w14:paraId="03DE6F2C" w14:textId="77777777" w:rsidR="003E333E" w:rsidRDefault="004C5FA4" w:rsidP="003E333E">
              <w:pPr>
                <w:pStyle w:val="Bibliography"/>
                <w:ind w:left="720" w:hanging="720"/>
                <w:rPr>
                  <w:noProof/>
                  <w:szCs w:val="24"/>
                  <w:lang w:val="en-US"/>
                </w:rPr>
              </w:pPr>
              <w:r>
                <w:fldChar w:fldCharType="begin"/>
              </w:r>
              <w:r>
                <w:instrText xml:space="preserve"> BIBLIOGRAPHY </w:instrText>
              </w:r>
              <w:r>
                <w:fldChar w:fldCharType="separate"/>
              </w:r>
              <w:r w:rsidR="003E333E">
                <w:rPr>
                  <w:noProof/>
                  <w:lang w:val="en-US"/>
                </w:rPr>
                <w:t xml:space="preserve">Cunliffe, B. (1991). </w:t>
              </w:r>
              <w:r w:rsidR="003E333E">
                <w:rPr>
                  <w:i/>
                  <w:iCs/>
                  <w:noProof/>
                  <w:lang w:val="en-US"/>
                </w:rPr>
                <w:t>Iron Age Communities In Britain 3rd Edition.</w:t>
              </w:r>
              <w:r w:rsidR="003E333E">
                <w:rPr>
                  <w:noProof/>
                  <w:lang w:val="en-US"/>
                </w:rPr>
                <w:t xml:space="preserve"> London: Routledge.</w:t>
              </w:r>
            </w:p>
            <w:p w14:paraId="075B8A9C" w14:textId="77777777" w:rsidR="003E333E" w:rsidRDefault="003E333E" w:rsidP="003E333E">
              <w:pPr>
                <w:pStyle w:val="Bibliography"/>
                <w:ind w:left="720" w:hanging="720"/>
                <w:rPr>
                  <w:noProof/>
                  <w:lang w:val="en-US"/>
                </w:rPr>
              </w:pPr>
              <w:r>
                <w:rPr>
                  <w:noProof/>
                  <w:lang w:val="en-US"/>
                </w:rPr>
                <w:t xml:space="preserve">Cunliffe, B. (1992). </w:t>
              </w:r>
              <w:r>
                <w:rPr>
                  <w:i/>
                  <w:iCs/>
                  <w:noProof/>
                  <w:lang w:val="en-US"/>
                </w:rPr>
                <w:t>The Celitc World .</w:t>
              </w:r>
              <w:r>
                <w:rPr>
                  <w:noProof/>
                  <w:lang w:val="en-US"/>
                </w:rPr>
                <w:t xml:space="preserve"> London: Constable and Company Ltd.</w:t>
              </w:r>
            </w:p>
            <w:p w14:paraId="5DE128CF" w14:textId="77777777" w:rsidR="003E333E" w:rsidRDefault="003E333E" w:rsidP="003E333E">
              <w:pPr>
                <w:pStyle w:val="Bibliography"/>
                <w:ind w:left="720" w:hanging="720"/>
                <w:rPr>
                  <w:noProof/>
                  <w:lang w:val="en-US"/>
                </w:rPr>
              </w:pPr>
              <w:r>
                <w:rPr>
                  <w:noProof/>
                  <w:lang w:val="en-US"/>
                </w:rPr>
                <w:t xml:space="preserve">Cunliffe, B. (1995). </w:t>
              </w:r>
              <w:r>
                <w:rPr>
                  <w:i/>
                  <w:iCs/>
                  <w:noProof/>
                  <w:lang w:val="en-US"/>
                </w:rPr>
                <w:t>Iron Age Britain.</w:t>
              </w:r>
              <w:r>
                <w:rPr>
                  <w:noProof/>
                  <w:lang w:val="en-US"/>
                </w:rPr>
                <w:t xml:space="preserve"> London: B.T Batsford Ltd.</w:t>
              </w:r>
            </w:p>
            <w:p w14:paraId="21E77880" w14:textId="77777777" w:rsidR="003E333E" w:rsidRDefault="003E333E" w:rsidP="003E333E">
              <w:pPr>
                <w:pStyle w:val="Bibliography"/>
                <w:ind w:left="720" w:hanging="720"/>
                <w:rPr>
                  <w:noProof/>
                  <w:lang w:val="en-US"/>
                </w:rPr>
              </w:pPr>
              <w:r>
                <w:rPr>
                  <w:noProof/>
                  <w:lang w:val="en-US"/>
                </w:rPr>
                <w:t xml:space="preserve">Darvill, T. (2008). </w:t>
              </w:r>
              <w:r>
                <w:rPr>
                  <w:i/>
                  <w:iCs/>
                  <w:noProof/>
                  <w:lang w:val="en-US"/>
                </w:rPr>
                <w:t>The Concise Oxford Dictionary Of Archaeology 2nd edition.</w:t>
              </w:r>
              <w:r>
                <w:rPr>
                  <w:noProof/>
                  <w:lang w:val="en-US"/>
                </w:rPr>
                <w:t xml:space="preserve"> Oxford : Oxford University Press.</w:t>
              </w:r>
            </w:p>
            <w:p w14:paraId="48067E2C" w14:textId="77777777" w:rsidR="003E333E" w:rsidRDefault="003E333E" w:rsidP="003E333E">
              <w:pPr>
                <w:pStyle w:val="Bibliography"/>
                <w:ind w:left="720" w:hanging="720"/>
                <w:rPr>
                  <w:noProof/>
                  <w:lang w:val="en-US"/>
                </w:rPr>
              </w:pPr>
              <w:r>
                <w:rPr>
                  <w:noProof/>
                  <w:lang w:val="en-US"/>
                </w:rPr>
                <w:t xml:space="preserve">Erskine, G. e. (2016). Proceedings of the 17th Iron Age Research. </w:t>
              </w:r>
              <w:r>
                <w:rPr>
                  <w:i/>
                  <w:iCs/>
                  <w:noProof/>
                  <w:lang w:val="en-US"/>
                </w:rPr>
                <w:t>Archaeopress</w:t>
              </w:r>
              <w:r>
                <w:rPr>
                  <w:noProof/>
                  <w:lang w:val="en-US"/>
                </w:rPr>
                <w:t>, 1-61.</w:t>
              </w:r>
            </w:p>
            <w:p w14:paraId="3C233640" w14:textId="77777777" w:rsidR="003E333E" w:rsidRDefault="003E333E" w:rsidP="003E333E">
              <w:pPr>
                <w:pStyle w:val="Bibliography"/>
                <w:ind w:left="720" w:hanging="720"/>
                <w:rPr>
                  <w:noProof/>
                  <w:lang w:val="en-US"/>
                </w:rPr>
              </w:pPr>
              <w:r>
                <w:rPr>
                  <w:noProof/>
                  <w:lang w:val="en-US"/>
                </w:rPr>
                <w:lastRenderedPageBreak/>
                <w:t xml:space="preserve">Garstik, K. e. (2014). Reconstituting community: 3D visualization and early Iron Age social organization in the Heuneburg mortuary landscape. </w:t>
              </w:r>
              <w:r>
                <w:rPr>
                  <w:i/>
                  <w:iCs/>
                  <w:noProof/>
                  <w:lang w:val="en-US"/>
                </w:rPr>
                <w:t>Journal of Archaeological Science</w:t>
              </w:r>
              <w:r>
                <w:rPr>
                  <w:noProof/>
                  <w:lang w:val="en-US"/>
                </w:rPr>
                <w:t>, 23-30.</w:t>
              </w:r>
            </w:p>
            <w:p w14:paraId="2DE50E0B" w14:textId="77777777" w:rsidR="003E333E" w:rsidRDefault="003E333E" w:rsidP="003E333E">
              <w:pPr>
                <w:pStyle w:val="Bibliography"/>
                <w:ind w:left="720" w:hanging="720"/>
                <w:rPr>
                  <w:noProof/>
                  <w:lang w:val="en-US"/>
                </w:rPr>
              </w:pPr>
              <w:r>
                <w:rPr>
                  <w:noProof/>
                  <w:lang w:val="en-US"/>
                </w:rPr>
                <w:t xml:space="preserve">Green, M. (1995). </w:t>
              </w:r>
              <w:r>
                <w:rPr>
                  <w:i/>
                  <w:iCs/>
                  <w:noProof/>
                  <w:lang w:val="en-US"/>
                </w:rPr>
                <w:t>The Celtic World.</w:t>
              </w:r>
              <w:r>
                <w:rPr>
                  <w:noProof/>
                  <w:lang w:val="en-US"/>
                </w:rPr>
                <w:t xml:space="preserve"> London: Routledge.</w:t>
              </w:r>
            </w:p>
            <w:p w14:paraId="475878D6" w14:textId="77777777" w:rsidR="003E333E" w:rsidRDefault="003E333E" w:rsidP="003E333E">
              <w:pPr>
                <w:pStyle w:val="Bibliography"/>
                <w:ind w:left="720" w:hanging="720"/>
                <w:rPr>
                  <w:noProof/>
                  <w:lang w:val="en-US"/>
                </w:rPr>
              </w:pPr>
              <w:r>
                <w:rPr>
                  <w:noProof/>
                  <w:lang w:val="en-US"/>
                </w:rPr>
                <w:t xml:space="preserve">Jay, M. e. (2013). British Iron Age chariot burials of the. </w:t>
              </w:r>
              <w:r>
                <w:rPr>
                  <w:i/>
                  <w:iCs/>
                  <w:noProof/>
                  <w:lang w:val="en-US"/>
                </w:rPr>
                <w:t>World Archaeology</w:t>
              </w:r>
              <w:r>
                <w:rPr>
                  <w:noProof/>
                  <w:lang w:val="en-US"/>
                </w:rPr>
                <w:t>, 473-491.</w:t>
              </w:r>
            </w:p>
            <w:p w14:paraId="28209677" w14:textId="77777777" w:rsidR="003E333E" w:rsidRDefault="003E333E" w:rsidP="003E333E">
              <w:pPr>
                <w:pStyle w:val="Bibliography"/>
                <w:ind w:left="720" w:hanging="720"/>
                <w:rPr>
                  <w:noProof/>
                  <w:lang w:val="en-US"/>
                </w:rPr>
              </w:pPr>
              <w:r>
                <w:rPr>
                  <w:noProof/>
                  <w:lang w:val="en-US"/>
                </w:rPr>
                <w:t xml:space="preserve">Milisauskas, S. (1978). </w:t>
              </w:r>
              <w:r>
                <w:rPr>
                  <w:i/>
                  <w:iCs/>
                  <w:noProof/>
                  <w:lang w:val="en-US"/>
                </w:rPr>
                <w:t>European Prehistory A Survey .</w:t>
              </w:r>
              <w:r>
                <w:rPr>
                  <w:noProof/>
                  <w:lang w:val="en-US"/>
                </w:rPr>
                <w:t xml:space="preserve"> New York: Springer .</w:t>
              </w:r>
            </w:p>
            <w:p w14:paraId="05391C37" w14:textId="77777777" w:rsidR="003E333E" w:rsidRDefault="003E333E" w:rsidP="003E333E">
              <w:pPr>
                <w:pStyle w:val="Bibliography"/>
                <w:ind w:left="720" w:hanging="720"/>
                <w:rPr>
                  <w:noProof/>
                  <w:lang w:val="en-US"/>
                </w:rPr>
              </w:pPr>
              <w:r>
                <w:rPr>
                  <w:noProof/>
                  <w:lang w:val="en-US"/>
                </w:rPr>
                <w:t xml:space="preserve">N/A. (2017). </w:t>
              </w:r>
              <w:r>
                <w:rPr>
                  <w:i/>
                  <w:iCs/>
                  <w:noProof/>
                  <w:lang w:val="en-US"/>
                </w:rPr>
                <w:t>Iron Age Yorkshire – two chariots</w:t>
              </w:r>
              <w:r>
                <w:rPr>
                  <w:noProof/>
                  <w:lang w:val="en-US"/>
                </w:rPr>
                <w:t>. Retrieved from The Yorkshire Archaeological &amp; Historical Society: https://www.yas.org.uk/Sections/Prehistoric-Yorkshire/Iron-Age/Iron-Age-Yorkshire-two-chariots</w:t>
              </w:r>
            </w:p>
            <w:p w14:paraId="7AFC1A4E" w14:textId="77777777" w:rsidR="003E333E" w:rsidRDefault="003E333E" w:rsidP="003E333E">
              <w:pPr>
                <w:pStyle w:val="Bibliography"/>
                <w:ind w:left="720" w:hanging="720"/>
                <w:rPr>
                  <w:noProof/>
                  <w:lang w:val="en-US"/>
                </w:rPr>
              </w:pPr>
              <w:r>
                <w:rPr>
                  <w:noProof/>
                  <w:lang w:val="en-US"/>
                </w:rPr>
                <w:t xml:space="preserve">Stead, I. (1991). </w:t>
              </w:r>
              <w:r>
                <w:rPr>
                  <w:i/>
                  <w:iCs/>
                  <w:noProof/>
                  <w:lang w:val="en-US"/>
                </w:rPr>
                <w:t>Iron Age Cemeteries In East Yorkshire.</w:t>
              </w:r>
              <w:r>
                <w:rPr>
                  <w:noProof/>
                  <w:lang w:val="en-US"/>
                </w:rPr>
                <w:t xml:space="preserve"> London: English Heritage .</w:t>
              </w:r>
            </w:p>
            <w:p w14:paraId="6C614657" w14:textId="0D1F1F9F" w:rsidR="004C5FA4" w:rsidRDefault="004C5FA4" w:rsidP="003E333E">
              <w:r>
                <w:rPr>
                  <w:b/>
                  <w:bCs/>
                  <w:noProof/>
                </w:rPr>
                <w:fldChar w:fldCharType="end"/>
              </w:r>
            </w:p>
          </w:sdtContent>
        </w:sdt>
      </w:sdtContent>
    </w:sdt>
    <w:p w14:paraId="09526A90" w14:textId="77777777" w:rsidR="004C5FA4" w:rsidRPr="003B0301" w:rsidRDefault="004C5FA4" w:rsidP="003B0301">
      <w:pPr>
        <w:rPr>
          <w:u w:val="single"/>
        </w:rPr>
      </w:pPr>
    </w:p>
    <w:sectPr w:rsidR="004C5FA4" w:rsidRPr="003B03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6407B" w14:textId="77777777" w:rsidR="00235C12" w:rsidRDefault="00235C12" w:rsidP="004C5FA4">
      <w:pPr>
        <w:spacing w:after="0" w:line="240" w:lineRule="auto"/>
      </w:pPr>
      <w:r>
        <w:separator/>
      </w:r>
    </w:p>
  </w:endnote>
  <w:endnote w:type="continuationSeparator" w:id="0">
    <w:p w14:paraId="467E1029" w14:textId="77777777" w:rsidR="00235C12" w:rsidRDefault="00235C12" w:rsidP="004C5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0DA93C" w14:textId="77777777" w:rsidR="00235C12" w:rsidRDefault="00235C12" w:rsidP="004C5FA4">
      <w:pPr>
        <w:spacing w:after="0" w:line="240" w:lineRule="auto"/>
      </w:pPr>
      <w:r>
        <w:separator/>
      </w:r>
    </w:p>
  </w:footnote>
  <w:footnote w:type="continuationSeparator" w:id="0">
    <w:p w14:paraId="5D9024EB" w14:textId="77777777" w:rsidR="00235C12" w:rsidRDefault="00235C12" w:rsidP="004C5FA4">
      <w:pPr>
        <w:spacing w:after="0" w:line="240" w:lineRule="auto"/>
      </w:pPr>
      <w:r>
        <w:continuationSeparator/>
      </w:r>
    </w:p>
  </w:footnote>
  <w:footnote w:id="1">
    <w:p w14:paraId="1802E16E" w14:textId="7334E1D3" w:rsidR="00E1730B" w:rsidRDefault="00E1730B">
      <w:pPr>
        <w:pStyle w:val="FootnoteText"/>
      </w:pPr>
      <w:r>
        <w:rPr>
          <w:rStyle w:val="FootnoteReference"/>
        </w:rPr>
        <w:footnoteRef/>
      </w:r>
      <w:r>
        <w:t xml:space="preserve"> </w:t>
      </w:r>
      <w:proofErr w:type="spellStart"/>
      <w:r>
        <w:t>Darvill</w:t>
      </w:r>
      <w:proofErr w:type="spellEnd"/>
      <w:r>
        <w:t>, Timothy, 2008</w:t>
      </w:r>
    </w:p>
  </w:footnote>
  <w:footnote w:id="2">
    <w:p w14:paraId="13AB01DF" w14:textId="0C906A40" w:rsidR="004C5FA4" w:rsidRDefault="004C5FA4">
      <w:pPr>
        <w:pStyle w:val="FootnoteText"/>
      </w:pPr>
      <w:r>
        <w:rPr>
          <w:rStyle w:val="FootnoteReference"/>
        </w:rPr>
        <w:footnoteRef/>
      </w:r>
      <w:r>
        <w:t xml:space="preserve"> Jay, Mandy et al, 2013, p.473</w:t>
      </w:r>
    </w:p>
  </w:footnote>
  <w:footnote w:id="3">
    <w:p w14:paraId="106F5298" w14:textId="6D1E6F3D" w:rsidR="0047003F" w:rsidRDefault="0047003F">
      <w:pPr>
        <w:pStyle w:val="FootnoteText"/>
      </w:pPr>
      <w:r>
        <w:rPr>
          <w:rStyle w:val="FootnoteReference"/>
        </w:rPr>
        <w:footnoteRef/>
      </w:r>
      <w:r>
        <w:t xml:space="preserve"> Cunliffe, Barry, Iron Age Britain, 1995, p.47</w:t>
      </w:r>
    </w:p>
  </w:footnote>
  <w:footnote w:id="4">
    <w:p w14:paraId="2B20C9F2" w14:textId="5632832F" w:rsidR="00CB27FF" w:rsidRDefault="00CB27FF">
      <w:pPr>
        <w:pStyle w:val="FootnoteText"/>
      </w:pPr>
      <w:r>
        <w:rPr>
          <w:rStyle w:val="FootnoteReference"/>
        </w:rPr>
        <w:footnoteRef/>
      </w:r>
      <w:r>
        <w:t xml:space="preserve"> </w:t>
      </w:r>
      <w:proofErr w:type="spellStart"/>
      <w:r>
        <w:t>Milisauskas</w:t>
      </w:r>
      <w:proofErr w:type="spellEnd"/>
      <w:r>
        <w:t xml:space="preserve">, </w:t>
      </w:r>
      <w:proofErr w:type="spellStart"/>
      <w:r>
        <w:t>Sarunas</w:t>
      </w:r>
      <w:proofErr w:type="spellEnd"/>
      <w:r>
        <w:t>, European Prehistory A Survey, 1978, p.354</w:t>
      </w:r>
    </w:p>
  </w:footnote>
  <w:footnote w:id="5">
    <w:p w14:paraId="76FB6B0E" w14:textId="0F334340" w:rsidR="003E333E" w:rsidRDefault="003E333E">
      <w:pPr>
        <w:pStyle w:val="FootnoteText"/>
      </w:pPr>
      <w:r>
        <w:rPr>
          <w:rStyle w:val="FootnoteReference"/>
        </w:rPr>
        <w:footnoteRef/>
      </w:r>
      <w:r>
        <w:t xml:space="preserve"> Cunliffe, Barry, 1992, p.131</w:t>
      </w:r>
    </w:p>
  </w:footnote>
  <w:footnote w:id="6">
    <w:p w14:paraId="149BC60A" w14:textId="02847C76" w:rsidR="0057200D" w:rsidRDefault="0057200D">
      <w:pPr>
        <w:pStyle w:val="FootnoteText"/>
      </w:pPr>
      <w:r>
        <w:rPr>
          <w:rStyle w:val="FootnoteReference"/>
        </w:rPr>
        <w:footnoteRef/>
      </w:r>
      <w:r>
        <w:t xml:space="preserve"> Jay, Mandy et al, 2013, p.46</w:t>
      </w:r>
    </w:p>
  </w:footnote>
  <w:footnote w:id="7">
    <w:p w14:paraId="3C23B646" w14:textId="584F396C" w:rsidR="00CD2B95" w:rsidRDefault="00CD2B95">
      <w:pPr>
        <w:pStyle w:val="FootnoteText"/>
      </w:pPr>
      <w:r>
        <w:rPr>
          <w:rStyle w:val="FootnoteReference"/>
        </w:rPr>
        <w:footnoteRef/>
      </w:r>
      <w:r>
        <w:t xml:space="preserve"> N/A, 2017</w:t>
      </w:r>
    </w:p>
  </w:footnote>
  <w:footnote w:id="8">
    <w:p w14:paraId="7AB4FEB3" w14:textId="3F42E1D2" w:rsidR="00FC50A3" w:rsidRDefault="00FC50A3">
      <w:pPr>
        <w:pStyle w:val="FootnoteText"/>
      </w:pPr>
      <w:r>
        <w:rPr>
          <w:rStyle w:val="FootnoteReference"/>
        </w:rPr>
        <w:footnoteRef/>
      </w:r>
      <w:r>
        <w:t xml:space="preserve"> N/A, 2017</w:t>
      </w:r>
    </w:p>
  </w:footnote>
  <w:footnote w:id="9">
    <w:p w14:paraId="02A479E8" w14:textId="46CE8D55" w:rsidR="00FC50A3" w:rsidRDefault="00FC50A3">
      <w:pPr>
        <w:pStyle w:val="FootnoteText"/>
      </w:pPr>
      <w:r>
        <w:rPr>
          <w:rStyle w:val="FootnoteReference"/>
        </w:rPr>
        <w:footnoteRef/>
      </w:r>
      <w:r>
        <w:t xml:space="preserve"> Stead, I.M, </w:t>
      </w:r>
      <w:r w:rsidR="0002202C">
        <w:t>1991</w:t>
      </w:r>
      <w:r>
        <w:t xml:space="preserve"> p.17</w:t>
      </w:r>
    </w:p>
  </w:footnote>
  <w:footnote w:id="10">
    <w:p w14:paraId="5890ED82" w14:textId="6A9065A0" w:rsidR="00FA683A" w:rsidRDefault="00FA683A">
      <w:pPr>
        <w:pStyle w:val="FootnoteText"/>
      </w:pPr>
      <w:r>
        <w:rPr>
          <w:rStyle w:val="FootnoteReference"/>
        </w:rPr>
        <w:footnoteRef/>
      </w:r>
      <w:r>
        <w:t xml:space="preserve"> </w:t>
      </w:r>
      <w:proofErr w:type="spellStart"/>
      <w:r>
        <w:t>Garstik</w:t>
      </w:r>
      <w:proofErr w:type="spellEnd"/>
      <w:r>
        <w:t>, Kevin et al, 2014, p.25</w:t>
      </w:r>
    </w:p>
  </w:footnote>
  <w:footnote w:id="11">
    <w:p w14:paraId="367662AF" w14:textId="24E8CF3C" w:rsidR="0021201B" w:rsidRDefault="0021201B">
      <w:pPr>
        <w:pStyle w:val="FootnoteText"/>
      </w:pPr>
      <w:r>
        <w:rPr>
          <w:rStyle w:val="FootnoteReference"/>
        </w:rPr>
        <w:footnoteRef/>
      </w:r>
      <w:r>
        <w:t xml:space="preserve"> Jay, Mandy et al, 2013, p.478</w:t>
      </w:r>
    </w:p>
  </w:footnote>
  <w:footnote w:id="12">
    <w:p w14:paraId="1BB7409A" w14:textId="306FB658" w:rsidR="00933218" w:rsidRDefault="00933218">
      <w:pPr>
        <w:pStyle w:val="FootnoteText"/>
      </w:pPr>
      <w:r>
        <w:rPr>
          <w:rStyle w:val="FootnoteReference"/>
        </w:rPr>
        <w:footnoteRef/>
      </w:r>
      <w:r>
        <w:t xml:space="preserve"> Jay, Mandy et al, 2013, p.478</w:t>
      </w:r>
    </w:p>
  </w:footnote>
  <w:footnote w:id="13">
    <w:p w14:paraId="7FD4D8E5" w14:textId="62ABA208" w:rsidR="00A22C77" w:rsidRDefault="00A22C77">
      <w:pPr>
        <w:pStyle w:val="FootnoteText"/>
      </w:pPr>
      <w:r>
        <w:rPr>
          <w:rStyle w:val="FootnoteReference"/>
        </w:rPr>
        <w:footnoteRef/>
      </w:r>
      <w:r>
        <w:t xml:space="preserve"> Cunliffe, Barry 1991, p.492</w:t>
      </w:r>
    </w:p>
  </w:footnote>
  <w:footnote w:id="14">
    <w:p w14:paraId="7851B511" w14:textId="36F31BFD" w:rsidR="00C222F3" w:rsidRDefault="00C222F3">
      <w:pPr>
        <w:pStyle w:val="FootnoteText"/>
      </w:pPr>
      <w:r>
        <w:rPr>
          <w:rStyle w:val="FootnoteReference"/>
        </w:rPr>
        <w:footnoteRef/>
      </w:r>
      <w:r>
        <w:t xml:space="preserve"> Cunliffe, Barry, 1991 p.503</w:t>
      </w:r>
    </w:p>
  </w:footnote>
  <w:footnote w:id="15">
    <w:p w14:paraId="2960FAF5" w14:textId="286F4AEC" w:rsidR="00DE0551" w:rsidRDefault="00DE0551">
      <w:pPr>
        <w:pStyle w:val="FootnoteText"/>
      </w:pPr>
      <w:r>
        <w:rPr>
          <w:rStyle w:val="FootnoteReference"/>
        </w:rPr>
        <w:footnoteRef/>
      </w:r>
      <w:r>
        <w:t xml:space="preserve"> Jay, Mandy et al 2013, p.481</w:t>
      </w:r>
    </w:p>
  </w:footnote>
  <w:footnote w:id="16">
    <w:p w14:paraId="776EDC70" w14:textId="22D05573" w:rsidR="005A31EC" w:rsidRDefault="005A31EC">
      <w:pPr>
        <w:pStyle w:val="FootnoteText"/>
      </w:pPr>
      <w:r>
        <w:rPr>
          <w:rStyle w:val="FootnoteReference"/>
        </w:rPr>
        <w:footnoteRef/>
      </w:r>
      <w:r>
        <w:t xml:space="preserve"> Graeme Erskine et al, 201</w:t>
      </w:r>
      <w:r w:rsidR="00956DD8">
        <w:t>6,</w:t>
      </w:r>
      <w:r>
        <w:t xml:space="preserve"> p.47</w:t>
      </w:r>
    </w:p>
  </w:footnote>
  <w:footnote w:id="17">
    <w:p w14:paraId="5B784EC3" w14:textId="77777777" w:rsidR="00E1730B" w:rsidRDefault="00E1730B" w:rsidP="00E1730B">
      <w:pPr>
        <w:pStyle w:val="FootnoteText"/>
      </w:pPr>
      <w:r>
        <w:rPr>
          <w:rStyle w:val="FootnoteReference"/>
        </w:rPr>
        <w:footnoteRef/>
      </w:r>
      <w:r>
        <w:t xml:space="preserve"> Green Miranda, 1995 p.103</w:t>
      </w:r>
    </w:p>
  </w:footnote>
  <w:footnote w:id="18">
    <w:p w14:paraId="07FF89FD" w14:textId="4F019236" w:rsidR="00774540" w:rsidRDefault="00774540">
      <w:pPr>
        <w:pStyle w:val="FootnoteText"/>
      </w:pPr>
      <w:r>
        <w:rPr>
          <w:rStyle w:val="FootnoteReference"/>
        </w:rPr>
        <w:footnoteRef/>
      </w:r>
      <w:r>
        <w:t xml:space="preserve"> </w:t>
      </w:r>
      <w:proofErr w:type="gramStart"/>
      <w:r>
        <w:t>Stead,  I.M</w:t>
      </w:r>
      <w:proofErr w:type="gramEnd"/>
      <w:r>
        <w:t>, 1991, p.46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770EB8"/>
    <w:multiLevelType w:val="hybridMultilevel"/>
    <w:tmpl w:val="C7AE0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9F5010"/>
    <w:multiLevelType w:val="hybridMultilevel"/>
    <w:tmpl w:val="85CED23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78447F6"/>
    <w:multiLevelType w:val="hybridMultilevel"/>
    <w:tmpl w:val="F2B22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222CCC"/>
    <w:multiLevelType w:val="hybridMultilevel"/>
    <w:tmpl w:val="7C38F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301"/>
    <w:rsid w:val="0002202C"/>
    <w:rsid w:val="0006714A"/>
    <w:rsid w:val="00095BE0"/>
    <w:rsid w:val="00163ECC"/>
    <w:rsid w:val="00165F8B"/>
    <w:rsid w:val="00171274"/>
    <w:rsid w:val="00174278"/>
    <w:rsid w:val="00197BA7"/>
    <w:rsid w:val="0021201B"/>
    <w:rsid w:val="00235C12"/>
    <w:rsid w:val="002455B0"/>
    <w:rsid w:val="00286C8D"/>
    <w:rsid w:val="002E4ECD"/>
    <w:rsid w:val="0037623E"/>
    <w:rsid w:val="003B0301"/>
    <w:rsid w:val="003E333E"/>
    <w:rsid w:val="0047003F"/>
    <w:rsid w:val="004C5FA4"/>
    <w:rsid w:val="00542AE3"/>
    <w:rsid w:val="0057200D"/>
    <w:rsid w:val="005A31EC"/>
    <w:rsid w:val="005C72C4"/>
    <w:rsid w:val="0069274C"/>
    <w:rsid w:val="00693B68"/>
    <w:rsid w:val="006F26F9"/>
    <w:rsid w:val="00712A87"/>
    <w:rsid w:val="00774540"/>
    <w:rsid w:val="0088690D"/>
    <w:rsid w:val="00891E72"/>
    <w:rsid w:val="00933218"/>
    <w:rsid w:val="00956DD8"/>
    <w:rsid w:val="00973302"/>
    <w:rsid w:val="00975F25"/>
    <w:rsid w:val="009D2E71"/>
    <w:rsid w:val="00A22C77"/>
    <w:rsid w:val="00B41088"/>
    <w:rsid w:val="00C222F3"/>
    <w:rsid w:val="00CB27FF"/>
    <w:rsid w:val="00CD2B95"/>
    <w:rsid w:val="00CE368A"/>
    <w:rsid w:val="00DE0551"/>
    <w:rsid w:val="00E1730B"/>
    <w:rsid w:val="00E9247B"/>
    <w:rsid w:val="00E94DD6"/>
    <w:rsid w:val="00FA592A"/>
    <w:rsid w:val="00FA683A"/>
    <w:rsid w:val="00FC5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AF72F"/>
  <w15:chartTrackingRefBased/>
  <w15:docId w15:val="{E4226581-A12E-475E-8F8B-C198D5D00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Arial"/>
        <w:spacing w:val="20"/>
        <w:sz w:val="24"/>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5FA4"/>
    <w:pPr>
      <w:keepNext/>
      <w:keepLines/>
      <w:spacing w:before="240" w:after="0" w:line="259" w:lineRule="auto"/>
      <w:outlineLvl w:val="0"/>
    </w:pPr>
    <w:rPr>
      <w:rFonts w:asciiTheme="majorHAnsi" w:eastAsiaTheme="majorEastAsia" w:hAnsiTheme="majorHAnsi" w:cstheme="majorBidi"/>
      <w:color w:val="2F5496" w:themeColor="accent1" w:themeShade="BF"/>
      <w:spacing w:val="0"/>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6C8D"/>
    <w:pPr>
      <w:ind w:left="720"/>
      <w:contextualSpacing/>
    </w:pPr>
  </w:style>
  <w:style w:type="paragraph" w:styleId="FootnoteText">
    <w:name w:val="footnote text"/>
    <w:basedOn w:val="Normal"/>
    <w:link w:val="FootnoteTextChar"/>
    <w:uiPriority w:val="99"/>
    <w:semiHidden/>
    <w:unhideWhenUsed/>
    <w:rsid w:val="004C5F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5FA4"/>
    <w:rPr>
      <w:sz w:val="20"/>
      <w:szCs w:val="20"/>
    </w:rPr>
  </w:style>
  <w:style w:type="character" w:styleId="FootnoteReference">
    <w:name w:val="footnote reference"/>
    <w:basedOn w:val="DefaultParagraphFont"/>
    <w:uiPriority w:val="99"/>
    <w:semiHidden/>
    <w:unhideWhenUsed/>
    <w:rsid w:val="004C5FA4"/>
    <w:rPr>
      <w:vertAlign w:val="superscript"/>
    </w:rPr>
  </w:style>
  <w:style w:type="character" w:customStyle="1" w:styleId="Heading1Char">
    <w:name w:val="Heading 1 Char"/>
    <w:basedOn w:val="DefaultParagraphFont"/>
    <w:link w:val="Heading1"/>
    <w:uiPriority w:val="9"/>
    <w:rsid w:val="004C5FA4"/>
    <w:rPr>
      <w:rFonts w:asciiTheme="majorHAnsi" w:eastAsiaTheme="majorEastAsia" w:hAnsiTheme="majorHAnsi" w:cstheme="majorBidi"/>
      <w:color w:val="2F5496" w:themeColor="accent1" w:themeShade="BF"/>
      <w:spacing w:val="0"/>
      <w:sz w:val="32"/>
      <w:szCs w:val="32"/>
      <w:lang w:val="en-US"/>
    </w:rPr>
  </w:style>
  <w:style w:type="paragraph" w:styleId="Bibliography">
    <w:name w:val="Bibliography"/>
    <w:basedOn w:val="Normal"/>
    <w:next w:val="Normal"/>
    <w:uiPriority w:val="37"/>
    <w:unhideWhenUsed/>
    <w:rsid w:val="004C5FA4"/>
  </w:style>
  <w:style w:type="character" w:styleId="Hyperlink">
    <w:name w:val="Hyperlink"/>
    <w:basedOn w:val="DefaultParagraphFont"/>
    <w:uiPriority w:val="99"/>
    <w:semiHidden/>
    <w:unhideWhenUsed/>
    <w:rsid w:val="00CB27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76144">
      <w:bodyDiv w:val="1"/>
      <w:marLeft w:val="0"/>
      <w:marRight w:val="0"/>
      <w:marTop w:val="0"/>
      <w:marBottom w:val="0"/>
      <w:divBdr>
        <w:top w:val="none" w:sz="0" w:space="0" w:color="auto"/>
        <w:left w:val="none" w:sz="0" w:space="0" w:color="auto"/>
        <w:bottom w:val="none" w:sz="0" w:space="0" w:color="auto"/>
        <w:right w:val="none" w:sz="0" w:space="0" w:color="auto"/>
      </w:divBdr>
    </w:div>
    <w:div w:id="148449641">
      <w:bodyDiv w:val="1"/>
      <w:marLeft w:val="0"/>
      <w:marRight w:val="0"/>
      <w:marTop w:val="0"/>
      <w:marBottom w:val="0"/>
      <w:divBdr>
        <w:top w:val="none" w:sz="0" w:space="0" w:color="auto"/>
        <w:left w:val="none" w:sz="0" w:space="0" w:color="auto"/>
        <w:bottom w:val="none" w:sz="0" w:space="0" w:color="auto"/>
        <w:right w:val="none" w:sz="0" w:space="0" w:color="auto"/>
      </w:divBdr>
    </w:div>
    <w:div w:id="240674156">
      <w:bodyDiv w:val="1"/>
      <w:marLeft w:val="0"/>
      <w:marRight w:val="0"/>
      <w:marTop w:val="0"/>
      <w:marBottom w:val="0"/>
      <w:divBdr>
        <w:top w:val="none" w:sz="0" w:space="0" w:color="auto"/>
        <w:left w:val="none" w:sz="0" w:space="0" w:color="auto"/>
        <w:bottom w:val="none" w:sz="0" w:space="0" w:color="auto"/>
        <w:right w:val="none" w:sz="0" w:space="0" w:color="auto"/>
      </w:divBdr>
    </w:div>
    <w:div w:id="280844171">
      <w:bodyDiv w:val="1"/>
      <w:marLeft w:val="0"/>
      <w:marRight w:val="0"/>
      <w:marTop w:val="0"/>
      <w:marBottom w:val="0"/>
      <w:divBdr>
        <w:top w:val="none" w:sz="0" w:space="0" w:color="auto"/>
        <w:left w:val="none" w:sz="0" w:space="0" w:color="auto"/>
        <w:bottom w:val="none" w:sz="0" w:space="0" w:color="auto"/>
        <w:right w:val="none" w:sz="0" w:space="0" w:color="auto"/>
      </w:divBdr>
    </w:div>
    <w:div w:id="284385896">
      <w:bodyDiv w:val="1"/>
      <w:marLeft w:val="0"/>
      <w:marRight w:val="0"/>
      <w:marTop w:val="0"/>
      <w:marBottom w:val="0"/>
      <w:divBdr>
        <w:top w:val="none" w:sz="0" w:space="0" w:color="auto"/>
        <w:left w:val="none" w:sz="0" w:space="0" w:color="auto"/>
        <w:bottom w:val="none" w:sz="0" w:space="0" w:color="auto"/>
        <w:right w:val="none" w:sz="0" w:space="0" w:color="auto"/>
      </w:divBdr>
    </w:div>
    <w:div w:id="286786763">
      <w:bodyDiv w:val="1"/>
      <w:marLeft w:val="0"/>
      <w:marRight w:val="0"/>
      <w:marTop w:val="0"/>
      <w:marBottom w:val="0"/>
      <w:divBdr>
        <w:top w:val="none" w:sz="0" w:space="0" w:color="auto"/>
        <w:left w:val="none" w:sz="0" w:space="0" w:color="auto"/>
        <w:bottom w:val="none" w:sz="0" w:space="0" w:color="auto"/>
        <w:right w:val="none" w:sz="0" w:space="0" w:color="auto"/>
      </w:divBdr>
    </w:div>
    <w:div w:id="316761292">
      <w:bodyDiv w:val="1"/>
      <w:marLeft w:val="0"/>
      <w:marRight w:val="0"/>
      <w:marTop w:val="0"/>
      <w:marBottom w:val="0"/>
      <w:divBdr>
        <w:top w:val="none" w:sz="0" w:space="0" w:color="auto"/>
        <w:left w:val="none" w:sz="0" w:space="0" w:color="auto"/>
        <w:bottom w:val="none" w:sz="0" w:space="0" w:color="auto"/>
        <w:right w:val="none" w:sz="0" w:space="0" w:color="auto"/>
      </w:divBdr>
    </w:div>
    <w:div w:id="375469810">
      <w:bodyDiv w:val="1"/>
      <w:marLeft w:val="0"/>
      <w:marRight w:val="0"/>
      <w:marTop w:val="0"/>
      <w:marBottom w:val="0"/>
      <w:divBdr>
        <w:top w:val="none" w:sz="0" w:space="0" w:color="auto"/>
        <w:left w:val="none" w:sz="0" w:space="0" w:color="auto"/>
        <w:bottom w:val="none" w:sz="0" w:space="0" w:color="auto"/>
        <w:right w:val="none" w:sz="0" w:space="0" w:color="auto"/>
      </w:divBdr>
    </w:div>
    <w:div w:id="467746999">
      <w:bodyDiv w:val="1"/>
      <w:marLeft w:val="0"/>
      <w:marRight w:val="0"/>
      <w:marTop w:val="0"/>
      <w:marBottom w:val="0"/>
      <w:divBdr>
        <w:top w:val="none" w:sz="0" w:space="0" w:color="auto"/>
        <w:left w:val="none" w:sz="0" w:space="0" w:color="auto"/>
        <w:bottom w:val="none" w:sz="0" w:space="0" w:color="auto"/>
        <w:right w:val="none" w:sz="0" w:space="0" w:color="auto"/>
      </w:divBdr>
    </w:div>
    <w:div w:id="657195138">
      <w:bodyDiv w:val="1"/>
      <w:marLeft w:val="0"/>
      <w:marRight w:val="0"/>
      <w:marTop w:val="0"/>
      <w:marBottom w:val="0"/>
      <w:divBdr>
        <w:top w:val="none" w:sz="0" w:space="0" w:color="auto"/>
        <w:left w:val="none" w:sz="0" w:space="0" w:color="auto"/>
        <w:bottom w:val="none" w:sz="0" w:space="0" w:color="auto"/>
        <w:right w:val="none" w:sz="0" w:space="0" w:color="auto"/>
      </w:divBdr>
    </w:div>
    <w:div w:id="677269534">
      <w:bodyDiv w:val="1"/>
      <w:marLeft w:val="0"/>
      <w:marRight w:val="0"/>
      <w:marTop w:val="0"/>
      <w:marBottom w:val="0"/>
      <w:divBdr>
        <w:top w:val="none" w:sz="0" w:space="0" w:color="auto"/>
        <w:left w:val="none" w:sz="0" w:space="0" w:color="auto"/>
        <w:bottom w:val="none" w:sz="0" w:space="0" w:color="auto"/>
        <w:right w:val="none" w:sz="0" w:space="0" w:color="auto"/>
      </w:divBdr>
    </w:div>
    <w:div w:id="678505606">
      <w:bodyDiv w:val="1"/>
      <w:marLeft w:val="0"/>
      <w:marRight w:val="0"/>
      <w:marTop w:val="0"/>
      <w:marBottom w:val="0"/>
      <w:divBdr>
        <w:top w:val="none" w:sz="0" w:space="0" w:color="auto"/>
        <w:left w:val="none" w:sz="0" w:space="0" w:color="auto"/>
        <w:bottom w:val="none" w:sz="0" w:space="0" w:color="auto"/>
        <w:right w:val="none" w:sz="0" w:space="0" w:color="auto"/>
      </w:divBdr>
    </w:div>
    <w:div w:id="733704525">
      <w:bodyDiv w:val="1"/>
      <w:marLeft w:val="0"/>
      <w:marRight w:val="0"/>
      <w:marTop w:val="0"/>
      <w:marBottom w:val="0"/>
      <w:divBdr>
        <w:top w:val="none" w:sz="0" w:space="0" w:color="auto"/>
        <w:left w:val="none" w:sz="0" w:space="0" w:color="auto"/>
        <w:bottom w:val="none" w:sz="0" w:space="0" w:color="auto"/>
        <w:right w:val="none" w:sz="0" w:space="0" w:color="auto"/>
      </w:divBdr>
    </w:div>
    <w:div w:id="757025731">
      <w:bodyDiv w:val="1"/>
      <w:marLeft w:val="0"/>
      <w:marRight w:val="0"/>
      <w:marTop w:val="0"/>
      <w:marBottom w:val="0"/>
      <w:divBdr>
        <w:top w:val="none" w:sz="0" w:space="0" w:color="auto"/>
        <w:left w:val="none" w:sz="0" w:space="0" w:color="auto"/>
        <w:bottom w:val="none" w:sz="0" w:space="0" w:color="auto"/>
        <w:right w:val="none" w:sz="0" w:space="0" w:color="auto"/>
      </w:divBdr>
    </w:div>
    <w:div w:id="772746800">
      <w:bodyDiv w:val="1"/>
      <w:marLeft w:val="0"/>
      <w:marRight w:val="0"/>
      <w:marTop w:val="0"/>
      <w:marBottom w:val="0"/>
      <w:divBdr>
        <w:top w:val="none" w:sz="0" w:space="0" w:color="auto"/>
        <w:left w:val="none" w:sz="0" w:space="0" w:color="auto"/>
        <w:bottom w:val="none" w:sz="0" w:space="0" w:color="auto"/>
        <w:right w:val="none" w:sz="0" w:space="0" w:color="auto"/>
      </w:divBdr>
    </w:div>
    <w:div w:id="892890928">
      <w:bodyDiv w:val="1"/>
      <w:marLeft w:val="0"/>
      <w:marRight w:val="0"/>
      <w:marTop w:val="0"/>
      <w:marBottom w:val="0"/>
      <w:divBdr>
        <w:top w:val="none" w:sz="0" w:space="0" w:color="auto"/>
        <w:left w:val="none" w:sz="0" w:space="0" w:color="auto"/>
        <w:bottom w:val="none" w:sz="0" w:space="0" w:color="auto"/>
        <w:right w:val="none" w:sz="0" w:space="0" w:color="auto"/>
      </w:divBdr>
    </w:div>
    <w:div w:id="917207879">
      <w:bodyDiv w:val="1"/>
      <w:marLeft w:val="0"/>
      <w:marRight w:val="0"/>
      <w:marTop w:val="0"/>
      <w:marBottom w:val="0"/>
      <w:divBdr>
        <w:top w:val="none" w:sz="0" w:space="0" w:color="auto"/>
        <w:left w:val="none" w:sz="0" w:space="0" w:color="auto"/>
        <w:bottom w:val="none" w:sz="0" w:space="0" w:color="auto"/>
        <w:right w:val="none" w:sz="0" w:space="0" w:color="auto"/>
      </w:divBdr>
    </w:div>
    <w:div w:id="943150166">
      <w:bodyDiv w:val="1"/>
      <w:marLeft w:val="0"/>
      <w:marRight w:val="0"/>
      <w:marTop w:val="0"/>
      <w:marBottom w:val="0"/>
      <w:divBdr>
        <w:top w:val="none" w:sz="0" w:space="0" w:color="auto"/>
        <w:left w:val="none" w:sz="0" w:space="0" w:color="auto"/>
        <w:bottom w:val="none" w:sz="0" w:space="0" w:color="auto"/>
        <w:right w:val="none" w:sz="0" w:space="0" w:color="auto"/>
      </w:divBdr>
    </w:div>
    <w:div w:id="955521296">
      <w:bodyDiv w:val="1"/>
      <w:marLeft w:val="0"/>
      <w:marRight w:val="0"/>
      <w:marTop w:val="0"/>
      <w:marBottom w:val="0"/>
      <w:divBdr>
        <w:top w:val="none" w:sz="0" w:space="0" w:color="auto"/>
        <w:left w:val="none" w:sz="0" w:space="0" w:color="auto"/>
        <w:bottom w:val="none" w:sz="0" w:space="0" w:color="auto"/>
        <w:right w:val="none" w:sz="0" w:space="0" w:color="auto"/>
      </w:divBdr>
    </w:div>
    <w:div w:id="964891580">
      <w:bodyDiv w:val="1"/>
      <w:marLeft w:val="0"/>
      <w:marRight w:val="0"/>
      <w:marTop w:val="0"/>
      <w:marBottom w:val="0"/>
      <w:divBdr>
        <w:top w:val="none" w:sz="0" w:space="0" w:color="auto"/>
        <w:left w:val="none" w:sz="0" w:space="0" w:color="auto"/>
        <w:bottom w:val="none" w:sz="0" w:space="0" w:color="auto"/>
        <w:right w:val="none" w:sz="0" w:space="0" w:color="auto"/>
      </w:divBdr>
    </w:div>
    <w:div w:id="977880602">
      <w:bodyDiv w:val="1"/>
      <w:marLeft w:val="0"/>
      <w:marRight w:val="0"/>
      <w:marTop w:val="0"/>
      <w:marBottom w:val="0"/>
      <w:divBdr>
        <w:top w:val="none" w:sz="0" w:space="0" w:color="auto"/>
        <w:left w:val="none" w:sz="0" w:space="0" w:color="auto"/>
        <w:bottom w:val="none" w:sz="0" w:space="0" w:color="auto"/>
        <w:right w:val="none" w:sz="0" w:space="0" w:color="auto"/>
      </w:divBdr>
    </w:div>
    <w:div w:id="984430524">
      <w:bodyDiv w:val="1"/>
      <w:marLeft w:val="0"/>
      <w:marRight w:val="0"/>
      <w:marTop w:val="0"/>
      <w:marBottom w:val="0"/>
      <w:divBdr>
        <w:top w:val="none" w:sz="0" w:space="0" w:color="auto"/>
        <w:left w:val="none" w:sz="0" w:space="0" w:color="auto"/>
        <w:bottom w:val="none" w:sz="0" w:space="0" w:color="auto"/>
        <w:right w:val="none" w:sz="0" w:space="0" w:color="auto"/>
      </w:divBdr>
    </w:div>
    <w:div w:id="1039236717">
      <w:bodyDiv w:val="1"/>
      <w:marLeft w:val="0"/>
      <w:marRight w:val="0"/>
      <w:marTop w:val="0"/>
      <w:marBottom w:val="0"/>
      <w:divBdr>
        <w:top w:val="none" w:sz="0" w:space="0" w:color="auto"/>
        <w:left w:val="none" w:sz="0" w:space="0" w:color="auto"/>
        <w:bottom w:val="none" w:sz="0" w:space="0" w:color="auto"/>
        <w:right w:val="none" w:sz="0" w:space="0" w:color="auto"/>
      </w:divBdr>
    </w:div>
    <w:div w:id="1128476476">
      <w:bodyDiv w:val="1"/>
      <w:marLeft w:val="0"/>
      <w:marRight w:val="0"/>
      <w:marTop w:val="0"/>
      <w:marBottom w:val="0"/>
      <w:divBdr>
        <w:top w:val="none" w:sz="0" w:space="0" w:color="auto"/>
        <w:left w:val="none" w:sz="0" w:space="0" w:color="auto"/>
        <w:bottom w:val="none" w:sz="0" w:space="0" w:color="auto"/>
        <w:right w:val="none" w:sz="0" w:space="0" w:color="auto"/>
      </w:divBdr>
    </w:div>
    <w:div w:id="1189026086">
      <w:bodyDiv w:val="1"/>
      <w:marLeft w:val="0"/>
      <w:marRight w:val="0"/>
      <w:marTop w:val="0"/>
      <w:marBottom w:val="0"/>
      <w:divBdr>
        <w:top w:val="none" w:sz="0" w:space="0" w:color="auto"/>
        <w:left w:val="none" w:sz="0" w:space="0" w:color="auto"/>
        <w:bottom w:val="none" w:sz="0" w:space="0" w:color="auto"/>
        <w:right w:val="none" w:sz="0" w:space="0" w:color="auto"/>
      </w:divBdr>
    </w:div>
    <w:div w:id="1225097076">
      <w:bodyDiv w:val="1"/>
      <w:marLeft w:val="0"/>
      <w:marRight w:val="0"/>
      <w:marTop w:val="0"/>
      <w:marBottom w:val="0"/>
      <w:divBdr>
        <w:top w:val="none" w:sz="0" w:space="0" w:color="auto"/>
        <w:left w:val="none" w:sz="0" w:space="0" w:color="auto"/>
        <w:bottom w:val="none" w:sz="0" w:space="0" w:color="auto"/>
        <w:right w:val="none" w:sz="0" w:space="0" w:color="auto"/>
      </w:divBdr>
    </w:div>
    <w:div w:id="1237396858">
      <w:bodyDiv w:val="1"/>
      <w:marLeft w:val="0"/>
      <w:marRight w:val="0"/>
      <w:marTop w:val="0"/>
      <w:marBottom w:val="0"/>
      <w:divBdr>
        <w:top w:val="none" w:sz="0" w:space="0" w:color="auto"/>
        <w:left w:val="none" w:sz="0" w:space="0" w:color="auto"/>
        <w:bottom w:val="none" w:sz="0" w:space="0" w:color="auto"/>
        <w:right w:val="none" w:sz="0" w:space="0" w:color="auto"/>
      </w:divBdr>
    </w:div>
    <w:div w:id="1299383000">
      <w:bodyDiv w:val="1"/>
      <w:marLeft w:val="0"/>
      <w:marRight w:val="0"/>
      <w:marTop w:val="0"/>
      <w:marBottom w:val="0"/>
      <w:divBdr>
        <w:top w:val="none" w:sz="0" w:space="0" w:color="auto"/>
        <w:left w:val="none" w:sz="0" w:space="0" w:color="auto"/>
        <w:bottom w:val="none" w:sz="0" w:space="0" w:color="auto"/>
        <w:right w:val="none" w:sz="0" w:space="0" w:color="auto"/>
      </w:divBdr>
    </w:div>
    <w:div w:id="1568422640">
      <w:bodyDiv w:val="1"/>
      <w:marLeft w:val="0"/>
      <w:marRight w:val="0"/>
      <w:marTop w:val="0"/>
      <w:marBottom w:val="0"/>
      <w:divBdr>
        <w:top w:val="none" w:sz="0" w:space="0" w:color="auto"/>
        <w:left w:val="none" w:sz="0" w:space="0" w:color="auto"/>
        <w:bottom w:val="none" w:sz="0" w:space="0" w:color="auto"/>
        <w:right w:val="none" w:sz="0" w:space="0" w:color="auto"/>
      </w:divBdr>
    </w:div>
    <w:div w:id="1738043335">
      <w:bodyDiv w:val="1"/>
      <w:marLeft w:val="0"/>
      <w:marRight w:val="0"/>
      <w:marTop w:val="0"/>
      <w:marBottom w:val="0"/>
      <w:divBdr>
        <w:top w:val="none" w:sz="0" w:space="0" w:color="auto"/>
        <w:left w:val="none" w:sz="0" w:space="0" w:color="auto"/>
        <w:bottom w:val="none" w:sz="0" w:space="0" w:color="auto"/>
        <w:right w:val="none" w:sz="0" w:space="0" w:color="auto"/>
      </w:divBdr>
    </w:div>
    <w:div w:id="1797290050">
      <w:bodyDiv w:val="1"/>
      <w:marLeft w:val="0"/>
      <w:marRight w:val="0"/>
      <w:marTop w:val="0"/>
      <w:marBottom w:val="0"/>
      <w:divBdr>
        <w:top w:val="none" w:sz="0" w:space="0" w:color="auto"/>
        <w:left w:val="none" w:sz="0" w:space="0" w:color="auto"/>
        <w:bottom w:val="none" w:sz="0" w:space="0" w:color="auto"/>
        <w:right w:val="none" w:sz="0" w:space="0" w:color="auto"/>
      </w:divBdr>
    </w:div>
    <w:div w:id="1801533975">
      <w:bodyDiv w:val="1"/>
      <w:marLeft w:val="0"/>
      <w:marRight w:val="0"/>
      <w:marTop w:val="0"/>
      <w:marBottom w:val="0"/>
      <w:divBdr>
        <w:top w:val="none" w:sz="0" w:space="0" w:color="auto"/>
        <w:left w:val="none" w:sz="0" w:space="0" w:color="auto"/>
        <w:bottom w:val="none" w:sz="0" w:space="0" w:color="auto"/>
        <w:right w:val="none" w:sz="0" w:space="0" w:color="auto"/>
      </w:divBdr>
    </w:div>
    <w:div w:id="1835604642">
      <w:bodyDiv w:val="1"/>
      <w:marLeft w:val="0"/>
      <w:marRight w:val="0"/>
      <w:marTop w:val="0"/>
      <w:marBottom w:val="0"/>
      <w:divBdr>
        <w:top w:val="none" w:sz="0" w:space="0" w:color="auto"/>
        <w:left w:val="none" w:sz="0" w:space="0" w:color="auto"/>
        <w:bottom w:val="none" w:sz="0" w:space="0" w:color="auto"/>
        <w:right w:val="none" w:sz="0" w:space="0" w:color="auto"/>
      </w:divBdr>
    </w:div>
    <w:div w:id="1845972146">
      <w:bodyDiv w:val="1"/>
      <w:marLeft w:val="0"/>
      <w:marRight w:val="0"/>
      <w:marTop w:val="0"/>
      <w:marBottom w:val="0"/>
      <w:divBdr>
        <w:top w:val="none" w:sz="0" w:space="0" w:color="auto"/>
        <w:left w:val="none" w:sz="0" w:space="0" w:color="auto"/>
        <w:bottom w:val="none" w:sz="0" w:space="0" w:color="auto"/>
        <w:right w:val="none" w:sz="0" w:space="0" w:color="auto"/>
      </w:divBdr>
    </w:div>
    <w:div w:id="1859389913">
      <w:bodyDiv w:val="1"/>
      <w:marLeft w:val="0"/>
      <w:marRight w:val="0"/>
      <w:marTop w:val="0"/>
      <w:marBottom w:val="0"/>
      <w:divBdr>
        <w:top w:val="none" w:sz="0" w:space="0" w:color="auto"/>
        <w:left w:val="none" w:sz="0" w:space="0" w:color="auto"/>
        <w:bottom w:val="none" w:sz="0" w:space="0" w:color="auto"/>
        <w:right w:val="none" w:sz="0" w:space="0" w:color="auto"/>
      </w:divBdr>
    </w:div>
    <w:div w:id="1958363600">
      <w:bodyDiv w:val="1"/>
      <w:marLeft w:val="0"/>
      <w:marRight w:val="0"/>
      <w:marTop w:val="0"/>
      <w:marBottom w:val="0"/>
      <w:divBdr>
        <w:top w:val="none" w:sz="0" w:space="0" w:color="auto"/>
        <w:left w:val="none" w:sz="0" w:space="0" w:color="auto"/>
        <w:bottom w:val="none" w:sz="0" w:space="0" w:color="auto"/>
        <w:right w:val="none" w:sz="0" w:space="0" w:color="auto"/>
      </w:divBdr>
    </w:div>
    <w:div w:id="2106606858">
      <w:bodyDiv w:val="1"/>
      <w:marLeft w:val="0"/>
      <w:marRight w:val="0"/>
      <w:marTop w:val="0"/>
      <w:marBottom w:val="0"/>
      <w:divBdr>
        <w:top w:val="none" w:sz="0" w:space="0" w:color="auto"/>
        <w:left w:val="none" w:sz="0" w:space="0" w:color="auto"/>
        <w:bottom w:val="none" w:sz="0" w:space="0" w:color="auto"/>
        <w:right w:val="none" w:sz="0" w:space="0" w:color="auto"/>
      </w:divBdr>
    </w:div>
    <w:div w:id="211119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Jay13</b:Tag>
    <b:SourceType>JournalArticle</b:SourceType>
    <b:Guid>{0A1D5BBA-D72D-47DD-9A5B-FC85BA9DDB9C}</b:Guid>
    <b:Author>
      <b:Author>
        <b:NameList>
          <b:Person>
            <b:Last>Jay</b:Last>
            <b:First>Mnady</b:First>
            <b:Middle>et al</b:Middle>
          </b:Person>
        </b:NameList>
      </b:Author>
    </b:Author>
    <b:Title>British Iron Age chariot burials of the</b:Title>
    <b:JournalName>World Archaeology</b:JournalName>
    <b:Year>2013</b:Year>
    <b:Pages>473-491</b:Pages>
    <b:RefOrder>1</b:RefOrder>
  </b:Source>
  <b:Source>
    <b:Tag>Cun95</b:Tag>
    <b:SourceType>Book</b:SourceType>
    <b:Guid>{41086ED2-0C76-4EC4-984C-AA4D91B5DEFA}</b:Guid>
    <b:Title>Iron Age Britain</b:Title>
    <b:Year>1995</b:Year>
    <b:Author>
      <b:Author>
        <b:NameList>
          <b:Person>
            <b:Last>Cunliffe</b:Last>
            <b:First>Barry</b:First>
          </b:Person>
        </b:NameList>
      </b:Author>
    </b:Author>
    <b:City>London</b:City>
    <b:Publisher>B.T Batsford Ltd</b:Publisher>
    <b:RefOrder>2</b:RefOrder>
  </b:Source>
  <b:Source>
    <b:Tag>Mil781</b:Tag>
    <b:SourceType>Book</b:SourceType>
    <b:Guid>{42580397-6A71-40D4-A848-02076785825C}</b:Guid>
    <b:Author>
      <b:Author>
        <b:NameList>
          <b:Person>
            <b:Last>Milisauskas</b:Last>
            <b:First>Sarunas</b:First>
          </b:Person>
        </b:NameList>
      </b:Author>
    </b:Author>
    <b:Title>European Prehistory A Survey </b:Title>
    <b:Year>1978</b:Year>
    <b:City>New York</b:City>
    <b:Publisher>Springer </b:Publisher>
    <b:RefOrder>3</b:RefOrder>
  </b:Source>
  <b:Source>
    <b:Tag>Cun91</b:Tag>
    <b:SourceType>Book</b:SourceType>
    <b:Guid>{18EF6407-A630-4297-9CE4-784B4FCA5BEE}</b:Guid>
    <b:Author>
      <b:Author>
        <b:NameList>
          <b:Person>
            <b:Last>Cunliffe</b:Last>
            <b:First>Barry</b:First>
          </b:Person>
        </b:NameList>
      </b:Author>
    </b:Author>
    <b:Title>Iron Age Communities In Britain 3rd Edition</b:Title>
    <b:Year>1991</b:Year>
    <b:City>London</b:City>
    <b:Publisher>Routledge</b:Publisher>
    <b:RefOrder>4</b:RefOrder>
  </b:Source>
  <b:Source>
    <b:Tag>Ers16</b:Tag>
    <b:SourceType>JournalArticle</b:SourceType>
    <b:Guid>{53377CE4-E0CF-4CB1-BD06-9E9B1295F620}</b:Guid>
    <b:Title>Proceedings of the 17th Iron Age Research</b:Title>
    <b:Year>2016</b:Year>
    <b:Author>
      <b:Author>
        <b:NameList>
          <b:Person>
            <b:Last>Erskine</b:Last>
            <b:First>Graeme</b:First>
            <b:Middle>et al</b:Middle>
          </b:Person>
        </b:NameList>
      </b:Author>
    </b:Author>
    <b:JournalName>Archaeopress</b:JournalName>
    <b:Pages>1-61</b:Pages>
    <b:RefOrder>5</b:RefOrder>
  </b:Source>
  <b:Source>
    <b:Tag>NA17</b:Tag>
    <b:SourceType>InternetSite</b:SourceType>
    <b:Guid>{D4B0920F-BA4D-44F2-9EB2-261F2A50F065}</b:Guid>
    <b:Title>Iron Age Yorkshire – two chariots</b:Title>
    <b:Year>2017</b:Year>
    <b:Author>
      <b:Author>
        <b:NameList>
          <b:Person>
            <b:Last>N/A</b:Last>
          </b:Person>
        </b:NameList>
      </b:Author>
    </b:Author>
    <b:InternetSiteTitle>The Yorkshire Archaeological &amp; Historical Society</b:InternetSiteTitle>
    <b:URL>https://www.yas.org.uk/Sections/Prehistoric-Yorkshire/Iron-Age/Iron-Age-Yorkshire-two-chariots</b:URL>
    <b:RefOrder>6</b:RefOrder>
  </b:Source>
  <b:Source>
    <b:Tag>Ste91</b:Tag>
    <b:SourceType>Book</b:SourceType>
    <b:Guid>{E6316CA2-0BD3-4BF8-A081-246AC44008DA}</b:Guid>
    <b:Author>
      <b:Author>
        <b:NameList>
          <b:Person>
            <b:Last>Stead</b:Last>
            <b:First>I.M</b:First>
          </b:Person>
        </b:NameList>
      </b:Author>
    </b:Author>
    <b:Title>Iron Age Cemeteries In East Yorkshire</b:Title>
    <b:Year>1991</b:Year>
    <b:City>London</b:City>
    <b:Publisher>English Heritage </b:Publisher>
    <b:RefOrder>7</b:RefOrder>
  </b:Source>
  <b:Source>
    <b:Tag>Gar14</b:Tag>
    <b:SourceType>JournalArticle</b:SourceType>
    <b:Guid>{6060A17B-4ED9-47BF-A147-741147A9F85A}</b:Guid>
    <b:Title>Reconstituting community: 3D visualization and early Iron Age social organization in the Heuneburg mortuary landscape</b:Title>
    <b:Year>2014</b:Year>
    <b:Author>
      <b:Author>
        <b:NameList>
          <b:Person>
            <b:Last>Garstik</b:Last>
            <b:First>Kevin</b:First>
            <b:Middle>et al</b:Middle>
          </b:Person>
        </b:NameList>
      </b:Author>
    </b:Author>
    <b:JournalName>Journal of Archaeological Science</b:JournalName>
    <b:Pages>23-30</b:Pages>
    <b:RefOrder>8</b:RefOrder>
  </b:Source>
  <b:Source>
    <b:Tag>Gre951</b:Tag>
    <b:SourceType>Book</b:SourceType>
    <b:Guid>{558F5A09-F140-4E34-8FAE-7DA9961DC722}</b:Guid>
    <b:Title>The Celtic World</b:Title>
    <b:Year>1995</b:Year>
    <b:Author>
      <b:Author>
        <b:NameList>
          <b:Person>
            <b:Last>Green</b:Last>
            <b:First>Miranda</b:First>
          </b:Person>
        </b:NameList>
      </b:Author>
    </b:Author>
    <b:City>London</b:City>
    <b:Publisher>Routledge</b:Publisher>
    <b:RefOrder>9</b:RefOrder>
  </b:Source>
  <b:Source>
    <b:Tag>Dar08</b:Tag>
    <b:SourceType>Book</b:SourceType>
    <b:Guid>{42DEEE39-BB7D-4AB1-83CE-E9E8B844545D}</b:Guid>
    <b:Author>
      <b:Author>
        <b:NameList>
          <b:Person>
            <b:Last>Darvill</b:Last>
            <b:First>Timothy</b:First>
          </b:Person>
        </b:NameList>
      </b:Author>
    </b:Author>
    <b:Title>The Concise Oxford Dictionary Of Archaeology 2nd edition</b:Title>
    <b:Year>2008</b:Year>
    <b:City>Oxford </b:City>
    <b:Publisher>Oxford University Press</b:Publisher>
    <b:RefOrder>10</b:RefOrder>
  </b:Source>
  <b:Source>
    <b:Tag>Cun92</b:Tag>
    <b:SourceType>Book</b:SourceType>
    <b:Guid>{CC8089A0-9058-447F-B0EB-57D797489E69}</b:Guid>
    <b:Author>
      <b:Author>
        <b:NameList>
          <b:Person>
            <b:Last>Cunliffe</b:Last>
            <b:First>Barry</b:First>
          </b:Person>
        </b:NameList>
      </b:Author>
    </b:Author>
    <b:Title>The Celitc World </b:Title>
    <b:Year>1992</b:Year>
    <b:City>London</b:City>
    <b:Publisher>Constable and Company Ltd</b:Publisher>
    <b:RefOrder>11</b:RefOrder>
  </b:Source>
</b:Sources>
</file>

<file path=customXml/itemProps1.xml><?xml version="1.0" encoding="utf-8"?>
<ds:datastoreItem xmlns:ds="http://schemas.openxmlformats.org/officeDocument/2006/customXml" ds:itemID="{C8888852-3225-4DE8-94AD-705822436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6</Pages>
  <Words>1103</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Lloyd (1700665)</dc:creator>
  <cp:keywords/>
  <dc:description/>
  <cp:lastModifiedBy>Angharad Lloyd (1700665)</cp:lastModifiedBy>
  <cp:revision>23</cp:revision>
  <dcterms:created xsi:type="dcterms:W3CDTF">2019-01-13T13:04:00Z</dcterms:created>
  <dcterms:modified xsi:type="dcterms:W3CDTF">2019-01-18T18:41:00Z</dcterms:modified>
</cp:coreProperties>
</file>