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2C4E0" w14:textId="77777777" w:rsidR="0050452B" w:rsidRDefault="0050452B">
      <w:pPr>
        <w:spacing w:line="360" w:lineRule="auto"/>
        <w:jc w:val="center"/>
        <w:rPr>
          <w:rFonts w:ascii="Times New Roman" w:eastAsia="Times New Roman" w:hAnsi="Times New Roman" w:cs="Times New Roman"/>
          <w:b/>
          <w:sz w:val="32"/>
          <w:szCs w:val="32"/>
          <w:lang w:val="en-GB"/>
        </w:rPr>
      </w:pPr>
    </w:p>
    <w:p w14:paraId="4422C4E1" w14:textId="77777777" w:rsidR="0050452B" w:rsidRDefault="0050452B">
      <w:pPr>
        <w:spacing w:line="360" w:lineRule="auto"/>
        <w:jc w:val="center"/>
        <w:rPr>
          <w:rFonts w:ascii="Times New Roman" w:eastAsia="Times New Roman" w:hAnsi="Times New Roman" w:cs="Times New Roman"/>
          <w:b/>
          <w:sz w:val="32"/>
          <w:szCs w:val="32"/>
          <w:lang w:val="en-GB"/>
        </w:rPr>
      </w:pPr>
    </w:p>
    <w:p w14:paraId="4422C4E2" w14:textId="77777777" w:rsidR="0050452B" w:rsidRDefault="0050452B">
      <w:pPr>
        <w:spacing w:line="360" w:lineRule="auto"/>
        <w:jc w:val="center"/>
        <w:rPr>
          <w:rFonts w:ascii="Times New Roman" w:eastAsia="Times New Roman" w:hAnsi="Times New Roman" w:cs="Times New Roman"/>
          <w:b/>
          <w:sz w:val="32"/>
          <w:szCs w:val="32"/>
          <w:lang w:val="en-GB"/>
        </w:rPr>
      </w:pPr>
    </w:p>
    <w:p w14:paraId="4422C4E3" w14:textId="77777777" w:rsidR="0050452B" w:rsidRDefault="0050452B">
      <w:pPr>
        <w:spacing w:line="360" w:lineRule="auto"/>
        <w:jc w:val="center"/>
        <w:rPr>
          <w:rFonts w:ascii="Times New Roman" w:eastAsia="Times New Roman" w:hAnsi="Times New Roman" w:cs="Times New Roman"/>
          <w:b/>
          <w:sz w:val="32"/>
          <w:szCs w:val="32"/>
          <w:lang w:val="en-GB"/>
        </w:rPr>
      </w:pPr>
    </w:p>
    <w:p w14:paraId="4422C4E4" w14:textId="77777777" w:rsidR="0050452B" w:rsidRDefault="0050452B">
      <w:pPr>
        <w:spacing w:line="360" w:lineRule="auto"/>
        <w:jc w:val="center"/>
        <w:rPr>
          <w:rFonts w:ascii="Times New Roman" w:eastAsia="Times New Roman" w:hAnsi="Times New Roman" w:cs="Times New Roman"/>
          <w:b/>
          <w:sz w:val="32"/>
          <w:szCs w:val="32"/>
          <w:lang w:val="en-GB"/>
        </w:rPr>
      </w:pPr>
    </w:p>
    <w:p w14:paraId="4422C4E5" w14:textId="77777777" w:rsidR="0050452B" w:rsidRDefault="0050452B">
      <w:pPr>
        <w:spacing w:line="360" w:lineRule="auto"/>
        <w:jc w:val="center"/>
        <w:rPr>
          <w:rFonts w:ascii="Times New Roman" w:eastAsia="Times New Roman" w:hAnsi="Times New Roman" w:cs="Times New Roman"/>
          <w:b/>
          <w:sz w:val="32"/>
          <w:szCs w:val="32"/>
          <w:lang w:val="en-GB"/>
        </w:rPr>
      </w:pPr>
    </w:p>
    <w:p w14:paraId="4422C4E6" w14:textId="77777777" w:rsidR="00C9542E" w:rsidRPr="0050452B" w:rsidRDefault="00405B71">
      <w:pPr>
        <w:spacing w:line="360" w:lineRule="auto"/>
        <w:jc w:val="center"/>
        <w:rPr>
          <w:rFonts w:ascii="Times New Roman" w:eastAsia="Times New Roman" w:hAnsi="Times New Roman" w:cs="Times New Roman"/>
          <w:b/>
          <w:sz w:val="32"/>
          <w:szCs w:val="32"/>
          <w:u w:val="single"/>
          <w:lang w:val="en-GB"/>
        </w:rPr>
      </w:pPr>
      <w:r w:rsidRPr="0050452B">
        <w:rPr>
          <w:rFonts w:ascii="Times New Roman" w:eastAsia="Times New Roman" w:hAnsi="Times New Roman" w:cs="Times New Roman"/>
          <w:b/>
          <w:sz w:val="32"/>
          <w:szCs w:val="32"/>
          <w:u w:val="single"/>
          <w:lang w:val="en-GB"/>
        </w:rPr>
        <w:t>Legal Process</w:t>
      </w:r>
    </w:p>
    <w:p w14:paraId="4422C4E7" w14:textId="2AD6E79F" w:rsidR="00C9542E" w:rsidRPr="00F70A2E" w:rsidRDefault="00405B71">
      <w:pPr>
        <w:spacing w:line="360" w:lineRule="auto"/>
        <w:jc w:val="center"/>
        <w:rPr>
          <w:rFonts w:ascii="Times New Roman" w:eastAsia="Times New Roman" w:hAnsi="Times New Roman" w:cs="Times New Roman"/>
          <w:b/>
          <w:i/>
          <w:sz w:val="24"/>
          <w:szCs w:val="24"/>
          <w:lang w:val="en-GB"/>
        </w:rPr>
      </w:pPr>
      <w:r w:rsidRPr="00F70A2E">
        <w:rPr>
          <w:rFonts w:ascii="Times New Roman" w:eastAsia="Times New Roman" w:hAnsi="Times New Roman" w:cs="Times New Roman"/>
          <w:b/>
          <w:i/>
          <w:sz w:val="24"/>
          <w:szCs w:val="24"/>
          <w:lang w:val="en-GB"/>
        </w:rPr>
        <w:t>Student ID:</w:t>
      </w:r>
      <w:r w:rsidR="00556766">
        <w:rPr>
          <w:rFonts w:ascii="Times New Roman" w:eastAsia="Times New Roman" w:hAnsi="Times New Roman" w:cs="Times New Roman"/>
          <w:b/>
          <w:i/>
          <w:sz w:val="24"/>
          <w:szCs w:val="24"/>
          <w:lang w:val="en-GB"/>
        </w:rPr>
        <w:t xml:space="preserve"> </w:t>
      </w:r>
      <w:r w:rsidR="005A75AD">
        <w:rPr>
          <w:rFonts w:ascii="Times New Roman" w:eastAsia="Times New Roman" w:hAnsi="Times New Roman" w:cs="Times New Roman"/>
          <w:b/>
          <w:i/>
          <w:sz w:val="24"/>
          <w:szCs w:val="24"/>
          <w:lang w:val="en-GB"/>
        </w:rPr>
        <w:t>2130318</w:t>
      </w:r>
    </w:p>
    <w:p w14:paraId="4422C4E8" w14:textId="29EEF252" w:rsidR="00C9542E" w:rsidRPr="00F70A2E" w:rsidRDefault="00405B71">
      <w:pPr>
        <w:spacing w:line="360" w:lineRule="auto"/>
        <w:jc w:val="center"/>
        <w:rPr>
          <w:rFonts w:ascii="Times New Roman" w:eastAsia="Times New Roman" w:hAnsi="Times New Roman" w:cs="Times New Roman"/>
          <w:b/>
          <w:i/>
          <w:sz w:val="24"/>
          <w:szCs w:val="24"/>
          <w:lang w:val="en-GB"/>
        </w:rPr>
      </w:pPr>
      <w:r w:rsidRPr="00F70A2E">
        <w:rPr>
          <w:rFonts w:ascii="Times New Roman" w:eastAsia="Times New Roman" w:hAnsi="Times New Roman" w:cs="Times New Roman"/>
          <w:b/>
          <w:i/>
          <w:sz w:val="24"/>
          <w:szCs w:val="24"/>
          <w:lang w:val="en-GB"/>
        </w:rPr>
        <w:t>Student Name:</w:t>
      </w:r>
      <w:r w:rsidR="005A75AD">
        <w:rPr>
          <w:rFonts w:ascii="Times New Roman" w:eastAsia="Times New Roman" w:hAnsi="Times New Roman" w:cs="Times New Roman"/>
          <w:b/>
          <w:i/>
          <w:sz w:val="24"/>
          <w:szCs w:val="24"/>
          <w:lang w:val="en-GB"/>
        </w:rPr>
        <w:t xml:space="preserve"> Sylwia Maciejewska</w:t>
      </w:r>
    </w:p>
    <w:p w14:paraId="4422C4E9" w14:textId="0EA0CB3C" w:rsidR="00C9542E" w:rsidRPr="00F70A2E" w:rsidRDefault="00405B71">
      <w:pPr>
        <w:spacing w:line="360" w:lineRule="auto"/>
        <w:jc w:val="center"/>
        <w:rPr>
          <w:rFonts w:ascii="Times New Roman" w:eastAsia="Times New Roman" w:hAnsi="Times New Roman" w:cs="Times New Roman"/>
          <w:b/>
          <w:i/>
          <w:sz w:val="24"/>
          <w:szCs w:val="24"/>
          <w:lang w:val="en-GB"/>
        </w:rPr>
      </w:pPr>
      <w:r w:rsidRPr="00F70A2E">
        <w:rPr>
          <w:rFonts w:ascii="Times New Roman" w:eastAsia="Times New Roman" w:hAnsi="Times New Roman" w:cs="Times New Roman"/>
          <w:b/>
          <w:i/>
          <w:sz w:val="24"/>
          <w:szCs w:val="24"/>
          <w:lang w:val="en-GB"/>
        </w:rPr>
        <w:t>Course ID:</w:t>
      </w:r>
      <w:r w:rsidR="000F0ABA" w:rsidRPr="000F0ABA">
        <w:t xml:space="preserve"> </w:t>
      </w:r>
      <w:r w:rsidR="000F0ABA" w:rsidRPr="000F0ABA">
        <w:rPr>
          <w:rFonts w:ascii="Times New Roman" w:eastAsia="Times New Roman" w:hAnsi="Times New Roman" w:cs="Times New Roman"/>
          <w:b/>
          <w:i/>
          <w:sz w:val="24"/>
          <w:szCs w:val="24"/>
          <w:lang w:val="en-GB"/>
        </w:rPr>
        <w:t>(BMPL4005, BMLW4003)</w:t>
      </w:r>
    </w:p>
    <w:p w14:paraId="4422C4FA" w14:textId="7DD7D695" w:rsidR="00C9542E" w:rsidRPr="008F4EE6" w:rsidRDefault="00405B71" w:rsidP="008F4EE6">
      <w:pPr>
        <w:spacing w:line="360" w:lineRule="auto"/>
        <w:jc w:val="center"/>
        <w:rPr>
          <w:rFonts w:ascii="Times New Roman" w:eastAsia="Times New Roman" w:hAnsi="Times New Roman" w:cs="Times New Roman"/>
          <w:b/>
          <w:i/>
          <w:sz w:val="24"/>
          <w:szCs w:val="24"/>
          <w:lang w:val="en-GB"/>
        </w:rPr>
      </w:pPr>
      <w:r w:rsidRPr="00F70A2E">
        <w:rPr>
          <w:rFonts w:ascii="Times New Roman" w:eastAsia="Times New Roman" w:hAnsi="Times New Roman" w:cs="Times New Roman"/>
          <w:b/>
          <w:i/>
          <w:sz w:val="24"/>
          <w:szCs w:val="24"/>
          <w:lang w:val="en-GB"/>
        </w:rPr>
        <w:t>Subject Name:</w:t>
      </w:r>
      <w:r w:rsidR="000F0ABA">
        <w:rPr>
          <w:rFonts w:ascii="Times New Roman" w:eastAsia="Times New Roman" w:hAnsi="Times New Roman" w:cs="Times New Roman"/>
          <w:b/>
          <w:i/>
          <w:sz w:val="24"/>
          <w:szCs w:val="24"/>
          <w:lang w:val="en-GB"/>
        </w:rPr>
        <w:t xml:space="preserve"> </w:t>
      </w:r>
      <w:r w:rsidR="009B1DF3" w:rsidRPr="009B1DF3">
        <w:rPr>
          <w:rFonts w:ascii="Times New Roman" w:eastAsia="Times New Roman" w:hAnsi="Times New Roman" w:cs="Times New Roman"/>
          <w:b/>
          <w:i/>
          <w:sz w:val="24"/>
          <w:szCs w:val="24"/>
          <w:lang w:val="en-GB"/>
        </w:rPr>
        <w:t xml:space="preserve">Legal Process </w:t>
      </w:r>
      <w:r w:rsidR="009B1DF3">
        <w:rPr>
          <w:rFonts w:ascii="Times New Roman" w:eastAsia="Times New Roman" w:hAnsi="Times New Roman" w:cs="Times New Roman"/>
          <w:b/>
          <w:i/>
          <w:sz w:val="24"/>
          <w:szCs w:val="24"/>
          <w:lang w:val="en-GB"/>
        </w:rPr>
        <w:t>Report</w:t>
      </w:r>
      <w:r w:rsidRPr="00F70A2E">
        <w:rPr>
          <w:lang w:val="en-GB"/>
        </w:rPr>
        <w:br w:type="page"/>
      </w:r>
    </w:p>
    <w:p w14:paraId="4422C4FB" w14:textId="5C5012DB" w:rsidR="00C9542E" w:rsidRPr="00F70A2E" w:rsidRDefault="00C9542E">
      <w:pPr>
        <w:spacing w:line="360" w:lineRule="auto"/>
        <w:rPr>
          <w:rFonts w:ascii="Times New Roman" w:eastAsia="Times New Roman" w:hAnsi="Times New Roman" w:cs="Times New Roman"/>
          <w:b/>
          <w:sz w:val="24"/>
          <w:szCs w:val="24"/>
          <w:lang w:val="en-GB"/>
        </w:rPr>
      </w:pPr>
    </w:p>
    <w:p w14:paraId="4422C4FD" w14:textId="77777777" w:rsidR="00C9542E" w:rsidRPr="00F70A2E" w:rsidRDefault="00405B71">
      <w:pPr>
        <w:pStyle w:val="Heading1"/>
        <w:rPr>
          <w:lang w:val="en-GB"/>
        </w:rPr>
      </w:pPr>
      <w:bookmarkStart w:id="0" w:name="_qetxd22143ge" w:colFirst="0" w:colLast="0"/>
      <w:bookmarkEnd w:id="0"/>
      <w:r w:rsidRPr="00F70A2E">
        <w:rPr>
          <w:lang w:val="en-GB"/>
        </w:rPr>
        <w:t>Introduction</w:t>
      </w:r>
    </w:p>
    <w:p w14:paraId="4422C4FE" w14:textId="77777777"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 xml:space="preserve">As per the view of </w:t>
      </w:r>
      <w:r w:rsidRPr="00F70A2E">
        <w:rPr>
          <w:rFonts w:ascii="Times New Roman" w:eastAsia="Times New Roman" w:hAnsi="Times New Roman" w:cs="Times New Roman"/>
          <w:sz w:val="24"/>
          <w:szCs w:val="24"/>
          <w:highlight w:val="white"/>
          <w:lang w:val="en-GB"/>
        </w:rPr>
        <w:t>McLachlan, and Webley</w:t>
      </w:r>
      <w:r w:rsidRPr="00F70A2E">
        <w:rPr>
          <w:rFonts w:ascii="Times New Roman" w:eastAsia="Times New Roman" w:hAnsi="Times New Roman" w:cs="Times New Roman"/>
          <w:sz w:val="24"/>
          <w:szCs w:val="24"/>
          <w:lang w:val="en-GB"/>
        </w:rPr>
        <w:t xml:space="preserve"> (2021, p. 200), the legal process can be defined as the several things which are related to various laws and legal practices. Indeed, the serving of a summons the legal processes generally differ from one country to another.  Therefore, the study discusses the legal system of the United Kingdom however, England and Wales's court systems are approaching collapse except for schools and hospitals. In the criminal justice system, the UK delivers the strong endorsement role of the jury. The juries in England and Wales were found to be efficient, effective and fair (</w:t>
      </w:r>
      <w:r w:rsidRPr="00F70A2E">
        <w:rPr>
          <w:rFonts w:ascii="Times New Roman" w:eastAsia="Times New Roman" w:hAnsi="Times New Roman" w:cs="Times New Roman"/>
          <w:sz w:val="24"/>
          <w:szCs w:val="24"/>
          <w:highlight w:val="white"/>
          <w:lang w:val="en-GB"/>
        </w:rPr>
        <w:t>Owusu-</w:t>
      </w:r>
      <w:proofErr w:type="spellStart"/>
      <w:r w:rsidRPr="00F70A2E">
        <w:rPr>
          <w:rFonts w:ascii="Times New Roman" w:eastAsia="Times New Roman" w:hAnsi="Times New Roman" w:cs="Times New Roman"/>
          <w:sz w:val="24"/>
          <w:szCs w:val="24"/>
          <w:highlight w:val="white"/>
          <w:lang w:val="en-GB"/>
        </w:rPr>
        <w:t>Bempah</w:t>
      </w:r>
      <w:proofErr w:type="spellEnd"/>
      <w:r w:rsidRPr="00F70A2E">
        <w:rPr>
          <w:rFonts w:ascii="Times New Roman" w:eastAsia="Times New Roman" w:hAnsi="Times New Roman" w:cs="Times New Roman"/>
          <w:sz w:val="24"/>
          <w:szCs w:val="24"/>
          <w:highlight w:val="white"/>
          <w:lang w:val="en-GB"/>
        </w:rPr>
        <w:t>, 2020, p. 610</w:t>
      </w:r>
      <w:r w:rsidRPr="00F70A2E">
        <w:rPr>
          <w:rFonts w:ascii="Times New Roman" w:eastAsia="Times New Roman" w:hAnsi="Times New Roman" w:cs="Times New Roman"/>
          <w:sz w:val="24"/>
          <w:szCs w:val="24"/>
          <w:lang w:val="en-GB"/>
        </w:rPr>
        <w:t xml:space="preserve">). Moreover, in the United Kingdom, the Ministry of justice is referred to as the heart of the justice system which works to advance and protect justice principles. However, the assessment would analyse whether jury trials in England and Wales need to be abolished along with jury definition, selection process problems and reform suggestions. </w:t>
      </w:r>
    </w:p>
    <w:p w14:paraId="4422C4FF" w14:textId="17A97B7F" w:rsidR="00C9542E" w:rsidRPr="00F70A2E" w:rsidRDefault="00405B71">
      <w:pPr>
        <w:pStyle w:val="Heading1"/>
        <w:rPr>
          <w:lang w:val="en-GB"/>
        </w:rPr>
      </w:pPr>
      <w:bookmarkStart w:id="1" w:name="_gnbebamombiz" w:colFirst="0" w:colLast="0"/>
      <w:bookmarkEnd w:id="1"/>
      <w:r w:rsidRPr="00F70A2E">
        <w:rPr>
          <w:lang w:val="en-GB"/>
        </w:rPr>
        <w:t>Provide the definition of juries</w:t>
      </w:r>
    </w:p>
    <w:p w14:paraId="4422C500" w14:textId="77777777"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 xml:space="preserve">As evidenced by </w:t>
      </w:r>
      <w:r w:rsidRPr="00F70A2E">
        <w:rPr>
          <w:rFonts w:ascii="Times New Roman" w:eastAsia="Times New Roman" w:hAnsi="Times New Roman" w:cs="Times New Roman"/>
          <w:sz w:val="24"/>
          <w:szCs w:val="24"/>
          <w:highlight w:val="white"/>
          <w:lang w:val="en-GB"/>
        </w:rPr>
        <w:t xml:space="preserve">Allman </w:t>
      </w:r>
      <w:r w:rsidRPr="00F70A2E">
        <w:rPr>
          <w:rFonts w:ascii="Times New Roman" w:eastAsia="Times New Roman" w:hAnsi="Times New Roman" w:cs="Times New Roman"/>
          <w:sz w:val="24"/>
          <w:szCs w:val="24"/>
          <w:lang w:val="en-GB"/>
        </w:rPr>
        <w:t xml:space="preserve">(2021, p. 81), the group of people who have been selected to listen to all the facts involving the law court trials and decide if the claim has been proved or if the person is guilty or not guilty. In England and Wales Jury acts as an important role in terms of the criminal justice system. Because of the unwritten constitution, the constitutional position of the jury of England is vulnerable. Governing the present-day jury, the Juries Act 1974 is defined as the main statute which can be sit in civil trials as well. </w:t>
      </w:r>
    </w:p>
    <w:p w14:paraId="4422C501" w14:textId="069B2FF3" w:rsidR="00C9542E" w:rsidRPr="00F70A2E" w:rsidRDefault="00405B71">
      <w:pPr>
        <w:pStyle w:val="Heading1"/>
        <w:rPr>
          <w:lang w:val="en-GB"/>
        </w:rPr>
      </w:pPr>
      <w:bookmarkStart w:id="2" w:name="_875k9qjyckvw" w:colFirst="0" w:colLast="0"/>
      <w:bookmarkEnd w:id="2"/>
      <w:r w:rsidRPr="00F70A2E">
        <w:rPr>
          <w:lang w:val="en-GB"/>
        </w:rPr>
        <w:t xml:space="preserve">Who makes up a </w:t>
      </w:r>
      <w:r w:rsidR="00DB66CE" w:rsidRPr="00F70A2E">
        <w:rPr>
          <w:lang w:val="en-GB"/>
        </w:rPr>
        <w:t>jury?</w:t>
      </w:r>
      <w:r w:rsidRPr="00F70A2E">
        <w:rPr>
          <w:lang w:val="en-GB"/>
        </w:rPr>
        <w:t xml:space="preserve"> </w:t>
      </w:r>
    </w:p>
    <w:p w14:paraId="4422C502" w14:textId="527AA157"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Under the Juries Act 1974, the jury in England must be registered to vote, aged 18 to 70, and not mentally disqualified or disordered from the jury services (</w:t>
      </w:r>
      <w:r w:rsidRPr="00F70A2E">
        <w:rPr>
          <w:rFonts w:ascii="Times New Roman" w:eastAsia="Times New Roman" w:hAnsi="Times New Roman" w:cs="Times New Roman"/>
          <w:sz w:val="24"/>
          <w:szCs w:val="24"/>
          <w:highlight w:val="white"/>
          <w:lang w:val="en-GB"/>
        </w:rPr>
        <w:t>Gonzales Rose, 2019, p. 309</w:t>
      </w:r>
      <w:r w:rsidRPr="00F70A2E">
        <w:rPr>
          <w:rFonts w:ascii="Times New Roman" w:eastAsia="Times New Roman" w:hAnsi="Times New Roman" w:cs="Times New Roman"/>
          <w:sz w:val="24"/>
          <w:szCs w:val="24"/>
          <w:lang w:val="en-GB"/>
        </w:rPr>
        <w:t xml:space="preserve">). It has been evidenced that the selected members of jurors are commonly divided into groups of 15 people assigned to the court case. The clerk of court would select 12 out of the 15 potential jurors who sit on the jury at random. From the electoral register, the names of jurors are to be selected and the crown courts have been selected for summoning. The selection of a jury can be referred to as an automatic process whether jury members recognise the parties to </w:t>
      </w:r>
      <w:r w:rsidR="00DB66CE" w:rsidRPr="00F70A2E">
        <w:rPr>
          <w:rFonts w:ascii="Times New Roman" w:eastAsia="Times New Roman" w:hAnsi="Times New Roman" w:cs="Times New Roman"/>
          <w:sz w:val="24"/>
          <w:szCs w:val="24"/>
          <w:lang w:val="en-GB"/>
        </w:rPr>
        <w:t>hear,</w:t>
      </w:r>
      <w:r w:rsidRPr="00F70A2E">
        <w:rPr>
          <w:rFonts w:ascii="Times New Roman" w:eastAsia="Times New Roman" w:hAnsi="Times New Roman" w:cs="Times New Roman"/>
          <w:sz w:val="24"/>
          <w:szCs w:val="24"/>
          <w:lang w:val="en-GB"/>
        </w:rPr>
        <w:t xml:space="preserve"> and the judges decide if the member should proceed or stand down.  </w:t>
      </w:r>
    </w:p>
    <w:p w14:paraId="4422C503" w14:textId="6519BF23" w:rsidR="00C9542E" w:rsidRPr="00F70A2E" w:rsidRDefault="00405B71">
      <w:pPr>
        <w:pStyle w:val="Heading1"/>
        <w:rPr>
          <w:lang w:val="en-GB"/>
        </w:rPr>
      </w:pPr>
      <w:bookmarkStart w:id="3" w:name="_e5s7ogjtgj2c" w:colFirst="0" w:colLast="0"/>
      <w:bookmarkEnd w:id="3"/>
      <w:r w:rsidRPr="00F70A2E">
        <w:rPr>
          <w:lang w:val="en-GB"/>
        </w:rPr>
        <w:t>In which courts do juries sit</w:t>
      </w:r>
      <w:r w:rsidR="00D23A51">
        <w:rPr>
          <w:lang w:val="en-GB"/>
        </w:rPr>
        <w:t>?</w:t>
      </w:r>
    </w:p>
    <w:p w14:paraId="4422C504" w14:textId="101A1748"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 xml:space="preserve">Along with the exciting feature the jury trial deals with serious offences which have the right to be tried by 12 members of the public. Ensuring the </w:t>
      </w:r>
      <w:r w:rsidR="00DB66CE" w:rsidRPr="00F70A2E">
        <w:rPr>
          <w:rFonts w:ascii="Times New Roman" w:eastAsia="Times New Roman" w:hAnsi="Times New Roman" w:cs="Times New Roman"/>
          <w:sz w:val="24"/>
          <w:szCs w:val="24"/>
          <w:lang w:val="en-GB"/>
        </w:rPr>
        <w:t>verdicts,</w:t>
      </w:r>
      <w:r w:rsidRPr="00F70A2E">
        <w:rPr>
          <w:rFonts w:ascii="Times New Roman" w:eastAsia="Times New Roman" w:hAnsi="Times New Roman" w:cs="Times New Roman"/>
          <w:sz w:val="24"/>
          <w:szCs w:val="24"/>
          <w:lang w:val="en-GB"/>
        </w:rPr>
        <w:t xml:space="preserve"> the jury trials deal with reasonable, fair and unbiased cases thrust in the Crown Court. In both courts as Civil and Criminal, juries have been developed over the years. For example, the lawful judgement of the </w:t>
      </w:r>
      <w:r w:rsidRPr="00F70A2E">
        <w:rPr>
          <w:rFonts w:ascii="Times New Roman" w:eastAsia="Times New Roman" w:hAnsi="Times New Roman" w:cs="Times New Roman"/>
          <w:sz w:val="24"/>
          <w:szCs w:val="24"/>
          <w:lang w:val="en-GB"/>
        </w:rPr>
        <w:lastRenderedPageBreak/>
        <w:t xml:space="preserve">peers included the recognition of the Magna Carta where the person has the right to be trailed. </w:t>
      </w:r>
      <w:r w:rsidR="001E5431" w:rsidRPr="00F70A2E">
        <w:rPr>
          <w:rFonts w:ascii="Times New Roman" w:eastAsia="Times New Roman" w:hAnsi="Times New Roman" w:cs="Times New Roman"/>
          <w:sz w:val="24"/>
          <w:szCs w:val="24"/>
          <w:lang w:val="en-GB"/>
        </w:rPr>
        <w:t>Several</w:t>
      </w:r>
      <w:r w:rsidRPr="00F70A2E">
        <w:rPr>
          <w:rFonts w:ascii="Times New Roman" w:eastAsia="Times New Roman" w:hAnsi="Times New Roman" w:cs="Times New Roman"/>
          <w:sz w:val="24"/>
          <w:szCs w:val="24"/>
          <w:lang w:val="en-GB"/>
        </w:rPr>
        <w:t xml:space="preserve"> driving offences and minor offences eliminate the jury trial rights under the Criminal Law Act 1977 (</w:t>
      </w:r>
      <w:r w:rsidRPr="00F70A2E">
        <w:rPr>
          <w:rFonts w:ascii="Times New Roman" w:eastAsia="Times New Roman" w:hAnsi="Times New Roman" w:cs="Times New Roman"/>
          <w:sz w:val="24"/>
          <w:szCs w:val="24"/>
          <w:highlight w:val="white"/>
          <w:lang w:val="en-GB"/>
        </w:rPr>
        <w:t xml:space="preserve">Corby </w:t>
      </w:r>
      <w:r w:rsidRPr="00F70A2E">
        <w:rPr>
          <w:rFonts w:ascii="Times New Roman" w:eastAsia="Times New Roman" w:hAnsi="Times New Roman" w:cs="Times New Roman"/>
          <w:i/>
          <w:sz w:val="24"/>
          <w:szCs w:val="24"/>
          <w:highlight w:val="white"/>
          <w:lang w:val="en-GB"/>
        </w:rPr>
        <w:t>et al.,</w:t>
      </w:r>
      <w:r w:rsidRPr="00F70A2E">
        <w:rPr>
          <w:rFonts w:ascii="Times New Roman" w:eastAsia="Times New Roman" w:hAnsi="Times New Roman" w:cs="Times New Roman"/>
          <w:sz w:val="24"/>
          <w:szCs w:val="24"/>
          <w:highlight w:val="white"/>
          <w:lang w:val="en-GB"/>
        </w:rPr>
        <w:t xml:space="preserve"> 2020, p. 250</w:t>
      </w:r>
      <w:r w:rsidRPr="00F70A2E">
        <w:rPr>
          <w:rFonts w:ascii="Times New Roman" w:eastAsia="Times New Roman" w:hAnsi="Times New Roman" w:cs="Times New Roman"/>
          <w:sz w:val="24"/>
          <w:szCs w:val="24"/>
          <w:lang w:val="en-GB"/>
        </w:rPr>
        <w:t xml:space="preserve">). However, the high court, country court, coroner’s court and crown court are allowed to sit the juries. </w:t>
      </w:r>
    </w:p>
    <w:p w14:paraId="4422C505" w14:textId="5F3B0F15" w:rsidR="00C9542E" w:rsidRPr="00F70A2E" w:rsidRDefault="00405B71">
      <w:pPr>
        <w:pStyle w:val="Heading1"/>
        <w:rPr>
          <w:lang w:val="en-GB"/>
        </w:rPr>
      </w:pPr>
      <w:bookmarkStart w:id="4" w:name="_jb9lk87luy4n" w:colFirst="0" w:colLast="0"/>
      <w:bookmarkEnd w:id="4"/>
      <w:r w:rsidRPr="00F70A2E">
        <w:rPr>
          <w:lang w:val="en-GB"/>
        </w:rPr>
        <w:t>Thesis</w:t>
      </w:r>
    </w:p>
    <w:p w14:paraId="4422C506" w14:textId="7E68DC14"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Therefore, the research involves identifying the definition of legal processes involving jury trials and their purposes to evaluate the importance of the Engl</w:t>
      </w:r>
      <w:r w:rsidR="00C66264">
        <w:rPr>
          <w:rFonts w:ascii="Times New Roman" w:eastAsia="Times New Roman" w:hAnsi="Times New Roman" w:cs="Times New Roman"/>
          <w:sz w:val="24"/>
          <w:szCs w:val="24"/>
          <w:lang w:val="en-GB"/>
        </w:rPr>
        <w:t>ish</w:t>
      </w:r>
      <w:r w:rsidRPr="00F70A2E">
        <w:rPr>
          <w:rFonts w:ascii="Times New Roman" w:eastAsia="Times New Roman" w:hAnsi="Times New Roman" w:cs="Times New Roman"/>
          <w:sz w:val="24"/>
          <w:szCs w:val="24"/>
          <w:lang w:val="en-GB"/>
        </w:rPr>
        <w:t xml:space="preserve"> and W</w:t>
      </w:r>
      <w:r w:rsidR="00C66264">
        <w:rPr>
          <w:rFonts w:ascii="Times New Roman" w:eastAsia="Times New Roman" w:hAnsi="Times New Roman" w:cs="Times New Roman"/>
          <w:sz w:val="24"/>
          <w:szCs w:val="24"/>
          <w:lang w:val="en-GB"/>
        </w:rPr>
        <w:t>elsh</w:t>
      </w:r>
      <w:r w:rsidRPr="00F70A2E">
        <w:rPr>
          <w:rFonts w:ascii="Times New Roman" w:eastAsia="Times New Roman" w:hAnsi="Times New Roman" w:cs="Times New Roman"/>
          <w:sz w:val="24"/>
          <w:szCs w:val="24"/>
          <w:lang w:val="en-GB"/>
        </w:rPr>
        <w:t xml:space="preserve"> justice system. If the jury trials need to be abolished that </w:t>
      </w:r>
      <w:r w:rsidR="00D21280" w:rsidRPr="00F70A2E">
        <w:rPr>
          <w:rFonts w:ascii="Times New Roman" w:eastAsia="Times New Roman" w:hAnsi="Times New Roman" w:cs="Times New Roman"/>
          <w:sz w:val="24"/>
          <w:szCs w:val="24"/>
          <w:lang w:val="en-GB"/>
        </w:rPr>
        <w:t>must</w:t>
      </w:r>
      <w:r w:rsidRPr="00F70A2E">
        <w:rPr>
          <w:rFonts w:ascii="Times New Roman" w:eastAsia="Times New Roman" w:hAnsi="Times New Roman" w:cs="Times New Roman"/>
          <w:sz w:val="24"/>
          <w:szCs w:val="24"/>
          <w:lang w:val="en-GB"/>
        </w:rPr>
        <w:t xml:space="preserve"> be analysed in the research section. Moreover, it discusses the challenges of the selection process, fixes the backlog cases and provides suggestions for the legal systems. </w:t>
      </w:r>
    </w:p>
    <w:p w14:paraId="4422C507" w14:textId="6287529F" w:rsidR="00C9542E" w:rsidRPr="00F70A2E" w:rsidRDefault="00405B71">
      <w:pPr>
        <w:pStyle w:val="Heading1"/>
        <w:rPr>
          <w:lang w:val="en-GB"/>
        </w:rPr>
      </w:pPr>
      <w:bookmarkStart w:id="5" w:name="_qornlcjecmsl" w:colFirst="0" w:colLast="0"/>
      <w:bookmarkEnd w:id="5"/>
      <w:r w:rsidRPr="00F70A2E">
        <w:rPr>
          <w:lang w:val="en-GB"/>
        </w:rPr>
        <w:t xml:space="preserve">What are the problems with the jury selection </w:t>
      </w:r>
      <w:r w:rsidR="00DB66CE" w:rsidRPr="00F70A2E">
        <w:rPr>
          <w:lang w:val="en-GB"/>
        </w:rPr>
        <w:t>process?</w:t>
      </w:r>
      <w:r w:rsidRPr="00F70A2E">
        <w:rPr>
          <w:lang w:val="en-GB"/>
        </w:rPr>
        <w:t xml:space="preserve"> </w:t>
      </w:r>
    </w:p>
    <w:p w14:paraId="4422C508" w14:textId="3B284659" w:rsidR="00C9542E" w:rsidRPr="0050452B"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 xml:space="preserve">The court of Batson figured out the three-step approach to </w:t>
      </w:r>
      <w:r w:rsidR="0050452B" w:rsidRPr="00F70A2E">
        <w:rPr>
          <w:rFonts w:ascii="Times New Roman" w:eastAsia="Times New Roman" w:hAnsi="Times New Roman" w:cs="Times New Roman"/>
          <w:sz w:val="24"/>
          <w:szCs w:val="24"/>
          <w:lang w:val="en-GB"/>
        </w:rPr>
        <w:t>analyse</w:t>
      </w:r>
      <w:r w:rsidRPr="00F70A2E">
        <w:rPr>
          <w:rFonts w:ascii="Times New Roman" w:eastAsia="Times New Roman" w:hAnsi="Times New Roman" w:cs="Times New Roman"/>
          <w:sz w:val="24"/>
          <w:szCs w:val="24"/>
          <w:lang w:val="en-GB"/>
        </w:rPr>
        <w:t xml:space="preserve"> the challenges in peremptory strikes where the strike may present the facts such as raising an inference, neutral explanation, and purposeful discrimination. Moreover, the final 12 jurors enter the court considering the prosecution and defence counsel which can challenge more of the jurors. In the selection process, the array, and for cause are claimed both in the defence and prosecution where biasedness </w:t>
      </w:r>
      <w:r w:rsidR="00DB66CE" w:rsidRPr="00F70A2E">
        <w:rPr>
          <w:rFonts w:ascii="Times New Roman" w:eastAsia="Times New Roman" w:hAnsi="Times New Roman" w:cs="Times New Roman"/>
          <w:sz w:val="24"/>
          <w:szCs w:val="24"/>
          <w:lang w:val="en-GB"/>
        </w:rPr>
        <w:t>involves</w:t>
      </w:r>
      <w:r w:rsidRPr="00F70A2E">
        <w:rPr>
          <w:rFonts w:ascii="Times New Roman" w:eastAsia="Times New Roman" w:hAnsi="Times New Roman" w:cs="Times New Roman"/>
          <w:sz w:val="24"/>
          <w:szCs w:val="24"/>
          <w:lang w:val="en-GB"/>
        </w:rPr>
        <w:t xml:space="preserve"> in ‘to the array’, and the miscarriage of justice is involved in ‘for cause’ challenges. </w:t>
      </w:r>
    </w:p>
    <w:p w14:paraId="4422C509" w14:textId="1E68D5C3" w:rsidR="00C9542E" w:rsidRPr="00F70A2E" w:rsidRDefault="00405B71">
      <w:pPr>
        <w:pStyle w:val="Heading1"/>
        <w:rPr>
          <w:lang w:val="en-GB"/>
        </w:rPr>
      </w:pPr>
      <w:bookmarkStart w:id="6" w:name="_kr36barpgac" w:colFirst="0" w:colLast="0"/>
      <w:bookmarkEnd w:id="6"/>
      <w:r w:rsidRPr="00F70A2E">
        <w:rPr>
          <w:lang w:val="en-GB"/>
        </w:rPr>
        <w:t xml:space="preserve">Who is disqualified from jury service including a discussion of </w:t>
      </w:r>
      <w:r w:rsidR="00DB66CE" w:rsidRPr="00F70A2E">
        <w:rPr>
          <w:lang w:val="en-GB"/>
        </w:rPr>
        <w:t>those?</w:t>
      </w:r>
    </w:p>
    <w:p w14:paraId="4422C50A" w14:textId="1BC8EC1A"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The jury services are highly respected and therefore there are some restrictions regarding who can sit on juries.</w:t>
      </w:r>
      <w:r w:rsidRPr="00F70A2E">
        <w:rPr>
          <w:rFonts w:ascii="Times New Roman" w:eastAsia="Times New Roman" w:hAnsi="Times New Roman" w:cs="Times New Roman"/>
          <w:b/>
          <w:sz w:val="24"/>
          <w:szCs w:val="24"/>
          <w:lang w:val="en-GB"/>
        </w:rPr>
        <w:t xml:space="preserve"> </w:t>
      </w:r>
      <w:r w:rsidRPr="00F70A2E">
        <w:rPr>
          <w:rFonts w:ascii="Times New Roman" w:eastAsia="Times New Roman" w:hAnsi="Times New Roman" w:cs="Times New Roman"/>
          <w:sz w:val="24"/>
          <w:szCs w:val="24"/>
          <w:lang w:val="en-GB"/>
        </w:rPr>
        <w:t xml:space="preserve">In case of a serious disability or illness, the individual is prevented from jury service. Furthermore, a person caring for someone with </w:t>
      </w:r>
      <w:r w:rsidR="004259CA" w:rsidRPr="00F70A2E">
        <w:rPr>
          <w:rFonts w:ascii="Times New Roman" w:eastAsia="Times New Roman" w:hAnsi="Times New Roman" w:cs="Times New Roman"/>
          <w:sz w:val="24"/>
          <w:szCs w:val="24"/>
          <w:lang w:val="en-GB"/>
        </w:rPr>
        <w:t>illnesses,</w:t>
      </w:r>
      <w:r w:rsidRPr="00F70A2E">
        <w:rPr>
          <w:rFonts w:ascii="Times New Roman" w:eastAsia="Times New Roman" w:hAnsi="Times New Roman" w:cs="Times New Roman"/>
          <w:sz w:val="24"/>
          <w:szCs w:val="24"/>
          <w:lang w:val="en-GB"/>
        </w:rPr>
        <w:t xml:space="preserve"> or a new parent is unable to serve as a jur</w:t>
      </w:r>
      <w:r w:rsidR="00337713">
        <w:rPr>
          <w:rFonts w:ascii="Times New Roman" w:eastAsia="Times New Roman" w:hAnsi="Times New Roman" w:cs="Times New Roman"/>
          <w:sz w:val="24"/>
          <w:szCs w:val="24"/>
          <w:lang w:val="en-GB"/>
        </w:rPr>
        <w:t>a</w:t>
      </w:r>
      <w:r w:rsidRPr="00F70A2E">
        <w:rPr>
          <w:rFonts w:ascii="Times New Roman" w:eastAsia="Times New Roman" w:hAnsi="Times New Roman" w:cs="Times New Roman"/>
          <w:sz w:val="24"/>
          <w:szCs w:val="24"/>
          <w:lang w:val="en-GB"/>
        </w:rPr>
        <w:t xml:space="preserve"> at any time for 12 months. Any individual with a criminal conviction in the past is not allowed to sit on a jury. While all convictions are not counted, a suspended sentence, imprisonment, or probation can lead to exclusion of the individual from jury service. According to the Juries (Disqualification) Act 1984, an individual who in the last ten years at any time has served a part imprisonment sentence, detention, or youth custody is disqualified from serving on a jury (</w:t>
      </w:r>
      <w:r w:rsidRPr="00F70A2E">
        <w:rPr>
          <w:rFonts w:ascii="Times New Roman" w:eastAsia="Times New Roman" w:hAnsi="Times New Roman" w:cs="Times New Roman"/>
          <w:color w:val="222222"/>
          <w:sz w:val="24"/>
          <w:szCs w:val="24"/>
          <w:highlight w:val="white"/>
          <w:lang w:val="en-GB"/>
        </w:rPr>
        <w:t>Legislation.gov.uk, 2022)</w:t>
      </w:r>
      <w:r w:rsidRPr="00F70A2E">
        <w:rPr>
          <w:rFonts w:ascii="Times New Roman" w:eastAsia="Times New Roman" w:hAnsi="Times New Roman" w:cs="Times New Roman"/>
          <w:sz w:val="24"/>
          <w:szCs w:val="24"/>
          <w:lang w:val="en-GB"/>
        </w:rPr>
        <w:t xml:space="preserve">. Furthermore, a person with a suspended sentence or detention order passed on him is also prevented from serving in this position. The disqualification also </w:t>
      </w:r>
      <w:r w:rsidR="00D21280" w:rsidRPr="00F70A2E">
        <w:rPr>
          <w:rFonts w:ascii="Times New Roman" w:eastAsia="Times New Roman" w:hAnsi="Times New Roman" w:cs="Times New Roman"/>
          <w:sz w:val="24"/>
          <w:szCs w:val="24"/>
          <w:lang w:val="en-GB"/>
        </w:rPr>
        <w:t>considers</w:t>
      </w:r>
      <w:r w:rsidRPr="00F70A2E">
        <w:rPr>
          <w:rFonts w:ascii="Times New Roman" w:eastAsia="Times New Roman" w:hAnsi="Times New Roman" w:cs="Times New Roman"/>
          <w:sz w:val="24"/>
          <w:szCs w:val="24"/>
          <w:lang w:val="en-GB"/>
        </w:rPr>
        <w:t xml:space="preserve"> extended sentences under the Criminal Justice Act 2003 including sections 228, 227, 226A and 226B, along with section 210A- Criminal Procedure Act 1995 (Purewal, 2022, p. 47). In</w:t>
      </w:r>
      <w:r w:rsidR="00824CA5">
        <w:rPr>
          <w:rFonts w:ascii="Times New Roman" w:eastAsia="Times New Roman" w:hAnsi="Times New Roman" w:cs="Times New Roman"/>
          <w:sz w:val="24"/>
          <w:szCs w:val="24"/>
          <w:lang w:val="en-GB"/>
        </w:rPr>
        <w:t xml:space="preserve"> the</w:t>
      </w:r>
      <w:r w:rsidRPr="00F70A2E">
        <w:rPr>
          <w:rFonts w:ascii="Times New Roman" w:eastAsia="Times New Roman" w:hAnsi="Times New Roman" w:cs="Times New Roman"/>
          <w:sz w:val="24"/>
          <w:szCs w:val="24"/>
          <w:lang w:val="en-GB"/>
        </w:rPr>
        <w:t xml:space="preserve"> case of being subjected to a community order in the past 10 years in England and Wales, the individual is also disqualified from the jury position. In addition, a person subjected to equivalent orders under the law and regulations of Isle of </w:t>
      </w:r>
      <w:r w:rsidRPr="00F70A2E">
        <w:rPr>
          <w:rFonts w:ascii="Times New Roman" w:eastAsia="Times New Roman" w:hAnsi="Times New Roman" w:cs="Times New Roman"/>
          <w:sz w:val="24"/>
          <w:szCs w:val="24"/>
          <w:lang w:val="en-GB"/>
        </w:rPr>
        <w:lastRenderedPageBreak/>
        <w:t xml:space="preserve">Man, Scotland, Channel Island, and Northern Island or overseas in relation to the Armed Forces Act 2006 is to be disqualified from the service of the jury in England and Wales. </w:t>
      </w:r>
    </w:p>
    <w:p w14:paraId="4422C50B" w14:textId="04E51A3F" w:rsidR="00C9542E" w:rsidRPr="00F70A2E" w:rsidRDefault="00405B71">
      <w:pPr>
        <w:pStyle w:val="Heading1"/>
        <w:rPr>
          <w:lang w:val="en-GB"/>
        </w:rPr>
      </w:pPr>
      <w:bookmarkStart w:id="7" w:name="_4g5q81hx8c3" w:colFirst="0" w:colLast="0"/>
      <w:bookmarkEnd w:id="7"/>
      <w:r w:rsidRPr="00F70A2E">
        <w:rPr>
          <w:lang w:val="en-GB"/>
        </w:rPr>
        <w:t>Have there ever been any miscarriages of justice because of jury trials?</w:t>
      </w:r>
    </w:p>
    <w:p w14:paraId="4422C50C" w14:textId="60B8B9C2"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 xml:space="preserve">As found by Roach, (2020, p. 315), the jury service in England and Wales is mostly fair and effective where the decisions are made </w:t>
      </w:r>
      <w:r w:rsidR="00D21280" w:rsidRPr="00F70A2E">
        <w:rPr>
          <w:rFonts w:ascii="Times New Roman" w:eastAsia="Times New Roman" w:hAnsi="Times New Roman" w:cs="Times New Roman"/>
          <w:sz w:val="24"/>
          <w:szCs w:val="24"/>
          <w:lang w:val="en-GB"/>
        </w:rPr>
        <w:t>based on</w:t>
      </w:r>
      <w:r w:rsidRPr="00F70A2E">
        <w:rPr>
          <w:rFonts w:ascii="Times New Roman" w:eastAsia="Times New Roman" w:hAnsi="Times New Roman" w:cs="Times New Roman"/>
          <w:sz w:val="24"/>
          <w:szCs w:val="24"/>
          <w:lang w:val="en-GB"/>
        </w:rPr>
        <w:t xml:space="preserve"> evidence. However, Helm, (2021), has highlighted the many gaps in the system of jury stating that the rate of error in the jury decision is around 4% in capital or violent incidents. Moreover, juries are not obliged to make decisions based on facts instead they make them </w:t>
      </w:r>
      <w:r w:rsidR="00D21280" w:rsidRPr="00F70A2E">
        <w:rPr>
          <w:rFonts w:ascii="Times New Roman" w:eastAsia="Times New Roman" w:hAnsi="Times New Roman" w:cs="Times New Roman"/>
          <w:sz w:val="24"/>
          <w:szCs w:val="24"/>
          <w:lang w:val="en-GB"/>
        </w:rPr>
        <w:t>based on</w:t>
      </w:r>
      <w:r w:rsidRPr="00F70A2E">
        <w:rPr>
          <w:rFonts w:ascii="Times New Roman" w:eastAsia="Times New Roman" w:hAnsi="Times New Roman" w:cs="Times New Roman"/>
          <w:sz w:val="24"/>
          <w:szCs w:val="24"/>
          <w:lang w:val="en-GB"/>
        </w:rPr>
        <w:t xml:space="preserve"> verdicts that lead to inadequate representation in the legal system of England and Wales. The jury system has also been observed to accommodate classism as the costs can be afforded by only the wealthy class of the society. One of the key problems in the jury system is a long time of decision-making. Depending on the merits of specific cases, it can take a considerable amount of time to reach a decision in the system of the jury. People applying for the juries in courts also face financial constraints. The unanimous decisions and gaps in the jury's power have created the way of wrong decisions and misuse of power in the jury. For instance, in 2006, jurors convicting a man of murder were challenged due to wrong decisions (The Guardian, 2006). It was later found that their decision was biased and prejudiced. Unsupported claims and statements derived from unknown resources were presented to convict the person and sentence him to jail. Hence, miscarriage of justice in the system of the jury in England and Wale is rare yet possible. Moreover, the main drawback is procrastinated cases as the judge holds the power to delay the trial which has been causing a huge backlog of cases waiting for their verdicts. The death trials of Vietnamese lorry were halted twice by the jurors because of quarantine (The Guardian, 2021). Women with a case of serious domestic violence have been waiting for trials since 2019.</w:t>
      </w:r>
    </w:p>
    <w:p w14:paraId="4422C50D" w14:textId="090C01CF" w:rsidR="00C9542E" w:rsidRPr="00F70A2E" w:rsidRDefault="00405B71">
      <w:pPr>
        <w:pStyle w:val="Heading1"/>
        <w:rPr>
          <w:lang w:val="en-GB"/>
        </w:rPr>
      </w:pPr>
      <w:bookmarkStart w:id="8" w:name="_5xoqsciai6mt" w:colFirst="0" w:colLast="0"/>
      <w:bookmarkEnd w:id="8"/>
      <w:r w:rsidRPr="00F70A2E">
        <w:rPr>
          <w:lang w:val="en-GB"/>
        </w:rPr>
        <w:t>Would abolishing juries fix the backlog of cases currently faced by the courts?</w:t>
      </w:r>
    </w:p>
    <w:p w14:paraId="4422C50E" w14:textId="6421903B"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 xml:space="preserve">Due to the Covid-19 pandemic, England and Wales have witnessed a backlog of 457,000 criminal cases building up with a record increase of 100,000 cases since the epidemic. Over 410 courthouses across Wales and England were announced unsafe for use. As opined by Crosby, (2019, p. 167), England and Wales can abolish the jury system to manage the backlog as most countries have removed this system from their legal structure. One of the key problems with jury service is that the judgements are often </w:t>
      </w:r>
      <w:r w:rsidR="004259CA" w:rsidRPr="00F70A2E">
        <w:rPr>
          <w:rFonts w:ascii="Times New Roman" w:eastAsia="Times New Roman" w:hAnsi="Times New Roman" w:cs="Times New Roman"/>
          <w:sz w:val="24"/>
          <w:szCs w:val="24"/>
          <w:lang w:val="en-GB"/>
        </w:rPr>
        <w:t>biased,</w:t>
      </w:r>
      <w:r w:rsidRPr="00F70A2E">
        <w:rPr>
          <w:rFonts w:ascii="Times New Roman" w:eastAsia="Times New Roman" w:hAnsi="Times New Roman" w:cs="Times New Roman"/>
          <w:sz w:val="24"/>
          <w:szCs w:val="24"/>
          <w:lang w:val="en-GB"/>
        </w:rPr>
        <w:t xml:space="preserve"> and the cases are often challenged repeatedly that lengthening the timeframe of justice. Therefore, abolishing the jury can increase fairness in the justice system and enhance the speed of decision-making. Moreover, the jury system is not flexible as people need to take a significant amount of time away from their jobs and regular responsibilities to attend the services. The judges often procrastinate on the dates </w:t>
      </w:r>
      <w:r w:rsidRPr="00F70A2E">
        <w:rPr>
          <w:rFonts w:ascii="Times New Roman" w:eastAsia="Times New Roman" w:hAnsi="Times New Roman" w:cs="Times New Roman"/>
          <w:sz w:val="24"/>
          <w:szCs w:val="24"/>
          <w:lang w:val="en-GB"/>
        </w:rPr>
        <w:lastRenderedPageBreak/>
        <w:t xml:space="preserve">of judgement. There is also the significant influence of the media on the verdict of a jury and the decisions are therefore changed or delayed depending on the media environment making it unfair and lengthy. As suggested by Crosby, (2019, p. 177), replacing jury trials with bench trials can shorten the time of trials prominently creating more space for other cases and overall making the legal procedures faster. </w:t>
      </w:r>
    </w:p>
    <w:p w14:paraId="4422C50F" w14:textId="30429FD6" w:rsidR="00C9542E" w:rsidRPr="00F70A2E" w:rsidRDefault="00405B71">
      <w:pPr>
        <w:pStyle w:val="Heading1"/>
        <w:rPr>
          <w:lang w:val="en-GB"/>
        </w:rPr>
      </w:pPr>
      <w:bookmarkStart w:id="9" w:name="_uxpjkv9als60" w:colFirst="0" w:colLast="0"/>
      <w:bookmarkEnd w:id="9"/>
      <w:r w:rsidRPr="00F70A2E">
        <w:rPr>
          <w:lang w:val="en-GB"/>
        </w:rPr>
        <w:t>Reform suggestions</w:t>
      </w:r>
    </w:p>
    <w:p w14:paraId="4422C510" w14:textId="04AE5524"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As r</w:t>
      </w:r>
      <w:r w:rsidR="0050452B">
        <w:rPr>
          <w:rFonts w:ascii="Times New Roman" w:eastAsia="Times New Roman" w:hAnsi="Times New Roman" w:cs="Times New Roman"/>
          <w:sz w:val="24"/>
          <w:szCs w:val="24"/>
          <w:lang w:val="en-GB"/>
        </w:rPr>
        <w:t xml:space="preserve">ecommended by Bowcott, (2020), </w:t>
      </w:r>
      <w:r w:rsidRPr="00F70A2E">
        <w:rPr>
          <w:rFonts w:ascii="Times New Roman" w:eastAsia="Times New Roman" w:hAnsi="Times New Roman" w:cs="Times New Roman"/>
          <w:sz w:val="24"/>
          <w:szCs w:val="24"/>
          <w:lang w:val="en-GB"/>
        </w:rPr>
        <w:t xml:space="preserve">crimes that are less serious can be transferred to Crown Courts from jury courts to manage the building up cases. To address the accumulation of the huge backlog, less serious cases should be dealt with by two magistrates and a judge. A special suggestion for 'Nightingale' courts for emergency cases has also been proposed. Making the system more efficient requires more flexibility (Bowcott, 2020). Therefore, starting </w:t>
      </w:r>
      <w:proofErr w:type="spellStart"/>
      <w:r w:rsidR="004259CA" w:rsidRPr="00F70A2E">
        <w:rPr>
          <w:rFonts w:ascii="Times New Roman" w:eastAsia="Times New Roman" w:hAnsi="Times New Roman" w:cs="Times New Roman"/>
          <w:sz w:val="24"/>
          <w:szCs w:val="24"/>
          <w:lang w:val="en-GB"/>
        </w:rPr>
        <w:t>nighttime</w:t>
      </w:r>
      <w:proofErr w:type="spellEnd"/>
      <w:r w:rsidRPr="00F70A2E">
        <w:rPr>
          <w:rFonts w:ascii="Times New Roman" w:eastAsia="Times New Roman" w:hAnsi="Times New Roman" w:cs="Times New Roman"/>
          <w:sz w:val="24"/>
          <w:szCs w:val="24"/>
          <w:lang w:val="en-GB"/>
        </w:rPr>
        <w:t xml:space="preserve"> courts can help the jury system address the building up cases faster. Cases should be distributed equally between jury services, crown courts, magistrate courts, and civil courts. The power of sentencing should be revised for the magistrate. Despite the three categories of criminal cases, the majority of the load is transferred to the crown court, as the magistrate court feels a lack of power in terms of sentencing which also adds to the build-up. Revising the powers of each court and providing more authority to the magistrate can solve the problem of backlog in England and Wales. Adding bench trials is another way to address the problem of backlog. In jury trials, there are often conflicts of interest among the jurors which also leads to procrastination of cases. </w:t>
      </w:r>
    </w:p>
    <w:p w14:paraId="4422C511" w14:textId="582291A8" w:rsidR="00C9542E" w:rsidRPr="00F70A2E" w:rsidRDefault="00405B71">
      <w:pPr>
        <w:pStyle w:val="Heading1"/>
        <w:rPr>
          <w:lang w:val="en-GB"/>
        </w:rPr>
      </w:pPr>
      <w:bookmarkStart w:id="10" w:name="_td92yoyq8i10" w:colFirst="0" w:colLast="0"/>
      <w:bookmarkEnd w:id="10"/>
      <w:r w:rsidRPr="00F70A2E">
        <w:rPr>
          <w:lang w:val="en-GB"/>
        </w:rPr>
        <w:t>Conclusion</w:t>
      </w:r>
    </w:p>
    <w:p w14:paraId="4422C512" w14:textId="77777777" w:rsidR="00C9542E" w:rsidRPr="00F70A2E" w:rsidRDefault="00405B71">
      <w:pPr>
        <w:spacing w:line="360" w:lineRule="auto"/>
        <w:jc w:val="both"/>
        <w:rPr>
          <w:rFonts w:ascii="Times New Roman" w:eastAsia="Times New Roman" w:hAnsi="Times New Roman" w:cs="Times New Roman"/>
          <w:sz w:val="24"/>
          <w:szCs w:val="24"/>
          <w:lang w:val="en-GB"/>
        </w:rPr>
      </w:pPr>
      <w:r w:rsidRPr="00F70A2E">
        <w:rPr>
          <w:rFonts w:ascii="Times New Roman" w:eastAsia="Times New Roman" w:hAnsi="Times New Roman" w:cs="Times New Roman"/>
          <w:sz w:val="24"/>
          <w:szCs w:val="24"/>
          <w:lang w:val="en-GB"/>
        </w:rPr>
        <w:t xml:space="preserve">However, it can be concluded that judicial systems and legal systems should be effective and efficient to make relevant results avoiding any type of biasedness. Hence, different types of jury acts have been formed to make effective decisions even in critical cases. </w:t>
      </w:r>
    </w:p>
    <w:p w14:paraId="4422C513" w14:textId="77777777" w:rsidR="0050452B" w:rsidRDefault="0050452B">
      <w:pPr>
        <w:rPr>
          <w:rFonts w:ascii="Times New Roman" w:eastAsia="Times New Roman" w:hAnsi="Times New Roman" w:cs="Times New Roman"/>
          <w:b/>
          <w:sz w:val="24"/>
          <w:szCs w:val="24"/>
          <w:lang w:val="en-GB"/>
        </w:rPr>
      </w:pPr>
      <w:bookmarkStart w:id="11" w:name="_w3xai8ulvj0x" w:colFirst="0" w:colLast="0"/>
      <w:bookmarkEnd w:id="11"/>
      <w:r>
        <w:rPr>
          <w:lang w:val="en-GB"/>
        </w:rPr>
        <w:br w:type="page"/>
      </w:r>
    </w:p>
    <w:p w14:paraId="4422C514" w14:textId="77777777" w:rsidR="00C9542E" w:rsidRPr="00F70A2E" w:rsidRDefault="00405B71">
      <w:pPr>
        <w:pStyle w:val="Heading1"/>
        <w:rPr>
          <w:lang w:val="en-GB"/>
        </w:rPr>
      </w:pPr>
      <w:r w:rsidRPr="00F70A2E">
        <w:rPr>
          <w:lang w:val="en-GB"/>
        </w:rPr>
        <w:lastRenderedPageBreak/>
        <w:t xml:space="preserve">References </w:t>
      </w:r>
    </w:p>
    <w:p w14:paraId="154B31B4" w14:textId="2E467D31" w:rsidR="003F3747" w:rsidRPr="005C747F" w:rsidRDefault="0050452B">
      <w:pPr>
        <w:spacing w:before="240" w:after="240" w:line="360" w:lineRule="auto"/>
        <w:jc w:val="both"/>
        <w:rPr>
          <w:rFonts w:ascii="Times New Roman" w:eastAsia="Times New Roman" w:hAnsi="Times New Roman" w:cs="Times New Roman"/>
          <w:color w:val="1155CC"/>
          <w:sz w:val="24"/>
          <w:szCs w:val="24"/>
          <w:highlight w:val="white"/>
          <w:lang w:val="en-GB"/>
        </w:rPr>
      </w:pPr>
      <w:r w:rsidRPr="00F70A2E">
        <w:rPr>
          <w:rFonts w:ascii="Times New Roman" w:eastAsia="Times New Roman" w:hAnsi="Times New Roman" w:cs="Times New Roman"/>
          <w:color w:val="222222"/>
          <w:sz w:val="24"/>
          <w:szCs w:val="24"/>
          <w:highlight w:val="white"/>
          <w:lang w:val="en-GB"/>
        </w:rPr>
        <w:t xml:space="preserve">Allman, T.Y., </w:t>
      </w:r>
      <w:r w:rsidR="00167892">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2021</w:t>
      </w:r>
      <w:r w:rsidR="00167892">
        <w:rPr>
          <w:rFonts w:ascii="Times New Roman" w:eastAsia="Times New Roman" w:hAnsi="Times New Roman" w:cs="Times New Roman"/>
          <w:color w:val="222222"/>
          <w:sz w:val="24"/>
          <w:szCs w:val="24"/>
          <w:highlight w:val="white"/>
          <w:lang w:val="en-GB"/>
        </w:rPr>
        <w:t>)</w:t>
      </w:r>
      <w:r w:rsidR="00827C29">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color w:val="222222"/>
          <w:sz w:val="24"/>
          <w:szCs w:val="24"/>
          <w:highlight w:val="white"/>
          <w:lang w:val="en-GB"/>
        </w:rPr>
        <w:t>Informing Juries About Spoliation of Electronic Evidence After Amended Rule 37 (e): An Assessment.</w:t>
      </w:r>
      <w:r w:rsidR="002433F6">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Fed. Cts. L. Rev.</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13</w:t>
      </w:r>
      <w:r w:rsidRPr="00F70A2E">
        <w:rPr>
          <w:rFonts w:ascii="Times New Roman" w:eastAsia="Times New Roman" w:hAnsi="Times New Roman" w:cs="Times New Roman"/>
          <w:color w:val="222222"/>
          <w:sz w:val="24"/>
          <w:szCs w:val="24"/>
          <w:highlight w:val="white"/>
          <w:lang w:val="en-GB"/>
        </w:rPr>
        <w:t>, p.81.</w:t>
      </w:r>
      <w:r w:rsidR="009833BE">
        <w:rPr>
          <w:rFonts w:ascii="Times New Roman" w:eastAsia="Times New Roman" w:hAnsi="Times New Roman" w:cs="Times New Roman"/>
          <w:color w:val="222222"/>
          <w:sz w:val="24"/>
          <w:szCs w:val="24"/>
          <w:lang w:val="en-GB"/>
        </w:rPr>
        <w:t xml:space="preserve"> A</w:t>
      </w:r>
      <w:r w:rsidR="00046CB6">
        <w:rPr>
          <w:rFonts w:ascii="Times New Roman" w:eastAsia="Times New Roman" w:hAnsi="Times New Roman" w:cs="Times New Roman"/>
          <w:color w:val="222222"/>
          <w:sz w:val="24"/>
          <w:szCs w:val="24"/>
          <w:lang w:val="en-GB"/>
        </w:rPr>
        <w:t>vailable at:</w:t>
      </w:r>
      <w:hyperlink r:id="rId7" w:history="1">
        <w:r w:rsidR="00C008CC" w:rsidRPr="000A3926">
          <w:rPr>
            <w:rStyle w:val="Hyperlink"/>
            <w:rFonts w:ascii="Times New Roman" w:eastAsia="Times New Roman" w:hAnsi="Times New Roman" w:cs="Times New Roman"/>
            <w:sz w:val="24"/>
            <w:szCs w:val="24"/>
            <w:highlight w:val="white"/>
            <w:lang w:val="en-GB"/>
          </w:rPr>
          <w:t xml:space="preserve"> </w:t>
        </w:r>
      </w:hyperlink>
      <w:hyperlink r:id="rId8" w:history="1">
        <w:r w:rsidRPr="00F70A2E">
          <w:rPr>
            <w:rFonts w:ascii="Times New Roman" w:eastAsia="Times New Roman" w:hAnsi="Times New Roman" w:cs="Times New Roman"/>
            <w:color w:val="1155CC"/>
            <w:sz w:val="24"/>
            <w:szCs w:val="24"/>
            <w:highlight w:val="white"/>
            <w:u w:val="single"/>
            <w:lang w:val="en-GB"/>
          </w:rPr>
          <w:t>https://heinonline.org/hol-cgi-bin/get_pdf.cgi?handle=hein.journals/fecourtl13&amp;section=3</w:t>
        </w:r>
      </w:hyperlink>
      <w:r w:rsidR="00C008CC">
        <w:rPr>
          <w:rFonts w:ascii="Times New Roman" w:eastAsia="Times New Roman" w:hAnsi="Times New Roman" w:cs="Times New Roman"/>
          <w:color w:val="1155CC"/>
          <w:sz w:val="24"/>
          <w:szCs w:val="24"/>
          <w:highlight w:val="white"/>
          <w:u w:val="single"/>
          <w:lang w:val="en-GB"/>
        </w:rPr>
        <w:t xml:space="preserve"> </w:t>
      </w:r>
    </w:p>
    <w:p w14:paraId="4422C516" w14:textId="34452D3F" w:rsidR="0050452B" w:rsidRPr="00F70A2E" w:rsidRDefault="0050452B">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F70A2E">
        <w:rPr>
          <w:rFonts w:ascii="Times New Roman" w:eastAsia="Times New Roman" w:hAnsi="Times New Roman" w:cs="Times New Roman"/>
          <w:color w:val="222222"/>
          <w:sz w:val="24"/>
          <w:szCs w:val="24"/>
          <w:highlight w:val="white"/>
          <w:lang w:val="en-GB"/>
        </w:rPr>
        <w:t>Boscott</w:t>
      </w:r>
      <w:proofErr w:type="spellEnd"/>
      <w:r w:rsidRPr="00F70A2E">
        <w:rPr>
          <w:rFonts w:ascii="Times New Roman" w:eastAsia="Times New Roman" w:hAnsi="Times New Roman" w:cs="Times New Roman"/>
          <w:color w:val="222222"/>
          <w:sz w:val="24"/>
          <w:szCs w:val="24"/>
          <w:highlight w:val="white"/>
          <w:lang w:val="en-GB"/>
        </w:rPr>
        <w:t xml:space="preserve">, O., </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2020</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5C747F">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Drop juries for less serious crimes in England and Wales, judges say.</w:t>
      </w:r>
      <w:r w:rsidR="005C747F">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The Guardian</w:t>
      </w:r>
      <w:r w:rsidRPr="00F70A2E">
        <w:rPr>
          <w:rFonts w:ascii="Times New Roman" w:eastAsia="Times New Roman" w:hAnsi="Times New Roman" w:cs="Times New Roman"/>
          <w:color w:val="222222"/>
          <w:sz w:val="24"/>
          <w:szCs w:val="24"/>
          <w:highlight w:val="white"/>
          <w:lang w:val="en-GB"/>
        </w:rPr>
        <w:t>.</w:t>
      </w:r>
      <w:r w:rsidR="003F3747">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color w:val="222222"/>
          <w:sz w:val="24"/>
          <w:szCs w:val="24"/>
          <w:highlight w:val="white"/>
          <w:lang w:val="en-GB"/>
        </w:rPr>
        <w:t>Available at: https://www.theguardian.com/law/2020/jun/16/drop-jurir-less-serious-crimes-in-england-and-wales-judges-say [Accessed July 13, 2022].</w:t>
      </w:r>
    </w:p>
    <w:p w14:paraId="48846B81" w14:textId="0E57861D" w:rsidR="002128B3" w:rsidRPr="002128B3" w:rsidRDefault="0050452B">
      <w:pPr>
        <w:spacing w:before="240" w:after="240" w:line="360" w:lineRule="auto"/>
        <w:jc w:val="both"/>
        <w:rPr>
          <w:rFonts w:ascii="Times New Roman" w:eastAsia="Times New Roman" w:hAnsi="Times New Roman" w:cs="Times New Roman"/>
          <w:color w:val="1155CC"/>
          <w:highlight w:val="white"/>
          <w:lang w:val="en-GB"/>
        </w:rPr>
      </w:pPr>
      <w:r w:rsidRPr="00F70A2E">
        <w:rPr>
          <w:rFonts w:ascii="Times New Roman" w:eastAsia="Times New Roman" w:hAnsi="Times New Roman" w:cs="Times New Roman"/>
          <w:color w:val="222222"/>
          <w:sz w:val="24"/>
          <w:szCs w:val="24"/>
          <w:highlight w:val="white"/>
          <w:lang w:val="en-GB"/>
        </w:rPr>
        <w:t xml:space="preserve">Corby, S., Burgess, P., </w:t>
      </w:r>
      <w:proofErr w:type="spellStart"/>
      <w:r w:rsidRPr="00F70A2E">
        <w:rPr>
          <w:rFonts w:ascii="Times New Roman" w:eastAsia="Times New Roman" w:hAnsi="Times New Roman" w:cs="Times New Roman"/>
          <w:color w:val="222222"/>
          <w:sz w:val="24"/>
          <w:szCs w:val="24"/>
          <w:highlight w:val="white"/>
          <w:lang w:val="en-GB"/>
        </w:rPr>
        <w:t>Höland</w:t>
      </w:r>
      <w:proofErr w:type="spellEnd"/>
      <w:r w:rsidRPr="00F70A2E">
        <w:rPr>
          <w:rFonts w:ascii="Times New Roman" w:eastAsia="Times New Roman" w:hAnsi="Times New Roman" w:cs="Times New Roman"/>
          <w:color w:val="222222"/>
          <w:sz w:val="24"/>
          <w:szCs w:val="24"/>
          <w:highlight w:val="white"/>
          <w:lang w:val="en-GB"/>
        </w:rPr>
        <w:t xml:space="preserve">, A., Michel, H. and </w:t>
      </w:r>
      <w:proofErr w:type="spellStart"/>
      <w:r w:rsidRPr="00F70A2E">
        <w:rPr>
          <w:rFonts w:ascii="Times New Roman" w:eastAsia="Times New Roman" w:hAnsi="Times New Roman" w:cs="Times New Roman"/>
          <w:color w:val="222222"/>
          <w:sz w:val="24"/>
          <w:szCs w:val="24"/>
          <w:highlight w:val="white"/>
          <w:lang w:val="en-GB"/>
        </w:rPr>
        <w:t>Willemez</w:t>
      </w:r>
      <w:proofErr w:type="spellEnd"/>
      <w:r w:rsidRPr="00F70A2E">
        <w:rPr>
          <w:rFonts w:ascii="Times New Roman" w:eastAsia="Times New Roman" w:hAnsi="Times New Roman" w:cs="Times New Roman"/>
          <w:color w:val="222222"/>
          <w:sz w:val="24"/>
          <w:szCs w:val="24"/>
          <w:highlight w:val="white"/>
          <w:lang w:val="en-GB"/>
        </w:rPr>
        <w:t xml:space="preserve">, L., </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2020</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164AF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Lay and professional judges in Europe’s labour courts: does the professional judge dominate?</w:t>
      </w:r>
      <w:r w:rsidR="00164AF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Industrial Law Journal</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49</w:t>
      </w:r>
      <w:r w:rsidRPr="00F70A2E">
        <w:rPr>
          <w:rFonts w:ascii="Times New Roman" w:eastAsia="Times New Roman" w:hAnsi="Times New Roman" w:cs="Times New Roman"/>
          <w:color w:val="222222"/>
          <w:sz w:val="24"/>
          <w:szCs w:val="24"/>
          <w:highlight w:val="white"/>
          <w:lang w:val="en-GB"/>
        </w:rPr>
        <w:t>(2), pp.231-257.</w:t>
      </w:r>
      <w:r w:rsidR="00164AF1">
        <w:rPr>
          <w:rFonts w:ascii="Times New Roman" w:eastAsia="Times New Roman" w:hAnsi="Times New Roman" w:cs="Times New Roman"/>
          <w:color w:val="222222"/>
          <w:sz w:val="24"/>
          <w:szCs w:val="24"/>
          <w:lang w:val="en-GB"/>
        </w:rPr>
        <w:t xml:space="preserve"> Available </w:t>
      </w:r>
      <w:r w:rsidR="002128B3">
        <w:rPr>
          <w:rFonts w:ascii="Times New Roman" w:eastAsia="Times New Roman" w:hAnsi="Times New Roman" w:cs="Times New Roman"/>
          <w:color w:val="222222"/>
          <w:sz w:val="24"/>
          <w:szCs w:val="24"/>
          <w:lang w:val="en-GB"/>
        </w:rPr>
        <w:t>at:</w:t>
      </w:r>
      <w:hyperlink r:id="rId9" w:history="1">
        <w:r w:rsidR="002128B3" w:rsidRPr="000A3926">
          <w:rPr>
            <w:rStyle w:val="Hyperlink"/>
            <w:rFonts w:ascii="Times New Roman" w:eastAsia="Times New Roman" w:hAnsi="Times New Roman" w:cs="Times New Roman"/>
            <w:sz w:val="24"/>
            <w:szCs w:val="24"/>
            <w:highlight w:val="white"/>
            <w:lang w:val="en-GB"/>
          </w:rPr>
          <w:t xml:space="preserve"> </w:t>
        </w:r>
      </w:hyperlink>
      <w:hyperlink r:id="rId10" w:history="1">
        <w:r w:rsidRPr="00F70A2E">
          <w:rPr>
            <w:rFonts w:ascii="Times New Roman" w:eastAsia="Times New Roman" w:hAnsi="Times New Roman" w:cs="Times New Roman"/>
            <w:color w:val="1155CC"/>
            <w:sz w:val="24"/>
            <w:szCs w:val="24"/>
            <w:highlight w:val="white"/>
            <w:u w:val="single"/>
            <w:lang w:val="en-GB"/>
          </w:rPr>
          <w:t>https://academic.oup.com/ilj/article-abstract/49/2/231/5553792</w:t>
        </w:r>
      </w:hyperlink>
      <w:r w:rsidR="002128B3">
        <w:rPr>
          <w:rFonts w:ascii="Times New Roman" w:eastAsia="Times New Roman" w:hAnsi="Times New Roman" w:cs="Times New Roman"/>
          <w:color w:val="1155CC"/>
          <w:sz w:val="24"/>
          <w:szCs w:val="24"/>
          <w:highlight w:val="white"/>
          <w:u w:val="single"/>
          <w:lang w:val="en-GB"/>
        </w:rPr>
        <w:t xml:space="preserve"> </w:t>
      </w:r>
      <w:r w:rsidR="002128B3">
        <w:rPr>
          <w:rFonts w:ascii="Times New Roman" w:eastAsia="Times New Roman" w:hAnsi="Times New Roman" w:cs="Times New Roman"/>
          <w:color w:val="1155CC"/>
          <w:highlight w:val="white"/>
          <w:lang w:val="en-GB"/>
        </w:rPr>
        <w:t xml:space="preserve"> </w:t>
      </w:r>
    </w:p>
    <w:p w14:paraId="4422C518" w14:textId="038BB46F" w:rsidR="0050452B" w:rsidRPr="00F70A2E" w:rsidRDefault="0050452B">
      <w:pPr>
        <w:spacing w:before="240" w:after="240" w:line="360" w:lineRule="auto"/>
        <w:jc w:val="both"/>
        <w:rPr>
          <w:rFonts w:ascii="Times New Roman" w:eastAsia="Times New Roman" w:hAnsi="Times New Roman" w:cs="Times New Roman"/>
          <w:color w:val="222222"/>
          <w:sz w:val="24"/>
          <w:szCs w:val="24"/>
          <w:highlight w:val="white"/>
          <w:lang w:val="en-GB"/>
        </w:rPr>
      </w:pPr>
      <w:r w:rsidRPr="00F70A2E">
        <w:rPr>
          <w:rFonts w:ascii="Times New Roman" w:eastAsia="Times New Roman" w:hAnsi="Times New Roman" w:cs="Times New Roman"/>
          <w:color w:val="222222"/>
          <w:sz w:val="24"/>
          <w:szCs w:val="24"/>
          <w:highlight w:val="white"/>
          <w:lang w:val="en-GB"/>
        </w:rPr>
        <w:t xml:space="preserve">Crosby, K., </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2019</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2128B3">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Restricting the juror franchise in 1920s England and Wales.</w:t>
      </w:r>
      <w:r w:rsidR="002128B3">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Law and History Review</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37</w:t>
      </w:r>
      <w:r w:rsidRPr="00F70A2E">
        <w:rPr>
          <w:rFonts w:ascii="Times New Roman" w:eastAsia="Times New Roman" w:hAnsi="Times New Roman" w:cs="Times New Roman"/>
          <w:color w:val="222222"/>
          <w:sz w:val="24"/>
          <w:szCs w:val="24"/>
          <w:highlight w:val="white"/>
          <w:lang w:val="en-GB"/>
        </w:rPr>
        <w:t>(1), pp.163-207.</w:t>
      </w:r>
      <w:r w:rsidR="002128B3">
        <w:rPr>
          <w:rFonts w:ascii="Times New Roman" w:eastAsia="Times New Roman" w:hAnsi="Times New Roman" w:cs="Times New Roman"/>
          <w:color w:val="222222"/>
          <w:sz w:val="24"/>
          <w:szCs w:val="24"/>
          <w:highlight w:val="white"/>
          <w:lang w:val="en-GB"/>
        </w:rPr>
        <w:t xml:space="preserve"> Available at:</w:t>
      </w:r>
      <w:r w:rsidRPr="00F70A2E">
        <w:rPr>
          <w:rFonts w:ascii="Times New Roman" w:eastAsia="Times New Roman" w:hAnsi="Times New Roman" w:cs="Times New Roman"/>
          <w:color w:val="222222"/>
          <w:sz w:val="24"/>
          <w:szCs w:val="24"/>
          <w:highlight w:val="white"/>
          <w:lang w:val="en-GB"/>
        </w:rPr>
        <w:t xml:space="preserve"> </w:t>
      </w:r>
      <w:hyperlink r:id="rId11" w:history="1">
        <w:r w:rsidRPr="00F70A2E">
          <w:rPr>
            <w:rFonts w:ascii="Times New Roman" w:eastAsia="Times New Roman" w:hAnsi="Times New Roman" w:cs="Times New Roman"/>
            <w:color w:val="1155CC"/>
            <w:sz w:val="24"/>
            <w:szCs w:val="24"/>
            <w:highlight w:val="white"/>
            <w:u w:val="single"/>
            <w:lang w:val="en-GB"/>
          </w:rPr>
          <w:t>https://academic.oup.com/ojls/article-abstract/39/2/259/5240807</w:t>
        </w:r>
      </w:hyperlink>
    </w:p>
    <w:p w14:paraId="4422C519" w14:textId="0F4C02DA" w:rsidR="0050452B" w:rsidRPr="00F70A2E" w:rsidRDefault="0050452B">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F70A2E">
        <w:rPr>
          <w:rFonts w:ascii="Times New Roman" w:eastAsia="Times New Roman" w:hAnsi="Times New Roman" w:cs="Times New Roman"/>
          <w:color w:val="222222"/>
          <w:sz w:val="24"/>
          <w:szCs w:val="24"/>
          <w:highlight w:val="white"/>
          <w:lang w:val="en-GB"/>
        </w:rPr>
        <w:t xml:space="preserve">Gonzales Rose, J.B., </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2019</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2128B3">
        <w:rPr>
          <w:rFonts w:ascii="Times New Roman" w:eastAsia="Times New Roman" w:hAnsi="Times New Roman" w:cs="Times New Roman"/>
          <w:color w:val="222222"/>
          <w:sz w:val="24"/>
          <w:szCs w:val="24"/>
          <w:highlight w:val="white"/>
          <w:lang w:val="en-GB"/>
        </w:rPr>
        <w:t>‘</w:t>
      </w:r>
      <w:proofErr w:type="spellStart"/>
      <w:r w:rsidR="00014708" w:rsidRPr="00F70A2E">
        <w:rPr>
          <w:rFonts w:ascii="Times New Roman" w:eastAsia="Times New Roman" w:hAnsi="Times New Roman" w:cs="Times New Roman"/>
          <w:color w:val="222222"/>
          <w:sz w:val="24"/>
          <w:szCs w:val="24"/>
          <w:highlight w:val="white"/>
          <w:lang w:val="en-GB"/>
        </w:rPr>
        <w:t>Color</w:t>
      </w:r>
      <w:proofErr w:type="spellEnd"/>
      <w:r w:rsidRPr="00F70A2E">
        <w:rPr>
          <w:rFonts w:ascii="Times New Roman" w:eastAsia="Times New Roman" w:hAnsi="Times New Roman" w:cs="Times New Roman"/>
          <w:color w:val="222222"/>
          <w:sz w:val="24"/>
          <w:szCs w:val="24"/>
          <w:highlight w:val="white"/>
          <w:lang w:val="en-GB"/>
        </w:rPr>
        <w:t xml:space="preserve">-Blind but Not </w:t>
      </w:r>
      <w:proofErr w:type="spellStart"/>
      <w:r w:rsidRPr="00F70A2E">
        <w:rPr>
          <w:rFonts w:ascii="Times New Roman" w:eastAsia="Times New Roman" w:hAnsi="Times New Roman" w:cs="Times New Roman"/>
          <w:color w:val="222222"/>
          <w:sz w:val="24"/>
          <w:szCs w:val="24"/>
          <w:highlight w:val="white"/>
          <w:lang w:val="en-GB"/>
        </w:rPr>
        <w:t>Color</w:t>
      </w:r>
      <w:proofErr w:type="spellEnd"/>
      <w:r w:rsidRPr="00F70A2E">
        <w:rPr>
          <w:rFonts w:ascii="Times New Roman" w:eastAsia="Times New Roman" w:hAnsi="Times New Roman" w:cs="Times New Roman"/>
          <w:color w:val="222222"/>
          <w:sz w:val="24"/>
          <w:szCs w:val="24"/>
          <w:highlight w:val="white"/>
          <w:lang w:val="en-GB"/>
        </w:rPr>
        <w:t>-Deaf: Accent Discrimination in Jury Selection.</w:t>
      </w:r>
      <w:r w:rsidR="002128B3">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NYU Rev. L. &amp; Soc. Change</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44</w:t>
      </w:r>
      <w:r w:rsidRPr="00F70A2E">
        <w:rPr>
          <w:rFonts w:ascii="Times New Roman" w:eastAsia="Times New Roman" w:hAnsi="Times New Roman" w:cs="Times New Roman"/>
          <w:color w:val="222222"/>
          <w:sz w:val="24"/>
          <w:szCs w:val="24"/>
          <w:highlight w:val="white"/>
          <w:lang w:val="en-GB"/>
        </w:rPr>
        <w:t>, p.309.</w:t>
      </w:r>
      <w:r w:rsidR="002128B3">
        <w:rPr>
          <w:rFonts w:ascii="Times New Roman" w:eastAsia="Times New Roman" w:hAnsi="Times New Roman" w:cs="Times New Roman"/>
          <w:color w:val="222222"/>
          <w:sz w:val="24"/>
          <w:szCs w:val="24"/>
          <w:lang w:val="en-GB"/>
        </w:rPr>
        <w:t xml:space="preserve"> Available at:</w:t>
      </w:r>
      <w:hyperlink r:id="rId12" w:history="1">
        <w:r w:rsidR="002128B3" w:rsidRPr="000A3926">
          <w:rPr>
            <w:rStyle w:val="Hyperlink"/>
            <w:rFonts w:ascii="Times New Roman" w:eastAsia="Times New Roman" w:hAnsi="Times New Roman" w:cs="Times New Roman"/>
            <w:sz w:val="24"/>
            <w:szCs w:val="24"/>
            <w:highlight w:val="white"/>
            <w:lang w:val="en-GB"/>
          </w:rPr>
          <w:t xml:space="preserve"> </w:t>
        </w:r>
      </w:hyperlink>
      <w:hyperlink r:id="rId13" w:history="1">
        <w:r w:rsidRPr="00F70A2E">
          <w:rPr>
            <w:rFonts w:ascii="Times New Roman" w:eastAsia="Times New Roman" w:hAnsi="Times New Roman" w:cs="Times New Roman"/>
            <w:color w:val="1155CC"/>
            <w:sz w:val="24"/>
            <w:szCs w:val="24"/>
            <w:highlight w:val="white"/>
            <w:u w:val="single"/>
            <w:lang w:val="en-GB"/>
          </w:rPr>
          <w:t>https://heinonline.org/hol-cgi-bin/get_pdf.cgi?handle=hein.journals/nyuls44&amp;section=17</w:t>
        </w:r>
      </w:hyperlink>
    </w:p>
    <w:p w14:paraId="4422C51A" w14:textId="44522AA0" w:rsidR="0050452B" w:rsidRPr="00F70A2E" w:rsidRDefault="0050452B">
      <w:pPr>
        <w:spacing w:before="240" w:after="240" w:line="360" w:lineRule="auto"/>
        <w:jc w:val="both"/>
        <w:rPr>
          <w:rFonts w:ascii="Times New Roman" w:eastAsia="Times New Roman" w:hAnsi="Times New Roman" w:cs="Times New Roman"/>
          <w:color w:val="222222"/>
          <w:sz w:val="24"/>
          <w:szCs w:val="24"/>
          <w:highlight w:val="white"/>
          <w:lang w:val="en-GB"/>
        </w:rPr>
      </w:pPr>
      <w:r w:rsidRPr="00F70A2E">
        <w:rPr>
          <w:rFonts w:ascii="Times New Roman" w:eastAsia="Times New Roman" w:hAnsi="Times New Roman" w:cs="Times New Roman"/>
          <w:color w:val="222222"/>
          <w:sz w:val="24"/>
          <w:szCs w:val="24"/>
          <w:highlight w:val="white"/>
          <w:lang w:val="en-GB"/>
        </w:rPr>
        <w:t xml:space="preserve">Helm, R., </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202</w:t>
      </w:r>
      <w:r w:rsidR="00D51561">
        <w:rPr>
          <w:rFonts w:ascii="Times New Roman" w:eastAsia="Times New Roman" w:hAnsi="Times New Roman" w:cs="Times New Roman"/>
          <w:color w:val="222222"/>
          <w:sz w:val="24"/>
          <w:szCs w:val="24"/>
          <w:highlight w:val="white"/>
          <w:lang w:val="en-GB"/>
        </w:rPr>
        <w:t>1)</w:t>
      </w:r>
      <w:r w:rsidRPr="00F70A2E">
        <w:rPr>
          <w:rFonts w:ascii="Times New Roman" w:eastAsia="Times New Roman" w:hAnsi="Times New Roman" w:cs="Times New Roman"/>
          <w:color w:val="222222"/>
          <w:sz w:val="24"/>
          <w:szCs w:val="24"/>
          <w:highlight w:val="white"/>
          <w:lang w:val="en-GB"/>
        </w:rPr>
        <w:t xml:space="preserve"> </w:t>
      </w:r>
      <w:r w:rsidR="002128B3">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The anatomy of" factual error" miscarriages of justice in England and Wales: a fifty-year review.</w:t>
      </w:r>
      <w:r w:rsidR="002128B3">
        <w:rPr>
          <w:rFonts w:ascii="Times New Roman" w:eastAsia="Times New Roman" w:hAnsi="Times New Roman" w:cs="Times New Roman"/>
          <w:color w:val="222222"/>
          <w:sz w:val="24"/>
          <w:szCs w:val="24"/>
          <w:highlight w:val="white"/>
          <w:lang w:val="en-GB"/>
        </w:rPr>
        <w:t>’ Available at:</w:t>
      </w:r>
      <w:r w:rsidRPr="00F70A2E">
        <w:rPr>
          <w:rFonts w:ascii="Times New Roman" w:eastAsia="Times New Roman" w:hAnsi="Times New Roman" w:cs="Times New Roman"/>
          <w:color w:val="222222"/>
          <w:sz w:val="24"/>
          <w:szCs w:val="24"/>
          <w:highlight w:val="white"/>
          <w:lang w:val="en-GB"/>
        </w:rPr>
        <w:t xml:space="preserve"> </w:t>
      </w:r>
      <w:hyperlink r:id="rId14" w:history="1">
        <w:r w:rsidRPr="00F70A2E">
          <w:rPr>
            <w:rFonts w:ascii="Times New Roman" w:eastAsia="Times New Roman" w:hAnsi="Times New Roman" w:cs="Times New Roman"/>
            <w:color w:val="1155CC"/>
            <w:sz w:val="24"/>
            <w:szCs w:val="24"/>
            <w:highlight w:val="white"/>
            <w:u w:val="single"/>
            <w:lang w:val="en-GB"/>
          </w:rPr>
          <w:t>https://ore.exeter.ac.uk/repository/handle/10871/124737</w:t>
        </w:r>
      </w:hyperlink>
    </w:p>
    <w:p w14:paraId="4422C51B" w14:textId="32F9A1D7" w:rsidR="0050452B" w:rsidRPr="00F70A2E" w:rsidRDefault="0050452B">
      <w:pPr>
        <w:spacing w:before="240" w:after="240" w:line="360" w:lineRule="auto"/>
        <w:jc w:val="both"/>
        <w:rPr>
          <w:rFonts w:ascii="Times New Roman" w:eastAsia="Times New Roman" w:hAnsi="Times New Roman" w:cs="Times New Roman"/>
          <w:color w:val="222222"/>
          <w:sz w:val="24"/>
          <w:szCs w:val="24"/>
          <w:highlight w:val="white"/>
          <w:lang w:val="en-GB"/>
        </w:rPr>
      </w:pPr>
      <w:r w:rsidRPr="00F70A2E">
        <w:rPr>
          <w:rFonts w:ascii="Times New Roman" w:eastAsia="Times New Roman" w:hAnsi="Times New Roman" w:cs="Times New Roman"/>
          <w:color w:val="222222"/>
          <w:sz w:val="24"/>
          <w:szCs w:val="24"/>
          <w:highlight w:val="white"/>
          <w:lang w:val="en-GB"/>
        </w:rPr>
        <w:t xml:space="preserve">Legislation.gov.uk, </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2022</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5864CD">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Juries (disqualification) act 1984.</w:t>
      </w:r>
      <w:r w:rsidR="005864CD">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Legislation.gov.uk</w:t>
      </w:r>
      <w:r w:rsidRPr="00F70A2E">
        <w:rPr>
          <w:rFonts w:ascii="Times New Roman" w:eastAsia="Times New Roman" w:hAnsi="Times New Roman" w:cs="Times New Roman"/>
          <w:color w:val="222222"/>
          <w:sz w:val="24"/>
          <w:szCs w:val="24"/>
          <w:highlight w:val="white"/>
          <w:lang w:val="en-GB"/>
        </w:rPr>
        <w:t>. Available at: https://www.legislation.gov.uk/ukpga/1984/34/enacted [Accessed July 13, 2022].</w:t>
      </w:r>
    </w:p>
    <w:p w14:paraId="4422C51C" w14:textId="15CB4F66" w:rsidR="0050452B" w:rsidRPr="00F70A2E" w:rsidRDefault="0050452B">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F70A2E">
        <w:rPr>
          <w:rFonts w:ascii="Times New Roman" w:eastAsia="Times New Roman" w:hAnsi="Times New Roman" w:cs="Times New Roman"/>
          <w:color w:val="222222"/>
          <w:sz w:val="24"/>
          <w:szCs w:val="24"/>
          <w:highlight w:val="white"/>
          <w:lang w:val="en-GB"/>
        </w:rPr>
        <w:t xml:space="preserve">McLachlan, S. and Webley, L.C., </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2021</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5864CD">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Visualisation of law and legal Process: An opportunity missed.</w:t>
      </w:r>
      <w:r w:rsidR="005864CD">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Information Visualization</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20</w:t>
      </w:r>
      <w:r w:rsidRPr="00F70A2E">
        <w:rPr>
          <w:rFonts w:ascii="Times New Roman" w:eastAsia="Times New Roman" w:hAnsi="Times New Roman" w:cs="Times New Roman"/>
          <w:color w:val="222222"/>
          <w:sz w:val="24"/>
          <w:szCs w:val="24"/>
          <w:highlight w:val="white"/>
          <w:lang w:val="en-GB"/>
        </w:rPr>
        <w:t>(2-3), pp.192-204.</w:t>
      </w:r>
      <w:r w:rsidR="00F62492">
        <w:rPr>
          <w:rFonts w:ascii="Times New Roman" w:eastAsia="Times New Roman" w:hAnsi="Times New Roman" w:cs="Times New Roman"/>
          <w:color w:val="222222"/>
          <w:sz w:val="24"/>
          <w:szCs w:val="24"/>
          <w:lang w:val="en-GB"/>
        </w:rPr>
        <w:t xml:space="preserve"> Available at:</w:t>
      </w:r>
      <w:hyperlink r:id="rId15" w:history="1">
        <w:r w:rsidR="00F62492" w:rsidRPr="000A3926">
          <w:rPr>
            <w:rStyle w:val="Hyperlink"/>
            <w:rFonts w:ascii="Times New Roman" w:eastAsia="Times New Roman" w:hAnsi="Times New Roman" w:cs="Times New Roman"/>
            <w:sz w:val="24"/>
            <w:szCs w:val="24"/>
            <w:highlight w:val="white"/>
            <w:lang w:val="en-GB"/>
          </w:rPr>
          <w:t xml:space="preserve"> </w:t>
        </w:r>
      </w:hyperlink>
      <w:hyperlink r:id="rId16" w:history="1">
        <w:r w:rsidRPr="00F70A2E">
          <w:rPr>
            <w:rFonts w:ascii="Times New Roman" w:eastAsia="Times New Roman" w:hAnsi="Times New Roman" w:cs="Times New Roman"/>
            <w:color w:val="1155CC"/>
            <w:sz w:val="24"/>
            <w:szCs w:val="24"/>
            <w:highlight w:val="white"/>
            <w:u w:val="single"/>
            <w:lang w:val="en-GB"/>
          </w:rPr>
          <w:t>https://journals.sagepub.com/doi/abs/10.1177/14738716211012608</w:t>
        </w:r>
      </w:hyperlink>
    </w:p>
    <w:p w14:paraId="4422C51D" w14:textId="29DB431F" w:rsidR="0050452B" w:rsidRPr="00F70A2E" w:rsidRDefault="0050452B">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F70A2E">
        <w:rPr>
          <w:rFonts w:ascii="Times New Roman" w:eastAsia="Times New Roman" w:hAnsi="Times New Roman" w:cs="Times New Roman"/>
          <w:color w:val="222222"/>
          <w:sz w:val="24"/>
          <w:szCs w:val="24"/>
          <w:highlight w:val="white"/>
          <w:lang w:val="en-GB"/>
        </w:rPr>
        <w:t>Owusu-</w:t>
      </w:r>
      <w:proofErr w:type="spellStart"/>
      <w:r w:rsidRPr="00F70A2E">
        <w:rPr>
          <w:rFonts w:ascii="Times New Roman" w:eastAsia="Times New Roman" w:hAnsi="Times New Roman" w:cs="Times New Roman"/>
          <w:color w:val="222222"/>
          <w:sz w:val="24"/>
          <w:szCs w:val="24"/>
          <w:highlight w:val="white"/>
          <w:lang w:val="en-GB"/>
        </w:rPr>
        <w:t>Bempah</w:t>
      </w:r>
      <w:proofErr w:type="spellEnd"/>
      <w:r w:rsidRPr="00F70A2E">
        <w:rPr>
          <w:rFonts w:ascii="Times New Roman" w:eastAsia="Times New Roman" w:hAnsi="Times New Roman" w:cs="Times New Roman"/>
          <w:color w:val="222222"/>
          <w:sz w:val="24"/>
          <w:szCs w:val="24"/>
          <w:highlight w:val="white"/>
          <w:lang w:val="en-GB"/>
        </w:rPr>
        <w:t xml:space="preserve">, A., </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2020</w:t>
      </w:r>
      <w:r w:rsidR="00D51561">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F62492">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Understanding the barriers to defendant participation in criminal proceedings in England and Wales.</w:t>
      </w:r>
      <w:r w:rsidR="00F62492">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Legal Studies</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40</w:t>
      </w:r>
      <w:r w:rsidRPr="00F70A2E">
        <w:rPr>
          <w:rFonts w:ascii="Times New Roman" w:eastAsia="Times New Roman" w:hAnsi="Times New Roman" w:cs="Times New Roman"/>
          <w:color w:val="222222"/>
          <w:sz w:val="24"/>
          <w:szCs w:val="24"/>
          <w:highlight w:val="white"/>
          <w:lang w:val="en-GB"/>
        </w:rPr>
        <w:t>(4), pp.609-629.</w:t>
      </w:r>
      <w:r w:rsidR="00F62492">
        <w:rPr>
          <w:rFonts w:ascii="Times New Roman" w:eastAsia="Times New Roman" w:hAnsi="Times New Roman" w:cs="Times New Roman"/>
          <w:color w:val="222222"/>
          <w:sz w:val="24"/>
          <w:szCs w:val="24"/>
          <w:lang w:val="en-GB"/>
        </w:rPr>
        <w:t xml:space="preserve"> Available at:</w:t>
      </w:r>
      <w:hyperlink r:id="rId17" w:history="1">
        <w:r w:rsidR="00F62492" w:rsidRPr="000A3926">
          <w:rPr>
            <w:rStyle w:val="Hyperlink"/>
            <w:rFonts w:ascii="Times New Roman" w:eastAsia="Times New Roman" w:hAnsi="Times New Roman" w:cs="Times New Roman"/>
            <w:sz w:val="24"/>
            <w:szCs w:val="24"/>
            <w:highlight w:val="white"/>
            <w:lang w:val="en-GB"/>
          </w:rPr>
          <w:t xml:space="preserve"> </w:t>
        </w:r>
      </w:hyperlink>
      <w:hyperlink r:id="rId18" w:history="1">
        <w:r w:rsidRPr="00F70A2E">
          <w:rPr>
            <w:rFonts w:ascii="Times New Roman" w:eastAsia="Times New Roman" w:hAnsi="Times New Roman" w:cs="Times New Roman"/>
            <w:color w:val="1155CC"/>
            <w:sz w:val="24"/>
            <w:szCs w:val="24"/>
            <w:highlight w:val="white"/>
            <w:u w:val="single"/>
            <w:lang w:val="en-GB"/>
          </w:rPr>
          <w:t>https://www.cambridge.org/core/journals/legal-studies/article/understanding-the-barriers-to-</w:t>
        </w:r>
        <w:r w:rsidRPr="00F70A2E">
          <w:rPr>
            <w:rFonts w:ascii="Times New Roman" w:eastAsia="Times New Roman" w:hAnsi="Times New Roman" w:cs="Times New Roman"/>
            <w:color w:val="1155CC"/>
            <w:sz w:val="24"/>
            <w:szCs w:val="24"/>
            <w:highlight w:val="white"/>
            <w:u w:val="single"/>
            <w:lang w:val="en-GB"/>
          </w:rPr>
          <w:lastRenderedPageBreak/>
          <w:t>defendant-participation-in-criminal-proceedings-in-england-and-wales/DC461CEA61DEA793FCDD8A66CDA5AE33</w:t>
        </w:r>
      </w:hyperlink>
      <w:r w:rsidR="00F62492">
        <w:rPr>
          <w:rFonts w:ascii="Times New Roman" w:eastAsia="Times New Roman" w:hAnsi="Times New Roman" w:cs="Times New Roman"/>
          <w:color w:val="1155CC"/>
          <w:sz w:val="24"/>
          <w:szCs w:val="24"/>
          <w:highlight w:val="white"/>
          <w:u w:val="single"/>
          <w:lang w:val="en-GB"/>
        </w:rPr>
        <w:t xml:space="preserve"> </w:t>
      </w:r>
    </w:p>
    <w:p w14:paraId="4422C51E" w14:textId="18A30BC8" w:rsidR="0050452B" w:rsidRPr="00F70A2E" w:rsidRDefault="0050452B">
      <w:pPr>
        <w:spacing w:before="240" w:after="240" w:line="360" w:lineRule="auto"/>
        <w:jc w:val="both"/>
        <w:rPr>
          <w:rFonts w:ascii="Times New Roman" w:eastAsia="Times New Roman" w:hAnsi="Times New Roman" w:cs="Times New Roman"/>
          <w:color w:val="222222"/>
          <w:sz w:val="24"/>
          <w:szCs w:val="24"/>
          <w:highlight w:val="white"/>
          <w:lang w:val="en-GB"/>
        </w:rPr>
      </w:pPr>
      <w:r w:rsidRPr="00F70A2E">
        <w:rPr>
          <w:rFonts w:ascii="Times New Roman" w:eastAsia="Times New Roman" w:hAnsi="Times New Roman" w:cs="Times New Roman"/>
          <w:color w:val="222222"/>
          <w:sz w:val="24"/>
          <w:szCs w:val="24"/>
          <w:highlight w:val="white"/>
          <w:lang w:val="en-GB"/>
        </w:rPr>
        <w:t xml:space="preserve">Purewal, T.S., </w:t>
      </w:r>
      <w:r w:rsidR="004F782A">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2022</w:t>
      </w:r>
      <w:r w:rsidR="004F782A">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4F782A">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Fit for Purpose? A Critique of the Jury System within the English and Welsh Jurisdiction.</w:t>
      </w:r>
      <w:r w:rsidR="004F782A">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The United Kingdom Law and Society Association (UKLSA)</w:t>
      </w:r>
      <w:r w:rsidRPr="00F70A2E">
        <w:rPr>
          <w:rFonts w:ascii="Times New Roman" w:eastAsia="Times New Roman" w:hAnsi="Times New Roman" w:cs="Times New Roman"/>
          <w:color w:val="222222"/>
          <w:sz w:val="24"/>
          <w:szCs w:val="24"/>
          <w:highlight w:val="white"/>
          <w:lang w:val="en-GB"/>
        </w:rPr>
        <w:t xml:space="preserve">, p.47.  </w:t>
      </w:r>
      <w:r w:rsidR="004F782A">
        <w:rPr>
          <w:rFonts w:ascii="Times New Roman" w:eastAsia="Times New Roman" w:hAnsi="Times New Roman" w:cs="Times New Roman"/>
          <w:color w:val="222222"/>
          <w:sz w:val="24"/>
          <w:szCs w:val="24"/>
          <w:lang w:val="en-GB"/>
        </w:rPr>
        <w:t xml:space="preserve">Available at: </w:t>
      </w:r>
      <w:r w:rsidR="00C10F33" w:rsidRPr="00742923">
        <w:rPr>
          <w:rFonts w:ascii="Times New Roman" w:eastAsia="Times New Roman" w:hAnsi="Times New Roman" w:cs="Times New Roman"/>
          <w:color w:val="1155CC"/>
          <w:sz w:val="24"/>
          <w:szCs w:val="24"/>
          <w:highlight w:val="white"/>
          <w:u w:val="single"/>
          <w:lang w:val="en-GB"/>
        </w:rPr>
        <w:t>https://papers.ssrn.com/sol3/Delivery.cfm?abstractid=4068977#page=53</w:t>
      </w:r>
      <w:r w:rsidR="00C10F33">
        <w:rPr>
          <w:rFonts w:ascii="Times New Roman" w:eastAsia="Times New Roman" w:hAnsi="Times New Roman" w:cs="Times New Roman"/>
          <w:color w:val="1155CC"/>
          <w:sz w:val="24"/>
          <w:szCs w:val="24"/>
          <w:highlight w:val="white"/>
          <w:u w:val="single"/>
          <w:lang w:val="en-GB"/>
        </w:rPr>
        <w:t xml:space="preserve"> </w:t>
      </w:r>
    </w:p>
    <w:p w14:paraId="7EEC1F94" w14:textId="39743152" w:rsidR="00A91187" w:rsidRPr="00A91187" w:rsidRDefault="0050452B">
      <w:pPr>
        <w:spacing w:before="240" w:after="240" w:line="360" w:lineRule="auto"/>
        <w:jc w:val="both"/>
        <w:rPr>
          <w:rFonts w:ascii="Times New Roman" w:eastAsia="Times New Roman" w:hAnsi="Times New Roman" w:cs="Times New Roman"/>
          <w:b/>
          <w:bCs/>
          <w:color w:val="1155CC"/>
          <w:sz w:val="24"/>
          <w:szCs w:val="24"/>
          <w:highlight w:val="white"/>
          <w:u w:val="single"/>
          <w:lang w:val="en-GB"/>
        </w:rPr>
      </w:pPr>
      <w:r w:rsidRPr="00F70A2E">
        <w:rPr>
          <w:rFonts w:ascii="Times New Roman" w:eastAsia="Times New Roman" w:hAnsi="Times New Roman" w:cs="Times New Roman"/>
          <w:color w:val="222222"/>
          <w:sz w:val="24"/>
          <w:szCs w:val="24"/>
          <w:highlight w:val="white"/>
          <w:lang w:val="en-GB"/>
        </w:rPr>
        <w:t xml:space="preserve">Roach, K., </w:t>
      </w:r>
      <w:r w:rsidR="00D73C9E">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2020</w:t>
      </w:r>
      <w:r w:rsidR="00D73C9E">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D73C9E">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Juries, Miscarriages of Justice and the Bill C-75 Reforms.</w:t>
      </w:r>
      <w:r w:rsidR="00D73C9E">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Can. B. Rev.</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98</w:t>
      </w:r>
      <w:r w:rsidRPr="00F70A2E">
        <w:rPr>
          <w:rFonts w:ascii="Times New Roman" w:eastAsia="Times New Roman" w:hAnsi="Times New Roman" w:cs="Times New Roman"/>
          <w:color w:val="222222"/>
          <w:sz w:val="24"/>
          <w:szCs w:val="24"/>
          <w:highlight w:val="white"/>
          <w:lang w:val="en-GB"/>
        </w:rPr>
        <w:t>, p.315.</w:t>
      </w:r>
      <w:r w:rsidR="00D73C9E">
        <w:rPr>
          <w:rFonts w:ascii="Times New Roman" w:eastAsia="Times New Roman" w:hAnsi="Times New Roman" w:cs="Times New Roman"/>
          <w:color w:val="222222"/>
          <w:sz w:val="24"/>
          <w:szCs w:val="24"/>
          <w:lang w:val="en-GB"/>
        </w:rPr>
        <w:t xml:space="preserve"> Available at: </w:t>
      </w:r>
      <w:hyperlink r:id="rId19" w:history="1">
        <w:r w:rsidR="00A91187" w:rsidRPr="000A3926">
          <w:rPr>
            <w:rStyle w:val="Hyperlink"/>
            <w:rFonts w:ascii="Times New Roman" w:eastAsia="Times New Roman" w:hAnsi="Times New Roman" w:cs="Times New Roman"/>
            <w:sz w:val="24"/>
            <w:szCs w:val="24"/>
            <w:highlight w:val="white"/>
            <w:lang w:val="en-GB"/>
          </w:rPr>
          <w:t>https://heinonline.org/hol-cgi-bin/get_pdf.cgi?handle=hein.journals/canbarev98&amp;section=13</w:t>
        </w:r>
      </w:hyperlink>
      <w:r w:rsidR="00A91187">
        <w:rPr>
          <w:rFonts w:ascii="Times New Roman" w:eastAsia="Times New Roman" w:hAnsi="Times New Roman" w:cs="Times New Roman"/>
          <w:color w:val="1155CC"/>
          <w:sz w:val="24"/>
          <w:szCs w:val="24"/>
          <w:highlight w:val="white"/>
          <w:u w:val="single"/>
          <w:lang w:val="en-GB"/>
        </w:rPr>
        <w:t xml:space="preserve"> </w:t>
      </w:r>
    </w:p>
    <w:p w14:paraId="4422C520" w14:textId="40758D44" w:rsidR="0050452B" w:rsidRPr="00F70A2E" w:rsidRDefault="0050452B">
      <w:pPr>
        <w:spacing w:before="240" w:after="240" w:line="360" w:lineRule="auto"/>
        <w:jc w:val="both"/>
        <w:rPr>
          <w:rFonts w:ascii="Times New Roman" w:eastAsia="Times New Roman" w:hAnsi="Times New Roman" w:cs="Times New Roman"/>
          <w:color w:val="222222"/>
          <w:sz w:val="24"/>
          <w:szCs w:val="24"/>
          <w:highlight w:val="white"/>
          <w:lang w:val="en-GB"/>
        </w:rPr>
      </w:pPr>
      <w:r w:rsidRPr="00F70A2E">
        <w:rPr>
          <w:rFonts w:ascii="Times New Roman" w:eastAsia="Times New Roman" w:hAnsi="Times New Roman" w:cs="Times New Roman"/>
          <w:color w:val="222222"/>
          <w:sz w:val="24"/>
          <w:szCs w:val="24"/>
          <w:highlight w:val="white"/>
          <w:lang w:val="en-GB"/>
        </w:rPr>
        <w:t xml:space="preserve">The Guardian, </w:t>
      </w:r>
      <w:r w:rsidR="00D73C9E">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2006</w:t>
      </w:r>
      <w:r w:rsidR="00D73C9E">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00D73C9E">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Verdict was wrong, say murder jurors.</w:t>
      </w:r>
      <w:r w:rsidR="00D73C9E">
        <w:rPr>
          <w:rFonts w:ascii="Times New Roman" w:eastAsia="Times New Roman" w:hAnsi="Times New Roman" w:cs="Times New Roman"/>
          <w:color w:val="222222"/>
          <w:sz w:val="24"/>
          <w:szCs w:val="24"/>
          <w:highlight w:val="white"/>
          <w:lang w:val="en-GB"/>
        </w:rPr>
        <w:t>’</w:t>
      </w:r>
      <w:r w:rsidRPr="00F70A2E">
        <w:rPr>
          <w:rFonts w:ascii="Times New Roman" w:eastAsia="Times New Roman" w:hAnsi="Times New Roman" w:cs="Times New Roman"/>
          <w:color w:val="222222"/>
          <w:sz w:val="24"/>
          <w:szCs w:val="24"/>
          <w:highlight w:val="white"/>
          <w:lang w:val="en-GB"/>
        </w:rPr>
        <w:t xml:space="preserve"> </w:t>
      </w:r>
      <w:r w:rsidRPr="00F70A2E">
        <w:rPr>
          <w:rFonts w:ascii="Times New Roman" w:eastAsia="Times New Roman" w:hAnsi="Times New Roman" w:cs="Times New Roman"/>
          <w:i/>
          <w:color w:val="222222"/>
          <w:sz w:val="24"/>
          <w:szCs w:val="24"/>
          <w:highlight w:val="white"/>
          <w:lang w:val="en-GB"/>
        </w:rPr>
        <w:t>The Guardian</w:t>
      </w:r>
      <w:r w:rsidRPr="00F70A2E">
        <w:rPr>
          <w:rFonts w:ascii="Times New Roman" w:eastAsia="Times New Roman" w:hAnsi="Times New Roman" w:cs="Times New Roman"/>
          <w:color w:val="222222"/>
          <w:sz w:val="24"/>
          <w:szCs w:val="24"/>
          <w:highlight w:val="white"/>
          <w:lang w:val="en-GB"/>
        </w:rPr>
        <w:t>. Available at: https://www.theguardian.com/uk/2006/dec/03/ukcrime.davidrose [Accessed July 13, 2022].</w:t>
      </w:r>
    </w:p>
    <w:p w14:paraId="4422C521" w14:textId="00C945AA" w:rsidR="0050452B" w:rsidRPr="00F70A2E" w:rsidRDefault="000673E1">
      <w:pPr>
        <w:spacing w:before="240"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The Guardian, </w:t>
      </w:r>
      <w:r w:rsidR="004917E8">
        <w:rPr>
          <w:rFonts w:ascii="Times New Roman" w:eastAsia="Times New Roman" w:hAnsi="Times New Roman" w:cs="Times New Roman"/>
          <w:color w:val="222222"/>
          <w:sz w:val="24"/>
          <w:szCs w:val="24"/>
          <w:highlight w:val="white"/>
          <w:lang w:val="en-GB"/>
        </w:rPr>
        <w:t>Simon Jenkins</w:t>
      </w:r>
      <w:r w:rsidR="0050452B" w:rsidRPr="00F70A2E">
        <w:rPr>
          <w:rFonts w:ascii="Times New Roman" w:eastAsia="Times New Roman" w:hAnsi="Times New Roman" w:cs="Times New Roman"/>
          <w:color w:val="222222"/>
          <w:sz w:val="24"/>
          <w:szCs w:val="24"/>
          <w:highlight w:val="white"/>
          <w:lang w:val="en-GB"/>
        </w:rPr>
        <w:t xml:space="preserve"> </w:t>
      </w:r>
      <w:r w:rsidR="004917E8">
        <w:rPr>
          <w:rFonts w:ascii="Times New Roman" w:eastAsia="Times New Roman" w:hAnsi="Times New Roman" w:cs="Times New Roman"/>
          <w:color w:val="222222"/>
          <w:sz w:val="24"/>
          <w:szCs w:val="24"/>
          <w:highlight w:val="white"/>
          <w:lang w:val="en-GB"/>
        </w:rPr>
        <w:t>(</w:t>
      </w:r>
      <w:r w:rsidR="0050452B" w:rsidRPr="00F70A2E">
        <w:rPr>
          <w:rFonts w:ascii="Times New Roman" w:eastAsia="Times New Roman" w:hAnsi="Times New Roman" w:cs="Times New Roman"/>
          <w:color w:val="222222"/>
          <w:sz w:val="24"/>
          <w:szCs w:val="24"/>
          <w:highlight w:val="white"/>
          <w:lang w:val="en-GB"/>
        </w:rPr>
        <w:t>2021</w:t>
      </w:r>
      <w:r w:rsidR="004917E8">
        <w:rPr>
          <w:rFonts w:ascii="Times New Roman" w:eastAsia="Times New Roman" w:hAnsi="Times New Roman" w:cs="Times New Roman"/>
          <w:color w:val="222222"/>
          <w:sz w:val="24"/>
          <w:szCs w:val="24"/>
          <w:highlight w:val="white"/>
          <w:lang w:val="en-GB"/>
        </w:rPr>
        <w:t>)</w:t>
      </w:r>
      <w:r w:rsidR="0050452B" w:rsidRPr="00F70A2E">
        <w:rPr>
          <w:rFonts w:ascii="Times New Roman" w:eastAsia="Times New Roman" w:hAnsi="Times New Roman" w:cs="Times New Roman"/>
          <w:color w:val="222222"/>
          <w:sz w:val="24"/>
          <w:szCs w:val="24"/>
          <w:highlight w:val="white"/>
          <w:lang w:val="en-GB"/>
        </w:rPr>
        <w:t xml:space="preserve"> </w:t>
      </w:r>
      <w:r w:rsidR="004917E8">
        <w:rPr>
          <w:rFonts w:ascii="Times New Roman" w:eastAsia="Times New Roman" w:hAnsi="Times New Roman" w:cs="Times New Roman"/>
          <w:color w:val="222222"/>
          <w:sz w:val="24"/>
          <w:szCs w:val="24"/>
          <w:highlight w:val="white"/>
          <w:lang w:val="en-GB"/>
        </w:rPr>
        <w:t>‘</w:t>
      </w:r>
      <w:r w:rsidR="0050452B" w:rsidRPr="00F70A2E">
        <w:rPr>
          <w:rFonts w:ascii="Times New Roman" w:eastAsia="Times New Roman" w:hAnsi="Times New Roman" w:cs="Times New Roman"/>
          <w:color w:val="222222"/>
          <w:sz w:val="24"/>
          <w:szCs w:val="24"/>
          <w:highlight w:val="white"/>
          <w:lang w:val="en-GB"/>
        </w:rPr>
        <w:t>Our justice system is in crisis, so why not abolish jury trials?</w:t>
      </w:r>
      <w:r w:rsidR="00816D93">
        <w:rPr>
          <w:rFonts w:ascii="Times New Roman" w:eastAsia="Times New Roman" w:hAnsi="Times New Roman" w:cs="Times New Roman"/>
          <w:color w:val="222222"/>
          <w:sz w:val="24"/>
          <w:szCs w:val="24"/>
          <w:highlight w:val="white"/>
          <w:lang w:val="en-GB"/>
        </w:rPr>
        <w:t>’</w:t>
      </w:r>
      <w:r w:rsidR="0050452B" w:rsidRPr="00F70A2E">
        <w:rPr>
          <w:rFonts w:ascii="Times New Roman" w:eastAsia="Times New Roman" w:hAnsi="Times New Roman" w:cs="Times New Roman"/>
          <w:color w:val="222222"/>
          <w:sz w:val="24"/>
          <w:szCs w:val="24"/>
          <w:highlight w:val="white"/>
          <w:lang w:val="en-GB"/>
        </w:rPr>
        <w:t xml:space="preserve"> </w:t>
      </w:r>
      <w:r w:rsidR="0050452B" w:rsidRPr="00F70A2E">
        <w:rPr>
          <w:rFonts w:ascii="Times New Roman" w:eastAsia="Times New Roman" w:hAnsi="Times New Roman" w:cs="Times New Roman"/>
          <w:i/>
          <w:color w:val="222222"/>
          <w:sz w:val="24"/>
          <w:szCs w:val="24"/>
          <w:highlight w:val="white"/>
          <w:lang w:val="en-GB"/>
        </w:rPr>
        <w:t>The Guardian</w:t>
      </w:r>
      <w:r w:rsidR="0050452B" w:rsidRPr="00F70A2E">
        <w:rPr>
          <w:rFonts w:ascii="Times New Roman" w:eastAsia="Times New Roman" w:hAnsi="Times New Roman" w:cs="Times New Roman"/>
          <w:color w:val="222222"/>
          <w:sz w:val="24"/>
          <w:szCs w:val="24"/>
          <w:highlight w:val="white"/>
          <w:lang w:val="en-GB"/>
        </w:rPr>
        <w:t>. Available at: https://www.theguardian.com/commentisfree/2021/jan/22/justice-system-crisis-abolish-jury-trials-covid [Accessed July 13, 2022].</w:t>
      </w:r>
    </w:p>
    <w:p w14:paraId="4422C522" w14:textId="77777777" w:rsidR="00C9542E" w:rsidRPr="00F70A2E" w:rsidRDefault="00C9542E">
      <w:pPr>
        <w:spacing w:before="240" w:after="240" w:line="360" w:lineRule="auto"/>
        <w:jc w:val="both"/>
        <w:rPr>
          <w:rFonts w:ascii="Times New Roman" w:eastAsia="Times New Roman" w:hAnsi="Times New Roman" w:cs="Times New Roman"/>
          <w:color w:val="222222"/>
          <w:sz w:val="24"/>
          <w:szCs w:val="24"/>
          <w:highlight w:val="white"/>
          <w:lang w:val="en-GB"/>
        </w:rPr>
      </w:pPr>
    </w:p>
    <w:p w14:paraId="4422C523" w14:textId="77777777" w:rsidR="00C9542E" w:rsidRPr="00F70A2E" w:rsidRDefault="00C9542E">
      <w:pPr>
        <w:spacing w:before="240" w:after="240" w:line="360" w:lineRule="auto"/>
        <w:jc w:val="both"/>
        <w:rPr>
          <w:rFonts w:ascii="Times New Roman" w:eastAsia="Times New Roman" w:hAnsi="Times New Roman" w:cs="Times New Roman"/>
          <w:color w:val="222222"/>
          <w:sz w:val="24"/>
          <w:szCs w:val="24"/>
          <w:highlight w:val="white"/>
          <w:lang w:val="en-GB"/>
        </w:rPr>
      </w:pPr>
    </w:p>
    <w:p w14:paraId="4422C524" w14:textId="77777777" w:rsidR="00C9542E" w:rsidRPr="00F70A2E" w:rsidRDefault="00405B71">
      <w:pPr>
        <w:spacing w:before="240" w:after="240" w:line="360" w:lineRule="auto"/>
        <w:jc w:val="both"/>
        <w:rPr>
          <w:rFonts w:ascii="Times New Roman" w:eastAsia="Times New Roman" w:hAnsi="Times New Roman" w:cs="Times New Roman"/>
          <w:color w:val="222222"/>
          <w:sz w:val="24"/>
          <w:szCs w:val="24"/>
          <w:highlight w:val="white"/>
          <w:lang w:val="en-GB"/>
        </w:rPr>
      </w:pPr>
      <w:r w:rsidRPr="00F70A2E">
        <w:rPr>
          <w:rFonts w:ascii="Times New Roman" w:eastAsia="Times New Roman" w:hAnsi="Times New Roman" w:cs="Times New Roman"/>
          <w:color w:val="222222"/>
          <w:sz w:val="24"/>
          <w:szCs w:val="24"/>
          <w:highlight w:val="white"/>
          <w:lang w:val="en-GB"/>
        </w:rPr>
        <w:t xml:space="preserve"> </w:t>
      </w:r>
    </w:p>
    <w:p w14:paraId="4422C525" w14:textId="77777777" w:rsidR="00C9542E" w:rsidRPr="00F70A2E" w:rsidRDefault="00405B71">
      <w:pPr>
        <w:spacing w:before="240" w:after="240" w:line="360" w:lineRule="auto"/>
        <w:jc w:val="both"/>
        <w:rPr>
          <w:rFonts w:ascii="Times New Roman" w:eastAsia="Times New Roman" w:hAnsi="Times New Roman" w:cs="Times New Roman"/>
          <w:color w:val="222222"/>
          <w:sz w:val="24"/>
          <w:szCs w:val="24"/>
          <w:highlight w:val="white"/>
          <w:lang w:val="en-GB"/>
        </w:rPr>
      </w:pPr>
      <w:r w:rsidRPr="00F70A2E">
        <w:rPr>
          <w:rFonts w:ascii="Times New Roman" w:eastAsia="Times New Roman" w:hAnsi="Times New Roman" w:cs="Times New Roman"/>
          <w:color w:val="222222"/>
          <w:sz w:val="24"/>
          <w:szCs w:val="24"/>
          <w:highlight w:val="white"/>
          <w:lang w:val="en-GB"/>
        </w:rPr>
        <w:t xml:space="preserve"> </w:t>
      </w:r>
    </w:p>
    <w:p w14:paraId="4422C526" w14:textId="77777777" w:rsidR="00C9542E" w:rsidRPr="00F70A2E" w:rsidRDefault="00C9542E">
      <w:pPr>
        <w:spacing w:before="240" w:after="240" w:line="360" w:lineRule="auto"/>
        <w:jc w:val="both"/>
        <w:rPr>
          <w:rFonts w:ascii="Times New Roman" w:eastAsia="Times New Roman" w:hAnsi="Times New Roman" w:cs="Times New Roman"/>
          <w:color w:val="222222"/>
          <w:sz w:val="24"/>
          <w:szCs w:val="24"/>
          <w:highlight w:val="white"/>
          <w:lang w:val="en-GB"/>
        </w:rPr>
      </w:pPr>
    </w:p>
    <w:p w14:paraId="4422C527" w14:textId="77777777" w:rsidR="00C9542E" w:rsidRPr="00F70A2E" w:rsidRDefault="00405B71">
      <w:pPr>
        <w:spacing w:line="360" w:lineRule="auto"/>
        <w:jc w:val="both"/>
        <w:rPr>
          <w:rFonts w:ascii="Times New Roman" w:eastAsia="Times New Roman" w:hAnsi="Times New Roman" w:cs="Times New Roman"/>
          <w:b/>
          <w:sz w:val="24"/>
          <w:szCs w:val="24"/>
          <w:lang w:val="en-GB"/>
        </w:rPr>
      </w:pPr>
      <w:r w:rsidRPr="00F70A2E">
        <w:rPr>
          <w:rFonts w:ascii="Times New Roman" w:eastAsia="Times New Roman" w:hAnsi="Times New Roman" w:cs="Times New Roman"/>
          <w:b/>
          <w:sz w:val="24"/>
          <w:szCs w:val="24"/>
          <w:lang w:val="en-GB"/>
        </w:rPr>
        <w:t xml:space="preserve"> </w:t>
      </w:r>
    </w:p>
    <w:p w14:paraId="4422C528" w14:textId="77777777" w:rsidR="00C9542E" w:rsidRPr="00F70A2E" w:rsidRDefault="00C9542E">
      <w:pPr>
        <w:spacing w:line="360" w:lineRule="auto"/>
        <w:jc w:val="both"/>
        <w:rPr>
          <w:rFonts w:ascii="Times New Roman" w:eastAsia="Times New Roman" w:hAnsi="Times New Roman" w:cs="Times New Roman"/>
          <w:b/>
          <w:sz w:val="24"/>
          <w:szCs w:val="24"/>
          <w:lang w:val="en-GB"/>
        </w:rPr>
      </w:pPr>
      <w:bookmarkStart w:id="12" w:name="_g3ux6qn3zlq7" w:colFirst="0" w:colLast="0"/>
      <w:bookmarkEnd w:id="12"/>
    </w:p>
    <w:sectPr w:rsidR="00C9542E" w:rsidRPr="00F70A2E">
      <w:footerReference w:type="default" r:id="rId2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2C52B" w14:textId="77777777" w:rsidR="00405B71" w:rsidRDefault="00405B71">
      <w:pPr>
        <w:spacing w:line="240" w:lineRule="auto"/>
      </w:pPr>
      <w:r>
        <w:separator/>
      </w:r>
    </w:p>
  </w:endnote>
  <w:endnote w:type="continuationSeparator" w:id="0">
    <w:p w14:paraId="4422C52C" w14:textId="77777777" w:rsidR="00405B71" w:rsidRDefault="00405B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2C52D" w14:textId="77777777" w:rsidR="00C9542E" w:rsidRPr="0050452B" w:rsidRDefault="00405B71">
    <w:pPr>
      <w:jc w:val="right"/>
      <w:rPr>
        <w:rFonts w:ascii="Times New Roman" w:hAnsi="Times New Roman" w:cs="Times New Roman"/>
        <w:sz w:val="24"/>
        <w:szCs w:val="24"/>
      </w:rPr>
    </w:pPr>
    <w:r w:rsidRPr="0050452B">
      <w:rPr>
        <w:rFonts w:ascii="Times New Roman" w:hAnsi="Times New Roman" w:cs="Times New Roman"/>
        <w:sz w:val="24"/>
        <w:szCs w:val="24"/>
      </w:rPr>
      <w:fldChar w:fldCharType="begin"/>
    </w:r>
    <w:r w:rsidRPr="0050452B">
      <w:rPr>
        <w:rFonts w:ascii="Times New Roman" w:hAnsi="Times New Roman" w:cs="Times New Roman"/>
        <w:sz w:val="24"/>
        <w:szCs w:val="24"/>
      </w:rPr>
      <w:instrText>PAGE</w:instrText>
    </w:r>
    <w:r w:rsidRPr="0050452B">
      <w:rPr>
        <w:rFonts w:ascii="Times New Roman" w:hAnsi="Times New Roman" w:cs="Times New Roman"/>
        <w:sz w:val="24"/>
        <w:szCs w:val="24"/>
      </w:rPr>
      <w:fldChar w:fldCharType="separate"/>
    </w:r>
    <w:r w:rsidR="007B1FB2">
      <w:rPr>
        <w:rFonts w:ascii="Times New Roman" w:hAnsi="Times New Roman" w:cs="Times New Roman"/>
        <w:noProof/>
        <w:sz w:val="24"/>
        <w:szCs w:val="24"/>
      </w:rPr>
      <w:t>4</w:t>
    </w:r>
    <w:r w:rsidRPr="0050452B">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2C529" w14:textId="77777777" w:rsidR="00405B71" w:rsidRDefault="00405B71">
      <w:pPr>
        <w:spacing w:line="240" w:lineRule="auto"/>
      </w:pPr>
      <w:r>
        <w:separator/>
      </w:r>
    </w:p>
  </w:footnote>
  <w:footnote w:type="continuationSeparator" w:id="0">
    <w:p w14:paraId="4422C52A" w14:textId="77777777" w:rsidR="00405B71" w:rsidRDefault="00405B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42E"/>
    <w:rsid w:val="00014708"/>
    <w:rsid w:val="00046CB6"/>
    <w:rsid w:val="000673E1"/>
    <w:rsid w:val="000F0ABA"/>
    <w:rsid w:val="00112DD6"/>
    <w:rsid w:val="00124BE5"/>
    <w:rsid w:val="00164AF1"/>
    <w:rsid w:val="00167892"/>
    <w:rsid w:val="001E5431"/>
    <w:rsid w:val="00201699"/>
    <w:rsid w:val="002128B3"/>
    <w:rsid w:val="002433F6"/>
    <w:rsid w:val="00337713"/>
    <w:rsid w:val="003F3747"/>
    <w:rsid w:val="00405B71"/>
    <w:rsid w:val="004259CA"/>
    <w:rsid w:val="00466097"/>
    <w:rsid w:val="004917E8"/>
    <w:rsid w:val="004F782A"/>
    <w:rsid w:val="0050452B"/>
    <w:rsid w:val="00556766"/>
    <w:rsid w:val="005864CD"/>
    <w:rsid w:val="005A75AD"/>
    <w:rsid w:val="005C747F"/>
    <w:rsid w:val="00742923"/>
    <w:rsid w:val="007B1FB2"/>
    <w:rsid w:val="007C0055"/>
    <w:rsid w:val="00816D93"/>
    <w:rsid w:val="00824CA5"/>
    <w:rsid w:val="00827C29"/>
    <w:rsid w:val="008C5D18"/>
    <w:rsid w:val="008F4EE6"/>
    <w:rsid w:val="009833BE"/>
    <w:rsid w:val="009B1DF3"/>
    <w:rsid w:val="00A91187"/>
    <w:rsid w:val="00AB64AF"/>
    <w:rsid w:val="00AD33CC"/>
    <w:rsid w:val="00BA5FC6"/>
    <w:rsid w:val="00C008CC"/>
    <w:rsid w:val="00C10F33"/>
    <w:rsid w:val="00C31C4F"/>
    <w:rsid w:val="00C66264"/>
    <w:rsid w:val="00C9542E"/>
    <w:rsid w:val="00D053F1"/>
    <w:rsid w:val="00D21280"/>
    <w:rsid w:val="00D23A51"/>
    <w:rsid w:val="00D27B81"/>
    <w:rsid w:val="00D51561"/>
    <w:rsid w:val="00D73C9E"/>
    <w:rsid w:val="00DB66CE"/>
    <w:rsid w:val="00EF0348"/>
    <w:rsid w:val="00F62492"/>
    <w:rsid w:val="00F70A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2C4E0"/>
  <w15:docId w15:val="{134076B9-34C2-43B6-A0E3-165F7F781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0452B"/>
    <w:pPr>
      <w:tabs>
        <w:tab w:val="center" w:pos="4513"/>
        <w:tab w:val="right" w:pos="9026"/>
      </w:tabs>
      <w:spacing w:line="240" w:lineRule="auto"/>
    </w:pPr>
  </w:style>
  <w:style w:type="character" w:customStyle="1" w:styleId="HeaderChar">
    <w:name w:val="Header Char"/>
    <w:basedOn w:val="DefaultParagraphFont"/>
    <w:link w:val="Header"/>
    <w:uiPriority w:val="99"/>
    <w:rsid w:val="0050452B"/>
  </w:style>
  <w:style w:type="paragraph" w:styleId="Footer">
    <w:name w:val="footer"/>
    <w:basedOn w:val="Normal"/>
    <w:link w:val="FooterChar"/>
    <w:uiPriority w:val="99"/>
    <w:unhideWhenUsed/>
    <w:rsid w:val="0050452B"/>
    <w:pPr>
      <w:tabs>
        <w:tab w:val="center" w:pos="4513"/>
        <w:tab w:val="right" w:pos="9026"/>
      </w:tabs>
      <w:spacing w:line="240" w:lineRule="auto"/>
    </w:pPr>
  </w:style>
  <w:style w:type="character" w:customStyle="1" w:styleId="FooterChar">
    <w:name w:val="Footer Char"/>
    <w:basedOn w:val="DefaultParagraphFont"/>
    <w:link w:val="Footer"/>
    <w:uiPriority w:val="99"/>
    <w:rsid w:val="0050452B"/>
  </w:style>
  <w:style w:type="character" w:styleId="Hyperlink">
    <w:name w:val="Hyperlink"/>
    <w:basedOn w:val="DefaultParagraphFont"/>
    <w:uiPriority w:val="99"/>
    <w:unhideWhenUsed/>
    <w:rsid w:val="00C008CC"/>
    <w:rPr>
      <w:color w:val="0000FF" w:themeColor="hyperlink"/>
      <w:u w:val="single"/>
    </w:rPr>
  </w:style>
  <w:style w:type="character" w:styleId="UnresolvedMention">
    <w:name w:val="Unresolved Mention"/>
    <w:basedOn w:val="DefaultParagraphFont"/>
    <w:uiPriority w:val="99"/>
    <w:semiHidden/>
    <w:unhideWhenUsed/>
    <w:rsid w:val="00C00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heinonline.org/hol-cgi-bin/get_pdf.cgi?handle=hein.journals/fecourtl13&amp;section=3" TargetMode="External"/><Relationship Id="rId13" Type="http://schemas.openxmlformats.org/officeDocument/2006/relationships/hyperlink" Target="https://heinonline.org/hol-cgi-bin/get_pdf.cgi?handle=hein.journals/nyuls44&amp;section=17" TargetMode="External"/><Relationship Id="rId18" Type="http://schemas.openxmlformats.org/officeDocument/2006/relationships/hyperlink" Target="https://www.cambridge.org/core/journals/legal-studies/article/understanding-the-barriers-to-defendant-participation-in-criminal-proceedings-in-england-and-wales/DC461CEA61DEA793FCDD8A66CDA5AE3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20" TargetMode="External"/><Relationship Id="rId12" Type="http://schemas.openxmlformats.org/officeDocument/2006/relationships/hyperlink" Target="%20" TargetMode="External"/><Relationship Id="rId17" Type="http://schemas.openxmlformats.org/officeDocument/2006/relationships/hyperlink" Target="%20" TargetMode="External"/><Relationship Id="rId2" Type="http://schemas.openxmlformats.org/officeDocument/2006/relationships/styles" Target="styles.xml"/><Relationship Id="rId16" Type="http://schemas.openxmlformats.org/officeDocument/2006/relationships/hyperlink" Target="https://journals.sagepub.com/doi/abs/10.1177/1473871621101260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cademic.oup.com/ojls/article-abstract/39/2/259/5240807" TargetMode="External"/><Relationship Id="rId5" Type="http://schemas.openxmlformats.org/officeDocument/2006/relationships/footnotes" Target="footnotes.xml"/><Relationship Id="rId15" Type="http://schemas.openxmlformats.org/officeDocument/2006/relationships/hyperlink" Target="%20" TargetMode="External"/><Relationship Id="rId10" Type="http://schemas.openxmlformats.org/officeDocument/2006/relationships/hyperlink" Target="https://academic.oup.com/ilj/article-abstract/49/2/231/5553792" TargetMode="External"/><Relationship Id="rId19" Type="http://schemas.openxmlformats.org/officeDocument/2006/relationships/hyperlink" Target="https://heinonline.org/hol-cgi-bin/get_pdf.cgi?handle=hein.journals/canbarev98&amp;section=13" TargetMode="External"/><Relationship Id="rId4" Type="http://schemas.openxmlformats.org/officeDocument/2006/relationships/webSettings" Target="webSettings.xml"/><Relationship Id="rId9" Type="http://schemas.openxmlformats.org/officeDocument/2006/relationships/hyperlink" Target="%20" TargetMode="External"/><Relationship Id="rId14" Type="http://schemas.openxmlformats.org/officeDocument/2006/relationships/hyperlink" Target="https://ore.exeter.ac.uk/repository/handle/10871/12473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64967-F8B7-4921-B849-544D8706E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2213</Words>
  <Characters>12617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Sylwia Maciejewska</cp:lastModifiedBy>
  <cp:revision>2</cp:revision>
  <cp:lastPrinted>2022-07-18T11:46:00Z</cp:lastPrinted>
  <dcterms:created xsi:type="dcterms:W3CDTF">2022-07-19T09:24:00Z</dcterms:created>
  <dcterms:modified xsi:type="dcterms:W3CDTF">2022-07-19T09:24:00Z</dcterms:modified>
</cp:coreProperties>
</file>