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077D3" w:rsidRDefault="006031CA" w:rsidP="00AE36F5">
      <w:pPr>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Project Management by </w:t>
      </w:r>
      <w:proofErr w:type="spellStart"/>
      <w:r>
        <w:rPr>
          <w:rFonts w:ascii="Times New Roman" w:eastAsia="Times New Roman" w:hAnsi="Times New Roman" w:cs="Times New Roman"/>
          <w:b/>
          <w:sz w:val="32"/>
          <w:szCs w:val="32"/>
        </w:rPr>
        <w:t>Petyo</w:t>
      </w:r>
      <w:proofErr w:type="spellEnd"/>
      <w:r>
        <w:rPr>
          <w:rFonts w:ascii="Times New Roman" w:eastAsia="Times New Roman" w:hAnsi="Times New Roman" w:cs="Times New Roman"/>
          <w:b/>
          <w:sz w:val="32"/>
          <w:szCs w:val="32"/>
        </w:rPr>
        <w:t xml:space="preserve"> </w:t>
      </w:r>
      <w:proofErr w:type="spellStart"/>
      <w:r>
        <w:rPr>
          <w:rFonts w:ascii="Times New Roman" w:eastAsia="Times New Roman" w:hAnsi="Times New Roman" w:cs="Times New Roman"/>
          <w:b/>
          <w:sz w:val="32"/>
          <w:szCs w:val="32"/>
        </w:rPr>
        <w:t>Marinov</w:t>
      </w:r>
      <w:proofErr w:type="spellEnd"/>
      <w:r>
        <w:rPr>
          <w:rFonts w:ascii="Times New Roman" w:eastAsia="Times New Roman" w:hAnsi="Times New Roman" w:cs="Times New Roman"/>
          <w:b/>
          <w:sz w:val="32"/>
          <w:szCs w:val="32"/>
        </w:rPr>
        <w:t xml:space="preserve"> </w:t>
      </w:r>
    </w:p>
    <w:p w:rsidR="006031CA" w:rsidRDefault="00FC169B" w:rsidP="00AE36F5">
      <w:pPr>
        <w:spacing w:line="480" w:lineRule="auto"/>
        <w:jc w:val="center"/>
        <w:rPr>
          <w:rFonts w:ascii="Times New Roman" w:eastAsia="Times New Roman" w:hAnsi="Times New Roman" w:cs="Times New Roman"/>
          <w:b/>
          <w:sz w:val="32"/>
          <w:szCs w:val="32"/>
        </w:rPr>
      </w:pPr>
      <w:proofErr w:type="spellStart"/>
      <w:r>
        <w:rPr>
          <w:rFonts w:ascii="Times New Roman" w:eastAsia="Times New Roman" w:hAnsi="Times New Roman" w:cs="Times New Roman"/>
          <w:b/>
          <w:sz w:val="32"/>
          <w:szCs w:val="32"/>
        </w:rPr>
        <w:t>Lector:Sadeque</w:t>
      </w:r>
      <w:proofErr w:type="spellEnd"/>
      <w:r>
        <w:rPr>
          <w:rFonts w:ascii="Times New Roman" w:eastAsia="Times New Roman" w:hAnsi="Times New Roman" w:cs="Times New Roman"/>
          <w:b/>
          <w:sz w:val="32"/>
          <w:szCs w:val="32"/>
        </w:rPr>
        <w:t xml:space="preserve"> Imam Shaikh</w:t>
      </w:r>
    </w:p>
    <w:p w:rsidR="00FC169B" w:rsidRDefault="00EB14FA" w:rsidP="00AE36F5">
      <w:pPr>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w:t>
      </w:r>
      <w:r w:rsidR="006B1080">
        <w:rPr>
          <w:rFonts w:ascii="Times New Roman" w:eastAsia="Times New Roman" w:hAnsi="Times New Roman" w:cs="Times New Roman"/>
          <w:b/>
          <w:sz w:val="32"/>
          <w:szCs w:val="32"/>
        </w:rPr>
        <w:t>ID</w:t>
      </w:r>
      <w:r>
        <w:rPr>
          <w:rFonts w:ascii="Times New Roman" w:eastAsia="Times New Roman" w:hAnsi="Times New Roman" w:cs="Times New Roman"/>
          <w:b/>
          <w:sz w:val="32"/>
          <w:szCs w:val="32"/>
        </w:rPr>
        <w:t>-1917136</w:t>
      </w:r>
    </w:p>
    <w:p w:rsidR="007077D3" w:rsidRDefault="007077D3" w:rsidP="00AE36F5">
      <w:pPr>
        <w:spacing w:line="480" w:lineRule="auto"/>
        <w:jc w:val="center"/>
        <w:rPr>
          <w:rFonts w:ascii="Times New Roman" w:eastAsia="Times New Roman" w:hAnsi="Times New Roman" w:cs="Times New Roman"/>
          <w:b/>
          <w:sz w:val="32"/>
          <w:szCs w:val="32"/>
        </w:rPr>
      </w:pPr>
    </w:p>
    <w:p w:rsidR="007077D3" w:rsidRPr="007077D3" w:rsidRDefault="00522D81" w:rsidP="00B94B24">
      <w:pPr>
        <w:spacing w:line="480" w:lineRule="auto"/>
        <w:rPr>
          <w:rFonts w:ascii="Times New Roman" w:eastAsia="Times New Roman" w:hAnsi="Times New Roman" w:cs="Times New Roman"/>
          <w:b/>
          <w:sz w:val="32"/>
          <w:szCs w:val="32"/>
        </w:rPr>
      </w:pPr>
      <w:r w:rsidRPr="007077D3">
        <w:rPr>
          <w:rFonts w:ascii="Times New Roman" w:eastAsia="Times New Roman" w:hAnsi="Times New Roman" w:cs="Times New Roman"/>
          <w:b/>
          <w:sz w:val="32"/>
          <w:szCs w:val="32"/>
        </w:rPr>
        <w:br w:type="page"/>
      </w:r>
    </w:p>
    <w:p w:rsidR="00687CD1" w:rsidRPr="00687CD1" w:rsidRDefault="00687CD1" w:rsidP="00AE36F5">
      <w:pPr>
        <w:spacing w:line="480" w:lineRule="auto"/>
        <w:jc w:val="both"/>
        <w:rPr>
          <w:rFonts w:ascii="Times New Roman" w:eastAsia="Times New Roman" w:hAnsi="Times New Roman" w:cs="Times New Roman"/>
          <w:b/>
          <w:sz w:val="24"/>
          <w:szCs w:val="24"/>
          <w:u w:val="single"/>
        </w:rPr>
      </w:pPr>
      <w:r w:rsidRPr="00687CD1">
        <w:rPr>
          <w:rFonts w:ascii="Times New Roman" w:eastAsia="Times New Roman" w:hAnsi="Times New Roman" w:cs="Times New Roman"/>
          <w:b/>
          <w:sz w:val="24"/>
          <w:szCs w:val="24"/>
          <w:u w:val="single"/>
        </w:rPr>
        <w:t xml:space="preserve">The evaluation essay on </w:t>
      </w:r>
      <w:proofErr w:type="spellStart"/>
      <w:r w:rsidRPr="00687CD1">
        <w:rPr>
          <w:rFonts w:ascii="Times New Roman" w:eastAsia="Times New Roman" w:hAnsi="Times New Roman" w:cs="Times New Roman"/>
          <w:b/>
          <w:sz w:val="24"/>
          <w:szCs w:val="24"/>
          <w:u w:val="single"/>
        </w:rPr>
        <w:t>Hinkley</w:t>
      </w:r>
      <w:proofErr w:type="spellEnd"/>
      <w:r w:rsidRPr="00687CD1">
        <w:rPr>
          <w:rFonts w:ascii="Times New Roman" w:eastAsia="Times New Roman" w:hAnsi="Times New Roman" w:cs="Times New Roman"/>
          <w:b/>
          <w:sz w:val="24"/>
          <w:szCs w:val="24"/>
          <w:u w:val="single"/>
        </w:rPr>
        <w:t xml:space="preserve"> Point C Project</w:t>
      </w:r>
    </w:p>
    <w:p w:rsidR="009E17ED" w:rsidRDefault="00522D81" w:rsidP="00AE36F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Hinkley</w:t>
      </w:r>
      <w:proofErr w:type="spellEnd"/>
      <w:r>
        <w:rPr>
          <w:rFonts w:ascii="Times New Roman" w:eastAsia="Times New Roman" w:hAnsi="Times New Roman" w:cs="Times New Roman"/>
          <w:sz w:val="24"/>
          <w:szCs w:val="24"/>
        </w:rPr>
        <w:t xml:space="preserve"> Point C project is currently facing issues of increasing costs and missing deadlines. This project is planned to be completed in July 2027 with a project lifetime of 60 years. However, in February 2023, the project team of </w:t>
      </w:r>
      <w:proofErr w:type="spellStart"/>
      <w:r>
        <w:rPr>
          <w:rFonts w:ascii="Times New Roman" w:eastAsia="Times New Roman" w:hAnsi="Times New Roman" w:cs="Times New Roman"/>
          <w:sz w:val="24"/>
          <w:szCs w:val="24"/>
        </w:rPr>
        <w:t>Hinkley</w:t>
      </w:r>
      <w:proofErr w:type="spellEnd"/>
      <w:r>
        <w:rPr>
          <w:rFonts w:ascii="Times New Roman" w:eastAsia="Times New Roman" w:hAnsi="Times New Roman" w:cs="Times New Roman"/>
          <w:sz w:val="24"/>
          <w:szCs w:val="24"/>
        </w:rPr>
        <w:t xml:space="preserve"> Point C announced that the cost of the project would be increased to £32.7 billion. On the other hand, the project team also mentioned a delay in completion would occur. This project would take 15 months more to be commissioned and will be completed in September 2028. This project was started in 2009 after getting approval for building four nuclear power plants in the UK. In September 2007, a joint venture between French state-owned EDF and China General Power was announced to build these nuclear power stations. Undoubtedly this project is one of the largest projects of UK </w:t>
      </w:r>
      <w:r w:rsidR="00EF706E">
        <w:rPr>
          <w:rFonts w:ascii="Times New Roman" w:eastAsia="Times New Roman" w:hAnsi="Times New Roman" w:cs="Times New Roman"/>
          <w:sz w:val="24"/>
          <w:szCs w:val="24"/>
        </w:rPr>
        <w:t>construction</w:t>
      </w:r>
      <w:r>
        <w:rPr>
          <w:rFonts w:ascii="Times New Roman" w:eastAsia="Times New Roman" w:hAnsi="Times New Roman" w:cs="Times New Roman"/>
          <w:sz w:val="24"/>
          <w:szCs w:val="24"/>
        </w:rPr>
        <w:t xml:space="preserve">. For building nuclear power plants world’s largest crane has been deployed named “Big Carl” (SCG-250). This giant crane has 96 wheels and is 6 </w:t>
      </w:r>
      <w:r w:rsidR="00775A35">
        <w:rPr>
          <w:rFonts w:ascii="Times New Roman" w:eastAsia="Times New Roman" w:hAnsi="Times New Roman" w:cs="Times New Roman"/>
          <w:sz w:val="24"/>
          <w:szCs w:val="24"/>
        </w:rPr>
        <w:t>kilometres</w:t>
      </w:r>
      <w:r>
        <w:rPr>
          <w:rFonts w:ascii="Times New Roman" w:eastAsia="Times New Roman" w:hAnsi="Times New Roman" w:cs="Times New Roman"/>
          <w:sz w:val="24"/>
          <w:szCs w:val="24"/>
        </w:rPr>
        <w:t xml:space="preserve"> long with a capacity of 5,000 tons and a height of 250 meters. In the year 2009, this crane has placed at the construction site of </w:t>
      </w:r>
      <w:proofErr w:type="spellStart"/>
      <w:r>
        <w:rPr>
          <w:rFonts w:ascii="Times New Roman" w:eastAsia="Times New Roman" w:hAnsi="Times New Roman" w:cs="Times New Roman"/>
          <w:sz w:val="24"/>
          <w:szCs w:val="24"/>
        </w:rPr>
        <w:t>Hinkley</w:t>
      </w:r>
      <w:proofErr w:type="spellEnd"/>
      <w:r>
        <w:rPr>
          <w:rFonts w:ascii="Times New Roman" w:eastAsia="Times New Roman" w:hAnsi="Times New Roman" w:cs="Times New Roman"/>
          <w:sz w:val="24"/>
          <w:szCs w:val="24"/>
        </w:rPr>
        <w:t xml:space="preserve"> Project C</w:t>
      </w:r>
      <w:r w:rsidR="00AC3827">
        <w:rPr>
          <w:rFonts w:ascii="Times New Roman" w:eastAsia="Times New Roman" w:hAnsi="Times New Roman" w:cs="Times New Roman"/>
          <w:sz w:val="24"/>
          <w:szCs w:val="24"/>
        </w:rPr>
        <w:t xml:space="preserve"> (</w:t>
      </w:r>
      <w:r w:rsidR="00AC3827" w:rsidRPr="002A5FB8">
        <w:rPr>
          <w:rFonts w:ascii="Times New Roman" w:hAnsi="Times New Roman" w:cs="Times New Roman"/>
          <w:color w:val="222222"/>
          <w:sz w:val="24"/>
          <w:szCs w:val="24"/>
          <w:shd w:val="clear" w:color="auto" w:fill="FFFFFF"/>
        </w:rPr>
        <w:t>Daniel</w:t>
      </w:r>
      <w:r w:rsidR="00AC3827">
        <w:rPr>
          <w:rFonts w:ascii="Times New Roman" w:hAnsi="Times New Roman" w:cs="Times New Roman"/>
          <w:color w:val="222222"/>
          <w:sz w:val="24"/>
          <w:szCs w:val="24"/>
          <w:shd w:val="clear" w:color="auto" w:fill="FFFFFF"/>
        </w:rPr>
        <w:t xml:space="preserve"> </w:t>
      </w:r>
      <w:r w:rsidR="00AC3827" w:rsidRPr="002A5FB8">
        <w:rPr>
          <w:rFonts w:ascii="Times New Roman" w:hAnsi="Times New Roman" w:cs="Times New Roman"/>
          <w:color w:val="222222"/>
          <w:sz w:val="24"/>
          <w:szCs w:val="24"/>
          <w:shd w:val="clear" w:color="auto" w:fill="FFFFFF"/>
        </w:rPr>
        <w:t>and Daniel, 2019</w:t>
      </w:r>
      <w:r w:rsidR="00AC3827">
        <w:rPr>
          <w:rFonts w:ascii="Times New Roman" w:hAnsi="Times New Roman" w:cs="Times New Roman"/>
          <w:color w:val="222222"/>
          <w:sz w:val="24"/>
          <w:szCs w:val="24"/>
          <w:shd w:val="clear" w:color="auto" w:fill="FFFFFF"/>
        </w:rPr>
        <w:t>)</w:t>
      </w:r>
      <w:r>
        <w:rPr>
          <w:rFonts w:ascii="Times New Roman" w:eastAsia="Times New Roman" w:hAnsi="Times New Roman" w:cs="Times New Roman"/>
          <w:sz w:val="24"/>
          <w:szCs w:val="24"/>
        </w:rPr>
        <w:t xml:space="preserve">. In January 2021 “Electricity De France or EDF” announced, a delay in the project has arisen due to the COVID-19 pandemic and also increased the project cost by GBP500 million or USD264 million. The company has also announced a delay of one year to start up unit one. This increases the risk of further delay in the completion of the project. For assessing two units a delay of 15 months has been announced. Despite the delayed review of the schedule and cost has not been tested. In addition to the pandemic, the effect of Ukraine led to a delay of 18 months. Thus, this essay will focus on the reasons for the delay and increasing cost and understand the effectiveness of the project in terms of </w:t>
      </w:r>
      <w:r w:rsidR="00EF706E">
        <w:rPr>
          <w:rFonts w:ascii="Times New Roman" w:eastAsia="Times New Roman" w:hAnsi="Times New Roman" w:cs="Times New Roman"/>
          <w:sz w:val="24"/>
          <w:szCs w:val="24"/>
        </w:rPr>
        <w:t>economic</w:t>
      </w:r>
      <w:r>
        <w:rPr>
          <w:rFonts w:ascii="Times New Roman" w:eastAsia="Times New Roman" w:hAnsi="Times New Roman" w:cs="Times New Roman"/>
          <w:sz w:val="24"/>
          <w:szCs w:val="24"/>
        </w:rPr>
        <w:t xml:space="preserve"> and environmental perspectives. </w:t>
      </w:r>
    </w:p>
    <w:p w:rsidR="009E17ED" w:rsidRDefault="00522D81" w:rsidP="00AE36F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Investment from large investors has increased the efficiency of the project. Big investors are associated with this construction project. CGNP and EDF provide funding for the nuclear power project and it is projected to reach a cost of USD 59.8 billion at the completion in 2028. This cost includes operational expenses for managing nuclear waste, construction and decommissioning. In 2015, the Government of the UK guarantee a loan of USD 2.6 billion for the project. China General Nuclear Power or CGNP contributed USD 7.89 billion to the project in 2015 (En.cgnp.com.cn, 2023). Hence, key investors of the </w:t>
      </w:r>
      <w:proofErr w:type="spellStart"/>
      <w:r>
        <w:rPr>
          <w:rFonts w:ascii="Times New Roman" w:eastAsia="Times New Roman" w:hAnsi="Times New Roman" w:cs="Times New Roman"/>
          <w:sz w:val="24"/>
          <w:szCs w:val="24"/>
        </w:rPr>
        <w:t>Hinkley</w:t>
      </w:r>
      <w:proofErr w:type="spellEnd"/>
      <w:r>
        <w:rPr>
          <w:rFonts w:ascii="Times New Roman" w:eastAsia="Times New Roman" w:hAnsi="Times New Roman" w:cs="Times New Roman"/>
          <w:sz w:val="24"/>
          <w:szCs w:val="24"/>
        </w:rPr>
        <w:t xml:space="preserve"> Point C project include the government of the UK and CGNP. In addition to the investment, the government of the UK guaranteed a strike price of USD 156 for each megawatt-hour generated over a 35-year term. In February 2020, a “Balance of Plant or BOP” contract for USD 75 million has been given to the Engineering of Germany </w:t>
      </w:r>
      <w:proofErr w:type="spellStart"/>
      <w:r>
        <w:rPr>
          <w:rFonts w:ascii="Times New Roman" w:eastAsia="Times New Roman" w:hAnsi="Times New Roman" w:cs="Times New Roman"/>
          <w:sz w:val="24"/>
          <w:szCs w:val="24"/>
        </w:rPr>
        <w:t>Bilfinger</w:t>
      </w:r>
      <w:proofErr w:type="spellEnd"/>
      <w:r>
        <w:rPr>
          <w:rFonts w:ascii="Times New Roman" w:eastAsia="Times New Roman" w:hAnsi="Times New Roman" w:cs="Times New Roman"/>
          <w:sz w:val="24"/>
          <w:szCs w:val="24"/>
        </w:rPr>
        <w:t xml:space="preserve">. This company was contracted for the installation of 56-kilometre pipes for the </w:t>
      </w:r>
      <w:proofErr w:type="spellStart"/>
      <w:r>
        <w:rPr>
          <w:rFonts w:ascii="Times New Roman" w:eastAsia="Times New Roman" w:hAnsi="Times New Roman" w:cs="Times New Roman"/>
          <w:sz w:val="24"/>
          <w:szCs w:val="24"/>
        </w:rPr>
        <w:t>Hinkley</w:t>
      </w:r>
      <w:proofErr w:type="spellEnd"/>
      <w:r>
        <w:rPr>
          <w:rFonts w:ascii="Times New Roman" w:eastAsia="Times New Roman" w:hAnsi="Times New Roman" w:cs="Times New Roman"/>
          <w:sz w:val="24"/>
          <w:szCs w:val="24"/>
        </w:rPr>
        <w:t xml:space="preserve"> c nuclear energy complex (</w:t>
      </w:r>
      <w:r>
        <w:rPr>
          <w:rFonts w:ascii="Times New Roman" w:eastAsia="Times New Roman" w:hAnsi="Times New Roman" w:cs="Times New Roman"/>
          <w:color w:val="222222"/>
          <w:sz w:val="24"/>
          <w:szCs w:val="24"/>
          <w:highlight w:val="white"/>
        </w:rPr>
        <w:t>Daniel and Daniel, 2019</w:t>
      </w:r>
      <w:r>
        <w:rPr>
          <w:rFonts w:ascii="Times New Roman" w:eastAsia="Times New Roman" w:hAnsi="Times New Roman" w:cs="Times New Roman"/>
          <w:sz w:val="24"/>
          <w:szCs w:val="24"/>
        </w:rPr>
        <w:t xml:space="preserve">). In the year 206, a contract for the electrical package of USD 609 million was given to Balfour Beatty. For the electrical package, a joint venture between NG </w:t>
      </w:r>
      <w:r w:rsidR="00EF706E">
        <w:rPr>
          <w:rFonts w:ascii="Times New Roman" w:eastAsia="Times New Roman" w:hAnsi="Times New Roman" w:cs="Times New Roman"/>
          <w:sz w:val="24"/>
          <w:szCs w:val="24"/>
        </w:rPr>
        <w:t>Bailey</w:t>
      </w:r>
      <w:r>
        <w:rPr>
          <w:rFonts w:ascii="Times New Roman" w:eastAsia="Times New Roman" w:hAnsi="Times New Roman" w:cs="Times New Roman"/>
          <w:sz w:val="24"/>
          <w:szCs w:val="24"/>
        </w:rPr>
        <w:t xml:space="preserve"> and Balfour Beatty was formed. On the other hand, a USD 247 million contract for building three maritime tunnels with a length of 9.5 kilometres was given to the company (</w:t>
      </w:r>
      <w:proofErr w:type="spellStart"/>
      <w:r>
        <w:rPr>
          <w:rFonts w:ascii="Times New Roman" w:eastAsia="Times New Roman" w:hAnsi="Times New Roman" w:cs="Times New Roman"/>
          <w:color w:val="222222"/>
          <w:sz w:val="24"/>
          <w:szCs w:val="24"/>
          <w:highlight w:val="white"/>
        </w:rPr>
        <w:t>Dyrda</w:t>
      </w:r>
      <w:proofErr w:type="spellEnd"/>
      <w:r>
        <w:rPr>
          <w:rFonts w:ascii="Times New Roman" w:eastAsia="Times New Roman" w:hAnsi="Times New Roman" w:cs="Times New Roman"/>
          <w:color w:val="222222"/>
          <w:sz w:val="24"/>
          <w:szCs w:val="24"/>
          <w:highlight w:val="white"/>
        </w:rPr>
        <w:t xml:space="preserve"> and Morrison, 2021</w:t>
      </w:r>
      <w:r>
        <w:rPr>
          <w:rFonts w:ascii="Times New Roman" w:eastAsia="Times New Roman" w:hAnsi="Times New Roman" w:cs="Times New Roman"/>
          <w:sz w:val="24"/>
          <w:szCs w:val="24"/>
        </w:rPr>
        <w:t>). EDF announced a GBP 3 billion rise in the overall cost of the project. It has been noted that the project contracts for the British Government and there is no impact on the consumer of the UK. During the pandemic, this project continued without stopping and projected the integrity of supply chains (</w:t>
      </w:r>
      <w:r>
        <w:rPr>
          <w:rFonts w:ascii="Times New Roman" w:eastAsia="Times New Roman" w:hAnsi="Times New Roman" w:cs="Times New Roman"/>
          <w:color w:val="222222"/>
          <w:sz w:val="24"/>
          <w:szCs w:val="24"/>
          <w:highlight w:val="white"/>
        </w:rPr>
        <w:t>Glasson et. al., 2021</w:t>
      </w:r>
      <w:r>
        <w:rPr>
          <w:rFonts w:ascii="Times New Roman" w:eastAsia="Times New Roman" w:hAnsi="Times New Roman" w:cs="Times New Roman"/>
          <w:sz w:val="24"/>
          <w:szCs w:val="24"/>
        </w:rPr>
        <w:t xml:space="preserve">). This non-stop continuity of the project allowed the completion of major milestones. Thus, the pandemic </w:t>
      </w:r>
      <w:r w:rsidR="00EF706E">
        <w:rPr>
          <w:rFonts w:ascii="Times New Roman" w:eastAsia="Times New Roman" w:hAnsi="Times New Roman" w:cs="Times New Roman"/>
          <w:sz w:val="24"/>
          <w:szCs w:val="24"/>
        </w:rPr>
        <w:t>cannot</w:t>
      </w:r>
      <w:r>
        <w:rPr>
          <w:rFonts w:ascii="Times New Roman" w:eastAsia="Times New Roman" w:hAnsi="Times New Roman" w:cs="Times New Roman"/>
          <w:sz w:val="24"/>
          <w:szCs w:val="24"/>
        </w:rPr>
        <w:t xml:space="preserve"> be blamed directly for the delay of the project. However, resources, supply chain and people including contractors, workers, project managers and project engineers were constrained in their efficiency during the pandemic. In addition to this, the cost of activities has been increased due to the restriction. Moreover. The quality of materials and some mariner works has been restricted during the period. According to the EDF, the major milestone of this project will be to lift the containment dome of the first unit and it has been expected to complete during the second quarter of 2023. </w:t>
      </w:r>
    </w:p>
    <w:p w:rsidR="009E17ED" w:rsidRDefault="00522D81" w:rsidP="00AE36F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literature review, t</w:t>
      </w:r>
      <w:r w:rsidR="00EF706E">
        <w:rPr>
          <w:rFonts w:ascii="Times New Roman" w:eastAsia="Times New Roman" w:hAnsi="Times New Roman" w:cs="Times New Roman"/>
          <w:sz w:val="24"/>
          <w:szCs w:val="24"/>
        </w:rPr>
        <w:t>wo</w:t>
      </w:r>
      <w:r>
        <w:rPr>
          <w:rFonts w:ascii="Times New Roman" w:eastAsia="Times New Roman" w:hAnsi="Times New Roman" w:cs="Times New Roman"/>
          <w:sz w:val="24"/>
          <w:szCs w:val="24"/>
        </w:rPr>
        <w:t xml:space="preserve"> types of delay can occur in a construction project. Two types of delay include</w:t>
      </w:r>
      <w:r>
        <w:rPr>
          <w:rFonts w:ascii="Times New Roman" w:eastAsia="Times New Roman" w:hAnsi="Times New Roman" w:cs="Times New Roman"/>
          <w:b/>
          <w:i/>
          <w:sz w:val="24"/>
          <w:szCs w:val="24"/>
        </w:rPr>
        <w:t xml:space="preserve"> Excusable delays</w:t>
      </w:r>
      <w:r>
        <w:rPr>
          <w:rFonts w:ascii="Times New Roman" w:eastAsia="Times New Roman" w:hAnsi="Times New Roman" w:cs="Times New Roman"/>
          <w:sz w:val="24"/>
          <w:szCs w:val="24"/>
        </w:rPr>
        <w:t xml:space="preserve"> and </w:t>
      </w:r>
      <w:r>
        <w:rPr>
          <w:rFonts w:ascii="Times New Roman" w:eastAsia="Times New Roman" w:hAnsi="Times New Roman" w:cs="Times New Roman"/>
          <w:b/>
          <w:i/>
          <w:sz w:val="24"/>
          <w:szCs w:val="24"/>
        </w:rPr>
        <w:t>non-excusable delays</w:t>
      </w:r>
      <w:r w:rsidR="00AA3F59">
        <w:rPr>
          <w:rFonts w:ascii="Times New Roman" w:eastAsia="Times New Roman" w:hAnsi="Times New Roman" w:cs="Times New Roman"/>
          <w:sz w:val="24"/>
          <w:szCs w:val="24"/>
        </w:rPr>
        <w:t>. The non-excusable delay happens due to</w:t>
      </w:r>
      <w:r>
        <w:rPr>
          <w:rFonts w:ascii="Times New Roman" w:eastAsia="Times New Roman" w:hAnsi="Times New Roman" w:cs="Times New Roman"/>
          <w:sz w:val="24"/>
          <w:szCs w:val="24"/>
        </w:rPr>
        <w:t xml:space="preserve"> the suppliers and contractors. In case of </w:t>
      </w:r>
      <w:r w:rsidR="00EF706E">
        <w:rPr>
          <w:rFonts w:ascii="Times New Roman" w:eastAsia="Times New Roman" w:hAnsi="Times New Roman" w:cs="Times New Roman"/>
          <w:sz w:val="24"/>
          <w:szCs w:val="24"/>
        </w:rPr>
        <w:t>non-excusable</w:t>
      </w:r>
      <w:r>
        <w:rPr>
          <w:rFonts w:ascii="Times New Roman" w:eastAsia="Times New Roman" w:hAnsi="Times New Roman" w:cs="Times New Roman"/>
          <w:sz w:val="24"/>
          <w:szCs w:val="24"/>
        </w:rPr>
        <w:t xml:space="preserve"> delays, there is no fault from the site or the owner (</w:t>
      </w:r>
      <w:r>
        <w:rPr>
          <w:rFonts w:ascii="Times New Roman" w:eastAsia="Times New Roman" w:hAnsi="Times New Roman" w:cs="Times New Roman"/>
          <w:color w:val="222222"/>
          <w:sz w:val="24"/>
          <w:szCs w:val="24"/>
          <w:highlight w:val="white"/>
        </w:rPr>
        <w:t>Butcher et. al., 2021</w:t>
      </w:r>
      <w:r>
        <w:rPr>
          <w:rFonts w:ascii="Times New Roman" w:eastAsia="Times New Roman" w:hAnsi="Times New Roman" w:cs="Times New Roman"/>
          <w:sz w:val="24"/>
          <w:szCs w:val="24"/>
        </w:rPr>
        <w:t xml:space="preserve">). These faults are not entitled to relief and must </w:t>
      </w:r>
      <w:r w:rsidR="00F13B0C">
        <w:rPr>
          <w:rFonts w:ascii="Times New Roman" w:eastAsia="Times New Roman" w:hAnsi="Times New Roman" w:cs="Times New Roman"/>
          <w:sz w:val="24"/>
          <w:szCs w:val="24"/>
        </w:rPr>
        <w:t>be</w:t>
      </w:r>
      <w:r>
        <w:rPr>
          <w:rFonts w:ascii="Times New Roman" w:eastAsia="Times New Roman" w:hAnsi="Times New Roman" w:cs="Times New Roman"/>
          <w:sz w:val="24"/>
          <w:szCs w:val="24"/>
        </w:rPr>
        <w:t xml:space="preserve"> compensate</w:t>
      </w:r>
      <w:r w:rsidR="00F13B0C">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by the owners. Therefore, </w:t>
      </w:r>
      <w:r w:rsidR="00F13B0C">
        <w:rPr>
          <w:rFonts w:ascii="Times New Roman" w:eastAsia="Times New Roman" w:hAnsi="Times New Roman" w:cs="Times New Roman"/>
          <w:sz w:val="24"/>
          <w:szCs w:val="24"/>
        </w:rPr>
        <w:t>delays which are not excusable, might not lead to high expenses or extra</w:t>
      </w:r>
      <w:r>
        <w:rPr>
          <w:rFonts w:ascii="Times New Roman" w:eastAsia="Times New Roman" w:hAnsi="Times New Roman" w:cs="Times New Roman"/>
          <w:sz w:val="24"/>
          <w:szCs w:val="24"/>
        </w:rPr>
        <w:t xml:space="preserve"> </w:t>
      </w:r>
      <w:r w:rsidR="00F13B0C">
        <w:rPr>
          <w:rFonts w:ascii="Times New Roman" w:eastAsia="Times New Roman" w:hAnsi="Times New Roman" w:cs="Times New Roman"/>
          <w:sz w:val="24"/>
          <w:szCs w:val="24"/>
        </w:rPr>
        <w:t>charges</w:t>
      </w:r>
      <w:r>
        <w:rPr>
          <w:rFonts w:ascii="Times New Roman" w:eastAsia="Times New Roman" w:hAnsi="Times New Roman" w:cs="Times New Roman"/>
          <w:sz w:val="24"/>
          <w:szCs w:val="24"/>
        </w:rPr>
        <w:t xml:space="preserve"> or time. On the other hand, </w:t>
      </w:r>
      <w:r w:rsidR="00F13B0C">
        <w:rPr>
          <w:rFonts w:ascii="Times New Roman" w:eastAsia="Times New Roman" w:hAnsi="Times New Roman" w:cs="Times New Roman"/>
          <w:b/>
          <w:i/>
          <w:sz w:val="24"/>
          <w:szCs w:val="24"/>
        </w:rPr>
        <w:t>delays which are excusable</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are </w:t>
      </w:r>
      <w:r w:rsidR="00F13B0C">
        <w:rPr>
          <w:rFonts w:ascii="Times New Roman" w:eastAsia="Times New Roman" w:hAnsi="Times New Roman" w:cs="Times New Roman"/>
          <w:sz w:val="24"/>
          <w:szCs w:val="24"/>
        </w:rPr>
        <w:t>of two types</w:t>
      </w:r>
      <w:r>
        <w:rPr>
          <w:rFonts w:ascii="Times New Roman" w:eastAsia="Times New Roman" w:hAnsi="Times New Roman" w:cs="Times New Roman"/>
          <w:sz w:val="24"/>
          <w:szCs w:val="24"/>
        </w:rPr>
        <w:t xml:space="preserve"> based on the responsib</w:t>
      </w:r>
      <w:r w:rsidR="00AA3F59">
        <w:rPr>
          <w:rFonts w:ascii="Times New Roman" w:eastAsia="Times New Roman" w:hAnsi="Times New Roman" w:cs="Times New Roman"/>
          <w:sz w:val="24"/>
          <w:szCs w:val="24"/>
        </w:rPr>
        <w:t>le persons for the delays. Compen</w:t>
      </w:r>
      <w:r>
        <w:rPr>
          <w:rFonts w:ascii="Times New Roman" w:eastAsia="Times New Roman" w:hAnsi="Times New Roman" w:cs="Times New Roman"/>
          <w:sz w:val="24"/>
          <w:szCs w:val="24"/>
        </w:rPr>
        <w:t>sable and non-compensable delays are two major types of Excusable delays. Compensable delays are caused by the project owners and non-compensable delays are caused by third parties such as investors or stakeholders of the project (</w:t>
      </w:r>
      <w:proofErr w:type="spellStart"/>
      <w:r>
        <w:rPr>
          <w:rFonts w:ascii="Times New Roman" w:eastAsia="Times New Roman" w:hAnsi="Times New Roman" w:cs="Times New Roman"/>
          <w:color w:val="222222"/>
          <w:sz w:val="24"/>
          <w:szCs w:val="24"/>
          <w:highlight w:val="white"/>
        </w:rPr>
        <w:t>Lovas</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This delay can occur due to the incidents commonly known as “Acts of God” as no one is responsible for such faults. Thus, delay caused by the reject pandemic and outbreak of the COVID-19 virus can be identified as a </w:t>
      </w:r>
      <w:r>
        <w:rPr>
          <w:rFonts w:ascii="Times New Roman" w:eastAsia="Times New Roman" w:hAnsi="Times New Roman" w:cs="Times New Roman"/>
          <w:b/>
          <w:i/>
          <w:sz w:val="24"/>
          <w:szCs w:val="24"/>
        </w:rPr>
        <w:t>“Non-compensable”</w:t>
      </w:r>
      <w:r>
        <w:rPr>
          <w:rFonts w:ascii="Times New Roman" w:eastAsia="Times New Roman" w:hAnsi="Times New Roman" w:cs="Times New Roman"/>
          <w:sz w:val="24"/>
          <w:szCs w:val="24"/>
        </w:rPr>
        <w:t xml:space="preserve"> delay or the “</w:t>
      </w:r>
      <w:r>
        <w:rPr>
          <w:rFonts w:ascii="Times New Roman" w:eastAsia="Times New Roman" w:hAnsi="Times New Roman" w:cs="Times New Roman"/>
          <w:b/>
          <w:i/>
          <w:sz w:val="24"/>
          <w:szCs w:val="24"/>
        </w:rPr>
        <w:t>Act of God”</w:t>
      </w:r>
      <w:r>
        <w:rPr>
          <w:rFonts w:ascii="Times New Roman" w:eastAsia="Times New Roman" w:hAnsi="Times New Roman" w:cs="Times New Roman"/>
          <w:sz w:val="24"/>
          <w:szCs w:val="24"/>
        </w:rPr>
        <w:t xml:space="preserve">. According to the past literature, if there is one factor in delaying then the calculation for determining the time and money can be easy. </w:t>
      </w:r>
    </w:p>
    <w:p w:rsidR="009E17ED" w:rsidRDefault="00522D81" w:rsidP="00AE36F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w:t>
      </w:r>
      <w:r>
        <w:rPr>
          <w:rFonts w:ascii="Times New Roman" w:eastAsia="Times New Roman" w:hAnsi="Times New Roman" w:cs="Times New Roman"/>
          <w:b/>
          <w:i/>
          <w:sz w:val="24"/>
          <w:szCs w:val="24"/>
        </w:rPr>
        <w:t xml:space="preserve"> Agency theory</w:t>
      </w:r>
      <w:r>
        <w:rPr>
          <w:rFonts w:ascii="Times New Roman" w:eastAsia="Times New Roman" w:hAnsi="Times New Roman" w:cs="Times New Roman"/>
          <w:sz w:val="24"/>
          <w:szCs w:val="24"/>
        </w:rPr>
        <w:t>, project delays can be occurred due to poor management and engineering planning. A lack of policies and plans are necessary for the implementation of project schedule plans. According to the Agency theory, contractual conflicts can lead to potential delays in project completion (</w:t>
      </w:r>
      <w:proofErr w:type="spellStart"/>
      <w:r>
        <w:rPr>
          <w:rFonts w:ascii="Times New Roman" w:eastAsia="Times New Roman" w:hAnsi="Times New Roman" w:cs="Times New Roman"/>
          <w:color w:val="222222"/>
          <w:sz w:val="24"/>
          <w:szCs w:val="24"/>
          <w:highlight w:val="white"/>
        </w:rPr>
        <w:t>Ogunmakin</w:t>
      </w:r>
      <w:proofErr w:type="spellEnd"/>
      <w:r>
        <w:rPr>
          <w:rFonts w:ascii="Times New Roman" w:eastAsia="Times New Roman" w:hAnsi="Times New Roman" w:cs="Times New Roman"/>
          <w:color w:val="222222"/>
          <w:sz w:val="24"/>
          <w:szCs w:val="24"/>
          <w:highlight w:val="white"/>
        </w:rPr>
        <w:t xml:space="preserve"> et. al., 2021</w:t>
      </w:r>
      <w:r>
        <w:rPr>
          <w:rFonts w:ascii="Times New Roman" w:eastAsia="Times New Roman" w:hAnsi="Times New Roman" w:cs="Times New Roman"/>
          <w:sz w:val="24"/>
          <w:szCs w:val="24"/>
        </w:rPr>
        <w:t xml:space="preserve">). This theory describes the relationship between actors and the principle of implicit contracts. This describes the relationships between two parties involved in the collaborative action of the project. Thus, conflicts between CGNP and EDF can impact the delay of the </w:t>
      </w:r>
      <w:proofErr w:type="spellStart"/>
      <w:r>
        <w:rPr>
          <w:rFonts w:ascii="Times New Roman" w:eastAsia="Times New Roman" w:hAnsi="Times New Roman" w:cs="Times New Roman"/>
          <w:sz w:val="24"/>
          <w:szCs w:val="24"/>
        </w:rPr>
        <w:t>Hinkley</w:t>
      </w:r>
      <w:proofErr w:type="spellEnd"/>
      <w:r>
        <w:rPr>
          <w:rFonts w:ascii="Times New Roman" w:eastAsia="Times New Roman" w:hAnsi="Times New Roman" w:cs="Times New Roman"/>
          <w:sz w:val="24"/>
          <w:szCs w:val="24"/>
        </w:rPr>
        <w:t xml:space="preserve"> Point C project. </w:t>
      </w:r>
    </w:p>
    <w:p w:rsidR="009E17ED" w:rsidRDefault="00522D81" w:rsidP="00AE36F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w:t>
      </w:r>
      <w:r>
        <w:rPr>
          <w:rFonts w:ascii="Times New Roman" w:eastAsia="Times New Roman" w:hAnsi="Times New Roman" w:cs="Times New Roman"/>
          <w:b/>
          <w:i/>
          <w:sz w:val="24"/>
          <w:szCs w:val="24"/>
        </w:rPr>
        <w:t>Financial distress theory</w:t>
      </w:r>
      <w:r>
        <w:rPr>
          <w:rFonts w:ascii="Times New Roman" w:eastAsia="Times New Roman" w:hAnsi="Times New Roman" w:cs="Times New Roman"/>
          <w:sz w:val="24"/>
          <w:szCs w:val="24"/>
        </w:rPr>
        <w:t xml:space="preserve">, different factors can help in describing financial distress. It is important for assessing the financial distress of the project during the continued increasing cost of the project. EDF announced a 7% increase in the electricity requirements from the </w:t>
      </w:r>
      <w:proofErr w:type="spellStart"/>
      <w:r>
        <w:rPr>
          <w:rFonts w:ascii="Times New Roman" w:eastAsia="Times New Roman" w:hAnsi="Times New Roman" w:cs="Times New Roman"/>
          <w:sz w:val="24"/>
          <w:szCs w:val="24"/>
        </w:rPr>
        <w:t>Hinkley</w:t>
      </w:r>
      <w:proofErr w:type="spellEnd"/>
      <w:r>
        <w:rPr>
          <w:rFonts w:ascii="Times New Roman" w:eastAsia="Times New Roman" w:hAnsi="Times New Roman" w:cs="Times New Roman"/>
          <w:sz w:val="24"/>
          <w:szCs w:val="24"/>
        </w:rPr>
        <w:t xml:space="preserve"> Point C project. Thus, the estimation of the increase caused due to the increased requirement of electricity is required. Due to the increased rate of inflation</w:t>
      </w:r>
      <w:r w:rsidR="00EF706E">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t>project cost has increased (</w:t>
      </w:r>
      <w:r>
        <w:rPr>
          <w:rFonts w:ascii="Times New Roman" w:eastAsia="Times New Roman" w:hAnsi="Times New Roman" w:cs="Times New Roman"/>
          <w:color w:val="222222"/>
          <w:sz w:val="24"/>
          <w:szCs w:val="24"/>
          <w:highlight w:val="white"/>
        </w:rPr>
        <w:t>Carpenter and Energy, 2019</w:t>
      </w:r>
      <w:r>
        <w:rPr>
          <w:rFonts w:ascii="Times New Roman" w:eastAsia="Times New Roman" w:hAnsi="Times New Roman" w:cs="Times New Roman"/>
          <w:sz w:val="24"/>
          <w:szCs w:val="24"/>
        </w:rPr>
        <w:t xml:space="preserve">). According to the published cost estimation, about 31 to 32 billion Euros have been adjusted for inflations. Compared to the initial estimations, the latest increase caused a 30% hike from the 2015 quoted price, which was 25 to 26 billion pounds. The crude oil price has been badly affected by the recent inflations and it has impacted the overall project cost. However, significant controversies about the project have been raised. Increased risk of potential high base prices of electricity produced along with environmental safety and financial risk to the taxpayer and investors has been identified. These risks associated with the project have increased the financial burden of the </w:t>
      </w:r>
      <w:proofErr w:type="spellStart"/>
      <w:r>
        <w:rPr>
          <w:rFonts w:ascii="Times New Roman" w:eastAsia="Times New Roman" w:hAnsi="Times New Roman" w:cs="Times New Roman"/>
          <w:sz w:val="24"/>
          <w:szCs w:val="24"/>
        </w:rPr>
        <w:t>Hinkley</w:t>
      </w:r>
      <w:proofErr w:type="spellEnd"/>
      <w:r>
        <w:rPr>
          <w:rFonts w:ascii="Times New Roman" w:eastAsia="Times New Roman" w:hAnsi="Times New Roman" w:cs="Times New Roman"/>
          <w:sz w:val="24"/>
          <w:szCs w:val="24"/>
        </w:rPr>
        <w:t xml:space="preserve"> Point C project. </w:t>
      </w:r>
    </w:p>
    <w:p w:rsidR="009E17ED" w:rsidRDefault="00522D81" w:rsidP="00AE36F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Several delays in the completion of project miles stones of Europe’s largest construction of building nuclear power station have been identified. This project is two years behind its original schedule. According to the EDF, the recent pandemic has been identified as the potential cause of the delay. However, during the pandemic, this project was continued</w:t>
      </w:r>
      <w:r w:rsidR="00EF706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 addition to this, EDF has struck into a new deal which could lead to an increased delay period and it would start to operate as late as 2036 (</w:t>
      </w:r>
      <w:r>
        <w:rPr>
          <w:rFonts w:ascii="Times New Roman" w:eastAsia="Times New Roman" w:hAnsi="Times New Roman" w:cs="Times New Roman"/>
          <w:color w:val="222222"/>
          <w:sz w:val="24"/>
          <w:szCs w:val="24"/>
          <w:highlight w:val="white"/>
        </w:rPr>
        <w:t>Castor et. al., 2020</w:t>
      </w:r>
      <w:r>
        <w:rPr>
          <w:rFonts w:ascii="Times New Roman" w:eastAsia="Times New Roman" w:hAnsi="Times New Roman" w:cs="Times New Roman"/>
          <w:sz w:val="24"/>
          <w:szCs w:val="24"/>
        </w:rPr>
        <w:t xml:space="preserve">). Thus, the recent report suggested a delay of 11 years and would be completed in 2036. The project would be completed after 11 years that its original completion date in September 2025. However, the schedule of the project has been reviewed and the details remain unchanged. The </w:t>
      </w:r>
      <w:proofErr w:type="spellStart"/>
      <w:r>
        <w:rPr>
          <w:rFonts w:ascii="Times New Roman" w:eastAsia="Times New Roman" w:hAnsi="Times New Roman" w:cs="Times New Roman"/>
          <w:sz w:val="24"/>
          <w:szCs w:val="24"/>
        </w:rPr>
        <w:t>Hinkley</w:t>
      </w:r>
      <w:proofErr w:type="spellEnd"/>
      <w:r>
        <w:rPr>
          <w:rFonts w:ascii="Times New Roman" w:eastAsia="Times New Roman" w:hAnsi="Times New Roman" w:cs="Times New Roman"/>
          <w:sz w:val="24"/>
          <w:szCs w:val="24"/>
        </w:rPr>
        <w:t xml:space="preserve"> Point C project is already faced challenges of d</w:t>
      </w:r>
      <w:r w:rsidR="00EF706E">
        <w:rPr>
          <w:rFonts w:ascii="Times New Roman" w:eastAsia="Times New Roman" w:hAnsi="Times New Roman" w:cs="Times New Roman"/>
          <w:sz w:val="24"/>
          <w:szCs w:val="24"/>
        </w:rPr>
        <w:t>elay</w:t>
      </w:r>
      <w:r>
        <w:rPr>
          <w:rFonts w:ascii="Times New Roman" w:eastAsia="Times New Roman" w:hAnsi="Times New Roman" w:cs="Times New Roman"/>
          <w:sz w:val="24"/>
          <w:szCs w:val="24"/>
        </w:rPr>
        <w:t xml:space="preserve">. According to EDF, the completion date has been pushed back to June 2026 from September 2025 due to the delay caused by the COVID-19 pandemic. Due to this delay, the project cost has been increased to </w:t>
      </w:r>
      <w:hyperlink r:id="rId7">
        <w:r>
          <w:rPr>
            <w:rFonts w:ascii="Times New Roman" w:eastAsia="Times New Roman" w:hAnsi="Times New Roman" w:cs="Times New Roman"/>
            <w:color w:val="777777"/>
            <w:sz w:val="24"/>
            <w:szCs w:val="24"/>
          </w:rPr>
          <w:t xml:space="preserve"> £</w:t>
        </w:r>
      </w:hyperlink>
      <w:r>
        <w:rPr>
          <w:rFonts w:ascii="Times New Roman" w:eastAsia="Times New Roman" w:hAnsi="Times New Roman" w:cs="Times New Roman"/>
          <w:sz w:val="24"/>
          <w:szCs w:val="24"/>
        </w:rPr>
        <w:t xml:space="preserve">3 Billion. </w:t>
      </w:r>
    </w:p>
    <w:p w:rsidR="009E17ED" w:rsidRDefault="00522D81" w:rsidP="00AE36F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Pr>
          <w:rFonts w:ascii="Times New Roman" w:eastAsia="Times New Roman" w:hAnsi="Times New Roman" w:cs="Times New Roman"/>
          <w:b/>
          <w:i/>
          <w:sz w:val="24"/>
          <w:szCs w:val="24"/>
        </w:rPr>
        <w:t>Construction Project management theory,</w:t>
      </w:r>
      <w:r>
        <w:rPr>
          <w:rFonts w:ascii="Times New Roman" w:eastAsia="Times New Roman" w:hAnsi="Times New Roman" w:cs="Times New Roman"/>
          <w:sz w:val="24"/>
          <w:szCs w:val="24"/>
        </w:rPr>
        <w:t xml:space="preserve"> an unexpected delay is one of the most common risks in project management and it could lead to project failure. According to the current survey, more than 50% of the construction companies in the UK said completion of projects on schedule is challenging. Delays in the project can lead to profitability loss and project failure. There are many factors, which can be affected by project delays. Delay of a project is associated with a cost overrun, messing deadlines, disputes and litigations (</w:t>
      </w:r>
      <w:r>
        <w:rPr>
          <w:rFonts w:ascii="Times New Roman" w:eastAsia="Times New Roman" w:hAnsi="Times New Roman" w:cs="Times New Roman"/>
          <w:color w:val="222222"/>
          <w:sz w:val="24"/>
          <w:szCs w:val="24"/>
          <w:highlight w:val="white"/>
        </w:rPr>
        <w:t>Alberto, 2019</w:t>
      </w:r>
      <w:r>
        <w:rPr>
          <w:rFonts w:ascii="Times New Roman" w:eastAsia="Times New Roman" w:hAnsi="Times New Roman" w:cs="Times New Roman"/>
          <w:sz w:val="24"/>
          <w:szCs w:val="24"/>
        </w:rPr>
        <w:t xml:space="preserve">). Due to the potential delay of the project, investors also refuse to contribute to further project processing. A construction project can be called successful if the project is done by proper scheduling and is under budget. If a construction project is under the proposed schedule and budget, it can be called as successful. Delay in the project leads to unsatisfied stakeholders and reduces the quality of the project. Project </w:t>
      </w:r>
      <w:r w:rsidR="005C5915">
        <w:rPr>
          <w:rFonts w:ascii="Times New Roman" w:eastAsia="Times New Roman" w:hAnsi="Times New Roman" w:cs="Times New Roman"/>
          <w:sz w:val="24"/>
          <w:szCs w:val="24"/>
        </w:rPr>
        <w:t>delay</w:t>
      </w:r>
      <w:r>
        <w:rPr>
          <w:rFonts w:ascii="Times New Roman" w:eastAsia="Times New Roman" w:hAnsi="Times New Roman" w:cs="Times New Roman"/>
          <w:sz w:val="24"/>
          <w:szCs w:val="24"/>
        </w:rPr>
        <w:t xml:space="preserve"> has become one of the major challenges in the construction industry. The recent pandemic has had a great impact on the </w:t>
      </w:r>
      <w:r w:rsidR="005C5915">
        <w:rPr>
          <w:rFonts w:ascii="Times New Roman" w:eastAsia="Times New Roman" w:hAnsi="Times New Roman" w:cs="Times New Roman"/>
          <w:sz w:val="24"/>
          <w:szCs w:val="24"/>
        </w:rPr>
        <w:t>delay</w:t>
      </w:r>
      <w:r>
        <w:rPr>
          <w:rFonts w:ascii="Times New Roman" w:eastAsia="Times New Roman" w:hAnsi="Times New Roman" w:cs="Times New Roman"/>
          <w:sz w:val="24"/>
          <w:szCs w:val="24"/>
        </w:rPr>
        <w:t xml:space="preserve"> and increased the cost of projects. Project deals can result in cost overruns, litigation, lawsuits and disputes. Thus, due to extending project cost and schedule, the </w:t>
      </w:r>
      <w:proofErr w:type="spellStart"/>
      <w:r>
        <w:rPr>
          <w:rFonts w:ascii="Times New Roman" w:eastAsia="Times New Roman" w:hAnsi="Times New Roman" w:cs="Times New Roman"/>
          <w:sz w:val="24"/>
          <w:szCs w:val="24"/>
        </w:rPr>
        <w:t>Hinkley</w:t>
      </w:r>
      <w:proofErr w:type="spellEnd"/>
      <w:r>
        <w:rPr>
          <w:rFonts w:ascii="Times New Roman" w:eastAsia="Times New Roman" w:hAnsi="Times New Roman" w:cs="Times New Roman"/>
          <w:sz w:val="24"/>
          <w:szCs w:val="24"/>
        </w:rPr>
        <w:t xml:space="preserve"> Point C project </w:t>
      </w:r>
      <w:r w:rsidR="005C5915">
        <w:rPr>
          <w:rFonts w:ascii="Times New Roman" w:eastAsia="Times New Roman" w:hAnsi="Times New Roman" w:cs="Times New Roman"/>
          <w:sz w:val="24"/>
          <w:szCs w:val="24"/>
        </w:rPr>
        <w:t>cannot</w:t>
      </w:r>
      <w:r>
        <w:rPr>
          <w:rFonts w:ascii="Times New Roman" w:eastAsia="Times New Roman" w:hAnsi="Times New Roman" w:cs="Times New Roman"/>
          <w:sz w:val="24"/>
          <w:szCs w:val="24"/>
        </w:rPr>
        <w:t xml:space="preserve"> be considered a successful project. </w:t>
      </w:r>
    </w:p>
    <w:p w:rsidR="009E17ED" w:rsidRDefault="00522D81" w:rsidP="00AE36F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“Construction project delay” </w:t>
      </w:r>
      <w:r>
        <w:rPr>
          <w:rFonts w:ascii="Times New Roman" w:eastAsia="Times New Roman" w:hAnsi="Times New Roman" w:cs="Times New Roman"/>
          <w:sz w:val="24"/>
          <w:szCs w:val="24"/>
        </w:rPr>
        <w:t xml:space="preserve">has become a global phenomenon and this leads to project complexities. A delay in the construction project </w:t>
      </w:r>
      <w:r w:rsidR="00F13B0C">
        <w:rPr>
          <w:rFonts w:ascii="Times New Roman" w:eastAsia="Times New Roman" w:hAnsi="Times New Roman" w:cs="Times New Roman"/>
          <w:sz w:val="24"/>
          <w:szCs w:val="24"/>
        </w:rPr>
        <w:t>is referred to</w:t>
      </w:r>
      <w:r>
        <w:rPr>
          <w:rFonts w:ascii="Times New Roman" w:eastAsia="Times New Roman" w:hAnsi="Times New Roman" w:cs="Times New Roman"/>
          <w:sz w:val="24"/>
          <w:szCs w:val="24"/>
        </w:rPr>
        <w:t xml:space="preserve"> as the extension of time in the </w:t>
      </w:r>
      <w:r w:rsidR="00F13B0C">
        <w:rPr>
          <w:rFonts w:ascii="Times New Roman" w:eastAsia="Times New Roman" w:hAnsi="Times New Roman" w:cs="Times New Roman"/>
          <w:sz w:val="24"/>
          <w:szCs w:val="24"/>
        </w:rPr>
        <w:t>accomplishment</w:t>
      </w:r>
      <w:r>
        <w:rPr>
          <w:rFonts w:ascii="Times New Roman" w:eastAsia="Times New Roman" w:hAnsi="Times New Roman" w:cs="Times New Roman"/>
          <w:sz w:val="24"/>
          <w:szCs w:val="24"/>
        </w:rPr>
        <w:t xml:space="preserve"> of the project (</w:t>
      </w:r>
      <w:proofErr w:type="spellStart"/>
      <w:r>
        <w:rPr>
          <w:rFonts w:ascii="Times New Roman" w:eastAsia="Times New Roman" w:hAnsi="Times New Roman" w:cs="Times New Roman"/>
          <w:color w:val="222222"/>
          <w:sz w:val="24"/>
          <w:szCs w:val="24"/>
          <w:highlight w:val="white"/>
        </w:rPr>
        <w:t>Durdyev</w:t>
      </w:r>
      <w:proofErr w:type="spellEnd"/>
      <w:r>
        <w:rPr>
          <w:rFonts w:ascii="Times New Roman" w:eastAsia="Times New Roman" w:hAnsi="Times New Roman" w:cs="Times New Roman"/>
          <w:color w:val="222222"/>
          <w:sz w:val="24"/>
          <w:szCs w:val="24"/>
          <w:highlight w:val="white"/>
        </w:rPr>
        <w:t xml:space="preserve"> and Hosseini, 2020</w:t>
      </w:r>
      <w:r>
        <w:rPr>
          <w:rFonts w:ascii="Times New Roman" w:eastAsia="Times New Roman" w:hAnsi="Times New Roman" w:cs="Times New Roman"/>
          <w:sz w:val="24"/>
          <w:szCs w:val="24"/>
        </w:rPr>
        <w:t xml:space="preserve">). Construction delay adversely affects the success of a project. </w:t>
      </w:r>
      <w:r w:rsidR="00F13B0C">
        <w:rPr>
          <w:rFonts w:ascii="Times New Roman" w:eastAsia="Times New Roman" w:hAnsi="Times New Roman" w:cs="Times New Roman"/>
          <w:sz w:val="24"/>
          <w:szCs w:val="24"/>
        </w:rPr>
        <w:t>The success of the project is impacted in various ways. For example, the cost, quality, and time is compromised</w:t>
      </w:r>
      <w:r>
        <w:rPr>
          <w:rFonts w:ascii="Times New Roman" w:eastAsia="Times New Roman" w:hAnsi="Times New Roman" w:cs="Times New Roman"/>
          <w:sz w:val="24"/>
          <w:szCs w:val="24"/>
        </w:rPr>
        <w:t xml:space="preserve">. Failure of a project </w:t>
      </w:r>
      <w:r w:rsidR="00F13B0C">
        <w:rPr>
          <w:rFonts w:ascii="Times New Roman" w:eastAsia="Times New Roman" w:hAnsi="Times New Roman" w:cs="Times New Roman"/>
          <w:sz w:val="24"/>
          <w:szCs w:val="24"/>
        </w:rPr>
        <w:t>augments</w:t>
      </w:r>
      <w:r>
        <w:rPr>
          <w:rFonts w:ascii="Times New Roman" w:eastAsia="Times New Roman" w:hAnsi="Times New Roman" w:cs="Times New Roman"/>
          <w:sz w:val="24"/>
          <w:szCs w:val="24"/>
        </w:rPr>
        <w:t xml:space="preserve"> the </w:t>
      </w:r>
      <w:r w:rsidR="00F13B0C">
        <w:rPr>
          <w:rFonts w:ascii="Times New Roman" w:eastAsia="Times New Roman" w:hAnsi="Times New Roman" w:cs="Times New Roman"/>
          <w:sz w:val="24"/>
          <w:szCs w:val="24"/>
        </w:rPr>
        <w:t>project expenses</w:t>
      </w:r>
      <w:r>
        <w:rPr>
          <w:rFonts w:ascii="Times New Roman" w:eastAsia="Times New Roman" w:hAnsi="Times New Roman" w:cs="Times New Roman"/>
          <w:sz w:val="24"/>
          <w:szCs w:val="24"/>
        </w:rPr>
        <w:t xml:space="preserve"> and often results in disagreements between investors and stakeholders. Failure of the project results in project infeasibility and includes the construction process. One of the major factors that lead to delay includes misinterpretations of clients' requirements and errors in designs. However, in the case of the </w:t>
      </w:r>
      <w:proofErr w:type="spellStart"/>
      <w:r>
        <w:rPr>
          <w:rFonts w:ascii="Times New Roman" w:eastAsia="Times New Roman" w:hAnsi="Times New Roman" w:cs="Times New Roman"/>
          <w:sz w:val="24"/>
          <w:szCs w:val="24"/>
        </w:rPr>
        <w:t>Hinkley</w:t>
      </w:r>
      <w:proofErr w:type="spellEnd"/>
      <w:r>
        <w:rPr>
          <w:rFonts w:ascii="Times New Roman" w:eastAsia="Times New Roman" w:hAnsi="Times New Roman" w:cs="Times New Roman"/>
          <w:sz w:val="24"/>
          <w:szCs w:val="24"/>
        </w:rPr>
        <w:t xml:space="preserve"> Point C project, the recent pandemic and increased rate of inflation have become major causes of the project delay (</w:t>
      </w:r>
      <w:r>
        <w:rPr>
          <w:rFonts w:ascii="Times New Roman" w:eastAsia="Times New Roman" w:hAnsi="Times New Roman" w:cs="Times New Roman"/>
          <w:color w:val="222222"/>
          <w:sz w:val="24"/>
          <w:szCs w:val="24"/>
          <w:highlight w:val="white"/>
        </w:rPr>
        <w:t>Winch and Cha, 2020</w:t>
      </w:r>
      <w:r>
        <w:rPr>
          <w:rFonts w:ascii="Times New Roman" w:eastAsia="Times New Roman" w:hAnsi="Times New Roman" w:cs="Times New Roman"/>
          <w:sz w:val="24"/>
          <w:szCs w:val="24"/>
        </w:rPr>
        <w:t xml:space="preserve">). This project fails due to the lack of proper risk assessment. Improper design and ineffective Work Breakdown structure lead to failure. Thus, to keep the project ins track effective planning, monitoring and controlling are required. Without proper risk assessment practices, this project may face a major failure of budget and schedule. Thus, </w:t>
      </w:r>
      <w:proofErr w:type="spellStart"/>
      <w:r w:rsidR="00F13B0C">
        <w:rPr>
          <w:rFonts w:ascii="Times New Roman" w:eastAsia="Times New Roman" w:hAnsi="Times New Roman" w:cs="Times New Roman"/>
          <w:sz w:val="24"/>
          <w:szCs w:val="24"/>
        </w:rPr>
        <w:t>Hinkley</w:t>
      </w:r>
      <w:proofErr w:type="spellEnd"/>
      <w:r w:rsidR="00F13B0C">
        <w:rPr>
          <w:rFonts w:ascii="Times New Roman" w:eastAsia="Times New Roman" w:hAnsi="Times New Roman" w:cs="Times New Roman"/>
          <w:sz w:val="24"/>
          <w:szCs w:val="24"/>
        </w:rPr>
        <w:t xml:space="preserve"> Point C’s </w:t>
      </w:r>
      <w:r>
        <w:rPr>
          <w:rFonts w:ascii="Times New Roman" w:eastAsia="Times New Roman" w:hAnsi="Times New Roman" w:cs="Times New Roman"/>
          <w:sz w:val="24"/>
          <w:szCs w:val="24"/>
        </w:rPr>
        <w:t>project</w:t>
      </w:r>
      <w:r w:rsidR="00F13B0C">
        <w:rPr>
          <w:rFonts w:ascii="Times New Roman" w:eastAsia="Times New Roman" w:hAnsi="Times New Roman" w:cs="Times New Roman"/>
          <w:sz w:val="24"/>
          <w:szCs w:val="24"/>
        </w:rPr>
        <w:t xml:space="preserve"> manager</w:t>
      </w:r>
      <w:r>
        <w:rPr>
          <w:rFonts w:ascii="Times New Roman" w:eastAsia="Times New Roman" w:hAnsi="Times New Roman" w:cs="Times New Roman"/>
          <w:sz w:val="24"/>
          <w:szCs w:val="24"/>
        </w:rPr>
        <w:t xml:space="preserve"> needs to determine the scope of the project. In addition to this, project success also depends on the project team. Thus, the goals and scope of the project should be discussed with the team which will help to have a clear knowledge of the project's aim and objectives (</w:t>
      </w:r>
      <w:r>
        <w:rPr>
          <w:rFonts w:ascii="Times New Roman" w:eastAsia="Times New Roman" w:hAnsi="Times New Roman" w:cs="Times New Roman"/>
          <w:color w:val="222222"/>
          <w:sz w:val="24"/>
          <w:szCs w:val="24"/>
          <w:highlight w:val="white"/>
        </w:rPr>
        <w:t xml:space="preserve">Huang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 xml:space="preserve">). Lack of project management waste management, risk assessment and project monitoring skills of project management have been identified as potential pitfalls of the HPC project. Engaging a skilful project manager could help in reducing delays by monitoring project WBS and Gantt charts. Designing schedules with Gantt charts would help in reducing project ineffectiveness. </w:t>
      </w:r>
    </w:p>
    <w:p w:rsidR="009E17ED" w:rsidRDefault="00522D81" w:rsidP="00AE36F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analysis of the changes, it can be recommended to the HPC project for engaging a skilful project manager to manage the contract. It will help to have detailed monitoring against milestones from the scheduled timeline and helps to establish a safeguarding capability. An effective project manager will have a clear identification of the project issues, which will help senior decision-makers (</w:t>
      </w:r>
      <w:proofErr w:type="spellStart"/>
      <w:r>
        <w:rPr>
          <w:rFonts w:ascii="Times New Roman" w:eastAsia="Times New Roman" w:hAnsi="Times New Roman" w:cs="Times New Roman"/>
          <w:color w:val="222222"/>
          <w:sz w:val="24"/>
          <w:szCs w:val="24"/>
          <w:highlight w:val="white"/>
        </w:rPr>
        <w:t>Kabeyi</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On the other hand, </w:t>
      </w:r>
      <w:r>
        <w:rPr>
          <w:rFonts w:ascii="Times New Roman" w:eastAsia="Times New Roman" w:hAnsi="Times New Roman" w:cs="Times New Roman"/>
          <w:b/>
          <w:i/>
          <w:sz w:val="24"/>
          <w:szCs w:val="24"/>
        </w:rPr>
        <w:t>Gantt Charts</w:t>
      </w:r>
      <w:r>
        <w:rPr>
          <w:rFonts w:ascii="Times New Roman" w:eastAsia="Times New Roman" w:hAnsi="Times New Roman" w:cs="Times New Roman"/>
          <w:sz w:val="24"/>
          <w:szCs w:val="24"/>
        </w:rPr>
        <w:t xml:space="preserve"> are useful as a project management tool, which helps in the planning and scheduling of a project. This tool would help in determining helpful resources to complete the project within the scheduled time. The skill of project management designing Gantt charts and managing dependencies between tasks will help to improve the scheduling of HPC projects. The use of resource-utilizing charts may also help to ensure the availability of employees and resources for the completion of the HPC project. </w:t>
      </w:r>
    </w:p>
    <w:p w:rsidR="009E17ED" w:rsidRDefault="00522D81" w:rsidP="00AE36F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has been recommended to the HPC project to ensure timing and cost implications while decision-making. Alternative approaches may use for reducing the time for completion of the project. A review of </w:t>
      </w:r>
      <w:r>
        <w:rPr>
          <w:rFonts w:ascii="Times New Roman" w:eastAsia="Times New Roman" w:hAnsi="Times New Roman" w:cs="Times New Roman"/>
          <w:b/>
          <w:i/>
          <w:sz w:val="24"/>
          <w:szCs w:val="24"/>
        </w:rPr>
        <w:t>“WBS or Work breakdown structure”</w:t>
      </w:r>
      <w:r>
        <w:rPr>
          <w:rFonts w:ascii="Times New Roman" w:eastAsia="Times New Roman" w:hAnsi="Times New Roman" w:cs="Times New Roman"/>
          <w:sz w:val="24"/>
          <w:szCs w:val="24"/>
        </w:rPr>
        <w:t xml:space="preserve"> may help in the indication of major loopholes in the project planning (</w:t>
      </w:r>
      <w:r>
        <w:rPr>
          <w:rFonts w:ascii="Times New Roman" w:eastAsia="Times New Roman" w:hAnsi="Times New Roman" w:cs="Times New Roman"/>
          <w:color w:val="222222"/>
          <w:sz w:val="24"/>
          <w:szCs w:val="24"/>
          <w:highlight w:val="white"/>
        </w:rPr>
        <w:t xml:space="preserve">Keegan and Den </w:t>
      </w:r>
      <w:proofErr w:type="spellStart"/>
      <w:r>
        <w:rPr>
          <w:rFonts w:ascii="Times New Roman" w:eastAsia="Times New Roman" w:hAnsi="Times New Roman" w:cs="Times New Roman"/>
          <w:color w:val="222222"/>
          <w:sz w:val="24"/>
          <w:szCs w:val="24"/>
          <w:highlight w:val="white"/>
        </w:rPr>
        <w:t>Hartog</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Alternating predecessors may help to reduce the project time. There are several alternatives, which can reduce the time and cost of a project. Hiring third parties to transport construction materials may help to save employee hours and shipping costs. Furthermore, On-demand delivery may help to save time for raw material delivery. </w:t>
      </w:r>
    </w:p>
    <w:p w:rsidR="009E17ED" w:rsidRDefault="00522D81" w:rsidP="00AE36F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Implementation of a </w:t>
      </w:r>
      <w:r>
        <w:rPr>
          <w:rFonts w:ascii="Times New Roman" w:eastAsia="Times New Roman" w:hAnsi="Times New Roman" w:cs="Times New Roman"/>
          <w:b/>
          <w:i/>
          <w:sz w:val="24"/>
          <w:szCs w:val="24"/>
        </w:rPr>
        <w:t>project waste management strategy</w:t>
      </w:r>
      <w:r>
        <w:rPr>
          <w:rFonts w:ascii="Times New Roman" w:eastAsia="Times New Roman" w:hAnsi="Times New Roman" w:cs="Times New Roman"/>
          <w:sz w:val="24"/>
          <w:szCs w:val="24"/>
        </w:rPr>
        <w:t xml:space="preserve"> has been recommended for the HPC project as it helps to save money by reducing construction wastage. It helps to maximise the use of resources, tools, wood, cables, pipes and other necessary items for the project. Reducing waste may also help to increase environmental awareness and reduce the negative impact on society (</w:t>
      </w:r>
      <w:proofErr w:type="spellStart"/>
      <w:r>
        <w:rPr>
          <w:rFonts w:ascii="Times New Roman" w:eastAsia="Times New Roman" w:hAnsi="Times New Roman" w:cs="Times New Roman"/>
          <w:color w:val="222222"/>
          <w:sz w:val="24"/>
          <w:szCs w:val="24"/>
          <w:highlight w:val="white"/>
        </w:rPr>
        <w:t>Anwer</w:t>
      </w:r>
      <w:proofErr w:type="spellEnd"/>
      <w:r>
        <w:rPr>
          <w:rFonts w:ascii="Times New Roman" w:eastAsia="Times New Roman" w:hAnsi="Times New Roman" w:cs="Times New Roman"/>
          <w:color w:val="222222"/>
          <w:sz w:val="24"/>
          <w:szCs w:val="24"/>
          <w:highlight w:val="white"/>
        </w:rPr>
        <w:t xml:space="preserve"> et. al., 2019</w:t>
      </w:r>
      <w:r>
        <w:rPr>
          <w:rFonts w:ascii="Times New Roman" w:eastAsia="Times New Roman" w:hAnsi="Times New Roman" w:cs="Times New Roman"/>
          <w:sz w:val="24"/>
          <w:szCs w:val="24"/>
        </w:rPr>
        <w:t xml:space="preserve">). Increasing awareness of the project may help to engage more stakeholders along with increasing reputations. On the other </w:t>
      </w:r>
      <w:proofErr w:type="spellStart"/>
      <w:r w:rsidR="005C5915">
        <w:rPr>
          <w:rFonts w:ascii="Times New Roman" w:eastAsia="Times New Roman" w:hAnsi="Times New Roman" w:cs="Times New Roman"/>
          <w:sz w:val="24"/>
          <w:szCs w:val="24"/>
        </w:rPr>
        <w:t>hand,</w:t>
      </w:r>
      <w:r>
        <w:rPr>
          <w:rFonts w:ascii="Times New Roman" w:eastAsia="Times New Roman" w:hAnsi="Times New Roman" w:cs="Times New Roman"/>
          <w:b/>
          <w:i/>
          <w:sz w:val="24"/>
          <w:szCs w:val="24"/>
        </w:rPr>
        <w:t>the</w:t>
      </w:r>
      <w:proofErr w:type="spellEnd"/>
      <w:r>
        <w:rPr>
          <w:rFonts w:ascii="Times New Roman" w:eastAsia="Times New Roman" w:hAnsi="Times New Roman" w:cs="Times New Roman"/>
          <w:b/>
          <w:i/>
          <w:sz w:val="24"/>
          <w:szCs w:val="24"/>
        </w:rPr>
        <w:t xml:space="preserve"> implementation of risk assessment tools </w:t>
      </w:r>
      <w:r>
        <w:rPr>
          <w:rFonts w:ascii="Times New Roman" w:eastAsia="Times New Roman" w:hAnsi="Times New Roman" w:cs="Times New Roman"/>
          <w:sz w:val="24"/>
          <w:szCs w:val="24"/>
        </w:rPr>
        <w:t xml:space="preserve">has been recommended that help to identify risk based on attitude, experience, viewpoints and probabilities. Project risks refer to the uncertain events that can impact negatively the project objectives, scope, schedule, quality and cost of the project. Thus, project risk assessment tools can be effective in reducing the impact of the risk from project schedule, cost, scope, objectives and quality. This strategy can be effective in determining overall risk with the severity of the risk. </w:t>
      </w:r>
    </w:p>
    <w:p w:rsidR="009E17ED" w:rsidRDefault="00522D81" w:rsidP="00AE36F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concluded that a successful project must need to complete within the initial budget and time. Due to missing several deadlines and increasing the cost of the project, the </w:t>
      </w:r>
      <w:proofErr w:type="spellStart"/>
      <w:r>
        <w:rPr>
          <w:rFonts w:ascii="Times New Roman" w:eastAsia="Times New Roman" w:hAnsi="Times New Roman" w:cs="Times New Roman"/>
          <w:sz w:val="24"/>
          <w:szCs w:val="24"/>
        </w:rPr>
        <w:t>Hinkley</w:t>
      </w:r>
      <w:proofErr w:type="spellEnd"/>
      <w:r>
        <w:rPr>
          <w:rFonts w:ascii="Times New Roman" w:eastAsia="Times New Roman" w:hAnsi="Times New Roman" w:cs="Times New Roman"/>
          <w:sz w:val="24"/>
          <w:szCs w:val="24"/>
        </w:rPr>
        <w:t xml:space="preserve"> Point C project can be considered a failed project. However, the recent pandemic and increased rate of inflation are the major reason behind the failure. According to the project management theory, delay in projects leads to various complications including cost overruns, disagreements among the stakeholders, damaged relationships with third parties </w:t>
      </w:r>
      <w:r w:rsidR="005C5915">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impacts on the company’s reputation. </w:t>
      </w:r>
      <w:r w:rsidR="005C5915">
        <w:rPr>
          <w:rFonts w:ascii="Times New Roman" w:eastAsia="Times New Roman" w:hAnsi="Times New Roman" w:cs="Times New Roman"/>
          <w:sz w:val="24"/>
          <w:szCs w:val="24"/>
        </w:rPr>
        <w:t>Delay</w:t>
      </w:r>
      <w:r>
        <w:rPr>
          <w:rFonts w:ascii="Times New Roman" w:eastAsia="Times New Roman" w:hAnsi="Times New Roman" w:cs="Times New Roman"/>
          <w:sz w:val="24"/>
          <w:szCs w:val="24"/>
        </w:rPr>
        <w:t xml:space="preserve">s in the project can lead to the collapse of the entire project and project failure. Thus, project risk management </w:t>
      </w:r>
      <w:r w:rsidR="00F13B0C">
        <w:rPr>
          <w:rFonts w:ascii="Times New Roman" w:eastAsia="Times New Roman" w:hAnsi="Times New Roman" w:cs="Times New Roman"/>
          <w:sz w:val="24"/>
          <w:szCs w:val="24"/>
        </w:rPr>
        <w:t>impacts highly</w:t>
      </w:r>
      <w:r>
        <w:rPr>
          <w:rFonts w:ascii="Times New Roman" w:eastAsia="Times New Roman" w:hAnsi="Times New Roman" w:cs="Times New Roman"/>
          <w:sz w:val="24"/>
          <w:szCs w:val="24"/>
        </w:rPr>
        <w:t xml:space="preserve"> in dealing with the uncertain challenges of pandemics and inflations. This involves the identification of critical functions, equipment and workers. This may involve the identification of specific aspects for reducing risk espousing and supporting social distancing to reduce unnecessary cash expenses. </w:t>
      </w:r>
    </w:p>
    <w:p w:rsidR="00471019" w:rsidRDefault="00471019">
      <w:pPr>
        <w:rPr>
          <w:rFonts w:ascii="Times New Roman" w:hAnsi="Times New Roman"/>
          <w:b/>
          <w:sz w:val="28"/>
          <w:szCs w:val="40"/>
        </w:rPr>
      </w:pPr>
      <w:r>
        <w:br w:type="page"/>
      </w:r>
    </w:p>
    <w:p w:rsidR="00AE36F5" w:rsidRPr="002A5FB8" w:rsidRDefault="00522D81" w:rsidP="00F812B2">
      <w:pPr>
        <w:pStyle w:val="Heading1"/>
      </w:pPr>
      <w:r w:rsidRPr="002A5FB8">
        <w:t>References</w:t>
      </w:r>
    </w:p>
    <w:p w:rsidR="00F812B2" w:rsidRDefault="00F812B2" w:rsidP="00AE36F5">
      <w:pPr>
        <w:spacing w:line="480" w:lineRule="auto"/>
        <w:jc w:val="both"/>
        <w:rPr>
          <w:rFonts w:ascii="Times New Roman" w:hAnsi="Times New Roman" w:cs="Times New Roman"/>
          <w:color w:val="222222"/>
          <w:sz w:val="24"/>
          <w:szCs w:val="24"/>
          <w:shd w:val="clear" w:color="auto" w:fill="FFFFFF"/>
        </w:rPr>
      </w:pPr>
      <w:r w:rsidRPr="002A5FB8">
        <w:rPr>
          <w:rFonts w:ascii="Times New Roman" w:hAnsi="Times New Roman" w:cs="Times New Roman"/>
          <w:color w:val="222222"/>
          <w:sz w:val="24"/>
          <w:szCs w:val="24"/>
          <w:shd w:val="clear" w:color="auto" w:fill="FFFFFF"/>
        </w:rPr>
        <w:t xml:space="preserve">Alberto, I., 2019. A Critical Analysis of the Wind Generated Effect on the Rate of Overtopping on the </w:t>
      </w:r>
      <w:proofErr w:type="spellStart"/>
      <w:r w:rsidRPr="002A5FB8">
        <w:rPr>
          <w:rFonts w:ascii="Times New Roman" w:hAnsi="Times New Roman" w:cs="Times New Roman"/>
          <w:color w:val="222222"/>
          <w:sz w:val="24"/>
          <w:szCs w:val="24"/>
          <w:shd w:val="clear" w:color="auto" w:fill="FFFFFF"/>
        </w:rPr>
        <w:t>Hinkley</w:t>
      </w:r>
      <w:proofErr w:type="spellEnd"/>
      <w:r w:rsidRPr="002A5FB8">
        <w:rPr>
          <w:rFonts w:ascii="Times New Roman" w:hAnsi="Times New Roman" w:cs="Times New Roman"/>
          <w:color w:val="222222"/>
          <w:sz w:val="24"/>
          <w:szCs w:val="24"/>
          <w:shd w:val="clear" w:color="auto" w:fill="FFFFFF"/>
        </w:rPr>
        <w:t xml:space="preserve"> Point C Sea Wall Through the use of Physical Modelling.</w:t>
      </w:r>
    </w:p>
    <w:p w:rsidR="00F812B2" w:rsidRPr="002A5FB8" w:rsidRDefault="00F812B2" w:rsidP="00AE36F5">
      <w:pPr>
        <w:spacing w:line="480" w:lineRule="auto"/>
        <w:jc w:val="both"/>
        <w:rPr>
          <w:rFonts w:ascii="Times New Roman" w:hAnsi="Times New Roman" w:cs="Times New Roman"/>
          <w:color w:val="222222"/>
          <w:sz w:val="24"/>
          <w:szCs w:val="24"/>
          <w:shd w:val="clear" w:color="auto" w:fill="FFFFFF"/>
        </w:rPr>
      </w:pPr>
      <w:proofErr w:type="spellStart"/>
      <w:r w:rsidRPr="002A5FB8">
        <w:rPr>
          <w:rFonts w:ascii="Times New Roman" w:hAnsi="Times New Roman" w:cs="Times New Roman"/>
          <w:color w:val="222222"/>
          <w:sz w:val="24"/>
          <w:szCs w:val="24"/>
          <w:shd w:val="clear" w:color="auto" w:fill="FFFFFF"/>
        </w:rPr>
        <w:t>Anwer</w:t>
      </w:r>
      <w:proofErr w:type="spellEnd"/>
      <w:r w:rsidRPr="002A5FB8">
        <w:rPr>
          <w:rFonts w:ascii="Times New Roman" w:hAnsi="Times New Roman" w:cs="Times New Roman"/>
          <w:color w:val="222222"/>
          <w:sz w:val="24"/>
          <w:szCs w:val="24"/>
          <w:shd w:val="clear" w:color="auto" w:fill="FFFFFF"/>
        </w:rPr>
        <w:t>, S., Wen, L., Wang, Z. and Mahmood, S., 2019. Comparative analysis of requirement change management challenges between in-house and global software development: Findings of literature and industry survey. </w:t>
      </w:r>
      <w:r w:rsidRPr="002A5FB8">
        <w:rPr>
          <w:rFonts w:ascii="Times New Roman" w:hAnsi="Times New Roman" w:cs="Times New Roman"/>
          <w:i/>
          <w:iCs/>
          <w:color w:val="222222"/>
          <w:sz w:val="24"/>
          <w:szCs w:val="24"/>
          <w:shd w:val="clear" w:color="auto" w:fill="FFFFFF"/>
        </w:rPr>
        <w:t>IEEE Access</w:t>
      </w:r>
      <w:r w:rsidRPr="002A5FB8">
        <w:rPr>
          <w:rFonts w:ascii="Times New Roman" w:hAnsi="Times New Roman" w:cs="Times New Roman"/>
          <w:color w:val="222222"/>
          <w:sz w:val="24"/>
          <w:szCs w:val="24"/>
          <w:shd w:val="clear" w:color="auto" w:fill="FFFFFF"/>
        </w:rPr>
        <w:t>, </w:t>
      </w:r>
      <w:r w:rsidRPr="002A5FB8">
        <w:rPr>
          <w:rFonts w:ascii="Times New Roman" w:hAnsi="Times New Roman" w:cs="Times New Roman"/>
          <w:i/>
          <w:iCs/>
          <w:color w:val="222222"/>
          <w:sz w:val="24"/>
          <w:szCs w:val="24"/>
          <w:shd w:val="clear" w:color="auto" w:fill="FFFFFF"/>
        </w:rPr>
        <w:t>7</w:t>
      </w:r>
      <w:r w:rsidRPr="002A5FB8">
        <w:rPr>
          <w:rFonts w:ascii="Times New Roman" w:hAnsi="Times New Roman" w:cs="Times New Roman"/>
          <w:color w:val="222222"/>
          <w:sz w:val="24"/>
          <w:szCs w:val="24"/>
          <w:shd w:val="clear" w:color="auto" w:fill="FFFFFF"/>
        </w:rPr>
        <w:t>, pp.116585-116611.</w:t>
      </w:r>
    </w:p>
    <w:p w:rsidR="00F812B2" w:rsidRPr="002A5FB8" w:rsidRDefault="00F812B2" w:rsidP="00AE36F5">
      <w:pPr>
        <w:spacing w:line="480" w:lineRule="auto"/>
        <w:jc w:val="both"/>
        <w:rPr>
          <w:rFonts w:ascii="Times New Roman" w:hAnsi="Times New Roman" w:cs="Times New Roman"/>
          <w:color w:val="222222"/>
          <w:sz w:val="24"/>
          <w:szCs w:val="24"/>
          <w:shd w:val="clear" w:color="auto" w:fill="FFFFFF"/>
        </w:rPr>
      </w:pPr>
      <w:r w:rsidRPr="002A5FB8">
        <w:rPr>
          <w:rFonts w:ascii="Times New Roman" w:hAnsi="Times New Roman" w:cs="Times New Roman"/>
          <w:color w:val="222222"/>
          <w:sz w:val="24"/>
          <w:szCs w:val="24"/>
          <w:shd w:val="clear" w:color="auto" w:fill="FFFFFF"/>
        </w:rPr>
        <w:t xml:space="preserve">Butcher, A., Stork, A.L., Verdon, J.P., Kendall, J.M., </w:t>
      </w:r>
      <w:proofErr w:type="spellStart"/>
      <w:r w:rsidRPr="002A5FB8">
        <w:rPr>
          <w:rFonts w:ascii="Times New Roman" w:hAnsi="Times New Roman" w:cs="Times New Roman"/>
          <w:color w:val="222222"/>
          <w:sz w:val="24"/>
          <w:szCs w:val="24"/>
          <w:shd w:val="clear" w:color="auto" w:fill="FFFFFF"/>
        </w:rPr>
        <w:t>Plenkers</w:t>
      </w:r>
      <w:proofErr w:type="spellEnd"/>
      <w:r w:rsidRPr="002A5FB8">
        <w:rPr>
          <w:rFonts w:ascii="Times New Roman" w:hAnsi="Times New Roman" w:cs="Times New Roman"/>
          <w:color w:val="222222"/>
          <w:sz w:val="24"/>
          <w:szCs w:val="24"/>
          <w:shd w:val="clear" w:color="auto" w:fill="FFFFFF"/>
        </w:rPr>
        <w:t xml:space="preserve">, K., Booth, F., </w:t>
      </w:r>
      <w:proofErr w:type="spellStart"/>
      <w:r w:rsidRPr="002A5FB8">
        <w:rPr>
          <w:rFonts w:ascii="Times New Roman" w:hAnsi="Times New Roman" w:cs="Times New Roman"/>
          <w:color w:val="222222"/>
          <w:sz w:val="24"/>
          <w:szCs w:val="24"/>
          <w:shd w:val="clear" w:color="auto" w:fill="FFFFFF"/>
        </w:rPr>
        <w:t>Boneham</w:t>
      </w:r>
      <w:proofErr w:type="spellEnd"/>
      <w:r w:rsidRPr="002A5FB8">
        <w:rPr>
          <w:rFonts w:ascii="Times New Roman" w:hAnsi="Times New Roman" w:cs="Times New Roman"/>
          <w:color w:val="222222"/>
          <w:sz w:val="24"/>
          <w:szCs w:val="24"/>
          <w:shd w:val="clear" w:color="auto" w:fill="FFFFFF"/>
        </w:rPr>
        <w:t xml:space="preserve">, M. and </w:t>
      </w:r>
      <w:proofErr w:type="spellStart"/>
      <w:r w:rsidRPr="002A5FB8">
        <w:rPr>
          <w:rFonts w:ascii="Times New Roman" w:hAnsi="Times New Roman" w:cs="Times New Roman"/>
          <w:color w:val="222222"/>
          <w:sz w:val="24"/>
          <w:szCs w:val="24"/>
          <w:shd w:val="clear" w:color="auto" w:fill="FFFFFF"/>
        </w:rPr>
        <w:t>Koe</w:t>
      </w:r>
      <w:proofErr w:type="spellEnd"/>
      <w:r w:rsidRPr="002A5FB8">
        <w:rPr>
          <w:rFonts w:ascii="Times New Roman" w:hAnsi="Times New Roman" w:cs="Times New Roman"/>
          <w:color w:val="222222"/>
          <w:sz w:val="24"/>
          <w:szCs w:val="24"/>
          <w:shd w:val="clear" w:color="auto" w:fill="FFFFFF"/>
        </w:rPr>
        <w:t xml:space="preserve">, A., 2021. Evaluating rock mass disturbance within open-pit excavations using seismic methods: A case study from the </w:t>
      </w:r>
      <w:proofErr w:type="spellStart"/>
      <w:r w:rsidRPr="002A5FB8">
        <w:rPr>
          <w:rFonts w:ascii="Times New Roman" w:hAnsi="Times New Roman" w:cs="Times New Roman"/>
          <w:color w:val="222222"/>
          <w:sz w:val="24"/>
          <w:szCs w:val="24"/>
          <w:shd w:val="clear" w:color="auto" w:fill="FFFFFF"/>
        </w:rPr>
        <w:t>Hinkley</w:t>
      </w:r>
      <w:proofErr w:type="spellEnd"/>
      <w:r w:rsidRPr="002A5FB8">
        <w:rPr>
          <w:rFonts w:ascii="Times New Roman" w:hAnsi="Times New Roman" w:cs="Times New Roman"/>
          <w:color w:val="222222"/>
          <w:sz w:val="24"/>
          <w:szCs w:val="24"/>
          <w:shd w:val="clear" w:color="auto" w:fill="FFFFFF"/>
        </w:rPr>
        <w:t xml:space="preserve"> Point C nuclear power station. </w:t>
      </w:r>
      <w:r w:rsidRPr="002A5FB8">
        <w:rPr>
          <w:rFonts w:ascii="Times New Roman" w:hAnsi="Times New Roman" w:cs="Times New Roman"/>
          <w:i/>
          <w:iCs/>
          <w:color w:val="222222"/>
          <w:sz w:val="24"/>
          <w:szCs w:val="24"/>
          <w:shd w:val="clear" w:color="auto" w:fill="FFFFFF"/>
        </w:rPr>
        <w:t>Journal of Rock Mechanics and Geotechnical Engineering</w:t>
      </w:r>
      <w:r w:rsidRPr="002A5FB8">
        <w:rPr>
          <w:rFonts w:ascii="Times New Roman" w:hAnsi="Times New Roman" w:cs="Times New Roman"/>
          <w:color w:val="222222"/>
          <w:sz w:val="24"/>
          <w:szCs w:val="24"/>
          <w:shd w:val="clear" w:color="auto" w:fill="FFFFFF"/>
        </w:rPr>
        <w:t>, </w:t>
      </w:r>
      <w:r w:rsidRPr="002A5FB8">
        <w:rPr>
          <w:rFonts w:ascii="Times New Roman" w:hAnsi="Times New Roman" w:cs="Times New Roman"/>
          <w:i/>
          <w:iCs/>
          <w:color w:val="222222"/>
          <w:sz w:val="24"/>
          <w:szCs w:val="24"/>
          <w:shd w:val="clear" w:color="auto" w:fill="FFFFFF"/>
        </w:rPr>
        <w:t>13</w:t>
      </w:r>
      <w:r w:rsidRPr="002A5FB8">
        <w:rPr>
          <w:rFonts w:ascii="Times New Roman" w:hAnsi="Times New Roman" w:cs="Times New Roman"/>
          <w:color w:val="222222"/>
          <w:sz w:val="24"/>
          <w:szCs w:val="24"/>
          <w:shd w:val="clear" w:color="auto" w:fill="FFFFFF"/>
        </w:rPr>
        <w:t>(3), pp.500-512.</w:t>
      </w:r>
    </w:p>
    <w:p w:rsidR="00F812B2" w:rsidRPr="002A5FB8" w:rsidRDefault="00F812B2" w:rsidP="00AE36F5">
      <w:pPr>
        <w:spacing w:line="480" w:lineRule="auto"/>
        <w:jc w:val="both"/>
        <w:rPr>
          <w:rFonts w:ascii="Times New Roman" w:hAnsi="Times New Roman" w:cs="Times New Roman"/>
          <w:color w:val="222222"/>
          <w:sz w:val="24"/>
          <w:szCs w:val="24"/>
          <w:shd w:val="clear" w:color="auto" w:fill="FFFFFF"/>
        </w:rPr>
      </w:pPr>
      <w:r w:rsidRPr="002A5FB8">
        <w:rPr>
          <w:rFonts w:ascii="Times New Roman" w:hAnsi="Times New Roman" w:cs="Times New Roman"/>
          <w:color w:val="222222"/>
          <w:sz w:val="24"/>
          <w:szCs w:val="24"/>
          <w:shd w:val="clear" w:color="auto" w:fill="FFFFFF"/>
        </w:rPr>
        <w:t xml:space="preserve">Carpenter, A. and Energy, M.N., 2019. Investigating surface deformation surrounding </w:t>
      </w:r>
      <w:proofErr w:type="spellStart"/>
      <w:r w:rsidRPr="002A5FB8">
        <w:rPr>
          <w:rFonts w:ascii="Times New Roman" w:hAnsi="Times New Roman" w:cs="Times New Roman"/>
          <w:color w:val="222222"/>
          <w:sz w:val="24"/>
          <w:szCs w:val="24"/>
          <w:shd w:val="clear" w:color="auto" w:fill="FFFFFF"/>
        </w:rPr>
        <w:t>Hinkley</w:t>
      </w:r>
      <w:proofErr w:type="spellEnd"/>
      <w:r w:rsidRPr="002A5FB8">
        <w:rPr>
          <w:rFonts w:ascii="Times New Roman" w:hAnsi="Times New Roman" w:cs="Times New Roman"/>
          <w:color w:val="222222"/>
          <w:sz w:val="24"/>
          <w:szCs w:val="24"/>
          <w:shd w:val="clear" w:color="auto" w:fill="FFFFFF"/>
        </w:rPr>
        <w:t xml:space="preserve"> Point C using </w:t>
      </w:r>
      <w:proofErr w:type="spellStart"/>
      <w:r w:rsidRPr="002A5FB8">
        <w:rPr>
          <w:rFonts w:ascii="Times New Roman" w:hAnsi="Times New Roman" w:cs="Times New Roman"/>
          <w:color w:val="222222"/>
          <w:sz w:val="24"/>
          <w:szCs w:val="24"/>
          <w:shd w:val="clear" w:color="auto" w:fill="FFFFFF"/>
        </w:rPr>
        <w:t>InSAR</w:t>
      </w:r>
      <w:proofErr w:type="spellEnd"/>
      <w:r w:rsidRPr="002A5FB8">
        <w:rPr>
          <w:rFonts w:ascii="Times New Roman" w:hAnsi="Times New Roman" w:cs="Times New Roman"/>
          <w:color w:val="222222"/>
          <w:sz w:val="24"/>
          <w:szCs w:val="24"/>
          <w:shd w:val="clear" w:color="auto" w:fill="FFFFFF"/>
        </w:rPr>
        <w:t>.</w:t>
      </w:r>
    </w:p>
    <w:p w:rsidR="00F812B2" w:rsidRPr="002A5FB8" w:rsidRDefault="00F812B2" w:rsidP="00AE36F5">
      <w:pPr>
        <w:spacing w:line="480" w:lineRule="auto"/>
        <w:jc w:val="both"/>
        <w:rPr>
          <w:rFonts w:ascii="Times New Roman" w:hAnsi="Times New Roman" w:cs="Times New Roman"/>
          <w:color w:val="222222"/>
          <w:sz w:val="24"/>
          <w:szCs w:val="24"/>
          <w:shd w:val="clear" w:color="auto" w:fill="FFFFFF"/>
        </w:rPr>
      </w:pPr>
      <w:r w:rsidRPr="002A5FB8">
        <w:rPr>
          <w:rFonts w:ascii="Times New Roman" w:hAnsi="Times New Roman" w:cs="Times New Roman"/>
          <w:color w:val="222222"/>
          <w:sz w:val="24"/>
          <w:szCs w:val="24"/>
          <w:shd w:val="clear" w:color="auto" w:fill="FFFFFF"/>
        </w:rPr>
        <w:t xml:space="preserve">Castor, J., Bacha, K. and </w:t>
      </w:r>
      <w:proofErr w:type="spellStart"/>
      <w:r w:rsidRPr="002A5FB8">
        <w:rPr>
          <w:rFonts w:ascii="Times New Roman" w:hAnsi="Times New Roman" w:cs="Times New Roman"/>
          <w:color w:val="222222"/>
          <w:sz w:val="24"/>
          <w:szCs w:val="24"/>
          <w:shd w:val="clear" w:color="auto" w:fill="FFFFFF"/>
        </w:rPr>
        <w:t>Nerini</w:t>
      </w:r>
      <w:proofErr w:type="spellEnd"/>
      <w:r w:rsidRPr="002A5FB8">
        <w:rPr>
          <w:rFonts w:ascii="Times New Roman" w:hAnsi="Times New Roman" w:cs="Times New Roman"/>
          <w:color w:val="222222"/>
          <w:sz w:val="24"/>
          <w:szCs w:val="24"/>
          <w:shd w:val="clear" w:color="auto" w:fill="FFFFFF"/>
        </w:rPr>
        <w:t>, F.F., 2020. SDGs in action: A novel framework for assessing energy projects against the sustainable development goals. </w:t>
      </w:r>
      <w:r w:rsidRPr="002A5FB8">
        <w:rPr>
          <w:rFonts w:ascii="Times New Roman" w:hAnsi="Times New Roman" w:cs="Times New Roman"/>
          <w:i/>
          <w:iCs/>
          <w:color w:val="222222"/>
          <w:sz w:val="24"/>
          <w:szCs w:val="24"/>
          <w:shd w:val="clear" w:color="auto" w:fill="FFFFFF"/>
        </w:rPr>
        <w:t>Energy Research &amp; Social Science</w:t>
      </w:r>
      <w:r w:rsidRPr="002A5FB8">
        <w:rPr>
          <w:rFonts w:ascii="Times New Roman" w:hAnsi="Times New Roman" w:cs="Times New Roman"/>
          <w:color w:val="222222"/>
          <w:sz w:val="24"/>
          <w:szCs w:val="24"/>
          <w:shd w:val="clear" w:color="auto" w:fill="FFFFFF"/>
        </w:rPr>
        <w:t>, </w:t>
      </w:r>
      <w:r w:rsidRPr="002A5FB8">
        <w:rPr>
          <w:rFonts w:ascii="Times New Roman" w:hAnsi="Times New Roman" w:cs="Times New Roman"/>
          <w:i/>
          <w:iCs/>
          <w:color w:val="222222"/>
          <w:sz w:val="24"/>
          <w:szCs w:val="24"/>
          <w:shd w:val="clear" w:color="auto" w:fill="FFFFFF"/>
        </w:rPr>
        <w:t>68</w:t>
      </w:r>
      <w:r w:rsidRPr="002A5FB8">
        <w:rPr>
          <w:rFonts w:ascii="Times New Roman" w:hAnsi="Times New Roman" w:cs="Times New Roman"/>
          <w:color w:val="222222"/>
          <w:sz w:val="24"/>
          <w:szCs w:val="24"/>
          <w:shd w:val="clear" w:color="auto" w:fill="FFFFFF"/>
        </w:rPr>
        <w:t>, p.101556.</w:t>
      </w:r>
    </w:p>
    <w:p w:rsidR="00F812B2" w:rsidRPr="002A5FB8" w:rsidRDefault="00F812B2" w:rsidP="00AE36F5">
      <w:pPr>
        <w:spacing w:line="480" w:lineRule="auto"/>
        <w:jc w:val="both"/>
        <w:rPr>
          <w:rFonts w:ascii="Times New Roman" w:hAnsi="Times New Roman" w:cs="Times New Roman"/>
          <w:sz w:val="24"/>
          <w:szCs w:val="24"/>
        </w:rPr>
      </w:pPr>
      <w:r w:rsidRPr="002A5FB8">
        <w:rPr>
          <w:rFonts w:ascii="Times New Roman" w:hAnsi="Times New Roman" w:cs="Times New Roman"/>
          <w:sz w:val="24"/>
          <w:szCs w:val="24"/>
        </w:rPr>
        <w:t xml:space="preserve">Constructionnews.co.uk, 2023 </w:t>
      </w:r>
      <w:proofErr w:type="spellStart"/>
      <w:r w:rsidRPr="002A5FB8">
        <w:rPr>
          <w:rFonts w:ascii="Times New Roman" w:hAnsi="Times New Roman" w:cs="Times New Roman"/>
          <w:i/>
          <w:iCs/>
          <w:color w:val="000000"/>
          <w:sz w:val="24"/>
          <w:szCs w:val="24"/>
        </w:rPr>
        <w:t>Hinkley</w:t>
      </w:r>
      <w:proofErr w:type="spellEnd"/>
      <w:r w:rsidRPr="002A5FB8">
        <w:rPr>
          <w:rFonts w:ascii="Times New Roman" w:hAnsi="Times New Roman" w:cs="Times New Roman"/>
          <w:i/>
          <w:iCs/>
          <w:color w:val="000000"/>
          <w:sz w:val="24"/>
          <w:szCs w:val="24"/>
        </w:rPr>
        <w:t xml:space="preserve"> Point C project</w:t>
      </w:r>
      <w:r w:rsidRPr="002A5FB8">
        <w:rPr>
          <w:rFonts w:ascii="Times New Roman" w:hAnsi="Times New Roman" w:cs="Times New Roman"/>
          <w:color w:val="000000"/>
          <w:sz w:val="24"/>
          <w:szCs w:val="24"/>
        </w:rPr>
        <w:t xml:space="preserve"> [online] Available </w:t>
      </w:r>
      <w:proofErr w:type="spellStart"/>
      <w:r w:rsidRPr="002A5FB8">
        <w:rPr>
          <w:rFonts w:ascii="Times New Roman" w:hAnsi="Times New Roman" w:cs="Times New Roman"/>
          <w:color w:val="000000"/>
          <w:sz w:val="24"/>
          <w:szCs w:val="24"/>
        </w:rPr>
        <w:t>at:https</w:t>
      </w:r>
      <w:proofErr w:type="spellEnd"/>
      <w:r w:rsidRPr="002A5FB8">
        <w:rPr>
          <w:rFonts w:ascii="Times New Roman" w:hAnsi="Times New Roman" w:cs="Times New Roman"/>
          <w:color w:val="000000"/>
          <w:sz w:val="24"/>
          <w:szCs w:val="24"/>
        </w:rPr>
        <w:t>://www.constructionnews.co.uk/ [Accessed on 4</w:t>
      </w:r>
      <w:r w:rsidRPr="002A5FB8">
        <w:rPr>
          <w:rFonts w:ascii="Times New Roman" w:hAnsi="Times New Roman" w:cs="Times New Roman"/>
          <w:color w:val="000000"/>
          <w:sz w:val="24"/>
          <w:szCs w:val="24"/>
          <w:vertAlign w:val="superscript"/>
        </w:rPr>
        <w:t>th</w:t>
      </w:r>
      <w:r w:rsidRPr="002A5FB8">
        <w:rPr>
          <w:rFonts w:ascii="Times New Roman" w:hAnsi="Times New Roman" w:cs="Times New Roman"/>
          <w:color w:val="000000"/>
          <w:sz w:val="24"/>
          <w:szCs w:val="24"/>
        </w:rPr>
        <w:t xml:space="preserve"> March 2023]</w:t>
      </w:r>
    </w:p>
    <w:p w:rsidR="00F812B2" w:rsidRPr="002A5FB8" w:rsidRDefault="00F812B2" w:rsidP="00AE36F5">
      <w:pPr>
        <w:spacing w:line="480" w:lineRule="auto"/>
        <w:jc w:val="both"/>
        <w:rPr>
          <w:rFonts w:ascii="Times New Roman" w:hAnsi="Times New Roman" w:cs="Times New Roman"/>
          <w:color w:val="222222"/>
          <w:sz w:val="24"/>
          <w:szCs w:val="24"/>
          <w:shd w:val="clear" w:color="auto" w:fill="FFFFFF"/>
        </w:rPr>
      </w:pPr>
      <w:r w:rsidRPr="002A5FB8">
        <w:rPr>
          <w:rFonts w:ascii="Times New Roman" w:hAnsi="Times New Roman" w:cs="Times New Roman"/>
          <w:color w:val="222222"/>
          <w:sz w:val="24"/>
          <w:szCs w:val="24"/>
          <w:shd w:val="clear" w:color="auto" w:fill="FFFFFF"/>
        </w:rPr>
        <w:t xml:space="preserve">Daniel, E. and Daniel, P.A., 2019. Megaprojects as complex adaptive systems: The </w:t>
      </w:r>
      <w:proofErr w:type="spellStart"/>
      <w:r w:rsidRPr="002A5FB8">
        <w:rPr>
          <w:rFonts w:ascii="Times New Roman" w:hAnsi="Times New Roman" w:cs="Times New Roman"/>
          <w:color w:val="222222"/>
          <w:sz w:val="24"/>
          <w:szCs w:val="24"/>
          <w:shd w:val="clear" w:color="auto" w:fill="FFFFFF"/>
        </w:rPr>
        <w:t>Hinkley</w:t>
      </w:r>
      <w:proofErr w:type="spellEnd"/>
      <w:r w:rsidRPr="002A5FB8">
        <w:rPr>
          <w:rFonts w:ascii="Times New Roman" w:hAnsi="Times New Roman" w:cs="Times New Roman"/>
          <w:color w:val="222222"/>
          <w:sz w:val="24"/>
          <w:szCs w:val="24"/>
          <w:shd w:val="clear" w:color="auto" w:fill="FFFFFF"/>
        </w:rPr>
        <w:t xml:space="preserve"> point C case. </w:t>
      </w:r>
      <w:r w:rsidRPr="002A5FB8">
        <w:rPr>
          <w:rFonts w:ascii="Times New Roman" w:hAnsi="Times New Roman" w:cs="Times New Roman"/>
          <w:i/>
          <w:iCs/>
          <w:color w:val="222222"/>
          <w:sz w:val="24"/>
          <w:szCs w:val="24"/>
          <w:shd w:val="clear" w:color="auto" w:fill="FFFFFF"/>
        </w:rPr>
        <w:t>International Journal of Project Management</w:t>
      </w:r>
      <w:r w:rsidRPr="002A5FB8">
        <w:rPr>
          <w:rFonts w:ascii="Times New Roman" w:hAnsi="Times New Roman" w:cs="Times New Roman"/>
          <w:color w:val="222222"/>
          <w:sz w:val="24"/>
          <w:szCs w:val="24"/>
          <w:shd w:val="clear" w:color="auto" w:fill="FFFFFF"/>
        </w:rPr>
        <w:t>, </w:t>
      </w:r>
      <w:r w:rsidRPr="002A5FB8">
        <w:rPr>
          <w:rFonts w:ascii="Times New Roman" w:hAnsi="Times New Roman" w:cs="Times New Roman"/>
          <w:i/>
          <w:iCs/>
          <w:color w:val="222222"/>
          <w:sz w:val="24"/>
          <w:szCs w:val="24"/>
          <w:shd w:val="clear" w:color="auto" w:fill="FFFFFF"/>
        </w:rPr>
        <w:t>37</w:t>
      </w:r>
      <w:r w:rsidRPr="002A5FB8">
        <w:rPr>
          <w:rFonts w:ascii="Times New Roman" w:hAnsi="Times New Roman" w:cs="Times New Roman"/>
          <w:color w:val="222222"/>
          <w:sz w:val="24"/>
          <w:szCs w:val="24"/>
          <w:shd w:val="clear" w:color="auto" w:fill="FFFFFF"/>
        </w:rPr>
        <w:t>(8), pp.1017-1033.</w:t>
      </w:r>
    </w:p>
    <w:p w:rsidR="00F812B2" w:rsidRPr="007D0F7D" w:rsidRDefault="00F812B2" w:rsidP="00AE36F5">
      <w:pPr>
        <w:spacing w:line="480" w:lineRule="auto"/>
        <w:jc w:val="both"/>
        <w:rPr>
          <w:rFonts w:ascii="Times New Roman" w:hAnsi="Times New Roman" w:cs="Times New Roman"/>
          <w:color w:val="222222"/>
          <w:sz w:val="24"/>
          <w:szCs w:val="24"/>
          <w:shd w:val="clear" w:color="auto" w:fill="FFFFFF"/>
        </w:rPr>
      </w:pPr>
      <w:proofErr w:type="spellStart"/>
      <w:r w:rsidRPr="007D0F7D">
        <w:rPr>
          <w:rFonts w:ascii="Times New Roman" w:hAnsi="Times New Roman" w:cs="Times New Roman"/>
          <w:color w:val="222222"/>
          <w:sz w:val="24"/>
          <w:szCs w:val="24"/>
          <w:shd w:val="clear" w:color="auto" w:fill="FFFFFF"/>
        </w:rPr>
        <w:t>Durdyev</w:t>
      </w:r>
      <w:proofErr w:type="spellEnd"/>
      <w:r w:rsidRPr="007D0F7D">
        <w:rPr>
          <w:rFonts w:ascii="Times New Roman" w:hAnsi="Times New Roman" w:cs="Times New Roman"/>
          <w:color w:val="222222"/>
          <w:sz w:val="24"/>
          <w:szCs w:val="24"/>
          <w:shd w:val="clear" w:color="auto" w:fill="FFFFFF"/>
        </w:rPr>
        <w:t>, S. and Hosseini, M.R., 2020. Causes of delays on construction projects: a comprehensive list. </w:t>
      </w:r>
      <w:r w:rsidRPr="007D0F7D">
        <w:rPr>
          <w:rFonts w:ascii="Times New Roman" w:hAnsi="Times New Roman" w:cs="Times New Roman"/>
          <w:i/>
          <w:iCs/>
          <w:color w:val="222222"/>
          <w:sz w:val="24"/>
          <w:szCs w:val="24"/>
          <w:shd w:val="clear" w:color="auto" w:fill="FFFFFF"/>
        </w:rPr>
        <w:t>International journal of managing projects in business</w:t>
      </w:r>
      <w:r w:rsidRPr="007D0F7D">
        <w:rPr>
          <w:rFonts w:ascii="Times New Roman" w:hAnsi="Times New Roman" w:cs="Times New Roman"/>
          <w:color w:val="222222"/>
          <w:sz w:val="24"/>
          <w:szCs w:val="24"/>
          <w:shd w:val="clear" w:color="auto" w:fill="FFFFFF"/>
        </w:rPr>
        <w:t>, </w:t>
      </w:r>
      <w:r w:rsidRPr="007D0F7D">
        <w:rPr>
          <w:rFonts w:ascii="Times New Roman" w:hAnsi="Times New Roman" w:cs="Times New Roman"/>
          <w:i/>
          <w:iCs/>
          <w:color w:val="222222"/>
          <w:sz w:val="24"/>
          <w:szCs w:val="24"/>
          <w:shd w:val="clear" w:color="auto" w:fill="FFFFFF"/>
        </w:rPr>
        <w:t>13</w:t>
      </w:r>
      <w:r w:rsidRPr="007D0F7D">
        <w:rPr>
          <w:rFonts w:ascii="Times New Roman" w:hAnsi="Times New Roman" w:cs="Times New Roman"/>
          <w:color w:val="222222"/>
          <w:sz w:val="24"/>
          <w:szCs w:val="24"/>
          <w:shd w:val="clear" w:color="auto" w:fill="FFFFFF"/>
        </w:rPr>
        <w:t>(1), pp.20-46.</w:t>
      </w:r>
    </w:p>
    <w:p w:rsidR="00F812B2" w:rsidRPr="002A5FB8" w:rsidRDefault="00F812B2" w:rsidP="00AE36F5">
      <w:pPr>
        <w:spacing w:line="480" w:lineRule="auto"/>
        <w:jc w:val="both"/>
        <w:rPr>
          <w:rFonts w:ascii="Times New Roman" w:hAnsi="Times New Roman" w:cs="Times New Roman"/>
          <w:color w:val="222222"/>
          <w:sz w:val="24"/>
          <w:szCs w:val="24"/>
          <w:shd w:val="clear" w:color="auto" w:fill="FFFFFF"/>
        </w:rPr>
      </w:pPr>
      <w:proofErr w:type="spellStart"/>
      <w:r w:rsidRPr="002A5FB8">
        <w:rPr>
          <w:rFonts w:ascii="Times New Roman" w:hAnsi="Times New Roman" w:cs="Times New Roman"/>
          <w:color w:val="222222"/>
          <w:sz w:val="24"/>
          <w:szCs w:val="24"/>
          <w:shd w:val="clear" w:color="auto" w:fill="FFFFFF"/>
        </w:rPr>
        <w:t>Dyrda</w:t>
      </w:r>
      <w:proofErr w:type="spellEnd"/>
      <w:r w:rsidRPr="002A5FB8">
        <w:rPr>
          <w:rFonts w:ascii="Times New Roman" w:hAnsi="Times New Roman" w:cs="Times New Roman"/>
          <w:color w:val="222222"/>
          <w:sz w:val="24"/>
          <w:szCs w:val="24"/>
          <w:shd w:val="clear" w:color="auto" w:fill="FFFFFF"/>
        </w:rPr>
        <w:t xml:space="preserve">, J. and Morrison, R., 2021. Overview of the </w:t>
      </w:r>
      <w:proofErr w:type="spellStart"/>
      <w:r w:rsidRPr="002A5FB8">
        <w:rPr>
          <w:rFonts w:ascii="Times New Roman" w:hAnsi="Times New Roman" w:cs="Times New Roman"/>
          <w:color w:val="222222"/>
          <w:sz w:val="24"/>
          <w:szCs w:val="24"/>
          <w:shd w:val="clear" w:color="auto" w:fill="FFFFFF"/>
        </w:rPr>
        <w:t>Hinkley</w:t>
      </w:r>
      <w:proofErr w:type="spellEnd"/>
      <w:r w:rsidRPr="002A5FB8">
        <w:rPr>
          <w:rFonts w:ascii="Times New Roman" w:hAnsi="Times New Roman" w:cs="Times New Roman"/>
          <w:color w:val="222222"/>
          <w:sz w:val="24"/>
          <w:szCs w:val="24"/>
          <w:shd w:val="clear" w:color="auto" w:fill="FFFFFF"/>
        </w:rPr>
        <w:t xml:space="preserve"> Point C EPR Project ‘J0’and Beyond. In </w:t>
      </w:r>
      <w:r w:rsidRPr="002A5FB8">
        <w:rPr>
          <w:rFonts w:ascii="Times New Roman" w:hAnsi="Times New Roman" w:cs="Times New Roman"/>
          <w:i/>
          <w:iCs/>
          <w:color w:val="222222"/>
          <w:sz w:val="24"/>
          <w:szCs w:val="24"/>
          <w:shd w:val="clear" w:color="auto" w:fill="FFFFFF"/>
        </w:rPr>
        <w:t>EPJ Web of Conferences</w:t>
      </w:r>
      <w:r w:rsidRPr="002A5FB8">
        <w:rPr>
          <w:rFonts w:ascii="Times New Roman" w:hAnsi="Times New Roman" w:cs="Times New Roman"/>
          <w:color w:val="222222"/>
          <w:sz w:val="24"/>
          <w:szCs w:val="24"/>
          <w:shd w:val="clear" w:color="auto" w:fill="FFFFFF"/>
        </w:rPr>
        <w:t> (Vol. 247, p. 20001). EDP Sciences.</w:t>
      </w:r>
    </w:p>
    <w:p w:rsidR="00F812B2" w:rsidRPr="002A5FB8" w:rsidRDefault="00F812B2" w:rsidP="00AE36F5">
      <w:pPr>
        <w:spacing w:line="480" w:lineRule="auto"/>
        <w:jc w:val="both"/>
        <w:rPr>
          <w:rFonts w:ascii="Times New Roman" w:hAnsi="Times New Roman" w:cs="Times New Roman"/>
          <w:sz w:val="24"/>
          <w:szCs w:val="24"/>
        </w:rPr>
      </w:pPr>
      <w:r w:rsidRPr="002A5FB8">
        <w:rPr>
          <w:rFonts w:ascii="Times New Roman" w:hAnsi="Times New Roman" w:cs="Times New Roman"/>
          <w:color w:val="000000"/>
          <w:sz w:val="24"/>
          <w:szCs w:val="24"/>
        </w:rPr>
        <w:t xml:space="preserve">En.cgnp.com.cn, 2023 </w:t>
      </w:r>
      <w:r w:rsidRPr="002A5FB8">
        <w:rPr>
          <w:rFonts w:ascii="Times New Roman" w:hAnsi="Times New Roman" w:cs="Times New Roman"/>
          <w:i/>
          <w:iCs/>
          <w:color w:val="000000"/>
          <w:sz w:val="24"/>
          <w:szCs w:val="24"/>
        </w:rPr>
        <w:t>China’s General Nuclear Power contribution to the project</w:t>
      </w:r>
      <w:r w:rsidRPr="002A5FB8">
        <w:rPr>
          <w:rFonts w:ascii="Times New Roman" w:hAnsi="Times New Roman" w:cs="Times New Roman"/>
          <w:color w:val="000000"/>
          <w:sz w:val="24"/>
          <w:szCs w:val="24"/>
        </w:rPr>
        <w:t xml:space="preserve"> [online] Available at: http://en.cgnp.com.cn/ [Accessed on 4</w:t>
      </w:r>
      <w:r w:rsidRPr="002A5FB8">
        <w:rPr>
          <w:rFonts w:ascii="Times New Roman" w:hAnsi="Times New Roman" w:cs="Times New Roman"/>
          <w:color w:val="000000"/>
          <w:sz w:val="24"/>
          <w:szCs w:val="24"/>
          <w:vertAlign w:val="superscript"/>
        </w:rPr>
        <w:t>th</w:t>
      </w:r>
      <w:r w:rsidRPr="002A5FB8">
        <w:rPr>
          <w:rFonts w:ascii="Times New Roman" w:hAnsi="Times New Roman" w:cs="Times New Roman"/>
          <w:color w:val="000000"/>
          <w:sz w:val="24"/>
          <w:szCs w:val="24"/>
        </w:rPr>
        <w:t xml:space="preserve"> March 2023]</w:t>
      </w:r>
    </w:p>
    <w:p w:rsidR="00F812B2" w:rsidRPr="002A5FB8" w:rsidRDefault="00F812B2" w:rsidP="00AE36F5">
      <w:pPr>
        <w:spacing w:line="480" w:lineRule="auto"/>
        <w:jc w:val="both"/>
        <w:rPr>
          <w:rFonts w:ascii="Times New Roman" w:hAnsi="Times New Roman" w:cs="Times New Roman"/>
          <w:color w:val="222222"/>
          <w:sz w:val="24"/>
          <w:szCs w:val="24"/>
          <w:shd w:val="clear" w:color="auto" w:fill="FFFFFF"/>
        </w:rPr>
      </w:pPr>
      <w:r w:rsidRPr="002A5FB8">
        <w:rPr>
          <w:rFonts w:ascii="Times New Roman" w:hAnsi="Times New Roman" w:cs="Times New Roman"/>
          <w:color w:val="222222"/>
          <w:sz w:val="24"/>
          <w:szCs w:val="24"/>
          <w:shd w:val="clear" w:color="auto" w:fill="FFFFFF"/>
        </w:rPr>
        <w:t xml:space="preserve">Glasson, J., </w:t>
      </w:r>
      <w:proofErr w:type="spellStart"/>
      <w:r w:rsidRPr="002A5FB8">
        <w:rPr>
          <w:rFonts w:ascii="Times New Roman" w:hAnsi="Times New Roman" w:cs="Times New Roman"/>
          <w:color w:val="222222"/>
          <w:sz w:val="24"/>
          <w:szCs w:val="24"/>
          <w:shd w:val="clear" w:color="auto" w:fill="FFFFFF"/>
        </w:rPr>
        <w:t>Durning</w:t>
      </w:r>
      <w:proofErr w:type="spellEnd"/>
      <w:r w:rsidRPr="002A5FB8">
        <w:rPr>
          <w:rFonts w:ascii="Times New Roman" w:hAnsi="Times New Roman" w:cs="Times New Roman"/>
          <w:color w:val="222222"/>
          <w:sz w:val="24"/>
          <w:szCs w:val="24"/>
          <w:shd w:val="clear" w:color="auto" w:fill="FFFFFF"/>
        </w:rPr>
        <w:t xml:space="preserve">, B., Broderick, M. and Welch, K., 2021. Monitoring and auditing the local socio-economic and environmental impacts of the early stage construction of </w:t>
      </w:r>
      <w:proofErr w:type="spellStart"/>
      <w:r w:rsidRPr="002A5FB8">
        <w:rPr>
          <w:rFonts w:ascii="Times New Roman" w:hAnsi="Times New Roman" w:cs="Times New Roman"/>
          <w:color w:val="222222"/>
          <w:sz w:val="24"/>
          <w:szCs w:val="24"/>
          <w:shd w:val="clear" w:color="auto" w:fill="FFFFFF"/>
        </w:rPr>
        <w:t>Hinkley</w:t>
      </w:r>
      <w:proofErr w:type="spellEnd"/>
      <w:r w:rsidRPr="002A5FB8">
        <w:rPr>
          <w:rFonts w:ascii="Times New Roman" w:hAnsi="Times New Roman" w:cs="Times New Roman"/>
          <w:color w:val="222222"/>
          <w:sz w:val="24"/>
          <w:szCs w:val="24"/>
          <w:shd w:val="clear" w:color="auto" w:fill="FFFFFF"/>
        </w:rPr>
        <w:t xml:space="preserve"> Point C Nuclear Power Station, UK. </w:t>
      </w:r>
      <w:r w:rsidRPr="002A5FB8">
        <w:rPr>
          <w:rFonts w:ascii="Times New Roman" w:hAnsi="Times New Roman" w:cs="Times New Roman"/>
          <w:i/>
          <w:iCs/>
          <w:color w:val="222222"/>
          <w:sz w:val="24"/>
          <w:szCs w:val="24"/>
          <w:shd w:val="clear" w:color="auto" w:fill="FFFFFF"/>
        </w:rPr>
        <w:t>Impact Assessment and Project Appraisal</w:t>
      </w:r>
      <w:r w:rsidRPr="002A5FB8">
        <w:rPr>
          <w:rFonts w:ascii="Times New Roman" w:hAnsi="Times New Roman" w:cs="Times New Roman"/>
          <w:color w:val="222222"/>
          <w:sz w:val="24"/>
          <w:szCs w:val="24"/>
          <w:shd w:val="clear" w:color="auto" w:fill="FFFFFF"/>
        </w:rPr>
        <w:t>, </w:t>
      </w:r>
      <w:r w:rsidRPr="002A5FB8">
        <w:rPr>
          <w:rFonts w:ascii="Times New Roman" w:hAnsi="Times New Roman" w:cs="Times New Roman"/>
          <w:i/>
          <w:iCs/>
          <w:color w:val="222222"/>
          <w:sz w:val="24"/>
          <w:szCs w:val="24"/>
          <w:shd w:val="clear" w:color="auto" w:fill="FFFFFF"/>
        </w:rPr>
        <w:t>39</w:t>
      </w:r>
      <w:r w:rsidRPr="002A5FB8">
        <w:rPr>
          <w:rFonts w:ascii="Times New Roman" w:hAnsi="Times New Roman" w:cs="Times New Roman"/>
          <w:color w:val="222222"/>
          <w:sz w:val="24"/>
          <w:szCs w:val="24"/>
          <w:shd w:val="clear" w:color="auto" w:fill="FFFFFF"/>
        </w:rPr>
        <w:t>(2), pp.84-95.</w:t>
      </w:r>
    </w:p>
    <w:p w:rsidR="00F812B2" w:rsidRPr="002A5FB8" w:rsidRDefault="00F812B2" w:rsidP="00AE36F5">
      <w:pPr>
        <w:spacing w:line="480" w:lineRule="auto"/>
        <w:jc w:val="both"/>
        <w:rPr>
          <w:rFonts w:ascii="Times New Roman" w:hAnsi="Times New Roman" w:cs="Times New Roman"/>
          <w:color w:val="222222"/>
          <w:sz w:val="24"/>
          <w:szCs w:val="24"/>
          <w:shd w:val="clear" w:color="auto" w:fill="FFFFFF"/>
        </w:rPr>
      </w:pPr>
      <w:r w:rsidRPr="002A5FB8">
        <w:rPr>
          <w:rFonts w:ascii="Times New Roman" w:hAnsi="Times New Roman" w:cs="Times New Roman"/>
          <w:color w:val="222222"/>
          <w:sz w:val="24"/>
          <w:szCs w:val="24"/>
          <w:shd w:val="clear" w:color="auto" w:fill="FFFFFF"/>
        </w:rPr>
        <w:t xml:space="preserve">Huang, Y., Shi, Q., </w:t>
      </w:r>
      <w:proofErr w:type="spellStart"/>
      <w:r w:rsidRPr="002A5FB8">
        <w:rPr>
          <w:rFonts w:ascii="Times New Roman" w:hAnsi="Times New Roman" w:cs="Times New Roman"/>
          <w:color w:val="222222"/>
          <w:sz w:val="24"/>
          <w:szCs w:val="24"/>
          <w:shd w:val="clear" w:color="auto" w:fill="FFFFFF"/>
        </w:rPr>
        <w:t>Zuo</w:t>
      </w:r>
      <w:proofErr w:type="spellEnd"/>
      <w:r w:rsidRPr="002A5FB8">
        <w:rPr>
          <w:rFonts w:ascii="Times New Roman" w:hAnsi="Times New Roman" w:cs="Times New Roman"/>
          <w:color w:val="222222"/>
          <w:sz w:val="24"/>
          <w:szCs w:val="24"/>
          <w:shd w:val="clear" w:color="auto" w:fill="FFFFFF"/>
        </w:rPr>
        <w:t>, J., Pena-Mora, F. and Chen, J., 2021. Research status and challenges of data-driven construction project management in the big data context. </w:t>
      </w:r>
      <w:r w:rsidRPr="002A5FB8">
        <w:rPr>
          <w:rFonts w:ascii="Times New Roman" w:hAnsi="Times New Roman" w:cs="Times New Roman"/>
          <w:i/>
          <w:iCs/>
          <w:color w:val="222222"/>
          <w:sz w:val="24"/>
          <w:szCs w:val="24"/>
          <w:shd w:val="clear" w:color="auto" w:fill="FFFFFF"/>
        </w:rPr>
        <w:t>Advances in Civil Engineering</w:t>
      </w:r>
      <w:r w:rsidRPr="002A5FB8">
        <w:rPr>
          <w:rFonts w:ascii="Times New Roman" w:hAnsi="Times New Roman" w:cs="Times New Roman"/>
          <w:color w:val="222222"/>
          <w:sz w:val="24"/>
          <w:szCs w:val="24"/>
          <w:shd w:val="clear" w:color="auto" w:fill="FFFFFF"/>
        </w:rPr>
        <w:t>, </w:t>
      </w:r>
      <w:r w:rsidRPr="002A5FB8">
        <w:rPr>
          <w:rFonts w:ascii="Times New Roman" w:hAnsi="Times New Roman" w:cs="Times New Roman"/>
          <w:i/>
          <w:iCs/>
          <w:color w:val="222222"/>
          <w:sz w:val="24"/>
          <w:szCs w:val="24"/>
          <w:shd w:val="clear" w:color="auto" w:fill="FFFFFF"/>
        </w:rPr>
        <w:t>2021</w:t>
      </w:r>
      <w:r w:rsidRPr="002A5FB8">
        <w:rPr>
          <w:rFonts w:ascii="Times New Roman" w:hAnsi="Times New Roman" w:cs="Times New Roman"/>
          <w:color w:val="222222"/>
          <w:sz w:val="24"/>
          <w:szCs w:val="24"/>
          <w:shd w:val="clear" w:color="auto" w:fill="FFFFFF"/>
        </w:rPr>
        <w:t>, pp.1-19.</w:t>
      </w:r>
    </w:p>
    <w:p w:rsidR="00F812B2" w:rsidRPr="002A5FB8" w:rsidRDefault="00F812B2" w:rsidP="00AE36F5">
      <w:pPr>
        <w:spacing w:line="480" w:lineRule="auto"/>
        <w:jc w:val="both"/>
        <w:rPr>
          <w:rFonts w:ascii="Times New Roman" w:hAnsi="Times New Roman" w:cs="Times New Roman"/>
          <w:color w:val="222222"/>
          <w:sz w:val="24"/>
          <w:szCs w:val="24"/>
          <w:shd w:val="clear" w:color="auto" w:fill="FFFFFF"/>
        </w:rPr>
      </w:pPr>
      <w:proofErr w:type="spellStart"/>
      <w:r w:rsidRPr="002A5FB8">
        <w:rPr>
          <w:rFonts w:ascii="Times New Roman" w:hAnsi="Times New Roman" w:cs="Times New Roman"/>
          <w:color w:val="222222"/>
          <w:sz w:val="24"/>
          <w:szCs w:val="24"/>
          <w:shd w:val="clear" w:color="auto" w:fill="FFFFFF"/>
        </w:rPr>
        <w:t>Kabeyi</w:t>
      </w:r>
      <w:proofErr w:type="spellEnd"/>
      <w:r w:rsidRPr="002A5FB8">
        <w:rPr>
          <w:rFonts w:ascii="Times New Roman" w:hAnsi="Times New Roman" w:cs="Times New Roman"/>
          <w:color w:val="222222"/>
          <w:sz w:val="24"/>
          <w:szCs w:val="24"/>
          <w:shd w:val="clear" w:color="auto" w:fill="FFFFFF"/>
        </w:rPr>
        <w:t>, M.J.B., 2020. Project and program evaluation consultancy with terms of reference, challenges, opportunities, and recommendations. </w:t>
      </w:r>
      <w:r w:rsidRPr="002A5FB8">
        <w:rPr>
          <w:rFonts w:ascii="Times New Roman" w:hAnsi="Times New Roman" w:cs="Times New Roman"/>
          <w:i/>
          <w:iCs/>
          <w:color w:val="222222"/>
          <w:sz w:val="24"/>
          <w:szCs w:val="24"/>
          <w:shd w:val="clear" w:color="auto" w:fill="FFFFFF"/>
        </w:rPr>
        <w:t>International Journal of Project Management and Productivity Assessment (IJPMPA)</w:t>
      </w:r>
      <w:r w:rsidRPr="002A5FB8">
        <w:rPr>
          <w:rFonts w:ascii="Times New Roman" w:hAnsi="Times New Roman" w:cs="Times New Roman"/>
          <w:color w:val="222222"/>
          <w:sz w:val="24"/>
          <w:szCs w:val="24"/>
          <w:shd w:val="clear" w:color="auto" w:fill="FFFFFF"/>
        </w:rPr>
        <w:t>, </w:t>
      </w:r>
      <w:r w:rsidRPr="002A5FB8">
        <w:rPr>
          <w:rFonts w:ascii="Times New Roman" w:hAnsi="Times New Roman" w:cs="Times New Roman"/>
          <w:i/>
          <w:iCs/>
          <w:color w:val="222222"/>
          <w:sz w:val="24"/>
          <w:szCs w:val="24"/>
          <w:shd w:val="clear" w:color="auto" w:fill="FFFFFF"/>
        </w:rPr>
        <w:t>8</w:t>
      </w:r>
      <w:r w:rsidRPr="002A5FB8">
        <w:rPr>
          <w:rFonts w:ascii="Times New Roman" w:hAnsi="Times New Roman" w:cs="Times New Roman"/>
          <w:color w:val="222222"/>
          <w:sz w:val="24"/>
          <w:szCs w:val="24"/>
          <w:shd w:val="clear" w:color="auto" w:fill="FFFFFF"/>
        </w:rPr>
        <w:t>(2), pp.47-68.</w:t>
      </w:r>
    </w:p>
    <w:p w:rsidR="00F812B2" w:rsidRPr="002A5FB8" w:rsidRDefault="00F812B2" w:rsidP="00AE36F5">
      <w:pPr>
        <w:spacing w:line="480" w:lineRule="auto"/>
        <w:jc w:val="both"/>
        <w:rPr>
          <w:rFonts w:ascii="Times New Roman" w:hAnsi="Times New Roman" w:cs="Times New Roman"/>
          <w:color w:val="222222"/>
          <w:sz w:val="24"/>
          <w:szCs w:val="24"/>
          <w:shd w:val="clear" w:color="auto" w:fill="FFFFFF"/>
        </w:rPr>
      </w:pPr>
      <w:r w:rsidRPr="002A5FB8">
        <w:rPr>
          <w:rFonts w:ascii="Times New Roman" w:hAnsi="Times New Roman" w:cs="Times New Roman"/>
          <w:color w:val="222222"/>
          <w:sz w:val="24"/>
          <w:szCs w:val="24"/>
          <w:shd w:val="clear" w:color="auto" w:fill="FFFFFF"/>
        </w:rPr>
        <w:t xml:space="preserve">Keegan, A. and Den </w:t>
      </w:r>
      <w:proofErr w:type="spellStart"/>
      <w:r w:rsidRPr="002A5FB8">
        <w:rPr>
          <w:rFonts w:ascii="Times New Roman" w:hAnsi="Times New Roman" w:cs="Times New Roman"/>
          <w:color w:val="222222"/>
          <w:sz w:val="24"/>
          <w:szCs w:val="24"/>
          <w:shd w:val="clear" w:color="auto" w:fill="FFFFFF"/>
        </w:rPr>
        <w:t>Hartog</w:t>
      </w:r>
      <w:proofErr w:type="spellEnd"/>
      <w:r w:rsidRPr="002A5FB8">
        <w:rPr>
          <w:rFonts w:ascii="Times New Roman" w:hAnsi="Times New Roman" w:cs="Times New Roman"/>
          <w:color w:val="222222"/>
          <w:sz w:val="24"/>
          <w:szCs w:val="24"/>
          <w:shd w:val="clear" w:color="auto" w:fill="FFFFFF"/>
        </w:rPr>
        <w:t xml:space="preserve">, D., 2019. Doing it for themselves? P </w:t>
      </w:r>
      <w:proofErr w:type="spellStart"/>
      <w:r w:rsidRPr="002A5FB8">
        <w:rPr>
          <w:rFonts w:ascii="Times New Roman" w:hAnsi="Times New Roman" w:cs="Times New Roman"/>
          <w:color w:val="222222"/>
          <w:sz w:val="24"/>
          <w:szCs w:val="24"/>
          <w:shd w:val="clear" w:color="auto" w:fill="FFFFFF"/>
        </w:rPr>
        <w:t>erformance</w:t>
      </w:r>
      <w:proofErr w:type="spellEnd"/>
      <w:r w:rsidRPr="002A5FB8">
        <w:rPr>
          <w:rFonts w:ascii="Times New Roman" w:hAnsi="Times New Roman" w:cs="Times New Roman"/>
          <w:color w:val="222222"/>
          <w:sz w:val="24"/>
          <w:szCs w:val="24"/>
          <w:shd w:val="clear" w:color="auto" w:fill="FFFFFF"/>
        </w:rPr>
        <w:t xml:space="preserve"> appraisal in project‐based organisations, the role of employees, and challenges to theory. </w:t>
      </w:r>
      <w:r w:rsidRPr="002A5FB8">
        <w:rPr>
          <w:rFonts w:ascii="Times New Roman" w:hAnsi="Times New Roman" w:cs="Times New Roman"/>
          <w:i/>
          <w:iCs/>
          <w:color w:val="222222"/>
          <w:sz w:val="24"/>
          <w:szCs w:val="24"/>
          <w:shd w:val="clear" w:color="auto" w:fill="FFFFFF"/>
        </w:rPr>
        <w:t>Human Resource Management Journal</w:t>
      </w:r>
      <w:r w:rsidRPr="002A5FB8">
        <w:rPr>
          <w:rFonts w:ascii="Times New Roman" w:hAnsi="Times New Roman" w:cs="Times New Roman"/>
          <w:color w:val="222222"/>
          <w:sz w:val="24"/>
          <w:szCs w:val="24"/>
          <w:shd w:val="clear" w:color="auto" w:fill="FFFFFF"/>
        </w:rPr>
        <w:t>, </w:t>
      </w:r>
      <w:r w:rsidRPr="002A5FB8">
        <w:rPr>
          <w:rFonts w:ascii="Times New Roman" w:hAnsi="Times New Roman" w:cs="Times New Roman"/>
          <w:i/>
          <w:iCs/>
          <w:color w:val="222222"/>
          <w:sz w:val="24"/>
          <w:szCs w:val="24"/>
          <w:shd w:val="clear" w:color="auto" w:fill="FFFFFF"/>
        </w:rPr>
        <w:t>29</w:t>
      </w:r>
      <w:r w:rsidRPr="002A5FB8">
        <w:rPr>
          <w:rFonts w:ascii="Times New Roman" w:hAnsi="Times New Roman" w:cs="Times New Roman"/>
          <w:color w:val="222222"/>
          <w:sz w:val="24"/>
          <w:szCs w:val="24"/>
          <w:shd w:val="clear" w:color="auto" w:fill="FFFFFF"/>
        </w:rPr>
        <w:t>(2), pp.217-237.</w:t>
      </w:r>
    </w:p>
    <w:p w:rsidR="00F812B2" w:rsidRPr="002A5FB8" w:rsidRDefault="00F812B2" w:rsidP="00AE36F5">
      <w:pPr>
        <w:spacing w:line="480" w:lineRule="auto"/>
        <w:jc w:val="both"/>
        <w:rPr>
          <w:rFonts w:ascii="Times New Roman" w:hAnsi="Times New Roman" w:cs="Times New Roman"/>
          <w:color w:val="222222"/>
          <w:sz w:val="24"/>
          <w:szCs w:val="24"/>
          <w:shd w:val="clear" w:color="auto" w:fill="FFFFFF"/>
        </w:rPr>
      </w:pPr>
      <w:proofErr w:type="spellStart"/>
      <w:r w:rsidRPr="002A5FB8">
        <w:rPr>
          <w:rFonts w:ascii="Times New Roman" w:hAnsi="Times New Roman" w:cs="Times New Roman"/>
          <w:color w:val="222222"/>
          <w:sz w:val="24"/>
          <w:szCs w:val="24"/>
          <w:shd w:val="clear" w:color="auto" w:fill="FFFFFF"/>
        </w:rPr>
        <w:t>Lovas</w:t>
      </w:r>
      <w:proofErr w:type="spellEnd"/>
      <w:r w:rsidRPr="002A5FB8">
        <w:rPr>
          <w:rFonts w:ascii="Times New Roman" w:hAnsi="Times New Roman" w:cs="Times New Roman"/>
          <w:color w:val="222222"/>
          <w:sz w:val="24"/>
          <w:szCs w:val="24"/>
          <w:shd w:val="clear" w:color="auto" w:fill="FFFFFF"/>
        </w:rPr>
        <w:t xml:space="preserve">, D., 2021. Relevance of the Court Decision on the </w:t>
      </w:r>
      <w:proofErr w:type="spellStart"/>
      <w:r w:rsidRPr="002A5FB8">
        <w:rPr>
          <w:rFonts w:ascii="Times New Roman" w:hAnsi="Times New Roman" w:cs="Times New Roman"/>
          <w:color w:val="222222"/>
          <w:sz w:val="24"/>
          <w:szCs w:val="24"/>
          <w:shd w:val="clear" w:color="auto" w:fill="FFFFFF"/>
        </w:rPr>
        <w:t>Hinkley</w:t>
      </w:r>
      <w:proofErr w:type="spellEnd"/>
      <w:r w:rsidRPr="002A5FB8">
        <w:rPr>
          <w:rFonts w:ascii="Times New Roman" w:hAnsi="Times New Roman" w:cs="Times New Roman"/>
          <w:color w:val="222222"/>
          <w:sz w:val="24"/>
          <w:szCs w:val="24"/>
          <w:shd w:val="clear" w:color="auto" w:fill="FFFFFF"/>
        </w:rPr>
        <w:t xml:space="preserve"> Point Nuclear Power Plant in Relation to </w:t>
      </w:r>
      <w:proofErr w:type="spellStart"/>
      <w:r w:rsidRPr="002A5FB8">
        <w:rPr>
          <w:rFonts w:ascii="Times New Roman" w:hAnsi="Times New Roman" w:cs="Times New Roman"/>
          <w:color w:val="222222"/>
          <w:sz w:val="24"/>
          <w:szCs w:val="24"/>
          <w:shd w:val="clear" w:color="auto" w:fill="FFFFFF"/>
        </w:rPr>
        <w:t>Paks</w:t>
      </w:r>
      <w:proofErr w:type="spellEnd"/>
      <w:r w:rsidRPr="002A5FB8">
        <w:rPr>
          <w:rFonts w:ascii="Times New Roman" w:hAnsi="Times New Roman" w:cs="Times New Roman"/>
          <w:color w:val="222222"/>
          <w:sz w:val="24"/>
          <w:szCs w:val="24"/>
          <w:shd w:val="clear" w:color="auto" w:fill="FFFFFF"/>
        </w:rPr>
        <w:t xml:space="preserve"> II. </w:t>
      </w:r>
      <w:proofErr w:type="spellStart"/>
      <w:r w:rsidRPr="002A5FB8">
        <w:rPr>
          <w:rFonts w:ascii="Times New Roman" w:hAnsi="Times New Roman" w:cs="Times New Roman"/>
          <w:i/>
          <w:iCs/>
          <w:color w:val="222222"/>
          <w:sz w:val="24"/>
          <w:szCs w:val="24"/>
          <w:shd w:val="clear" w:color="auto" w:fill="FFFFFF"/>
        </w:rPr>
        <w:t>Studia</w:t>
      </w:r>
      <w:proofErr w:type="spellEnd"/>
      <w:r w:rsidRPr="002A5FB8">
        <w:rPr>
          <w:rFonts w:ascii="Times New Roman" w:hAnsi="Times New Roman" w:cs="Times New Roman"/>
          <w:i/>
          <w:iCs/>
          <w:color w:val="222222"/>
          <w:sz w:val="24"/>
          <w:szCs w:val="24"/>
          <w:shd w:val="clear" w:color="auto" w:fill="FFFFFF"/>
        </w:rPr>
        <w:t xml:space="preserve"> </w:t>
      </w:r>
      <w:proofErr w:type="spellStart"/>
      <w:r w:rsidRPr="002A5FB8">
        <w:rPr>
          <w:rFonts w:ascii="Times New Roman" w:hAnsi="Times New Roman" w:cs="Times New Roman"/>
          <w:i/>
          <w:iCs/>
          <w:color w:val="222222"/>
          <w:sz w:val="24"/>
          <w:szCs w:val="24"/>
          <w:shd w:val="clear" w:color="auto" w:fill="FFFFFF"/>
        </w:rPr>
        <w:t>IuridicaLublinensia</w:t>
      </w:r>
      <w:proofErr w:type="spellEnd"/>
      <w:r w:rsidRPr="002A5FB8">
        <w:rPr>
          <w:rFonts w:ascii="Times New Roman" w:hAnsi="Times New Roman" w:cs="Times New Roman"/>
          <w:color w:val="222222"/>
          <w:sz w:val="24"/>
          <w:szCs w:val="24"/>
          <w:shd w:val="clear" w:color="auto" w:fill="FFFFFF"/>
        </w:rPr>
        <w:t>, </w:t>
      </w:r>
      <w:r w:rsidRPr="002A5FB8">
        <w:rPr>
          <w:rFonts w:ascii="Times New Roman" w:hAnsi="Times New Roman" w:cs="Times New Roman"/>
          <w:i/>
          <w:iCs/>
          <w:color w:val="222222"/>
          <w:sz w:val="24"/>
          <w:szCs w:val="24"/>
          <w:shd w:val="clear" w:color="auto" w:fill="FFFFFF"/>
        </w:rPr>
        <w:t>30</w:t>
      </w:r>
      <w:r w:rsidRPr="002A5FB8">
        <w:rPr>
          <w:rFonts w:ascii="Times New Roman" w:hAnsi="Times New Roman" w:cs="Times New Roman"/>
          <w:color w:val="222222"/>
          <w:sz w:val="24"/>
          <w:szCs w:val="24"/>
          <w:shd w:val="clear" w:color="auto" w:fill="FFFFFF"/>
        </w:rPr>
        <w:t>(2), pp.305-317.</w:t>
      </w:r>
    </w:p>
    <w:p w:rsidR="00F812B2" w:rsidRPr="002A5FB8" w:rsidRDefault="00F812B2" w:rsidP="00AE36F5">
      <w:pPr>
        <w:spacing w:line="480" w:lineRule="auto"/>
        <w:jc w:val="both"/>
        <w:rPr>
          <w:rFonts w:ascii="Times New Roman" w:hAnsi="Times New Roman" w:cs="Times New Roman"/>
          <w:color w:val="222222"/>
          <w:sz w:val="24"/>
          <w:szCs w:val="24"/>
          <w:shd w:val="clear" w:color="auto" w:fill="FFFFFF"/>
        </w:rPr>
      </w:pPr>
      <w:proofErr w:type="spellStart"/>
      <w:r w:rsidRPr="002A5FB8">
        <w:rPr>
          <w:rFonts w:ascii="Times New Roman" w:hAnsi="Times New Roman" w:cs="Times New Roman"/>
          <w:color w:val="222222"/>
          <w:sz w:val="24"/>
          <w:szCs w:val="24"/>
          <w:shd w:val="clear" w:color="auto" w:fill="FFFFFF"/>
        </w:rPr>
        <w:t>Ogunmakin</w:t>
      </w:r>
      <w:proofErr w:type="spellEnd"/>
      <w:r w:rsidRPr="002A5FB8">
        <w:rPr>
          <w:rFonts w:ascii="Times New Roman" w:hAnsi="Times New Roman" w:cs="Times New Roman"/>
          <w:color w:val="222222"/>
          <w:sz w:val="24"/>
          <w:szCs w:val="24"/>
          <w:shd w:val="clear" w:color="auto" w:fill="FFFFFF"/>
        </w:rPr>
        <w:t xml:space="preserve">, B.A., </w:t>
      </w:r>
      <w:proofErr w:type="spellStart"/>
      <w:r w:rsidRPr="002A5FB8">
        <w:rPr>
          <w:rFonts w:ascii="Times New Roman" w:hAnsi="Times New Roman" w:cs="Times New Roman"/>
          <w:color w:val="222222"/>
          <w:sz w:val="24"/>
          <w:szCs w:val="24"/>
          <w:shd w:val="clear" w:color="auto" w:fill="FFFFFF"/>
        </w:rPr>
        <w:t>Koe</w:t>
      </w:r>
      <w:proofErr w:type="spellEnd"/>
      <w:r w:rsidRPr="002A5FB8">
        <w:rPr>
          <w:rFonts w:ascii="Times New Roman" w:hAnsi="Times New Roman" w:cs="Times New Roman"/>
          <w:color w:val="222222"/>
          <w:sz w:val="24"/>
          <w:szCs w:val="24"/>
          <w:shd w:val="clear" w:color="auto" w:fill="FFFFFF"/>
        </w:rPr>
        <w:t>, A. and Jean-Philippe, M., 2021, August. Rock joint scale effects in numerical modelling-</w:t>
      </w:r>
      <w:proofErr w:type="spellStart"/>
      <w:r w:rsidRPr="002A5FB8">
        <w:rPr>
          <w:rFonts w:ascii="Times New Roman" w:hAnsi="Times New Roman" w:cs="Times New Roman"/>
          <w:color w:val="222222"/>
          <w:sz w:val="24"/>
          <w:szCs w:val="24"/>
          <w:shd w:val="clear" w:color="auto" w:fill="FFFFFF"/>
        </w:rPr>
        <w:t>Hinkley</w:t>
      </w:r>
      <w:proofErr w:type="spellEnd"/>
      <w:r w:rsidRPr="002A5FB8">
        <w:rPr>
          <w:rFonts w:ascii="Times New Roman" w:hAnsi="Times New Roman" w:cs="Times New Roman"/>
          <w:color w:val="222222"/>
          <w:sz w:val="24"/>
          <w:szCs w:val="24"/>
          <w:shd w:val="clear" w:color="auto" w:fill="FFFFFF"/>
        </w:rPr>
        <w:t xml:space="preserve"> Point C, a case study. In </w:t>
      </w:r>
      <w:r w:rsidRPr="002A5FB8">
        <w:rPr>
          <w:rFonts w:ascii="Times New Roman" w:hAnsi="Times New Roman" w:cs="Times New Roman"/>
          <w:i/>
          <w:iCs/>
          <w:color w:val="222222"/>
          <w:sz w:val="24"/>
          <w:szCs w:val="24"/>
          <w:shd w:val="clear" w:color="auto" w:fill="FFFFFF"/>
        </w:rPr>
        <w:t>IOP Conference Series: Earth and Environmental Science</w:t>
      </w:r>
      <w:r w:rsidRPr="002A5FB8">
        <w:rPr>
          <w:rFonts w:ascii="Times New Roman" w:hAnsi="Times New Roman" w:cs="Times New Roman"/>
          <w:color w:val="222222"/>
          <w:sz w:val="24"/>
          <w:szCs w:val="24"/>
          <w:shd w:val="clear" w:color="auto" w:fill="FFFFFF"/>
        </w:rPr>
        <w:t> (Vol. 833, No. 1, p. 012115). IOP Publishing.</w:t>
      </w:r>
    </w:p>
    <w:p w:rsidR="00F812B2" w:rsidRPr="002A5FB8" w:rsidRDefault="00F812B2" w:rsidP="00AE36F5">
      <w:pPr>
        <w:spacing w:line="480" w:lineRule="auto"/>
        <w:jc w:val="both"/>
        <w:rPr>
          <w:rFonts w:ascii="Times New Roman" w:hAnsi="Times New Roman" w:cs="Times New Roman"/>
          <w:b/>
          <w:bCs/>
          <w:sz w:val="24"/>
          <w:szCs w:val="24"/>
        </w:rPr>
      </w:pPr>
      <w:r w:rsidRPr="002A5FB8">
        <w:rPr>
          <w:rFonts w:ascii="Times New Roman" w:hAnsi="Times New Roman" w:cs="Times New Roman"/>
          <w:color w:val="222222"/>
          <w:sz w:val="24"/>
          <w:szCs w:val="24"/>
          <w:shd w:val="clear" w:color="auto" w:fill="FFFFFF"/>
        </w:rPr>
        <w:t>Winch, G.M. and Cha, J., 2020. Owner challenges on major projects: The case of UK government. </w:t>
      </w:r>
      <w:r w:rsidRPr="002A5FB8">
        <w:rPr>
          <w:rFonts w:ascii="Times New Roman" w:hAnsi="Times New Roman" w:cs="Times New Roman"/>
          <w:i/>
          <w:iCs/>
          <w:color w:val="222222"/>
          <w:sz w:val="24"/>
          <w:szCs w:val="24"/>
          <w:shd w:val="clear" w:color="auto" w:fill="FFFFFF"/>
        </w:rPr>
        <w:t>International journal of project management</w:t>
      </w:r>
      <w:r w:rsidRPr="002A5FB8">
        <w:rPr>
          <w:rFonts w:ascii="Times New Roman" w:hAnsi="Times New Roman" w:cs="Times New Roman"/>
          <w:color w:val="222222"/>
          <w:sz w:val="24"/>
          <w:szCs w:val="24"/>
          <w:shd w:val="clear" w:color="auto" w:fill="FFFFFF"/>
        </w:rPr>
        <w:t>, </w:t>
      </w:r>
      <w:r w:rsidRPr="002A5FB8">
        <w:rPr>
          <w:rFonts w:ascii="Times New Roman" w:hAnsi="Times New Roman" w:cs="Times New Roman"/>
          <w:i/>
          <w:iCs/>
          <w:color w:val="222222"/>
          <w:sz w:val="24"/>
          <w:szCs w:val="24"/>
          <w:shd w:val="clear" w:color="auto" w:fill="FFFFFF"/>
        </w:rPr>
        <w:t>38</w:t>
      </w:r>
      <w:r w:rsidRPr="002A5FB8">
        <w:rPr>
          <w:rFonts w:ascii="Times New Roman" w:hAnsi="Times New Roman" w:cs="Times New Roman"/>
          <w:color w:val="222222"/>
          <w:sz w:val="24"/>
          <w:szCs w:val="24"/>
          <w:shd w:val="clear" w:color="auto" w:fill="FFFFFF"/>
        </w:rPr>
        <w:t>(3), pp.177-187.</w:t>
      </w:r>
    </w:p>
    <w:p w:rsidR="00AE36F5" w:rsidRPr="002A5FB8" w:rsidRDefault="00AE36F5" w:rsidP="00AE36F5">
      <w:pPr>
        <w:spacing w:line="480" w:lineRule="auto"/>
        <w:jc w:val="both"/>
        <w:rPr>
          <w:rFonts w:ascii="Times New Roman" w:hAnsi="Times New Roman" w:cs="Times New Roman"/>
          <w:sz w:val="24"/>
          <w:szCs w:val="24"/>
        </w:rPr>
      </w:pPr>
    </w:p>
    <w:p w:rsidR="009E17ED" w:rsidRDefault="009E17ED" w:rsidP="00AE36F5">
      <w:pPr>
        <w:spacing w:line="480" w:lineRule="auto"/>
        <w:jc w:val="both"/>
        <w:rPr>
          <w:rFonts w:ascii="Times New Roman" w:eastAsia="Times New Roman" w:hAnsi="Times New Roman" w:cs="Times New Roman"/>
          <w:sz w:val="24"/>
          <w:szCs w:val="24"/>
        </w:rPr>
      </w:pPr>
    </w:p>
    <w:p w:rsidR="009E17ED" w:rsidRDefault="009E17ED" w:rsidP="00AE36F5">
      <w:pPr>
        <w:spacing w:line="480" w:lineRule="auto"/>
        <w:jc w:val="both"/>
        <w:rPr>
          <w:rFonts w:ascii="Times New Roman" w:eastAsia="Times New Roman" w:hAnsi="Times New Roman" w:cs="Times New Roman"/>
          <w:sz w:val="24"/>
          <w:szCs w:val="24"/>
        </w:rPr>
      </w:pPr>
    </w:p>
    <w:sectPr w:rsidR="009E17ED" w:rsidSect="00687CD1">
      <w:headerReference w:type="default" r:id="rId8"/>
      <w:footerReference w:type="default" r:id="rId9"/>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6664C" w:rsidRDefault="0006664C" w:rsidP="00784A25">
      <w:pPr>
        <w:spacing w:line="240" w:lineRule="auto"/>
      </w:pPr>
      <w:r>
        <w:separator/>
      </w:r>
    </w:p>
  </w:endnote>
  <w:endnote w:type="continuationSeparator" w:id="0">
    <w:p w:rsidR="0006664C" w:rsidRDefault="0006664C" w:rsidP="00784A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575876"/>
      <w:docPartObj>
        <w:docPartGallery w:val="Page Numbers (Bottom of Page)"/>
        <w:docPartUnique/>
      </w:docPartObj>
    </w:sdtPr>
    <w:sdtEndPr/>
    <w:sdtContent>
      <w:sdt>
        <w:sdtPr>
          <w:id w:val="565050523"/>
          <w:docPartObj>
            <w:docPartGallery w:val="Page Numbers (Top of Page)"/>
            <w:docPartUnique/>
          </w:docPartObj>
        </w:sdtPr>
        <w:sdtEndPr/>
        <w:sdtContent>
          <w:p w:rsidR="00687CD1" w:rsidRDefault="00687CD1" w:rsidP="00687CD1">
            <w:pPr>
              <w:pStyle w:val="Footer"/>
              <w:spacing w:line="480" w:lineRule="auto"/>
              <w:jc w:val="right"/>
            </w:pPr>
            <w:r w:rsidRPr="00687CD1">
              <w:rPr>
                <w:rFonts w:ascii="Times New Roman" w:hAnsi="Times New Roman" w:cs="Times New Roman"/>
                <w:b/>
                <w:sz w:val="20"/>
                <w:szCs w:val="20"/>
              </w:rPr>
              <w:t xml:space="preserve">Page </w:t>
            </w:r>
            <w:r w:rsidRPr="00687CD1">
              <w:rPr>
                <w:rFonts w:ascii="Times New Roman" w:hAnsi="Times New Roman" w:cs="Times New Roman"/>
                <w:b/>
                <w:sz w:val="20"/>
                <w:szCs w:val="20"/>
              </w:rPr>
              <w:fldChar w:fldCharType="begin"/>
            </w:r>
            <w:r w:rsidRPr="00687CD1">
              <w:rPr>
                <w:rFonts w:ascii="Times New Roman" w:hAnsi="Times New Roman" w:cs="Times New Roman"/>
                <w:b/>
                <w:sz w:val="20"/>
                <w:szCs w:val="20"/>
              </w:rPr>
              <w:instrText xml:space="preserve"> PAGE </w:instrText>
            </w:r>
            <w:r w:rsidRPr="00687CD1">
              <w:rPr>
                <w:rFonts w:ascii="Times New Roman" w:hAnsi="Times New Roman" w:cs="Times New Roman"/>
                <w:b/>
                <w:sz w:val="20"/>
                <w:szCs w:val="20"/>
              </w:rPr>
              <w:fldChar w:fldCharType="separate"/>
            </w:r>
            <w:r w:rsidR="00AC3827">
              <w:rPr>
                <w:rFonts w:ascii="Times New Roman" w:hAnsi="Times New Roman" w:cs="Times New Roman"/>
                <w:b/>
                <w:noProof/>
                <w:sz w:val="20"/>
                <w:szCs w:val="20"/>
              </w:rPr>
              <w:t>11</w:t>
            </w:r>
            <w:r w:rsidRPr="00687CD1">
              <w:rPr>
                <w:rFonts w:ascii="Times New Roman" w:hAnsi="Times New Roman" w:cs="Times New Roman"/>
                <w:b/>
                <w:sz w:val="20"/>
                <w:szCs w:val="20"/>
              </w:rPr>
              <w:fldChar w:fldCharType="end"/>
            </w:r>
            <w:r w:rsidRPr="00687CD1">
              <w:rPr>
                <w:rFonts w:ascii="Times New Roman" w:hAnsi="Times New Roman" w:cs="Times New Roman"/>
                <w:b/>
                <w:sz w:val="20"/>
                <w:szCs w:val="20"/>
              </w:rPr>
              <w:t xml:space="preserve"> of </w:t>
            </w:r>
            <w:r w:rsidRPr="00687CD1">
              <w:rPr>
                <w:rFonts w:ascii="Times New Roman" w:hAnsi="Times New Roman" w:cs="Times New Roman"/>
                <w:b/>
                <w:sz w:val="20"/>
                <w:szCs w:val="20"/>
              </w:rPr>
              <w:fldChar w:fldCharType="begin"/>
            </w:r>
            <w:r w:rsidRPr="00687CD1">
              <w:rPr>
                <w:rFonts w:ascii="Times New Roman" w:hAnsi="Times New Roman" w:cs="Times New Roman"/>
                <w:b/>
                <w:sz w:val="20"/>
                <w:szCs w:val="20"/>
              </w:rPr>
              <w:instrText xml:space="preserve"> NUMPAGES  </w:instrText>
            </w:r>
            <w:r w:rsidRPr="00687CD1">
              <w:rPr>
                <w:rFonts w:ascii="Times New Roman" w:hAnsi="Times New Roman" w:cs="Times New Roman"/>
                <w:b/>
                <w:sz w:val="20"/>
                <w:szCs w:val="20"/>
              </w:rPr>
              <w:fldChar w:fldCharType="separate"/>
            </w:r>
            <w:r w:rsidR="00AC3827">
              <w:rPr>
                <w:rFonts w:ascii="Times New Roman" w:hAnsi="Times New Roman" w:cs="Times New Roman"/>
                <w:b/>
                <w:noProof/>
                <w:sz w:val="20"/>
                <w:szCs w:val="20"/>
              </w:rPr>
              <w:t>11</w:t>
            </w:r>
            <w:r w:rsidRPr="00687CD1">
              <w:rPr>
                <w:rFonts w:ascii="Times New Roman" w:hAnsi="Times New Roman" w:cs="Times New Roman"/>
                <w:b/>
                <w:sz w:val="20"/>
                <w:szCs w:val="20"/>
              </w:rPr>
              <w:fldChar w:fldCharType="end"/>
            </w:r>
          </w:p>
        </w:sdtContent>
      </w:sdt>
    </w:sdtContent>
  </w:sdt>
  <w:p w:rsidR="00886D9A" w:rsidRDefault="00886D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6664C" w:rsidRDefault="0006664C" w:rsidP="00784A25">
      <w:pPr>
        <w:spacing w:line="240" w:lineRule="auto"/>
      </w:pPr>
      <w:r>
        <w:separator/>
      </w:r>
    </w:p>
  </w:footnote>
  <w:footnote w:type="continuationSeparator" w:id="0">
    <w:p w:rsidR="0006664C" w:rsidRDefault="0006664C" w:rsidP="00784A2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87CD1" w:rsidRPr="00687CD1" w:rsidRDefault="00687CD1" w:rsidP="00687CD1">
    <w:pPr>
      <w:pStyle w:val="Header"/>
      <w:spacing w:line="480" w:lineRule="auto"/>
      <w:jc w:val="right"/>
      <w:rPr>
        <w:rFonts w:ascii="Times New Roman" w:hAnsi="Times New Roman" w:cs="Times New Roman"/>
        <w:b/>
        <w:sz w:val="20"/>
      </w:rPr>
    </w:pPr>
    <w:r w:rsidRPr="00687CD1">
      <w:rPr>
        <w:rFonts w:ascii="Times New Roman" w:hAnsi="Times New Roman" w:cs="Times New Roman"/>
        <w:b/>
        <w:sz w:val="20"/>
      </w:rPr>
      <w:t>Project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7ED"/>
    <w:rsid w:val="0006664C"/>
    <w:rsid w:val="00094AD8"/>
    <w:rsid w:val="002A5FB8"/>
    <w:rsid w:val="00471019"/>
    <w:rsid w:val="004B5024"/>
    <w:rsid w:val="00522D81"/>
    <w:rsid w:val="005C5915"/>
    <w:rsid w:val="006031CA"/>
    <w:rsid w:val="00687CD1"/>
    <w:rsid w:val="006B1080"/>
    <w:rsid w:val="007077D3"/>
    <w:rsid w:val="00775A35"/>
    <w:rsid w:val="00784A25"/>
    <w:rsid w:val="007D0F7D"/>
    <w:rsid w:val="00886D9A"/>
    <w:rsid w:val="00972562"/>
    <w:rsid w:val="0098790B"/>
    <w:rsid w:val="009E17ED"/>
    <w:rsid w:val="00A9735C"/>
    <w:rsid w:val="00AA3F59"/>
    <w:rsid w:val="00AC3827"/>
    <w:rsid w:val="00AE36F5"/>
    <w:rsid w:val="00B06412"/>
    <w:rsid w:val="00B94B24"/>
    <w:rsid w:val="00EB14FA"/>
    <w:rsid w:val="00EF706E"/>
    <w:rsid w:val="00F13B0C"/>
    <w:rsid w:val="00F812B2"/>
    <w:rsid w:val="00FA512A"/>
    <w:rsid w:val="00FC1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AC9F5"/>
  <w15:docId w15:val="{ADAF54C2-D997-4622-B977-F73484DEE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A25"/>
  </w:style>
  <w:style w:type="paragraph" w:styleId="Heading1">
    <w:name w:val="heading 1"/>
    <w:basedOn w:val="Normal"/>
    <w:next w:val="Normal"/>
    <w:uiPriority w:val="9"/>
    <w:qFormat/>
    <w:rsid w:val="00F812B2"/>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
    <w:next w:val="Normal"/>
    <w:uiPriority w:val="9"/>
    <w:semiHidden/>
    <w:unhideWhenUsed/>
    <w:qFormat/>
    <w:rsid w:val="00784A25"/>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784A25"/>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784A25"/>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784A25"/>
    <w:pPr>
      <w:keepNext/>
      <w:keepLines/>
      <w:spacing w:before="240" w:after="80"/>
      <w:outlineLvl w:val="4"/>
    </w:pPr>
    <w:rPr>
      <w:color w:val="666666"/>
    </w:rPr>
  </w:style>
  <w:style w:type="paragraph" w:styleId="Heading6">
    <w:name w:val="heading 6"/>
    <w:basedOn w:val="Normal"/>
    <w:next w:val="Normal"/>
    <w:uiPriority w:val="9"/>
    <w:semiHidden/>
    <w:unhideWhenUsed/>
    <w:qFormat/>
    <w:rsid w:val="00784A2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784A25"/>
    <w:pPr>
      <w:keepNext/>
      <w:keepLines/>
      <w:spacing w:after="60"/>
    </w:pPr>
    <w:rPr>
      <w:sz w:val="52"/>
      <w:szCs w:val="52"/>
    </w:rPr>
  </w:style>
  <w:style w:type="paragraph" w:styleId="Subtitle">
    <w:name w:val="Subtitle"/>
    <w:basedOn w:val="Normal"/>
    <w:next w:val="Normal"/>
    <w:uiPriority w:val="11"/>
    <w:qFormat/>
    <w:rsid w:val="00784A25"/>
    <w:pPr>
      <w:keepNext/>
      <w:keepLines/>
      <w:spacing w:after="320"/>
    </w:pPr>
    <w:rPr>
      <w:color w:val="666666"/>
      <w:sz w:val="30"/>
      <w:szCs w:val="30"/>
    </w:rPr>
  </w:style>
  <w:style w:type="paragraph" w:styleId="Header">
    <w:name w:val="header"/>
    <w:basedOn w:val="Normal"/>
    <w:link w:val="HeaderChar"/>
    <w:uiPriority w:val="99"/>
    <w:unhideWhenUsed/>
    <w:rsid w:val="00886D9A"/>
    <w:pPr>
      <w:tabs>
        <w:tab w:val="center" w:pos="4513"/>
        <w:tab w:val="right" w:pos="9026"/>
      </w:tabs>
      <w:spacing w:line="240" w:lineRule="auto"/>
    </w:pPr>
  </w:style>
  <w:style w:type="character" w:customStyle="1" w:styleId="HeaderChar">
    <w:name w:val="Header Char"/>
    <w:basedOn w:val="DefaultParagraphFont"/>
    <w:link w:val="Header"/>
    <w:uiPriority w:val="99"/>
    <w:rsid w:val="00886D9A"/>
  </w:style>
  <w:style w:type="paragraph" w:styleId="Footer">
    <w:name w:val="footer"/>
    <w:basedOn w:val="Normal"/>
    <w:link w:val="FooterChar"/>
    <w:uiPriority w:val="99"/>
    <w:unhideWhenUsed/>
    <w:rsid w:val="00886D9A"/>
    <w:pPr>
      <w:tabs>
        <w:tab w:val="center" w:pos="4513"/>
        <w:tab w:val="right" w:pos="9026"/>
      </w:tabs>
      <w:spacing w:line="240" w:lineRule="auto"/>
    </w:pPr>
  </w:style>
  <w:style w:type="character" w:customStyle="1" w:styleId="FooterChar">
    <w:name w:val="Footer Char"/>
    <w:basedOn w:val="DefaultParagraphFont"/>
    <w:link w:val="Footer"/>
    <w:uiPriority w:val="99"/>
    <w:rsid w:val="00886D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hyperlink" Target="https://www.newcivilengineer.com/latest/hinkley-point-c-year-delay-and-3bn-cost-increase-revealed-20-05-2022/"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50FDA67-6E9A-47F6-BF13-4E93F820010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2874</Words>
  <Characters>16388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Petyo Marinov</cp:lastModifiedBy>
  <cp:revision>7</cp:revision>
  <dcterms:created xsi:type="dcterms:W3CDTF">2023-03-08T15:23:00Z</dcterms:created>
  <dcterms:modified xsi:type="dcterms:W3CDTF">2023-03-18T06:29:00Z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6fd4326e9c1099fad165f932dabb16faf5cb3d9d09612c3e93c26638222c550e</vt:lpwstr>
  </property>
</Properties>
</file>