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9DEEBF" w14:textId="77777777" w:rsidR="006967AB" w:rsidRDefault="006967AB" w:rsidP="00457209">
      <w:pPr>
        <w:spacing w:line="360" w:lineRule="auto"/>
        <w:rPr>
          <w:rFonts w:ascii="Arial" w:hAnsi="Arial" w:cs="Arial"/>
          <w:b/>
          <w:bCs/>
          <w:sz w:val="32"/>
          <w:szCs w:val="32"/>
        </w:rPr>
      </w:pPr>
    </w:p>
    <w:p w14:paraId="5309CCD6" w14:textId="77777777" w:rsidR="006967AB" w:rsidRDefault="006967AB" w:rsidP="00457209">
      <w:pPr>
        <w:spacing w:line="360" w:lineRule="auto"/>
        <w:rPr>
          <w:rFonts w:ascii="Arial" w:hAnsi="Arial" w:cs="Arial"/>
          <w:b/>
          <w:bCs/>
          <w:sz w:val="32"/>
          <w:szCs w:val="32"/>
        </w:rPr>
      </w:pPr>
    </w:p>
    <w:p w14:paraId="4633C15B" w14:textId="77777777" w:rsidR="006967AB" w:rsidRDefault="006967AB" w:rsidP="00457209">
      <w:pPr>
        <w:spacing w:line="360" w:lineRule="auto"/>
        <w:rPr>
          <w:rFonts w:ascii="Arial" w:hAnsi="Arial" w:cs="Arial"/>
          <w:b/>
          <w:bCs/>
          <w:sz w:val="32"/>
          <w:szCs w:val="32"/>
        </w:rPr>
      </w:pPr>
    </w:p>
    <w:p w14:paraId="33D4AF8F" w14:textId="77777777" w:rsidR="006967AB" w:rsidRDefault="006967AB" w:rsidP="00457209">
      <w:pPr>
        <w:spacing w:line="360" w:lineRule="auto"/>
        <w:rPr>
          <w:rFonts w:ascii="Arial" w:hAnsi="Arial" w:cs="Arial"/>
          <w:b/>
          <w:bCs/>
          <w:sz w:val="32"/>
          <w:szCs w:val="32"/>
        </w:rPr>
      </w:pPr>
    </w:p>
    <w:p w14:paraId="51CCF1EC" w14:textId="77777777" w:rsidR="006967AB" w:rsidRDefault="006967AB" w:rsidP="00457209">
      <w:pPr>
        <w:spacing w:line="360" w:lineRule="auto"/>
        <w:rPr>
          <w:rFonts w:ascii="Arial" w:hAnsi="Arial" w:cs="Arial"/>
          <w:b/>
          <w:bCs/>
          <w:sz w:val="32"/>
          <w:szCs w:val="32"/>
        </w:rPr>
      </w:pPr>
    </w:p>
    <w:p w14:paraId="7A455CEF" w14:textId="77777777" w:rsidR="006967AB" w:rsidRDefault="006967AB" w:rsidP="00457209">
      <w:pPr>
        <w:spacing w:line="360" w:lineRule="auto"/>
        <w:rPr>
          <w:rFonts w:ascii="Arial" w:hAnsi="Arial" w:cs="Arial"/>
          <w:b/>
          <w:bCs/>
          <w:sz w:val="32"/>
          <w:szCs w:val="32"/>
        </w:rPr>
      </w:pPr>
    </w:p>
    <w:p w14:paraId="072CABB4" w14:textId="3E69C207" w:rsidR="00457209" w:rsidRPr="004079F7" w:rsidRDefault="00457209" w:rsidP="006961CA">
      <w:pPr>
        <w:spacing w:line="480" w:lineRule="auto"/>
        <w:rPr>
          <w:rFonts w:ascii="Arial" w:hAnsi="Arial" w:cs="Arial"/>
          <w:b/>
          <w:bCs/>
          <w:sz w:val="32"/>
          <w:szCs w:val="32"/>
        </w:rPr>
      </w:pPr>
      <w:r w:rsidRPr="004079F7">
        <w:rPr>
          <w:rFonts w:ascii="Arial" w:hAnsi="Arial" w:cs="Arial"/>
          <w:b/>
          <w:bCs/>
          <w:sz w:val="32"/>
          <w:szCs w:val="32"/>
        </w:rPr>
        <w:t xml:space="preserve">Student Name: </w:t>
      </w:r>
      <w:r w:rsidRPr="004079F7">
        <w:rPr>
          <w:rFonts w:ascii="Arial" w:hAnsi="Arial" w:cs="Arial"/>
          <w:sz w:val="32"/>
          <w:szCs w:val="32"/>
        </w:rPr>
        <w:t>Foqia Farooq</w:t>
      </w:r>
    </w:p>
    <w:p w14:paraId="57C3CC9D" w14:textId="77777777" w:rsidR="00457209" w:rsidRPr="004079F7" w:rsidRDefault="00457209" w:rsidP="006961CA">
      <w:pPr>
        <w:spacing w:after="0" w:line="480" w:lineRule="auto"/>
        <w:rPr>
          <w:rFonts w:ascii="Arial" w:hAnsi="Arial" w:cs="Arial"/>
          <w:b/>
          <w:bCs/>
          <w:sz w:val="32"/>
          <w:szCs w:val="32"/>
        </w:rPr>
      </w:pPr>
      <w:r w:rsidRPr="004079F7">
        <w:rPr>
          <w:rFonts w:ascii="Arial" w:hAnsi="Arial" w:cs="Arial"/>
          <w:b/>
          <w:bCs/>
          <w:sz w:val="32"/>
          <w:szCs w:val="32"/>
        </w:rPr>
        <w:t xml:space="preserve">Student number: </w:t>
      </w:r>
      <w:r w:rsidRPr="004079F7">
        <w:rPr>
          <w:rFonts w:ascii="Arial" w:hAnsi="Arial" w:cs="Arial"/>
          <w:sz w:val="32"/>
          <w:szCs w:val="32"/>
        </w:rPr>
        <w:t>2424146</w:t>
      </w:r>
    </w:p>
    <w:p w14:paraId="0D8D9408" w14:textId="23AA6981" w:rsidR="00457209" w:rsidRPr="002F511D" w:rsidRDefault="00457209" w:rsidP="006961CA">
      <w:pPr>
        <w:spacing w:after="0" w:line="480" w:lineRule="auto"/>
        <w:rPr>
          <w:rFonts w:ascii="Arial" w:hAnsi="Arial" w:cs="Arial"/>
          <w:sz w:val="32"/>
          <w:szCs w:val="32"/>
        </w:rPr>
      </w:pPr>
      <w:r w:rsidRPr="004079F7">
        <w:rPr>
          <w:rFonts w:ascii="Arial" w:hAnsi="Arial" w:cs="Arial"/>
          <w:b/>
          <w:bCs/>
          <w:sz w:val="32"/>
          <w:szCs w:val="32"/>
        </w:rPr>
        <w:t xml:space="preserve">Lecturer Name: </w:t>
      </w:r>
      <w:r w:rsidR="006967AB">
        <w:rPr>
          <w:rFonts w:ascii="Arial" w:hAnsi="Arial" w:cs="Arial"/>
          <w:sz w:val="32"/>
          <w:szCs w:val="32"/>
        </w:rPr>
        <w:t>Alice Clayton</w:t>
      </w:r>
    </w:p>
    <w:p w14:paraId="0B74A717" w14:textId="6947FF6A" w:rsidR="00457209" w:rsidRPr="004079F7" w:rsidRDefault="00457209" w:rsidP="006961CA">
      <w:pPr>
        <w:spacing w:after="0" w:line="480" w:lineRule="auto"/>
        <w:rPr>
          <w:rFonts w:ascii="Arial" w:hAnsi="Arial" w:cs="Arial"/>
          <w:b/>
          <w:bCs/>
          <w:sz w:val="32"/>
          <w:szCs w:val="32"/>
        </w:rPr>
      </w:pPr>
      <w:r w:rsidRPr="004079F7">
        <w:rPr>
          <w:rFonts w:ascii="Arial" w:hAnsi="Arial" w:cs="Arial"/>
          <w:b/>
          <w:bCs/>
          <w:sz w:val="32"/>
          <w:szCs w:val="32"/>
        </w:rPr>
        <w:t xml:space="preserve">Programme Title: </w:t>
      </w:r>
      <w:r w:rsidR="006967AB">
        <w:rPr>
          <w:rFonts w:ascii="Arial" w:hAnsi="Arial" w:cs="Arial"/>
          <w:sz w:val="32"/>
          <w:szCs w:val="32"/>
        </w:rPr>
        <w:t xml:space="preserve">Psychology </w:t>
      </w:r>
      <w:r w:rsidR="00B55FD1">
        <w:rPr>
          <w:rFonts w:ascii="Arial" w:hAnsi="Arial" w:cs="Arial"/>
          <w:sz w:val="32"/>
          <w:szCs w:val="32"/>
        </w:rPr>
        <w:t>in Health &amp; Social Care</w:t>
      </w:r>
    </w:p>
    <w:p w14:paraId="153AC8F7" w14:textId="0C927F6D" w:rsidR="00457209" w:rsidRPr="004079F7" w:rsidRDefault="00457209" w:rsidP="006961CA">
      <w:pPr>
        <w:spacing w:after="0" w:line="480" w:lineRule="auto"/>
        <w:rPr>
          <w:rFonts w:ascii="Arial" w:hAnsi="Arial" w:cs="Arial"/>
          <w:b/>
          <w:bCs/>
          <w:sz w:val="32"/>
          <w:szCs w:val="32"/>
        </w:rPr>
      </w:pPr>
      <w:r w:rsidRPr="004079F7">
        <w:rPr>
          <w:rFonts w:ascii="Arial" w:hAnsi="Arial" w:cs="Arial"/>
          <w:b/>
          <w:bCs/>
          <w:sz w:val="32"/>
          <w:szCs w:val="32"/>
        </w:rPr>
        <w:t xml:space="preserve">Module Code: </w:t>
      </w:r>
      <w:r w:rsidRPr="004079F7">
        <w:rPr>
          <w:rFonts w:ascii="Arial" w:hAnsi="Arial" w:cs="Arial"/>
          <w:sz w:val="32"/>
          <w:szCs w:val="32"/>
        </w:rPr>
        <w:t>LCHS40</w:t>
      </w:r>
      <w:r w:rsidR="008561B0">
        <w:rPr>
          <w:rFonts w:ascii="Arial" w:hAnsi="Arial" w:cs="Arial"/>
          <w:sz w:val="32"/>
          <w:szCs w:val="32"/>
        </w:rPr>
        <w:t>10</w:t>
      </w:r>
    </w:p>
    <w:p w14:paraId="0B3C7AA2" w14:textId="6EE37624" w:rsidR="00457209" w:rsidRPr="004079F7" w:rsidRDefault="00457209" w:rsidP="006961CA">
      <w:pPr>
        <w:spacing w:after="0" w:line="480" w:lineRule="auto"/>
        <w:rPr>
          <w:rFonts w:ascii="Arial" w:hAnsi="Arial" w:cs="Arial"/>
          <w:b/>
          <w:bCs/>
          <w:sz w:val="32"/>
          <w:szCs w:val="32"/>
        </w:rPr>
      </w:pPr>
      <w:r w:rsidRPr="004079F7">
        <w:rPr>
          <w:rFonts w:ascii="Arial" w:hAnsi="Arial" w:cs="Arial"/>
          <w:b/>
          <w:bCs/>
          <w:sz w:val="32"/>
          <w:szCs w:val="32"/>
        </w:rPr>
        <w:t>Assignment Title:</w:t>
      </w:r>
      <w:r>
        <w:rPr>
          <w:rFonts w:ascii="Arial" w:hAnsi="Arial" w:cs="Arial"/>
          <w:b/>
          <w:bCs/>
          <w:sz w:val="32"/>
          <w:szCs w:val="32"/>
        </w:rPr>
        <w:t xml:space="preserve"> </w:t>
      </w:r>
      <w:r w:rsidR="00240C07">
        <w:rPr>
          <w:rFonts w:ascii="Arial" w:hAnsi="Arial" w:cs="Arial"/>
          <w:sz w:val="32"/>
          <w:szCs w:val="32"/>
        </w:rPr>
        <w:t>Written Task</w:t>
      </w:r>
    </w:p>
    <w:p w14:paraId="2A395698" w14:textId="77777777" w:rsidR="00457209" w:rsidRDefault="00457209" w:rsidP="00457209">
      <w:pPr>
        <w:spacing w:line="360" w:lineRule="auto"/>
        <w:rPr>
          <w:rFonts w:ascii="Arial" w:hAnsi="Arial" w:cs="Arial"/>
          <w:b/>
          <w:bCs/>
          <w:sz w:val="40"/>
          <w:szCs w:val="40"/>
        </w:rPr>
      </w:pPr>
    </w:p>
    <w:p w14:paraId="74BBD278" w14:textId="77777777" w:rsidR="00457209" w:rsidRDefault="00457209" w:rsidP="00457209">
      <w:pPr>
        <w:spacing w:line="360" w:lineRule="auto"/>
        <w:rPr>
          <w:rFonts w:ascii="Arial" w:hAnsi="Arial" w:cs="Arial"/>
          <w:b/>
          <w:bCs/>
          <w:sz w:val="40"/>
          <w:szCs w:val="40"/>
        </w:rPr>
      </w:pPr>
    </w:p>
    <w:p w14:paraId="648629D9" w14:textId="77777777" w:rsidR="00457209" w:rsidRDefault="00457209" w:rsidP="00457209">
      <w:pPr>
        <w:rPr>
          <w:rFonts w:ascii="Arial" w:hAnsi="Arial" w:cs="Arial"/>
          <w:b/>
          <w:bCs/>
          <w:sz w:val="40"/>
          <w:szCs w:val="40"/>
        </w:rPr>
      </w:pPr>
      <w:r>
        <w:rPr>
          <w:rFonts w:ascii="Arial" w:hAnsi="Arial" w:cs="Arial"/>
          <w:b/>
          <w:bCs/>
          <w:sz w:val="40"/>
          <w:szCs w:val="40"/>
        </w:rPr>
        <w:br w:type="page"/>
      </w:r>
    </w:p>
    <w:p w14:paraId="0A00452C" w14:textId="77777777" w:rsidR="00457209" w:rsidRDefault="00457209" w:rsidP="00457209">
      <w:pPr>
        <w:spacing w:line="360" w:lineRule="auto"/>
        <w:rPr>
          <w:rFonts w:ascii="Arial" w:hAnsi="Arial" w:cs="Arial"/>
          <w:b/>
          <w:bCs/>
          <w:sz w:val="40"/>
          <w:szCs w:val="40"/>
        </w:rPr>
      </w:pPr>
      <w:r>
        <w:rPr>
          <w:rFonts w:ascii="Arial" w:hAnsi="Arial" w:cs="Arial"/>
          <w:b/>
          <w:bCs/>
          <w:sz w:val="40"/>
          <w:szCs w:val="40"/>
        </w:rPr>
        <w:lastRenderedPageBreak/>
        <w:t xml:space="preserve">Contents Page                                               </w:t>
      </w:r>
    </w:p>
    <w:p w14:paraId="476A6C92" w14:textId="77777777" w:rsidR="00457209" w:rsidRPr="00AB426C" w:rsidRDefault="00457209" w:rsidP="00457209">
      <w:pPr>
        <w:spacing w:line="360" w:lineRule="auto"/>
        <w:rPr>
          <w:rFonts w:ascii="Arial" w:hAnsi="Arial" w:cs="Arial"/>
          <w:b/>
          <w:bCs/>
          <w:sz w:val="36"/>
          <w:szCs w:val="36"/>
        </w:rPr>
      </w:pPr>
    </w:p>
    <w:p w14:paraId="722332CF" w14:textId="4E34F0B4" w:rsidR="00DF6199" w:rsidRPr="00CA6A6C" w:rsidRDefault="00DF6199" w:rsidP="00457209">
      <w:pPr>
        <w:spacing w:before="240" w:line="360" w:lineRule="auto"/>
        <w:rPr>
          <w:rFonts w:ascii="Arial" w:hAnsi="Arial" w:cs="Arial"/>
          <w:sz w:val="22"/>
          <w:szCs w:val="22"/>
        </w:rPr>
      </w:pPr>
      <w:r>
        <w:rPr>
          <w:rFonts w:ascii="Arial" w:hAnsi="Arial" w:cs="Arial"/>
          <w:b/>
          <w:bCs/>
          <w:sz w:val="22"/>
          <w:szCs w:val="22"/>
        </w:rPr>
        <w:t>Intr</w:t>
      </w:r>
      <w:r w:rsidR="00CA6A6C">
        <w:rPr>
          <w:rFonts w:ascii="Arial" w:hAnsi="Arial" w:cs="Arial"/>
          <w:b/>
          <w:bCs/>
          <w:sz w:val="22"/>
          <w:szCs w:val="22"/>
        </w:rPr>
        <w:t>oduction</w:t>
      </w:r>
      <w:r w:rsidR="00CA6A6C">
        <w:rPr>
          <w:rFonts w:ascii="Arial" w:hAnsi="Arial" w:cs="Arial"/>
          <w:sz w:val="22"/>
          <w:szCs w:val="22"/>
        </w:rPr>
        <w:t>………………………………………………………………………………………</w:t>
      </w:r>
      <w:r w:rsidR="00BC341D">
        <w:rPr>
          <w:rFonts w:ascii="Arial" w:hAnsi="Arial" w:cs="Arial"/>
          <w:sz w:val="22"/>
          <w:szCs w:val="22"/>
        </w:rPr>
        <w:t>.</w:t>
      </w:r>
      <w:r w:rsidR="00BC341D" w:rsidRPr="00BC341D">
        <w:rPr>
          <w:rFonts w:ascii="Arial" w:hAnsi="Arial" w:cs="Arial"/>
          <w:b/>
          <w:bCs/>
          <w:sz w:val="22"/>
          <w:szCs w:val="22"/>
        </w:rPr>
        <w:t>3</w:t>
      </w:r>
    </w:p>
    <w:p w14:paraId="55C73204" w14:textId="7D199E23" w:rsidR="00457209" w:rsidRPr="00DF6199" w:rsidRDefault="00463A06" w:rsidP="00457209">
      <w:pPr>
        <w:spacing w:before="240" w:line="360" w:lineRule="auto"/>
        <w:rPr>
          <w:rFonts w:ascii="Arial" w:hAnsi="Arial" w:cs="Arial"/>
          <w:sz w:val="22"/>
          <w:szCs w:val="22"/>
        </w:rPr>
      </w:pPr>
      <w:r w:rsidRPr="00DF6199">
        <w:rPr>
          <w:rFonts w:ascii="Arial" w:hAnsi="Arial" w:cs="Arial"/>
          <w:b/>
          <w:bCs/>
          <w:sz w:val="22"/>
          <w:szCs w:val="22"/>
        </w:rPr>
        <w:t>Erikson Theory</w:t>
      </w:r>
      <w:r w:rsidR="00457209">
        <w:rPr>
          <w:rFonts w:ascii="Arial" w:hAnsi="Arial" w:cs="Arial"/>
          <w:sz w:val="22"/>
          <w:szCs w:val="22"/>
        </w:rPr>
        <w:t>……</w:t>
      </w:r>
      <w:r w:rsidR="00BB2A0D">
        <w:rPr>
          <w:rFonts w:ascii="Arial" w:hAnsi="Arial" w:cs="Arial"/>
          <w:sz w:val="22"/>
          <w:szCs w:val="22"/>
        </w:rPr>
        <w:t>………..</w:t>
      </w:r>
      <w:r w:rsidR="00457209">
        <w:rPr>
          <w:rFonts w:ascii="Arial" w:hAnsi="Arial" w:cs="Arial"/>
          <w:sz w:val="22"/>
          <w:szCs w:val="22"/>
        </w:rPr>
        <w:t>……………………………………………………………………</w:t>
      </w:r>
      <w:r w:rsidR="00BB2A0D" w:rsidRPr="00DF6199">
        <w:rPr>
          <w:rFonts w:ascii="Arial" w:hAnsi="Arial" w:cs="Arial"/>
          <w:b/>
          <w:bCs/>
          <w:sz w:val="22"/>
          <w:szCs w:val="22"/>
        </w:rPr>
        <w:t>3</w:t>
      </w:r>
      <w:r w:rsidR="00457209" w:rsidRPr="00DF6199">
        <w:rPr>
          <w:rFonts w:ascii="Arial" w:hAnsi="Arial" w:cs="Arial"/>
          <w:b/>
          <w:bCs/>
          <w:sz w:val="22"/>
          <w:szCs w:val="22"/>
        </w:rPr>
        <w:t>-</w:t>
      </w:r>
      <w:r w:rsidR="00FD05AF">
        <w:rPr>
          <w:rFonts w:ascii="Arial" w:hAnsi="Arial" w:cs="Arial"/>
          <w:b/>
          <w:bCs/>
          <w:sz w:val="22"/>
          <w:szCs w:val="22"/>
        </w:rPr>
        <w:t>6</w:t>
      </w:r>
    </w:p>
    <w:p w14:paraId="55D69580" w14:textId="4F55D557" w:rsidR="00457209" w:rsidRPr="00DF6199" w:rsidRDefault="00463A06" w:rsidP="00457209">
      <w:pPr>
        <w:spacing w:before="240" w:line="360" w:lineRule="auto"/>
        <w:rPr>
          <w:rFonts w:ascii="Arial" w:hAnsi="Arial" w:cs="Arial"/>
          <w:sz w:val="22"/>
          <w:szCs w:val="22"/>
        </w:rPr>
      </w:pPr>
      <w:r w:rsidRPr="00DF6199">
        <w:rPr>
          <w:rFonts w:ascii="Arial" w:hAnsi="Arial" w:cs="Arial"/>
          <w:b/>
          <w:bCs/>
          <w:sz w:val="22"/>
          <w:szCs w:val="22"/>
        </w:rPr>
        <w:t>Maslow Theory</w:t>
      </w:r>
      <w:r w:rsidR="00457209">
        <w:rPr>
          <w:rFonts w:ascii="Arial" w:hAnsi="Arial" w:cs="Arial"/>
          <w:sz w:val="22"/>
          <w:szCs w:val="22"/>
        </w:rPr>
        <w:t>…………</w:t>
      </w:r>
      <w:r w:rsidR="008B4837">
        <w:rPr>
          <w:rFonts w:ascii="Arial" w:hAnsi="Arial" w:cs="Arial"/>
          <w:sz w:val="22"/>
          <w:szCs w:val="22"/>
        </w:rPr>
        <w:t>………..</w:t>
      </w:r>
      <w:r w:rsidR="00457209">
        <w:rPr>
          <w:rFonts w:ascii="Arial" w:hAnsi="Arial" w:cs="Arial"/>
          <w:sz w:val="22"/>
          <w:szCs w:val="22"/>
        </w:rPr>
        <w:t>………………………………………………………………</w:t>
      </w:r>
      <w:r w:rsidR="00F12B09">
        <w:rPr>
          <w:rFonts w:ascii="Arial" w:hAnsi="Arial" w:cs="Arial"/>
          <w:b/>
          <w:bCs/>
          <w:sz w:val="22"/>
          <w:szCs w:val="22"/>
        </w:rPr>
        <w:t>6</w:t>
      </w:r>
      <w:r w:rsidR="00457209" w:rsidRPr="00DF6199">
        <w:rPr>
          <w:rFonts w:ascii="Arial" w:hAnsi="Arial" w:cs="Arial"/>
          <w:b/>
          <w:bCs/>
          <w:sz w:val="22"/>
          <w:szCs w:val="22"/>
        </w:rPr>
        <w:t>-</w:t>
      </w:r>
      <w:r w:rsidR="00F12B09">
        <w:rPr>
          <w:rFonts w:ascii="Arial" w:hAnsi="Arial" w:cs="Arial"/>
          <w:b/>
          <w:bCs/>
          <w:sz w:val="22"/>
          <w:szCs w:val="22"/>
        </w:rPr>
        <w:t>8</w:t>
      </w:r>
    </w:p>
    <w:p w14:paraId="2B40E53C" w14:textId="66E35E9D" w:rsidR="00BB2A0D" w:rsidRPr="00DF6199" w:rsidRDefault="00BB2A0D" w:rsidP="00457209">
      <w:pPr>
        <w:spacing w:before="240" w:line="360" w:lineRule="auto"/>
        <w:rPr>
          <w:rFonts w:ascii="Arial" w:hAnsi="Arial" w:cs="Arial"/>
          <w:sz w:val="22"/>
          <w:szCs w:val="22"/>
        </w:rPr>
      </w:pPr>
      <w:r w:rsidRPr="00DF6199">
        <w:rPr>
          <w:rFonts w:ascii="Arial" w:hAnsi="Arial" w:cs="Arial"/>
          <w:b/>
          <w:bCs/>
          <w:sz w:val="22"/>
          <w:szCs w:val="22"/>
        </w:rPr>
        <w:t>Conclusion</w:t>
      </w:r>
      <w:r w:rsidRPr="00DF6199">
        <w:rPr>
          <w:rFonts w:ascii="Arial" w:hAnsi="Arial" w:cs="Arial"/>
          <w:sz w:val="22"/>
          <w:szCs w:val="22"/>
        </w:rPr>
        <w:t>………………………………………………………………………………………</w:t>
      </w:r>
      <w:r w:rsidR="00DF6199" w:rsidRPr="00DF6199">
        <w:rPr>
          <w:rFonts w:ascii="Arial" w:hAnsi="Arial" w:cs="Arial"/>
          <w:sz w:val="22"/>
          <w:szCs w:val="22"/>
        </w:rPr>
        <w:t>…</w:t>
      </w:r>
      <w:r w:rsidR="00B2508B">
        <w:rPr>
          <w:rFonts w:ascii="Arial" w:hAnsi="Arial" w:cs="Arial"/>
          <w:b/>
          <w:bCs/>
          <w:sz w:val="22"/>
          <w:szCs w:val="22"/>
        </w:rPr>
        <w:t>8</w:t>
      </w:r>
    </w:p>
    <w:p w14:paraId="2432255F" w14:textId="27E00AE6" w:rsidR="00457209" w:rsidRPr="00DF6199" w:rsidRDefault="00457209" w:rsidP="00457209">
      <w:pPr>
        <w:spacing w:before="240" w:line="360" w:lineRule="auto"/>
        <w:rPr>
          <w:rFonts w:ascii="Arial" w:hAnsi="Arial" w:cs="Arial"/>
          <w:sz w:val="22"/>
          <w:szCs w:val="22"/>
        </w:rPr>
      </w:pPr>
      <w:r w:rsidRPr="00DF6199">
        <w:rPr>
          <w:rFonts w:ascii="Arial" w:hAnsi="Arial" w:cs="Arial"/>
          <w:b/>
          <w:bCs/>
          <w:sz w:val="22"/>
          <w:szCs w:val="22"/>
        </w:rPr>
        <w:t>Reference List</w:t>
      </w:r>
      <w:r w:rsidRPr="00B07218">
        <w:rPr>
          <w:rFonts w:ascii="Arial" w:hAnsi="Arial" w:cs="Arial"/>
          <w:sz w:val="22"/>
          <w:szCs w:val="22"/>
        </w:rPr>
        <w:t>…………………………………………………………………………………</w:t>
      </w:r>
      <w:r w:rsidR="00816AC4">
        <w:rPr>
          <w:rFonts w:ascii="Arial" w:hAnsi="Arial" w:cs="Arial"/>
          <w:sz w:val="22"/>
          <w:szCs w:val="22"/>
        </w:rPr>
        <w:t>.</w:t>
      </w:r>
      <w:r w:rsidRPr="00B07218">
        <w:rPr>
          <w:rFonts w:ascii="Arial" w:hAnsi="Arial" w:cs="Arial"/>
          <w:sz w:val="22"/>
          <w:szCs w:val="22"/>
        </w:rPr>
        <w:t>….</w:t>
      </w:r>
      <w:r w:rsidR="00B2508B">
        <w:rPr>
          <w:rFonts w:ascii="Arial" w:hAnsi="Arial" w:cs="Arial"/>
          <w:b/>
          <w:bCs/>
          <w:sz w:val="22"/>
          <w:szCs w:val="22"/>
        </w:rPr>
        <w:t>9</w:t>
      </w:r>
    </w:p>
    <w:p w14:paraId="32D06722" w14:textId="77777777" w:rsidR="00457209" w:rsidRPr="00702828" w:rsidRDefault="00457209" w:rsidP="00457209">
      <w:pPr>
        <w:spacing w:line="360" w:lineRule="auto"/>
        <w:rPr>
          <w:rFonts w:ascii="Arial" w:hAnsi="Arial" w:cs="Arial"/>
          <w:b/>
          <w:bCs/>
          <w:sz w:val="36"/>
          <w:szCs w:val="36"/>
        </w:rPr>
      </w:pPr>
    </w:p>
    <w:p w14:paraId="001150FB" w14:textId="77777777" w:rsidR="00457209" w:rsidRDefault="00457209" w:rsidP="00457209">
      <w:pPr>
        <w:spacing w:line="360" w:lineRule="auto"/>
        <w:rPr>
          <w:rFonts w:ascii="Arial" w:hAnsi="Arial" w:cs="Arial"/>
          <w:b/>
          <w:bCs/>
          <w:sz w:val="40"/>
          <w:szCs w:val="40"/>
        </w:rPr>
      </w:pPr>
    </w:p>
    <w:p w14:paraId="335C678E" w14:textId="77777777" w:rsidR="00457209" w:rsidRDefault="00457209" w:rsidP="00457209">
      <w:pPr>
        <w:rPr>
          <w:rFonts w:ascii="Arial" w:hAnsi="Arial" w:cs="Arial"/>
          <w:b/>
          <w:bCs/>
          <w:sz w:val="22"/>
          <w:szCs w:val="22"/>
        </w:rPr>
      </w:pPr>
    </w:p>
    <w:p w14:paraId="7AFD792B" w14:textId="77777777" w:rsidR="00457209" w:rsidRDefault="00457209" w:rsidP="00457209">
      <w:pPr>
        <w:rPr>
          <w:rFonts w:ascii="Arial" w:hAnsi="Arial" w:cs="Arial"/>
          <w:b/>
          <w:bCs/>
          <w:sz w:val="22"/>
          <w:szCs w:val="22"/>
        </w:rPr>
      </w:pPr>
      <w:r>
        <w:rPr>
          <w:rFonts w:ascii="Arial" w:hAnsi="Arial" w:cs="Arial"/>
          <w:b/>
          <w:bCs/>
          <w:sz w:val="22"/>
          <w:szCs w:val="22"/>
        </w:rPr>
        <w:br w:type="page"/>
      </w:r>
    </w:p>
    <w:p w14:paraId="659EECF4" w14:textId="56A02D3E" w:rsidR="00437A26" w:rsidRPr="006920A0" w:rsidRDefault="00437A26" w:rsidP="006920A0">
      <w:pPr>
        <w:spacing w:line="360" w:lineRule="auto"/>
        <w:jc w:val="center"/>
        <w:rPr>
          <w:rFonts w:ascii="Arial" w:hAnsi="Arial" w:cs="Arial"/>
          <w:b/>
          <w:bCs/>
          <w:sz w:val="22"/>
          <w:szCs w:val="22"/>
        </w:rPr>
      </w:pPr>
      <w:r w:rsidRPr="009A0CEF">
        <w:rPr>
          <w:rFonts w:ascii="Arial" w:hAnsi="Arial" w:cs="Arial"/>
          <w:b/>
          <w:bCs/>
          <w:sz w:val="22"/>
          <w:szCs w:val="22"/>
        </w:rPr>
        <w:lastRenderedPageBreak/>
        <w:t xml:space="preserve">Supporting Older Adults with Dementia: The Application of Psychological Theories in </w:t>
      </w:r>
      <w:r w:rsidRPr="006920A0">
        <w:rPr>
          <w:rFonts w:ascii="Arial" w:hAnsi="Arial" w:cs="Arial"/>
          <w:b/>
          <w:bCs/>
          <w:sz w:val="22"/>
          <w:szCs w:val="22"/>
        </w:rPr>
        <w:t>Health and Social Care Settings</w:t>
      </w:r>
    </w:p>
    <w:p w14:paraId="2F815498" w14:textId="538752F0"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t>Introduction</w:t>
      </w:r>
    </w:p>
    <w:p w14:paraId="0F971CE5"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As people age, they often experience complex psychological and physical changes that affect their overall well-being. Psychological theories and research provide valuable frameworks that help health and social care professionals understand, predict, and support the emotional and behavioural needs of older adults. This is particularly important in dementia care, where individuals frequently face cognitive decline, memory loss, confusion, and behavioural challenges that impact their sense of identity and quality of life.</w:t>
      </w:r>
    </w:p>
    <w:p w14:paraId="333C3038" w14:textId="7DFD67B0"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This report explores how two major psychological theories</w:t>
      </w:r>
      <w:r w:rsidR="004E1A32">
        <w:rPr>
          <w:rFonts w:ascii="Arial" w:hAnsi="Arial" w:cs="Arial"/>
          <w:sz w:val="22"/>
          <w:szCs w:val="22"/>
        </w:rPr>
        <w:t xml:space="preserve"> </w:t>
      </w:r>
      <w:r w:rsidRPr="006920A0">
        <w:rPr>
          <w:rFonts w:ascii="Arial" w:hAnsi="Arial" w:cs="Arial"/>
          <w:b/>
          <w:bCs/>
          <w:sz w:val="22"/>
          <w:szCs w:val="22"/>
        </w:rPr>
        <w:t>Erikson’s Psychosocial Theory</w:t>
      </w:r>
      <w:r w:rsidRPr="006920A0">
        <w:rPr>
          <w:rFonts w:ascii="Arial" w:hAnsi="Arial" w:cs="Arial"/>
          <w:sz w:val="22"/>
          <w:szCs w:val="22"/>
        </w:rPr>
        <w:t xml:space="preserve"> and </w:t>
      </w:r>
      <w:r w:rsidRPr="006920A0">
        <w:rPr>
          <w:rFonts w:ascii="Arial" w:hAnsi="Arial" w:cs="Arial"/>
          <w:b/>
          <w:bCs/>
          <w:sz w:val="22"/>
          <w:szCs w:val="22"/>
        </w:rPr>
        <w:t>Maslow’s Hierarchy of Needs</w:t>
      </w:r>
      <w:r w:rsidR="00FC5C25">
        <w:rPr>
          <w:rFonts w:ascii="Arial" w:hAnsi="Arial" w:cs="Arial"/>
          <w:sz w:val="22"/>
          <w:szCs w:val="22"/>
        </w:rPr>
        <w:t xml:space="preserve"> </w:t>
      </w:r>
      <w:r w:rsidRPr="006920A0">
        <w:rPr>
          <w:rFonts w:ascii="Arial" w:hAnsi="Arial" w:cs="Arial"/>
          <w:sz w:val="22"/>
          <w:szCs w:val="22"/>
        </w:rPr>
        <w:t>can guide professionals working with adults aged 65 and over who are living with dementia in care homes. It will analyse the core ideas of each theory, discuss practical applications within dementia care settings, and evaluate their usefulness and limitations. By integrating theoretical insight with practical care approaches, professionals can provide more empathetic, person-centred, and psychologically informed support to older adults.</w:t>
      </w:r>
    </w:p>
    <w:p w14:paraId="10F386CB" w14:textId="77777777"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t>Section 1: Erikson’s Psychosocial Theory</w:t>
      </w:r>
    </w:p>
    <w:p w14:paraId="4E8AFC1C" w14:textId="13EAE073" w:rsidR="0006081E" w:rsidRPr="006920A0" w:rsidRDefault="0028740C" w:rsidP="006920A0">
      <w:pPr>
        <w:spacing w:line="360" w:lineRule="auto"/>
        <w:rPr>
          <w:rFonts w:ascii="Arial" w:hAnsi="Arial" w:cs="Arial"/>
          <w:b/>
          <w:bCs/>
          <w:sz w:val="22"/>
          <w:szCs w:val="22"/>
        </w:rPr>
      </w:pPr>
      <w:r w:rsidRPr="006920A0">
        <w:rPr>
          <w:rFonts w:ascii="Arial" w:hAnsi="Arial" w:cs="Arial"/>
          <w:noProof/>
          <w:sz w:val="22"/>
          <w:szCs w:val="22"/>
        </w:rPr>
        <w:drawing>
          <wp:inline distT="0" distB="0" distL="0" distR="0" wp14:anchorId="30CD3B49" wp14:editId="50BEDF93">
            <wp:extent cx="5365775" cy="3304362"/>
            <wp:effectExtent l="152400" t="152400" r="368300" b="353695"/>
            <wp:docPr id="524951565" name="Picture 1" descr="A diagram of stages of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951565" name="Picture 1" descr="A diagram of stages of developmen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11137" cy="3332297"/>
                    </a:xfrm>
                    <a:prstGeom prst="rect">
                      <a:avLst/>
                    </a:prstGeom>
                    <a:ln>
                      <a:noFill/>
                    </a:ln>
                    <a:effectLst>
                      <a:outerShdw blurRad="292100" dist="139700" dir="2700000" algn="tl" rotWithShape="0">
                        <a:srgbClr val="333333">
                          <a:alpha val="65000"/>
                        </a:srgbClr>
                      </a:outerShdw>
                    </a:effectLst>
                  </pic:spPr>
                </pic:pic>
              </a:graphicData>
            </a:graphic>
          </wp:inline>
        </w:drawing>
      </w:r>
    </w:p>
    <w:p w14:paraId="1A93C26D" w14:textId="78C62F54" w:rsidR="00F1551D" w:rsidRPr="006920A0" w:rsidRDefault="00F1551D" w:rsidP="006920A0">
      <w:pPr>
        <w:spacing w:line="360" w:lineRule="auto"/>
        <w:rPr>
          <w:rFonts w:ascii="Arial" w:hAnsi="Arial" w:cs="Arial"/>
          <w:b/>
          <w:bCs/>
          <w:sz w:val="22"/>
          <w:szCs w:val="22"/>
        </w:rPr>
      </w:pPr>
    </w:p>
    <w:p w14:paraId="6986E5B9" w14:textId="77777777"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lastRenderedPageBreak/>
        <w:t>Overview of Erikson’s Psychosocial Theory</w:t>
      </w:r>
    </w:p>
    <w:p w14:paraId="29BA028E" w14:textId="77777777" w:rsidR="002F43D8" w:rsidRPr="002F43D8" w:rsidRDefault="002F43D8" w:rsidP="002F43D8">
      <w:pPr>
        <w:spacing w:line="360" w:lineRule="auto"/>
        <w:rPr>
          <w:rFonts w:ascii="Arial" w:hAnsi="Arial" w:cs="Arial"/>
          <w:sz w:val="22"/>
          <w:szCs w:val="22"/>
        </w:rPr>
      </w:pPr>
      <w:r w:rsidRPr="002F43D8">
        <w:rPr>
          <w:rFonts w:ascii="Arial" w:hAnsi="Arial" w:cs="Arial"/>
          <w:sz w:val="22"/>
          <w:szCs w:val="22"/>
        </w:rPr>
        <w:t xml:space="preserve">Erik Erikson’s </w:t>
      </w:r>
      <w:r w:rsidRPr="002F43D8">
        <w:rPr>
          <w:rFonts w:ascii="Arial" w:hAnsi="Arial" w:cs="Arial"/>
          <w:b/>
          <w:bCs/>
          <w:sz w:val="22"/>
          <w:szCs w:val="22"/>
        </w:rPr>
        <w:t>Psychosocial Theory of Development</w:t>
      </w:r>
      <w:r w:rsidRPr="002F43D8">
        <w:rPr>
          <w:rFonts w:ascii="Arial" w:hAnsi="Arial" w:cs="Arial"/>
          <w:sz w:val="22"/>
          <w:szCs w:val="22"/>
        </w:rPr>
        <w:t xml:space="preserve"> presents a lifespan model of personality formation, emphasising the dynamic interaction between the individual and their social environment across eight sequential stages. Each stage is characterised by a central </w:t>
      </w:r>
      <w:r w:rsidRPr="002F43D8">
        <w:rPr>
          <w:rFonts w:ascii="Arial" w:hAnsi="Arial" w:cs="Arial"/>
          <w:b/>
          <w:bCs/>
          <w:sz w:val="22"/>
          <w:szCs w:val="22"/>
        </w:rPr>
        <w:t>psychosocial crisis</w:t>
      </w:r>
      <w:r w:rsidRPr="002F43D8">
        <w:rPr>
          <w:rFonts w:ascii="Arial" w:hAnsi="Arial" w:cs="Arial"/>
          <w:sz w:val="22"/>
          <w:szCs w:val="22"/>
        </w:rPr>
        <w:t xml:space="preserve">—a developmental conflict that must be successfully negotiated </w:t>
      </w:r>
      <w:proofErr w:type="gramStart"/>
      <w:r w:rsidRPr="002F43D8">
        <w:rPr>
          <w:rFonts w:ascii="Arial" w:hAnsi="Arial" w:cs="Arial"/>
          <w:sz w:val="22"/>
          <w:szCs w:val="22"/>
        </w:rPr>
        <w:t>in order to</w:t>
      </w:r>
      <w:proofErr w:type="gramEnd"/>
      <w:r w:rsidRPr="002F43D8">
        <w:rPr>
          <w:rFonts w:ascii="Arial" w:hAnsi="Arial" w:cs="Arial"/>
          <w:sz w:val="22"/>
          <w:szCs w:val="22"/>
        </w:rPr>
        <w:t xml:space="preserve"> achieve psychological maturity and adaptive functioning (Erikson, 1963). Progress through these stages is cumulative; successful resolution at earlier stages establishes a foundation for effective coping and identity consolidation in later life, whereas unresolved conflicts may hinder subsequent development.</w:t>
      </w:r>
    </w:p>
    <w:p w14:paraId="6000CDDC" w14:textId="77777777" w:rsidR="002F43D8" w:rsidRPr="002F43D8" w:rsidRDefault="002F43D8" w:rsidP="002F43D8">
      <w:pPr>
        <w:spacing w:line="360" w:lineRule="auto"/>
        <w:rPr>
          <w:rFonts w:ascii="Arial" w:hAnsi="Arial" w:cs="Arial"/>
          <w:sz w:val="22"/>
          <w:szCs w:val="22"/>
        </w:rPr>
      </w:pPr>
      <w:r w:rsidRPr="002F43D8">
        <w:rPr>
          <w:rFonts w:ascii="Arial" w:hAnsi="Arial" w:cs="Arial"/>
          <w:sz w:val="22"/>
          <w:szCs w:val="22"/>
        </w:rPr>
        <w:t xml:space="preserve">Of </w:t>
      </w:r>
      <w:proofErr w:type="gramStart"/>
      <w:r w:rsidRPr="002F43D8">
        <w:rPr>
          <w:rFonts w:ascii="Arial" w:hAnsi="Arial" w:cs="Arial"/>
          <w:sz w:val="22"/>
          <w:szCs w:val="22"/>
        </w:rPr>
        <w:t>particular relevance</w:t>
      </w:r>
      <w:proofErr w:type="gramEnd"/>
      <w:r w:rsidRPr="002F43D8">
        <w:rPr>
          <w:rFonts w:ascii="Arial" w:hAnsi="Arial" w:cs="Arial"/>
          <w:sz w:val="22"/>
          <w:szCs w:val="22"/>
        </w:rPr>
        <w:t xml:space="preserve"> to gerontological psychology is the </w:t>
      </w:r>
      <w:r w:rsidRPr="002F43D8">
        <w:rPr>
          <w:rFonts w:ascii="Arial" w:hAnsi="Arial" w:cs="Arial"/>
          <w:b/>
          <w:bCs/>
          <w:sz w:val="22"/>
          <w:szCs w:val="22"/>
        </w:rPr>
        <w:t>eighth and final stage</w:t>
      </w:r>
      <w:r w:rsidRPr="002F43D8">
        <w:rPr>
          <w:rFonts w:ascii="Arial" w:hAnsi="Arial" w:cs="Arial"/>
          <w:sz w:val="22"/>
          <w:szCs w:val="22"/>
        </w:rPr>
        <w:t xml:space="preserve">, termed </w:t>
      </w:r>
      <w:r w:rsidRPr="002F43D8">
        <w:rPr>
          <w:rFonts w:ascii="Arial" w:hAnsi="Arial" w:cs="Arial"/>
          <w:i/>
          <w:iCs/>
          <w:sz w:val="22"/>
          <w:szCs w:val="22"/>
        </w:rPr>
        <w:t>Ego Integrity versus Despair</w:t>
      </w:r>
      <w:r w:rsidRPr="002F43D8">
        <w:rPr>
          <w:rFonts w:ascii="Arial" w:hAnsi="Arial" w:cs="Arial"/>
          <w:sz w:val="22"/>
          <w:szCs w:val="22"/>
        </w:rPr>
        <w:t xml:space="preserve">, which typically emerges during </w:t>
      </w:r>
      <w:r w:rsidRPr="002F43D8">
        <w:rPr>
          <w:rFonts w:ascii="Arial" w:hAnsi="Arial" w:cs="Arial"/>
          <w:b/>
          <w:bCs/>
          <w:sz w:val="22"/>
          <w:szCs w:val="22"/>
        </w:rPr>
        <w:t>late adulthood</w:t>
      </w:r>
      <w:r w:rsidRPr="002F43D8">
        <w:rPr>
          <w:rFonts w:ascii="Arial" w:hAnsi="Arial" w:cs="Arial"/>
          <w:sz w:val="22"/>
          <w:szCs w:val="22"/>
        </w:rPr>
        <w:t xml:space="preserve"> (approximately 65 years and beyond). At this point, individuals are confronted with the existential task of reflecting upon their life narrative, evaluating whether their actions, relationships, and achievements cohere into a meaningful whole. A positive resolution of this stage, culminating in </w:t>
      </w:r>
      <w:r w:rsidRPr="002F43D8">
        <w:rPr>
          <w:rFonts w:ascii="Arial" w:hAnsi="Arial" w:cs="Arial"/>
          <w:i/>
          <w:iCs/>
          <w:sz w:val="22"/>
          <w:szCs w:val="22"/>
        </w:rPr>
        <w:t>ego integrity</w:t>
      </w:r>
      <w:r w:rsidRPr="002F43D8">
        <w:rPr>
          <w:rFonts w:ascii="Arial" w:hAnsi="Arial" w:cs="Arial"/>
          <w:sz w:val="22"/>
          <w:szCs w:val="22"/>
        </w:rPr>
        <w:t xml:space="preserve">, involves attaining a sense of fulfilment, coherence, and acceptance of one’s mortality—what Erikson conceptualised as the attainment of </w:t>
      </w:r>
      <w:r w:rsidRPr="002F43D8">
        <w:rPr>
          <w:rFonts w:ascii="Arial" w:hAnsi="Arial" w:cs="Arial"/>
          <w:b/>
          <w:bCs/>
          <w:sz w:val="22"/>
          <w:szCs w:val="22"/>
        </w:rPr>
        <w:t>wisdom</w:t>
      </w:r>
      <w:r w:rsidRPr="002F43D8">
        <w:rPr>
          <w:rFonts w:ascii="Arial" w:hAnsi="Arial" w:cs="Arial"/>
          <w:sz w:val="22"/>
          <w:szCs w:val="22"/>
        </w:rPr>
        <w:t xml:space="preserve">. Conversely, failure to integrate one’s life experiences may lead to </w:t>
      </w:r>
      <w:r w:rsidRPr="002F43D8">
        <w:rPr>
          <w:rFonts w:ascii="Arial" w:hAnsi="Arial" w:cs="Arial"/>
          <w:i/>
          <w:iCs/>
          <w:sz w:val="22"/>
          <w:szCs w:val="22"/>
        </w:rPr>
        <w:t>despair</w:t>
      </w:r>
      <w:r w:rsidRPr="002F43D8">
        <w:rPr>
          <w:rFonts w:ascii="Arial" w:hAnsi="Arial" w:cs="Arial"/>
          <w:sz w:val="22"/>
          <w:szCs w:val="22"/>
        </w:rPr>
        <w:t>, characterised by regret, self-recrimination, and an intensified fear of death, as individuals perceive their existence as fragmented or unfulfilled.</w:t>
      </w:r>
    </w:p>
    <w:p w14:paraId="19E66DAE" w14:textId="77777777" w:rsidR="002F43D8" w:rsidRPr="002F43D8" w:rsidRDefault="002F43D8" w:rsidP="002F43D8">
      <w:pPr>
        <w:spacing w:line="360" w:lineRule="auto"/>
        <w:rPr>
          <w:rFonts w:ascii="Arial" w:hAnsi="Arial" w:cs="Arial"/>
          <w:sz w:val="22"/>
          <w:szCs w:val="22"/>
        </w:rPr>
      </w:pPr>
      <w:r w:rsidRPr="002F43D8">
        <w:rPr>
          <w:rFonts w:ascii="Arial" w:hAnsi="Arial" w:cs="Arial"/>
          <w:sz w:val="22"/>
          <w:szCs w:val="22"/>
        </w:rPr>
        <w:t xml:space="preserve">Erikson’s theoretical framework underscores the enduring significance of </w:t>
      </w:r>
      <w:r w:rsidRPr="002F43D8">
        <w:rPr>
          <w:rFonts w:ascii="Arial" w:hAnsi="Arial" w:cs="Arial"/>
          <w:b/>
          <w:bCs/>
          <w:sz w:val="22"/>
          <w:szCs w:val="22"/>
        </w:rPr>
        <w:t>identity continuity</w:t>
      </w:r>
      <w:r w:rsidRPr="002F43D8">
        <w:rPr>
          <w:rFonts w:ascii="Arial" w:hAnsi="Arial" w:cs="Arial"/>
          <w:sz w:val="22"/>
          <w:szCs w:val="22"/>
        </w:rPr>
        <w:t xml:space="preserve">, </w:t>
      </w:r>
      <w:r w:rsidRPr="002F43D8">
        <w:rPr>
          <w:rFonts w:ascii="Arial" w:hAnsi="Arial" w:cs="Arial"/>
          <w:b/>
          <w:bCs/>
          <w:sz w:val="22"/>
          <w:szCs w:val="22"/>
        </w:rPr>
        <w:t>self-reflection</w:t>
      </w:r>
      <w:r w:rsidRPr="002F43D8">
        <w:rPr>
          <w:rFonts w:ascii="Arial" w:hAnsi="Arial" w:cs="Arial"/>
          <w:sz w:val="22"/>
          <w:szCs w:val="22"/>
        </w:rPr>
        <w:t xml:space="preserve">, and </w:t>
      </w:r>
      <w:r w:rsidRPr="002F43D8">
        <w:rPr>
          <w:rFonts w:ascii="Arial" w:hAnsi="Arial" w:cs="Arial"/>
          <w:b/>
          <w:bCs/>
          <w:sz w:val="22"/>
          <w:szCs w:val="22"/>
        </w:rPr>
        <w:t>life review</w:t>
      </w:r>
      <w:r w:rsidRPr="002F43D8">
        <w:rPr>
          <w:rFonts w:ascii="Arial" w:hAnsi="Arial" w:cs="Arial"/>
          <w:sz w:val="22"/>
          <w:szCs w:val="22"/>
        </w:rPr>
        <w:t xml:space="preserve"> in maintaining psychological well-being throughout the ageing process (Knight, 2017). These processes enable older adults to sustain a coherent sense of self despite the cumulative challenges of physical decline, social loss, and role transitions. However, in the context of </w:t>
      </w:r>
      <w:r w:rsidRPr="002F43D8">
        <w:rPr>
          <w:rFonts w:ascii="Arial" w:hAnsi="Arial" w:cs="Arial"/>
          <w:b/>
          <w:bCs/>
          <w:sz w:val="22"/>
          <w:szCs w:val="22"/>
        </w:rPr>
        <w:t>neurocognitive disorders such as dementia</w:t>
      </w:r>
      <w:r w:rsidRPr="002F43D8">
        <w:rPr>
          <w:rFonts w:ascii="Arial" w:hAnsi="Arial" w:cs="Arial"/>
          <w:sz w:val="22"/>
          <w:szCs w:val="22"/>
        </w:rPr>
        <w:t xml:space="preserve">, these psychosocial tasks become increasingly complex. The progressive erosion of autobiographical memory and cognitive coherence can disrupt the construction of a continuous life narrative, thereby </w:t>
      </w:r>
      <w:proofErr w:type="gramStart"/>
      <w:r w:rsidRPr="002F43D8">
        <w:rPr>
          <w:rFonts w:ascii="Arial" w:hAnsi="Arial" w:cs="Arial"/>
          <w:sz w:val="22"/>
          <w:szCs w:val="22"/>
        </w:rPr>
        <w:t>threatening</w:t>
      </w:r>
      <w:proofErr w:type="gramEnd"/>
      <w:r w:rsidRPr="002F43D8">
        <w:rPr>
          <w:rFonts w:ascii="Arial" w:hAnsi="Arial" w:cs="Arial"/>
          <w:sz w:val="22"/>
          <w:szCs w:val="22"/>
        </w:rPr>
        <w:t xml:space="preserve"> the individual’s sense of identity and undermining the attainment of ego integrity.</w:t>
      </w:r>
    </w:p>
    <w:p w14:paraId="380A703F" w14:textId="77777777" w:rsidR="002F43D8" w:rsidRPr="002F43D8" w:rsidRDefault="002F43D8" w:rsidP="002F43D8">
      <w:pPr>
        <w:spacing w:line="360" w:lineRule="auto"/>
        <w:rPr>
          <w:rFonts w:ascii="Arial" w:hAnsi="Arial" w:cs="Arial"/>
          <w:sz w:val="22"/>
          <w:szCs w:val="22"/>
        </w:rPr>
      </w:pPr>
      <w:r w:rsidRPr="002F43D8">
        <w:rPr>
          <w:rFonts w:ascii="Arial" w:hAnsi="Arial" w:cs="Arial"/>
          <w:sz w:val="22"/>
          <w:szCs w:val="22"/>
        </w:rPr>
        <w:t xml:space="preserve">Within care practice, Erikson’s model offers a </w:t>
      </w:r>
      <w:r w:rsidRPr="002F43D8">
        <w:rPr>
          <w:rFonts w:ascii="Arial" w:hAnsi="Arial" w:cs="Arial"/>
          <w:b/>
          <w:bCs/>
          <w:sz w:val="22"/>
          <w:szCs w:val="22"/>
        </w:rPr>
        <w:t>conceptual lens</w:t>
      </w:r>
      <w:r w:rsidRPr="002F43D8">
        <w:rPr>
          <w:rFonts w:ascii="Arial" w:hAnsi="Arial" w:cs="Arial"/>
          <w:sz w:val="22"/>
          <w:szCs w:val="22"/>
        </w:rPr>
        <w:t xml:space="preserve"> through which the emotional and existential needs of older adults can be more deeply understood. Interventions grounded in his theory—such as reminiscence therapy, validation techniques, and person-centred care—aim to reaffirm personal identity and facilitate meaning-making, even in the presence of cognitive impairment. By supporting opportunities for reflection, emotional connection, and narrative reconstruction, practitioners can help older adults preserve </w:t>
      </w:r>
      <w:r w:rsidRPr="002F43D8">
        <w:rPr>
          <w:rFonts w:ascii="Arial" w:hAnsi="Arial" w:cs="Arial"/>
          <w:sz w:val="22"/>
          <w:szCs w:val="22"/>
        </w:rPr>
        <w:lastRenderedPageBreak/>
        <w:t>psychological integrity and dignity at the end of life, aligning caregiving with the humanistic principles that underpin Erikson’s developmental philosophy.</w:t>
      </w:r>
    </w:p>
    <w:p w14:paraId="1706E2E6" w14:textId="77777777"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t>Application of Erikson’s Theory in Dementia Care</w:t>
      </w:r>
    </w:p>
    <w:p w14:paraId="7E3B452D"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In dementia care, Erikson’s stage of “Ego Integrity vs. Despair” is particularly relevant. Older adults with dementia often struggle to maintain a coherent sense of identity as their memories fade and cognitive abilities decline. Health and social care professionals can apply Erikson’s theory by helping residents engage in </w:t>
      </w:r>
      <w:r w:rsidRPr="006920A0">
        <w:rPr>
          <w:rFonts w:ascii="Arial" w:hAnsi="Arial" w:cs="Arial"/>
          <w:b/>
          <w:bCs/>
          <w:sz w:val="22"/>
          <w:szCs w:val="22"/>
        </w:rPr>
        <w:t>life review activities</w:t>
      </w:r>
      <w:r w:rsidRPr="006920A0">
        <w:rPr>
          <w:rFonts w:ascii="Arial" w:hAnsi="Arial" w:cs="Arial"/>
          <w:sz w:val="22"/>
          <w:szCs w:val="22"/>
        </w:rPr>
        <w:t>, which enable them to revisit positive life experiences and strengthen their sense of continuity and purpose (Woods et al., 2018).</w:t>
      </w:r>
    </w:p>
    <w:p w14:paraId="42D9D552" w14:textId="4D4B505C"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For example, </w:t>
      </w:r>
      <w:r w:rsidRPr="006920A0">
        <w:rPr>
          <w:rFonts w:ascii="Arial" w:hAnsi="Arial" w:cs="Arial"/>
          <w:b/>
          <w:bCs/>
          <w:sz w:val="22"/>
          <w:szCs w:val="22"/>
        </w:rPr>
        <w:t>reminiscence therapy</w:t>
      </w:r>
      <w:r w:rsidR="003251CF">
        <w:rPr>
          <w:rFonts w:ascii="Arial" w:hAnsi="Arial" w:cs="Arial"/>
          <w:sz w:val="22"/>
          <w:szCs w:val="22"/>
        </w:rPr>
        <w:t xml:space="preserve"> </w:t>
      </w:r>
      <w:r w:rsidR="003771CA">
        <w:rPr>
          <w:rFonts w:ascii="Arial" w:hAnsi="Arial" w:cs="Arial"/>
          <w:sz w:val="22"/>
          <w:szCs w:val="22"/>
        </w:rPr>
        <w:t xml:space="preserve">- </w:t>
      </w:r>
      <w:r w:rsidRPr="006920A0">
        <w:rPr>
          <w:rFonts w:ascii="Arial" w:hAnsi="Arial" w:cs="Arial"/>
          <w:sz w:val="22"/>
          <w:szCs w:val="22"/>
        </w:rPr>
        <w:t>using photographs, music, or familiar scents</w:t>
      </w:r>
      <w:r w:rsidR="003771CA">
        <w:rPr>
          <w:rFonts w:ascii="Arial" w:hAnsi="Arial" w:cs="Arial"/>
          <w:sz w:val="22"/>
          <w:szCs w:val="22"/>
        </w:rPr>
        <w:t xml:space="preserve"> </w:t>
      </w:r>
      <w:r w:rsidRPr="006920A0">
        <w:rPr>
          <w:rFonts w:ascii="Arial" w:hAnsi="Arial" w:cs="Arial"/>
          <w:sz w:val="22"/>
          <w:szCs w:val="22"/>
        </w:rPr>
        <w:t xml:space="preserve">encourages residents to recall past achievements and relationships, reinforcing ego integrity and reducing anxiety or depressive symptoms. Care professionals can also use Erikson’s framework to promote </w:t>
      </w:r>
      <w:r w:rsidRPr="006920A0">
        <w:rPr>
          <w:rFonts w:ascii="Arial" w:hAnsi="Arial" w:cs="Arial"/>
          <w:b/>
          <w:bCs/>
          <w:sz w:val="22"/>
          <w:szCs w:val="22"/>
        </w:rPr>
        <w:t>meaningful social interactions</w:t>
      </w:r>
      <w:r w:rsidRPr="006920A0">
        <w:rPr>
          <w:rFonts w:ascii="Arial" w:hAnsi="Arial" w:cs="Arial"/>
          <w:sz w:val="22"/>
          <w:szCs w:val="22"/>
        </w:rPr>
        <w:t>. Encouraging residents to share stories or participate in group discussions fosters belonging and validation, counteracting feelings of despair or isolation.</w:t>
      </w:r>
    </w:p>
    <w:p w14:paraId="39D97BF0"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Activities such as </w:t>
      </w:r>
      <w:r w:rsidRPr="006920A0">
        <w:rPr>
          <w:rFonts w:ascii="Arial" w:hAnsi="Arial" w:cs="Arial"/>
          <w:b/>
          <w:bCs/>
          <w:sz w:val="22"/>
          <w:szCs w:val="22"/>
        </w:rPr>
        <w:t>memory boxes</w:t>
      </w:r>
      <w:r w:rsidRPr="006920A0">
        <w:rPr>
          <w:rFonts w:ascii="Arial" w:hAnsi="Arial" w:cs="Arial"/>
          <w:sz w:val="22"/>
          <w:szCs w:val="22"/>
        </w:rPr>
        <w:t xml:space="preserve">, </w:t>
      </w:r>
      <w:r w:rsidRPr="006920A0">
        <w:rPr>
          <w:rFonts w:ascii="Arial" w:hAnsi="Arial" w:cs="Arial"/>
          <w:b/>
          <w:bCs/>
          <w:sz w:val="22"/>
          <w:szCs w:val="22"/>
        </w:rPr>
        <w:t>biography work</w:t>
      </w:r>
      <w:r w:rsidRPr="006920A0">
        <w:rPr>
          <w:rFonts w:ascii="Arial" w:hAnsi="Arial" w:cs="Arial"/>
          <w:sz w:val="22"/>
          <w:szCs w:val="22"/>
        </w:rPr>
        <w:t xml:space="preserve">, and </w:t>
      </w:r>
      <w:r w:rsidRPr="006920A0">
        <w:rPr>
          <w:rFonts w:ascii="Arial" w:hAnsi="Arial" w:cs="Arial"/>
          <w:b/>
          <w:bCs/>
          <w:sz w:val="22"/>
          <w:szCs w:val="22"/>
        </w:rPr>
        <w:t>intergenerational programs</w:t>
      </w:r>
      <w:r w:rsidRPr="006920A0">
        <w:rPr>
          <w:rFonts w:ascii="Arial" w:hAnsi="Arial" w:cs="Arial"/>
          <w:sz w:val="22"/>
          <w:szCs w:val="22"/>
        </w:rPr>
        <w:t xml:space="preserve"> can help residents reconnect with their identities and contribute to a sense of personal continuity (Gibson, 2011). Behaviourally, residents experiencing despair may display withdrawal, agitation, or aggression. Understanding these behaviours as expressions of unresolved psychosocial conflict allows caregivers to respond with empathy rather than control.</w:t>
      </w:r>
    </w:p>
    <w:p w14:paraId="67747529"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For instance, staff might provide reassurance or redirect residents toward comforting memories instead of enforcing strict routines. This approach aligns with </w:t>
      </w:r>
      <w:r w:rsidRPr="006920A0">
        <w:rPr>
          <w:rFonts w:ascii="Arial" w:hAnsi="Arial" w:cs="Arial"/>
          <w:b/>
          <w:bCs/>
          <w:sz w:val="22"/>
          <w:szCs w:val="22"/>
        </w:rPr>
        <w:t>person-centred care principles</w:t>
      </w:r>
      <w:r w:rsidRPr="006920A0">
        <w:rPr>
          <w:rFonts w:ascii="Arial" w:hAnsi="Arial" w:cs="Arial"/>
          <w:sz w:val="22"/>
          <w:szCs w:val="22"/>
        </w:rPr>
        <w:t xml:space="preserve"> advocated by </w:t>
      </w:r>
      <w:proofErr w:type="spellStart"/>
      <w:r w:rsidRPr="006920A0">
        <w:rPr>
          <w:rFonts w:ascii="Arial" w:hAnsi="Arial" w:cs="Arial"/>
          <w:sz w:val="22"/>
          <w:szCs w:val="22"/>
        </w:rPr>
        <w:t>Kitwood</w:t>
      </w:r>
      <w:proofErr w:type="spellEnd"/>
      <w:r w:rsidRPr="006920A0">
        <w:rPr>
          <w:rFonts w:ascii="Arial" w:hAnsi="Arial" w:cs="Arial"/>
          <w:sz w:val="22"/>
          <w:szCs w:val="22"/>
        </w:rPr>
        <w:t xml:space="preserve"> (1997), which recognise </w:t>
      </w:r>
      <w:proofErr w:type="gramStart"/>
      <w:r w:rsidRPr="006920A0">
        <w:rPr>
          <w:rFonts w:ascii="Arial" w:hAnsi="Arial" w:cs="Arial"/>
          <w:sz w:val="22"/>
          <w:szCs w:val="22"/>
        </w:rPr>
        <w:t>each individual’s</w:t>
      </w:r>
      <w:proofErr w:type="gramEnd"/>
      <w:r w:rsidRPr="006920A0">
        <w:rPr>
          <w:rFonts w:ascii="Arial" w:hAnsi="Arial" w:cs="Arial"/>
          <w:sz w:val="22"/>
          <w:szCs w:val="22"/>
        </w:rPr>
        <w:t xml:space="preserve"> psychological and emotional needs. By applying Erikson’s theory, professionals can create emotionally supportive environments that affirm dignity, reduce distress, and enhance quality of life for people with dementia.</w:t>
      </w:r>
    </w:p>
    <w:p w14:paraId="45294339" w14:textId="77777777"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t>Critical Evaluation of Erikson’s Theory</w:t>
      </w:r>
    </w:p>
    <w:p w14:paraId="5B04C656" w14:textId="533630DB"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While Erikson’s theory offers valuable insights, applying it in dementia care presents challenges. Cognitive impairment can limit an individual’s ability to engage in reflective processes such as life review, making ego integrity difficult to achieve. Professionals may also find it challenging to interpret expressions of despair when communication is impaired. Furthermore, the theory’s stage-based structure may oversimplify the diverse experiences of ageing (McAdams </w:t>
      </w:r>
      <w:r w:rsidR="009817AD" w:rsidRPr="006920A0">
        <w:rPr>
          <w:rFonts w:ascii="Arial" w:hAnsi="Arial" w:cs="Arial"/>
          <w:sz w:val="22"/>
          <w:szCs w:val="22"/>
        </w:rPr>
        <w:t>and</w:t>
      </w:r>
      <w:r w:rsidRPr="006920A0">
        <w:rPr>
          <w:rFonts w:ascii="Arial" w:hAnsi="Arial" w:cs="Arial"/>
          <w:sz w:val="22"/>
          <w:szCs w:val="22"/>
        </w:rPr>
        <w:t xml:space="preserve"> Olson, 2010).</w:t>
      </w:r>
    </w:p>
    <w:p w14:paraId="6139A8E8"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lastRenderedPageBreak/>
        <w:t>To address these issues, practitioners can adapt interventions using sensory and non-verbal techniques, enabling participation regardless of cognitive ability. Despite its limitations, Erikson’s theory remains a useful guide for understanding emotional development in later life.</w:t>
      </w:r>
    </w:p>
    <w:p w14:paraId="4F1B6288" w14:textId="77777777"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t>Section 2: Maslow’s Hierarchy of Needs</w:t>
      </w:r>
    </w:p>
    <w:p w14:paraId="0A522A8A" w14:textId="04D0621B" w:rsidR="002818EE" w:rsidRPr="006920A0" w:rsidRDefault="002818EE" w:rsidP="006920A0">
      <w:pPr>
        <w:spacing w:line="360" w:lineRule="auto"/>
        <w:rPr>
          <w:rFonts w:ascii="Arial" w:hAnsi="Arial" w:cs="Arial"/>
          <w:b/>
          <w:bCs/>
          <w:sz w:val="22"/>
          <w:szCs w:val="22"/>
        </w:rPr>
      </w:pPr>
      <w:r w:rsidRPr="006920A0">
        <w:rPr>
          <w:rFonts w:ascii="Arial" w:hAnsi="Arial" w:cs="Arial"/>
          <w:b/>
          <w:bCs/>
          <w:noProof/>
          <w:sz w:val="22"/>
          <w:szCs w:val="22"/>
        </w:rPr>
        <w:drawing>
          <wp:inline distT="0" distB="0" distL="0" distR="0" wp14:anchorId="4950583C" wp14:editId="3EFA6430">
            <wp:extent cx="5731510" cy="2319655"/>
            <wp:effectExtent l="152400" t="152400" r="364490" b="366395"/>
            <wp:docPr id="1597270998" name="Picture 3" descr="A blue arrow pointing up to a stairc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270998" name="Picture 3" descr="A blue arrow pointing up to a staircas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319655"/>
                    </a:xfrm>
                    <a:prstGeom prst="rect">
                      <a:avLst/>
                    </a:prstGeom>
                    <a:ln>
                      <a:noFill/>
                    </a:ln>
                    <a:effectLst>
                      <a:outerShdw blurRad="292100" dist="139700" dir="2700000" algn="tl" rotWithShape="0">
                        <a:srgbClr val="333333">
                          <a:alpha val="65000"/>
                        </a:srgbClr>
                      </a:outerShdw>
                    </a:effectLst>
                  </pic:spPr>
                </pic:pic>
              </a:graphicData>
            </a:graphic>
          </wp:inline>
        </w:drawing>
      </w:r>
    </w:p>
    <w:p w14:paraId="689FE521" w14:textId="77777777"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t>Overview of Maslow’s Hierarchy of Needs</w:t>
      </w:r>
    </w:p>
    <w:p w14:paraId="59260824"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Abraham Maslow’s </w:t>
      </w:r>
      <w:r w:rsidRPr="006920A0">
        <w:rPr>
          <w:rFonts w:ascii="Arial" w:hAnsi="Arial" w:cs="Arial"/>
          <w:b/>
          <w:bCs/>
          <w:sz w:val="22"/>
          <w:szCs w:val="22"/>
        </w:rPr>
        <w:t>Hierarchy of Needs</w:t>
      </w:r>
      <w:r w:rsidRPr="006920A0">
        <w:rPr>
          <w:rFonts w:ascii="Arial" w:hAnsi="Arial" w:cs="Arial"/>
          <w:sz w:val="22"/>
          <w:szCs w:val="22"/>
        </w:rPr>
        <w:t xml:space="preserve"> (1943) proposes that human motivation is driven by a series of hierarchical needs: </w:t>
      </w:r>
      <w:r w:rsidRPr="006920A0">
        <w:rPr>
          <w:rFonts w:ascii="Arial" w:hAnsi="Arial" w:cs="Arial"/>
          <w:b/>
          <w:bCs/>
          <w:sz w:val="22"/>
          <w:szCs w:val="22"/>
        </w:rPr>
        <w:t>physiological</w:t>
      </w:r>
      <w:r w:rsidRPr="006920A0">
        <w:rPr>
          <w:rFonts w:ascii="Arial" w:hAnsi="Arial" w:cs="Arial"/>
          <w:sz w:val="22"/>
          <w:szCs w:val="22"/>
        </w:rPr>
        <w:t xml:space="preserve">, </w:t>
      </w:r>
      <w:r w:rsidRPr="006920A0">
        <w:rPr>
          <w:rFonts w:ascii="Arial" w:hAnsi="Arial" w:cs="Arial"/>
          <w:b/>
          <w:bCs/>
          <w:sz w:val="22"/>
          <w:szCs w:val="22"/>
        </w:rPr>
        <w:t>safety</w:t>
      </w:r>
      <w:r w:rsidRPr="006920A0">
        <w:rPr>
          <w:rFonts w:ascii="Arial" w:hAnsi="Arial" w:cs="Arial"/>
          <w:sz w:val="22"/>
          <w:szCs w:val="22"/>
        </w:rPr>
        <w:t xml:space="preserve">, </w:t>
      </w:r>
      <w:r w:rsidRPr="006920A0">
        <w:rPr>
          <w:rFonts w:ascii="Arial" w:hAnsi="Arial" w:cs="Arial"/>
          <w:b/>
          <w:bCs/>
          <w:sz w:val="22"/>
          <w:szCs w:val="22"/>
        </w:rPr>
        <w:t>love and belonging</w:t>
      </w:r>
      <w:r w:rsidRPr="006920A0">
        <w:rPr>
          <w:rFonts w:ascii="Arial" w:hAnsi="Arial" w:cs="Arial"/>
          <w:sz w:val="22"/>
          <w:szCs w:val="22"/>
        </w:rPr>
        <w:t xml:space="preserve">, </w:t>
      </w:r>
      <w:r w:rsidRPr="006920A0">
        <w:rPr>
          <w:rFonts w:ascii="Arial" w:hAnsi="Arial" w:cs="Arial"/>
          <w:b/>
          <w:bCs/>
          <w:sz w:val="22"/>
          <w:szCs w:val="22"/>
        </w:rPr>
        <w:t>esteem</w:t>
      </w:r>
      <w:r w:rsidRPr="006920A0">
        <w:rPr>
          <w:rFonts w:ascii="Arial" w:hAnsi="Arial" w:cs="Arial"/>
          <w:sz w:val="22"/>
          <w:szCs w:val="22"/>
        </w:rPr>
        <w:t xml:space="preserve">, and </w:t>
      </w:r>
      <w:r w:rsidRPr="006920A0">
        <w:rPr>
          <w:rFonts w:ascii="Arial" w:hAnsi="Arial" w:cs="Arial"/>
          <w:b/>
          <w:bCs/>
          <w:sz w:val="22"/>
          <w:szCs w:val="22"/>
        </w:rPr>
        <w:t>self-actualisation</w:t>
      </w:r>
      <w:r w:rsidRPr="006920A0">
        <w:rPr>
          <w:rFonts w:ascii="Arial" w:hAnsi="Arial" w:cs="Arial"/>
          <w:sz w:val="22"/>
          <w:szCs w:val="22"/>
        </w:rPr>
        <w:t xml:space="preserve">. Maslow argued that basic needs must be met before individuals can pursue higher levels of psychological and self-fulfilment needs. In later years, Maslow also included </w:t>
      </w:r>
      <w:r w:rsidRPr="006920A0">
        <w:rPr>
          <w:rFonts w:ascii="Arial" w:hAnsi="Arial" w:cs="Arial"/>
          <w:b/>
          <w:bCs/>
          <w:sz w:val="22"/>
          <w:szCs w:val="22"/>
        </w:rPr>
        <w:t>self-transcendence</w:t>
      </w:r>
      <w:r w:rsidRPr="006920A0">
        <w:rPr>
          <w:rFonts w:ascii="Arial" w:hAnsi="Arial" w:cs="Arial"/>
          <w:sz w:val="22"/>
          <w:szCs w:val="22"/>
        </w:rPr>
        <w:t>, which involves connecting to something greater than oneself (Maslow, 1971).</w:t>
      </w:r>
    </w:p>
    <w:p w14:paraId="23132F29"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This framework is particularly relevant to older adults with dementia, as their ability to meet these needs independently is often compromised. For example, dementia can disrupt physiological routines such as eating or sleeping, while cognitive decline may increase safety risks. Emotional needs—such as belonging and esteem—can also be threatened by social isolation or loss of independence. Understanding these needs enables health and social care professionals to prioritise holistic support that addresses both the physical and psychological well-being of residents.</w:t>
      </w:r>
    </w:p>
    <w:p w14:paraId="320508D1"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By applying Maslow’s model, practitioners can create care environments that promote dignity, comfort, and meaningful engagement.</w:t>
      </w:r>
    </w:p>
    <w:p w14:paraId="0B56782F" w14:textId="77777777" w:rsidR="002600DB" w:rsidRDefault="002600DB">
      <w:pPr>
        <w:rPr>
          <w:rFonts w:ascii="Arial" w:hAnsi="Arial" w:cs="Arial"/>
          <w:b/>
          <w:bCs/>
          <w:sz w:val="22"/>
          <w:szCs w:val="22"/>
        </w:rPr>
      </w:pPr>
      <w:r>
        <w:rPr>
          <w:rFonts w:ascii="Arial" w:hAnsi="Arial" w:cs="Arial"/>
          <w:b/>
          <w:bCs/>
          <w:sz w:val="22"/>
          <w:szCs w:val="22"/>
        </w:rPr>
        <w:br w:type="page"/>
      </w:r>
    </w:p>
    <w:p w14:paraId="7E700C7E" w14:textId="0C3293A2"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lastRenderedPageBreak/>
        <w:t>Application of Maslow’s Theory in Dementia Care</w:t>
      </w:r>
    </w:p>
    <w:p w14:paraId="2B9C2C25"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Maslow’s hierarchy provides a clear framework for understanding how to meet the diverse needs of individuals living with dementia.</w:t>
      </w:r>
    </w:p>
    <w:p w14:paraId="21565059"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At the </w:t>
      </w:r>
      <w:r w:rsidRPr="006920A0">
        <w:rPr>
          <w:rFonts w:ascii="Arial" w:hAnsi="Arial" w:cs="Arial"/>
          <w:b/>
          <w:bCs/>
          <w:sz w:val="22"/>
          <w:szCs w:val="22"/>
        </w:rPr>
        <w:t>physiological level</w:t>
      </w:r>
      <w:r w:rsidRPr="006920A0">
        <w:rPr>
          <w:rFonts w:ascii="Arial" w:hAnsi="Arial" w:cs="Arial"/>
          <w:sz w:val="22"/>
          <w:szCs w:val="22"/>
        </w:rPr>
        <w:t>, ensuring adequate nutrition, hydration, and rest is essential. Dementia may impair recognition of hunger or thirst, so care staff can provide regular prompts, finger foods, and hydration routines to maintain physical health (Alzheimer’s Society, 2021).</w:t>
      </w:r>
    </w:p>
    <w:p w14:paraId="0755360F"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The </w:t>
      </w:r>
      <w:r w:rsidRPr="006920A0">
        <w:rPr>
          <w:rFonts w:ascii="Arial" w:hAnsi="Arial" w:cs="Arial"/>
          <w:b/>
          <w:bCs/>
          <w:sz w:val="22"/>
          <w:szCs w:val="22"/>
        </w:rPr>
        <w:t>safety</w:t>
      </w:r>
      <w:r w:rsidRPr="006920A0">
        <w:rPr>
          <w:rFonts w:ascii="Arial" w:hAnsi="Arial" w:cs="Arial"/>
          <w:sz w:val="22"/>
          <w:szCs w:val="22"/>
        </w:rPr>
        <w:t xml:space="preserve"> level focuses on both physical and emotional security. Residents may feel anxious or disoriented, particularly in unfamiliar environments. Consistent routines, clear signage, and a familiar layout can reduce confusion and promote a sense of control. Emotional safety can be enhanced through calm communication and predictable caregiving practices.</w:t>
      </w:r>
    </w:p>
    <w:p w14:paraId="6B079B1D"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The </w:t>
      </w:r>
      <w:r w:rsidRPr="006920A0">
        <w:rPr>
          <w:rFonts w:ascii="Arial" w:hAnsi="Arial" w:cs="Arial"/>
          <w:b/>
          <w:bCs/>
          <w:sz w:val="22"/>
          <w:szCs w:val="22"/>
        </w:rPr>
        <w:t>love and belonging</w:t>
      </w:r>
      <w:r w:rsidRPr="006920A0">
        <w:rPr>
          <w:rFonts w:ascii="Arial" w:hAnsi="Arial" w:cs="Arial"/>
          <w:sz w:val="22"/>
          <w:szCs w:val="22"/>
        </w:rPr>
        <w:t xml:space="preserve"> need </w:t>
      </w:r>
      <w:proofErr w:type="gramStart"/>
      <w:r w:rsidRPr="006920A0">
        <w:rPr>
          <w:rFonts w:ascii="Arial" w:hAnsi="Arial" w:cs="Arial"/>
          <w:sz w:val="22"/>
          <w:szCs w:val="22"/>
        </w:rPr>
        <w:t>is</w:t>
      </w:r>
      <w:proofErr w:type="gramEnd"/>
      <w:r w:rsidRPr="006920A0">
        <w:rPr>
          <w:rFonts w:ascii="Arial" w:hAnsi="Arial" w:cs="Arial"/>
          <w:sz w:val="22"/>
          <w:szCs w:val="22"/>
        </w:rPr>
        <w:t xml:space="preserve"> addressed through compassionate, person-centred care that fosters trust and social connection. Regular family visits, group activities, and staff continuity help reduce loneliness and maintain emotional bonds. Encouraging peer interaction also reinforces belonging within the care home community.</w:t>
      </w:r>
    </w:p>
    <w:p w14:paraId="1DD6942F"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The </w:t>
      </w:r>
      <w:r w:rsidRPr="006920A0">
        <w:rPr>
          <w:rFonts w:ascii="Arial" w:hAnsi="Arial" w:cs="Arial"/>
          <w:b/>
          <w:bCs/>
          <w:sz w:val="22"/>
          <w:szCs w:val="22"/>
        </w:rPr>
        <w:t>esteem</w:t>
      </w:r>
      <w:r w:rsidRPr="006920A0">
        <w:rPr>
          <w:rFonts w:ascii="Arial" w:hAnsi="Arial" w:cs="Arial"/>
          <w:sz w:val="22"/>
          <w:szCs w:val="22"/>
        </w:rPr>
        <w:t xml:space="preserve"> stage involves promoting residents’ confidence and autonomy. Professionals can support this by involving residents in decision-making about daily activities, praising achievements, and respecting their preferences (McLeod, 2018). For example, allowing a resident to choose their clothing or participate in simple household tasks supports self-worth and independence.</w:t>
      </w:r>
    </w:p>
    <w:p w14:paraId="4BFF913C"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Finally, though </w:t>
      </w:r>
      <w:r w:rsidRPr="006920A0">
        <w:rPr>
          <w:rFonts w:ascii="Arial" w:hAnsi="Arial" w:cs="Arial"/>
          <w:b/>
          <w:bCs/>
          <w:sz w:val="22"/>
          <w:szCs w:val="22"/>
        </w:rPr>
        <w:t>self-actualisation</w:t>
      </w:r>
      <w:r w:rsidRPr="006920A0">
        <w:rPr>
          <w:rFonts w:ascii="Arial" w:hAnsi="Arial" w:cs="Arial"/>
          <w:sz w:val="22"/>
          <w:szCs w:val="22"/>
        </w:rPr>
        <w:t xml:space="preserve"> may seem difficult for people with dementia, professionals can nurture fulfilment through creativity, spirituality, or sensory experiences such as music or art therapy. These interventions allow residents to express individuality and experience joy, even when cognitive decline is advanced. Thus, Maslow’s model offers a holistic approach that integrates physical, emotional, and psychological well-being into dementia care.</w:t>
      </w:r>
    </w:p>
    <w:p w14:paraId="3AF03927" w14:textId="77777777"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t>Critical Evaluation of Maslow’s Theory</w:t>
      </w:r>
    </w:p>
    <w:p w14:paraId="2CCD5819" w14:textId="4353ECEE"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 xml:space="preserve">While Maslow’s hierarchy provides a useful framework, it assumes a linear progression of needs that may not reflect the fluctuating abilities of individuals with dementia. For example, psychological and emotional needs may remain strong even when basic needs are unmet. The model may also oversimplify cultural and personal differences in how people prioritise their needs (Tay </w:t>
      </w:r>
      <w:r w:rsidR="00B53C11" w:rsidRPr="006920A0">
        <w:rPr>
          <w:rFonts w:ascii="Arial" w:hAnsi="Arial" w:cs="Arial"/>
          <w:sz w:val="22"/>
          <w:szCs w:val="22"/>
        </w:rPr>
        <w:t>and</w:t>
      </w:r>
      <w:r w:rsidRPr="006920A0">
        <w:rPr>
          <w:rFonts w:ascii="Arial" w:hAnsi="Arial" w:cs="Arial"/>
          <w:sz w:val="22"/>
          <w:szCs w:val="22"/>
        </w:rPr>
        <w:t xml:space="preserve"> Diener, 2011).</w:t>
      </w:r>
    </w:p>
    <w:p w14:paraId="5CB98322"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lastRenderedPageBreak/>
        <w:t xml:space="preserve">Furthermore, some residents may struggle to achieve higher-level needs due to cognitive limitations. To overcome these challenges, care professionals should adopt a </w:t>
      </w:r>
      <w:r w:rsidRPr="006920A0">
        <w:rPr>
          <w:rFonts w:ascii="Arial" w:hAnsi="Arial" w:cs="Arial"/>
          <w:b/>
          <w:bCs/>
          <w:sz w:val="22"/>
          <w:szCs w:val="22"/>
        </w:rPr>
        <w:t>flexible, person-centred approach</w:t>
      </w:r>
      <w:r w:rsidRPr="006920A0">
        <w:rPr>
          <w:rFonts w:ascii="Arial" w:hAnsi="Arial" w:cs="Arial"/>
          <w:sz w:val="22"/>
          <w:szCs w:val="22"/>
        </w:rPr>
        <w:t>, recognising that all levels of need are interconnected and may require simultaneous attention.</w:t>
      </w:r>
    </w:p>
    <w:p w14:paraId="1CFD764B" w14:textId="77777777"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t>Conclusion</w:t>
      </w:r>
    </w:p>
    <w:p w14:paraId="42AFCAE7"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Psychological theories such as Erikson’s Psychosocial Theory and Maslow’s Hierarchy of Needs offer valuable frameworks for guiding health and social care professionals in supporting older adults with dementia. Erikson’s model highlights the importance of identity, reflection, and emotional fulfilment in later life, encouraging interventions such as reminiscence and life review therapies.</w:t>
      </w:r>
    </w:p>
    <w:p w14:paraId="6D07C779" w14:textId="4CBC9F79"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Maslow’s hierarchy underscores the necessity of meeting both basic and higher-order needs through person-centred, holistic care that enhances safety, belonging, and self-esteem. Although both theories have limitations</w:t>
      </w:r>
      <w:r w:rsidR="000C0C25">
        <w:rPr>
          <w:rFonts w:ascii="Arial" w:hAnsi="Arial" w:cs="Arial"/>
          <w:sz w:val="22"/>
          <w:szCs w:val="22"/>
        </w:rPr>
        <w:t xml:space="preserve">, </w:t>
      </w:r>
      <w:r w:rsidRPr="006920A0">
        <w:rPr>
          <w:rFonts w:ascii="Arial" w:hAnsi="Arial" w:cs="Arial"/>
          <w:sz w:val="22"/>
          <w:szCs w:val="22"/>
        </w:rPr>
        <w:t>such as assumptions about cognitive ability and linear development</w:t>
      </w:r>
      <w:r w:rsidR="005018E8">
        <w:rPr>
          <w:rFonts w:ascii="Arial" w:hAnsi="Arial" w:cs="Arial"/>
          <w:sz w:val="22"/>
          <w:szCs w:val="22"/>
        </w:rPr>
        <w:t xml:space="preserve">, </w:t>
      </w:r>
      <w:r w:rsidRPr="006920A0">
        <w:rPr>
          <w:rFonts w:ascii="Arial" w:hAnsi="Arial" w:cs="Arial"/>
          <w:sz w:val="22"/>
          <w:szCs w:val="22"/>
        </w:rPr>
        <w:t>they remain essential tools for understanding and addressing the complex psychological challenges faced by people living with dementia.</w:t>
      </w:r>
    </w:p>
    <w:p w14:paraId="5E7C58B4" w14:textId="77777777" w:rsidR="00437A26" w:rsidRPr="006920A0" w:rsidRDefault="00437A26" w:rsidP="006920A0">
      <w:pPr>
        <w:spacing w:line="360" w:lineRule="auto"/>
        <w:rPr>
          <w:rFonts w:ascii="Arial" w:hAnsi="Arial" w:cs="Arial"/>
          <w:sz w:val="22"/>
          <w:szCs w:val="22"/>
        </w:rPr>
      </w:pPr>
      <w:r w:rsidRPr="006920A0">
        <w:rPr>
          <w:rFonts w:ascii="Arial" w:hAnsi="Arial" w:cs="Arial"/>
          <w:sz w:val="22"/>
          <w:szCs w:val="22"/>
        </w:rPr>
        <w:t>By applying these theories thoughtfully and adaptively, professionals can promote dignity, emotional well-being, and quality of life for older adults in dementia care settings.</w:t>
      </w:r>
    </w:p>
    <w:p w14:paraId="7EBAF042" w14:textId="77777777" w:rsidR="008F36C9" w:rsidRPr="006920A0" w:rsidRDefault="008F36C9" w:rsidP="006920A0">
      <w:pPr>
        <w:spacing w:line="360" w:lineRule="auto"/>
        <w:rPr>
          <w:rFonts w:ascii="Arial" w:hAnsi="Arial" w:cs="Arial"/>
          <w:b/>
          <w:bCs/>
          <w:sz w:val="22"/>
          <w:szCs w:val="22"/>
        </w:rPr>
      </w:pPr>
      <w:r w:rsidRPr="006920A0">
        <w:rPr>
          <w:rFonts w:ascii="Arial" w:hAnsi="Arial" w:cs="Arial"/>
          <w:b/>
          <w:bCs/>
          <w:sz w:val="22"/>
          <w:szCs w:val="22"/>
        </w:rPr>
        <w:br w:type="page"/>
      </w:r>
    </w:p>
    <w:p w14:paraId="07A35AA9" w14:textId="010382BB" w:rsidR="00437A26" w:rsidRPr="006920A0" w:rsidRDefault="00437A26" w:rsidP="006920A0">
      <w:pPr>
        <w:spacing w:line="360" w:lineRule="auto"/>
        <w:rPr>
          <w:rFonts w:ascii="Arial" w:hAnsi="Arial" w:cs="Arial"/>
          <w:b/>
          <w:bCs/>
          <w:sz w:val="22"/>
          <w:szCs w:val="22"/>
        </w:rPr>
      </w:pPr>
      <w:r w:rsidRPr="006920A0">
        <w:rPr>
          <w:rFonts w:ascii="Arial" w:hAnsi="Arial" w:cs="Arial"/>
          <w:b/>
          <w:bCs/>
          <w:sz w:val="22"/>
          <w:szCs w:val="22"/>
        </w:rPr>
        <w:lastRenderedPageBreak/>
        <w:t>References</w:t>
      </w:r>
    </w:p>
    <w:p w14:paraId="6F601E71"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Alzheimer’s Society (2021) </w:t>
      </w:r>
      <w:r w:rsidRPr="006920A0">
        <w:rPr>
          <w:rFonts w:ascii="Arial" w:hAnsi="Arial" w:cs="Arial"/>
          <w:i/>
          <w:iCs/>
          <w:sz w:val="22"/>
          <w:szCs w:val="22"/>
        </w:rPr>
        <w:t>Nutrition and dementia.</w:t>
      </w:r>
      <w:r w:rsidRPr="006920A0">
        <w:rPr>
          <w:rFonts w:ascii="Arial" w:hAnsi="Arial" w:cs="Arial"/>
          <w:sz w:val="22"/>
          <w:szCs w:val="22"/>
        </w:rPr>
        <w:t xml:space="preserve"> Available at: </w:t>
      </w:r>
      <w:hyperlink r:id="rId10" w:tgtFrame="_new" w:history="1">
        <w:r w:rsidRPr="006920A0">
          <w:rPr>
            <w:rStyle w:val="Hyperlink"/>
            <w:rFonts w:ascii="Arial" w:hAnsi="Arial" w:cs="Arial"/>
            <w:sz w:val="22"/>
            <w:szCs w:val="22"/>
          </w:rPr>
          <w:t>https://www.alzheimers.org.uk/</w:t>
        </w:r>
      </w:hyperlink>
      <w:r w:rsidRPr="006920A0">
        <w:rPr>
          <w:rFonts w:ascii="Arial" w:hAnsi="Arial" w:cs="Arial"/>
          <w:sz w:val="22"/>
          <w:szCs w:val="22"/>
        </w:rPr>
        <w:t xml:space="preserve"> (Accessed: 2 November 2025).</w:t>
      </w:r>
    </w:p>
    <w:p w14:paraId="557CD57A"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Erikson, E. H. (1963) </w:t>
      </w:r>
      <w:r w:rsidRPr="006920A0">
        <w:rPr>
          <w:rFonts w:ascii="Arial" w:hAnsi="Arial" w:cs="Arial"/>
          <w:i/>
          <w:iCs/>
          <w:sz w:val="22"/>
          <w:szCs w:val="22"/>
        </w:rPr>
        <w:t>Childhood and Society.</w:t>
      </w:r>
      <w:r w:rsidRPr="006920A0">
        <w:rPr>
          <w:rFonts w:ascii="Arial" w:hAnsi="Arial" w:cs="Arial"/>
          <w:sz w:val="22"/>
          <w:szCs w:val="22"/>
        </w:rPr>
        <w:t xml:space="preserve"> 2nd </w:t>
      </w:r>
      <w:proofErr w:type="spellStart"/>
      <w:r w:rsidRPr="006920A0">
        <w:rPr>
          <w:rFonts w:ascii="Arial" w:hAnsi="Arial" w:cs="Arial"/>
          <w:sz w:val="22"/>
          <w:szCs w:val="22"/>
        </w:rPr>
        <w:t>edn</w:t>
      </w:r>
      <w:proofErr w:type="spellEnd"/>
      <w:r w:rsidRPr="006920A0">
        <w:rPr>
          <w:rFonts w:ascii="Arial" w:hAnsi="Arial" w:cs="Arial"/>
          <w:sz w:val="22"/>
          <w:szCs w:val="22"/>
        </w:rPr>
        <w:t>. New York: W. W. Norton.</w:t>
      </w:r>
    </w:p>
    <w:p w14:paraId="3116900C"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Gibson, F. (2011) </w:t>
      </w:r>
      <w:r w:rsidRPr="006920A0">
        <w:rPr>
          <w:rFonts w:ascii="Arial" w:hAnsi="Arial" w:cs="Arial"/>
          <w:i/>
          <w:iCs/>
          <w:sz w:val="22"/>
          <w:szCs w:val="22"/>
        </w:rPr>
        <w:t>Reminiscence and Life Story Work: A Practice Guide.</w:t>
      </w:r>
      <w:r w:rsidRPr="006920A0">
        <w:rPr>
          <w:rFonts w:ascii="Arial" w:hAnsi="Arial" w:cs="Arial"/>
          <w:sz w:val="22"/>
          <w:szCs w:val="22"/>
        </w:rPr>
        <w:t xml:space="preserve"> London: Jessica Kingsley Publishers.</w:t>
      </w:r>
    </w:p>
    <w:p w14:paraId="49A0F752"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Knight, B. G. (2017) </w:t>
      </w:r>
      <w:r w:rsidRPr="006920A0">
        <w:rPr>
          <w:rFonts w:ascii="Arial" w:hAnsi="Arial" w:cs="Arial"/>
          <w:i/>
          <w:iCs/>
          <w:sz w:val="22"/>
          <w:szCs w:val="22"/>
        </w:rPr>
        <w:t>Psychotherapy with Older Adults.</w:t>
      </w:r>
      <w:r w:rsidRPr="006920A0">
        <w:rPr>
          <w:rFonts w:ascii="Arial" w:hAnsi="Arial" w:cs="Arial"/>
          <w:sz w:val="22"/>
          <w:szCs w:val="22"/>
        </w:rPr>
        <w:t xml:space="preserve"> 4th </w:t>
      </w:r>
      <w:proofErr w:type="spellStart"/>
      <w:r w:rsidRPr="006920A0">
        <w:rPr>
          <w:rFonts w:ascii="Arial" w:hAnsi="Arial" w:cs="Arial"/>
          <w:sz w:val="22"/>
          <w:szCs w:val="22"/>
        </w:rPr>
        <w:t>edn</w:t>
      </w:r>
      <w:proofErr w:type="spellEnd"/>
      <w:r w:rsidRPr="006920A0">
        <w:rPr>
          <w:rFonts w:ascii="Arial" w:hAnsi="Arial" w:cs="Arial"/>
          <w:sz w:val="22"/>
          <w:szCs w:val="22"/>
        </w:rPr>
        <w:t>. Thousand Oaks, CA: Sage Publications.</w:t>
      </w:r>
    </w:p>
    <w:p w14:paraId="3F3CF242"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w:t>
      </w:r>
      <w:proofErr w:type="spellStart"/>
      <w:r w:rsidRPr="006920A0">
        <w:rPr>
          <w:rFonts w:ascii="Arial" w:hAnsi="Arial" w:cs="Arial"/>
          <w:sz w:val="22"/>
          <w:szCs w:val="22"/>
        </w:rPr>
        <w:t>Kitwood</w:t>
      </w:r>
      <w:proofErr w:type="spellEnd"/>
      <w:r w:rsidRPr="006920A0">
        <w:rPr>
          <w:rFonts w:ascii="Arial" w:hAnsi="Arial" w:cs="Arial"/>
          <w:sz w:val="22"/>
          <w:szCs w:val="22"/>
        </w:rPr>
        <w:t xml:space="preserve">, T. (1997) </w:t>
      </w:r>
      <w:r w:rsidRPr="006920A0">
        <w:rPr>
          <w:rFonts w:ascii="Arial" w:hAnsi="Arial" w:cs="Arial"/>
          <w:i/>
          <w:iCs/>
          <w:sz w:val="22"/>
          <w:szCs w:val="22"/>
        </w:rPr>
        <w:t>Dementia Reconsidered: The Person Comes First.</w:t>
      </w:r>
      <w:r w:rsidRPr="006920A0">
        <w:rPr>
          <w:rFonts w:ascii="Arial" w:hAnsi="Arial" w:cs="Arial"/>
          <w:sz w:val="22"/>
          <w:szCs w:val="22"/>
        </w:rPr>
        <w:t xml:space="preserve"> Buckingham: Open University Press.</w:t>
      </w:r>
    </w:p>
    <w:p w14:paraId="2026B647"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Maslow, A. H. (1943) ‘A Theory of Human Motivation’, </w:t>
      </w:r>
      <w:r w:rsidRPr="006920A0">
        <w:rPr>
          <w:rFonts w:ascii="Arial" w:hAnsi="Arial" w:cs="Arial"/>
          <w:i/>
          <w:iCs/>
          <w:sz w:val="22"/>
          <w:szCs w:val="22"/>
        </w:rPr>
        <w:t>Psychological Review,</w:t>
      </w:r>
      <w:r w:rsidRPr="006920A0">
        <w:rPr>
          <w:rFonts w:ascii="Arial" w:hAnsi="Arial" w:cs="Arial"/>
          <w:sz w:val="22"/>
          <w:szCs w:val="22"/>
        </w:rPr>
        <w:t xml:space="preserve"> 50(4), pp. 370–396.</w:t>
      </w:r>
    </w:p>
    <w:p w14:paraId="082B95A4"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Maslow, A. H. (1971) </w:t>
      </w:r>
      <w:r w:rsidRPr="006920A0">
        <w:rPr>
          <w:rFonts w:ascii="Arial" w:hAnsi="Arial" w:cs="Arial"/>
          <w:i/>
          <w:iCs/>
          <w:sz w:val="22"/>
          <w:szCs w:val="22"/>
        </w:rPr>
        <w:t>The Farther Reaches of Human Nature.</w:t>
      </w:r>
      <w:r w:rsidRPr="006920A0">
        <w:rPr>
          <w:rFonts w:ascii="Arial" w:hAnsi="Arial" w:cs="Arial"/>
          <w:sz w:val="22"/>
          <w:szCs w:val="22"/>
        </w:rPr>
        <w:t xml:space="preserve"> New York: Viking Press.</w:t>
      </w:r>
    </w:p>
    <w:p w14:paraId="0B1871DF"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McAdams, D. P. and Olson, B. D. (2010) ‘Personality development: Continuity and change over the life course’, </w:t>
      </w:r>
      <w:r w:rsidRPr="006920A0">
        <w:rPr>
          <w:rFonts w:ascii="Arial" w:hAnsi="Arial" w:cs="Arial"/>
          <w:i/>
          <w:iCs/>
          <w:sz w:val="22"/>
          <w:szCs w:val="22"/>
        </w:rPr>
        <w:t>Annual Review of Psychology,</w:t>
      </w:r>
      <w:r w:rsidRPr="006920A0">
        <w:rPr>
          <w:rFonts w:ascii="Arial" w:hAnsi="Arial" w:cs="Arial"/>
          <w:sz w:val="22"/>
          <w:szCs w:val="22"/>
        </w:rPr>
        <w:t xml:space="preserve"> 61, pp. 517–542.</w:t>
      </w:r>
    </w:p>
    <w:p w14:paraId="43D541D1"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McLeod, S. (2018) </w:t>
      </w:r>
      <w:r w:rsidRPr="006920A0">
        <w:rPr>
          <w:rFonts w:ascii="Arial" w:hAnsi="Arial" w:cs="Arial"/>
          <w:i/>
          <w:iCs/>
          <w:sz w:val="22"/>
          <w:szCs w:val="22"/>
        </w:rPr>
        <w:t>Maslow’s Hierarchy of Needs.</w:t>
      </w:r>
      <w:r w:rsidRPr="006920A0">
        <w:rPr>
          <w:rFonts w:ascii="Arial" w:hAnsi="Arial" w:cs="Arial"/>
          <w:sz w:val="22"/>
          <w:szCs w:val="22"/>
        </w:rPr>
        <w:t xml:space="preserve"> Simply Psychology. Available at: </w:t>
      </w:r>
      <w:hyperlink r:id="rId11" w:tgtFrame="_new" w:history="1">
        <w:r w:rsidRPr="006920A0">
          <w:rPr>
            <w:rStyle w:val="Hyperlink"/>
            <w:rFonts w:ascii="Arial" w:hAnsi="Arial" w:cs="Arial"/>
            <w:sz w:val="22"/>
            <w:szCs w:val="22"/>
          </w:rPr>
          <w:t>https://www.simplypsychology.org/maslow.html</w:t>
        </w:r>
      </w:hyperlink>
      <w:r w:rsidRPr="006920A0">
        <w:rPr>
          <w:rFonts w:ascii="Arial" w:hAnsi="Arial" w:cs="Arial"/>
          <w:sz w:val="22"/>
          <w:szCs w:val="22"/>
        </w:rPr>
        <w:t xml:space="preserve"> (Accessed: 2 November 2025).</w:t>
      </w:r>
    </w:p>
    <w:p w14:paraId="674AC58A" w14:textId="77777777" w:rsidR="006920A0"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Tay, L. and Diener, E. (2011) ‘Needs and subjective well-being around the world’, </w:t>
      </w:r>
      <w:r w:rsidRPr="006920A0">
        <w:rPr>
          <w:rFonts w:ascii="Arial" w:hAnsi="Arial" w:cs="Arial"/>
          <w:i/>
          <w:iCs/>
          <w:sz w:val="22"/>
          <w:szCs w:val="22"/>
        </w:rPr>
        <w:t>Journal of Personality and Social Psychology,</w:t>
      </w:r>
      <w:r w:rsidRPr="006920A0">
        <w:rPr>
          <w:rFonts w:ascii="Arial" w:hAnsi="Arial" w:cs="Arial"/>
          <w:sz w:val="22"/>
          <w:szCs w:val="22"/>
        </w:rPr>
        <w:t xml:space="preserve"> 101(2), pp. 354–365.</w:t>
      </w:r>
    </w:p>
    <w:p w14:paraId="7061D684" w14:textId="68C9655C" w:rsidR="00437A26" w:rsidRPr="006920A0" w:rsidRDefault="006920A0" w:rsidP="006920A0">
      <w:pPr>
        <w:spacing w:line="360" w:lineRule="auto"/>
        <w:rPr>
          <w:rFonts w:ascii="Arial" w:hAnsi="Arial" w:cs="Arial"/>
          <w:sz w:val="22"/>
          <w:szCs w:val="22"/>
        </w:rPr>
      </w:pPr>
      <w:r w:rsidRPr="006920A0">
        <w:rPr>
          <w:rFonts w:ascii="Arial" w:hAnsi="Arial" w:cs="Arial"/>
          <w:sz w:val="22"/>
          <w:szCs w:val="22"/>
        </w:rPr>
        <w:t xml:space="preserve">• Woods, R. T., </w:t>
      </w:r>
      <w:proofErr w:type="spellStart"/>
      <w:r w:rsidRPr="006920A0">
        <w:rPr>
          <w:rFonts w:ascii="Arial" w:hAnsi="Arial" w:cs="Arial"/>
          <w:sz w:val="22"/>
          <w:szCs w:val="22"/>
        </w:rPr>
        <w:t>O’Philbin</w:t>
      </w:r>
      <w:proofErr w:type="spellEnd"/>
      <w:r w:rsidRPr="006920A0">
        <w:rPr>
          <w:rFonts w:ascii="Arial" w:hAnsi="Arial" w:cs="Arial"/>
          <w:sz w:val="22"/>
          <w:szCs w:val="22"/>
        </w:rPr>
        <w:t xml:space="preserve">, L., Farrell, E. M., Spector, A. E. and Orrell, M. (2018) ‘Reminiscence therapy for dementia’, </w:t>
      </w:r>
      <w:r w:rsidRPr="006920A0">
        <w:rPr>
          <w:rFonts w:ascii="Arial" w:hAnsi="Arial" w:cs="Arial"/>
          <w:i/>
          <w:iCs/>
          <w:sz w:val="22"/>
          <w:szCs w:val="22"/>
        </w:rPr>
        <w:t>Cochrane Database of Systematic Reviews,</w:t>
      </w:r>
      <w:r w:rsidRPr="006920A0">
        <w:rPr>
          <w:rFonts w:ascii="Arial" w:hAnsi="Arial" w:cs="Arial"/>
          <w:sz w:val="22"/>
          <w:szCs w:val="22"/>
        </w:rPr>
        <w:t xml:space="preserve"> (3), pp. 1–69.</w:t>
      </w:r>
    </w:p>
    <w:sectPr w:rsidR="00437A26" w:rsidRPr="006920A0">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BB8979" w14:textId="77777777" w:rsidR="00A04CBD" w:rsidRDefault="00A04CBD" w:rsidP="00A04CBD">
      <w:pPr>
        <w:spacing w:after="0" w:line="240" w:lineRule="auto"/>
      </w:pPr>
      <w:r>
        <w:separator/>
      </w:r>
    </w:p>
  </w:endnote>
  <w:endnote w:type="continuationSeparator" w:id="0">
    <w:p w14:paraId="1273E70D" w14:textId="77777777" w:rsidR="00A04CBD" w:rsidRDefault="00A04CBD" w:rsidP="00A04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3946070"/>
      <w:docPartObj>
        <w:docPartGallery w:val="Page Numbers (Bottom of Page)"/>
        <w:docPartUnique/>
      </w:docPartObj>
    </w:sdtPr>
    <w:sdtEndPr>
      <w:rPr>
        <w:noProof/>
      </w:rPr>
    </w:sdtEndPr>
    <w:sdtContent>
      <w:p w14:paraId="4B43B698" w14:textId="235F923D" w:rsidR="00A04CBD" w:rsidRDefault="00A04C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315867" w14:textId="77777777" w:rsidR="00A04CBD" w:rsidRDefault="00A04C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308BC" w14:textId="77777777" w:rsidR="00A04CBD" w:rsidRDefault="00A04CBD" w:rsidP="00A04CBD">
      <w:pPr>
        <w:spacing w:after="0" w:line="240" w:lineRule="auto"/>
      </w:pPr>
      <w:r>
        <w:separator/>
      </w:r>
    </w:p>
  </w:footnote>
  <w:footnote w:type="continuationSeparator" w:id="0">
    <w:p w14:paraId="71FE89A7" w14:textId="77777777" w:rsidR="00A04CBD" w:rsidRDefault="00A04CBD" w:rsidP="00A04C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C5EFBE" w14:textId="37C6001F" w:rsidR="00A04CBD" w:rsidRDefault="00184963">
    <w:pPr>
      <w:pStyle w:val="Header"/>
    </w:pPr>
    <w:r>
      <w:t>Foqia Farooq</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5921A2"/>
    <w:multiLevelType w:val="hybridMultilevel"/>
    <w:tmpl w:val="167C0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3020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A26"/>
    <w:rsid w:val="0006081E"/>
    <w:rsid w:val="000C0C25"/>
    <w:rsid w:val="001376EC"/>
    <w:rsid w:val="0017591F"/>
    <w:rsid w:val="00184963"/>
    <w:rsid w:val="001A61FB"/>
    <w:rsid w:val="00240C07"/>
    <w:rsid w:val="002600DB"/>
    <w:rsid w:val="002818EE"/>
    <w:rsid w:val="0028740C"/>
    <w:rsid w:val="002F43D8"/>
    <w:rsid w:val="00321B9F"/>
    <w:rsid w:val="003251CF"/>
    <w:rsid w:val="00335802"/>
    <w:rsid w:val="003771CA"/>
    <w:rsid w:val="003D6AE1"/>
    <w:rsid w:val="00437A26"/>
    <w:rsid w:val="00457209"/>
    <w:rsid w:val="00463A06"/>
    <w:rsid w:val="00464047"/>
    <w:rsid w:val="004E1A32"/>
    <w:rsid w:val="005018E8"/>
    <w:rsid w:val="006920A0"/>
    <w:rsid w:val="006961CA"/>
    <w:rsid w:val="006967AB"/>
    <w:rsid w:val="00816AC4"/>
    <w:rsid w:val="008527B0"/>
    <w:rsid w:val="008561B0"/>
    <w:rsid w:val="008B4837"/>
    <w:rsid w:val="008F36C9"/>
    <w:rsid w:val="00947407"/>
    <w:rsid w:val="009817AD"/>
    <w:rsid w:val="009902A6"/>
    <w:rsid w:val="00A04CBD"/>
    <w:rsid w:val="00A51106"/>
    <w:rsid w:val="00AA75D1"/>
    <w:rsid w:val="00B176E4"/>
    <w:rsid w:val="00B2508B"/>
    <w:rsid w:val="00B53C11"/>
    <w:rsid w:val="00B54024"/>
    <w:rsid w:val="00B55FD1"/>
    <w:rsid w:val="00BB2A0D"/>
    <w:rsid w:val="00BC341D"/>
    <w:rsid w:val="00CA6A6C"/>
    <w:rsid w:val="00D07DF5"/>
    <w:rsid w:val="00DC7A6C"/>
    <w:rsid w:val="00DF6199"/>
    <w:rsid w:val="00F12B09"/>
    <w:rsid w:val="00F1551D"/>
    <w:rsid w:val="00FC5C25"/>
    <w:rsid w:val="00FD05AF"/>
    <w:rsid w:val="00FF3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0C33F96D"/>
  <w15:chartTrackingRefBased/>
  <w15:docId w15:val="{B585A4D4-8FC8-47DA-8604-B48E91C3C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7A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7A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7A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7A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7A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7A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7A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7A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7A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A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7A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7A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7A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7A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7A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7A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7A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7A26"/>
    <w:rPr>
      <w:rFonts w:eastAsiaTheme="majorEastAsia" w:cstheme="majorBidi"/>
      <w:color w:val="272727" w:themeColor="text1" w:themeTint="D8"/>
    </w:rPr>
  </w:style>
  <w:style w:type="paragraph" w:styleId="Title">
    <w:name w:val="Title"/>
    <w:basedOn w:val="Normal"/>
    <w:next w:val="Normal"/>
    <w:link w:val="TitleChar"/>
    <w:uiPriority w:val="10"/>
    <w:qFormat/>
    <w:rsid w:val="00437A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7A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7A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7A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7A26"/>
    <w:pPr>
      <w:spacing w:before="160"/>
      <w:jc w:val="center"/>
    </w:pPr>
    <w:rPr>
      <w:i/>
      <w:iCs/>
      <w:color w:val="404040" w:themeColor="text1" w:themeTint="BF"/>
    </w:rPr>
  </w:style>
  <w:style w:type="character" w:customStyle="1" w:styleId="QuoteChar">
    <w:name w:val="Quote Char"/>
    <w:basedOn w:val="DefaultParagraphFont"/>
    <w:link w:val="Quote"/>
    <w:uiPriority w:val="29"/>
    <w:rsid w:val="00437A26"/>
    <w:rPr>
      <w:i/>
      <w:iCs/>
      <w:color w:val="404040" w:themeColor="text1" w:themeTint="BF"/>
    </w:rPr>
  </w:style>
  <w:style w:type="paragraph" w:styleId="ListParagraph">
    <w:name w:val="List Paragraph"/>
    <w:basedOn w:val="Normal"/>
    <w:uiPriority w:val="34"/>
    <w:qFormat/>
    <w:rsid w:val="00437A26"/>
    <w:pPr>
      <w:ind w:left="720"/>
      <w:contextualSpacing/>
    </w:pPr>
  </w:style>
  <w:style w:type="character" w:styleId="IntenseEmphasis">
    <w:name w:val="Intense Emphasis"/>
    <w:basedOn w:val="DefaultParagraphFont"/>
    <w:uiPriority w:val="21"/>
    <w:qFormat/>
    <w:rsid w:val="00437A26"/>
    <w:rPr>
      <w:i/>
      <w:iCs/>
      <w:color w:val="0F4761" w:themeColor="accent1" w:themeShade="BF"/>
    </w:rPr>
  </w:style>
  <w:style w:type="paragraph" w:styleId="IntenseQuote">
    <w:name w:val="Intense Quote"/>
    <w:basedOn w:val="Normal"/>
    <w:next w:val="Normal"/>
    <w:link w:val="IntenseQuoteChar"/>
    <w:uiPriority w:val="30"/>
    <w:qFormat/>
    <w:rsid w:val="00437A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7A26"/>
    <w:rPr>
      <w:i/>
      <w:iCs/>
      <w:color w:val="0F4761" w:themeColor="accent1" w:themeShade="BF"/>
    </w:rPr>
  </w:style>
  <w:style w:type="character" w:styleId="IntenseReference">
    <w:name w:val="Intense Reference"/>
    <w:basedOn w:val="DefaultParagraphFont"/>
    <w:uiPriority w:val="32"/>
    <w:qFormat/>
    <w:rsid w:val="00437A26"/>
    <w:rPr>
      <w:b/>
      <w:bCs/>
      <w:smallCaps/>
      <w:color w:val="0F4761" w:themeColor="accent1" w:themeShade="BF"/>
      <w:spacing w:val="5"/>
    </w:rPr>
  </w:style>
  <w:style w:type="character" w:styleId="Hyperlink">
    <w:name w:val="Hyperlink"/>
    <w:basedOn w:val="DefaultParagraphFont"/>
    <w:uiPriority w:val="99"/>
    <w:unhideWhenUsed/>
    <w:rsid w:val="00437A26"/>
    <w:rPr>
      <w:color w:val="467886" w:themeColor="hyperlink"/>
      <w:u w:val="single"/>
    </w:rPr>
  </w:style>
  <w:style w:type="character" w:styleId="UnresolvedMention">
    <w:name w:val="Unresolved Mention"/>
    <w:basedOn w:val="DefaultParagraphFont"/>
    <w:uiPriority w:val="99"/>
    <w:semiHidden/>
    <w:unhideWhenUsed/>
    <w:rsid w:val="00437A26"/>
    <w:rPr>
      <w:color w:val="605E5C"/>
      <w:shd w:val="clear" w:color="auto" w:fill="E1DFDD"/>
    </w:rPr>
  </w:style>
  <w:style w:type="paragraph" w:styleId="Header">
    <w:name w:val="header"/>
    <w:basedOn w:val="Normal"/>
    <w:link w:val="HeaderChar"/>
    <w:uiPriority w:val="99"/>
    <w:unhideWhenUsed/>
    <w:rsid w:val="00A04C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CBD"/>
  </w:style>
  <w:style w:type="paragraph" w:styleId="Footer">
    <w:name w:val="footer"/>
    <w:basedOn w:val="Normal"/>
    <w:link w:val="FooterChar"/>
    <w:uiPriority w:val="99"/>
    <w:unhideWhenUsed/>
    <w:rsid w:val="00A04C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C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maslow.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lzheimers.org.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F965BD-688A-4BDE-8DF0-02E307118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9</Pages>
  <Words>2075</Words>
  <Characters>11830</Characters>
  <Application>Microsoft Office Word</Application>
  <DocSecurity>0</DocSecurity>
  <Lines>98</Lines>
  <Paragraphs>27</Paragraphs>
  <ScaleCrop>false</ScaleCrop>
  <Company/>
  <LinksUpToDate>false</LinksUpToDate>
  <CharactersWithSpaces>13878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shamis hamid</dc:creator>
  <cp:keywords/>
  <dc:description/>
  <cp:lastModifiedBy>shamis hamid</cp:lastModifiedBy>
  <cp:revision>50</cp:revision>
  <dcterms:created xsi:type="dcterms:W3CDTF">2025-11-02T16:12:00Z</dcterms:created>
  <dcterms:modified xsi:type="dcterms:W3CDTF">2025-11-12T18:23:00Z</dcterms:modified>
</cp:coreProperties>
</file>