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A4F568" w14:textId="6A3389B2" w:rsidR="00BA43E9" w:rsidRDefault="00BA43E9" w:rsidP="00BA43E9">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proofErr w:type="gramStart"/>
      <w:r>
        <w:rPr>
          <w:rFonts w:ascii="Times New Roman" w:eastAsia="Times New Roman" w:hAnsi="Times New Roman" w:cs="Times New Roman"/>
          <w:kern w:val="0"/>
          <w:lang w:eastAsia="en-GB"/>
          <w14:ligatures w14:val="none"/>
        </w:rPr>
        <w:t>Jozef  Sugar</w:t>
      </w:r>
      <w:proofErr w:type="gramEnd"/>
    </w:p>
    <w:p w14:paraId="7DE9CF4A" w14:textId="0CBD4069" w:rsidR="00BA43E9" w:rsidRDefault="00BA43E9" w:rsidP="00BA43E9">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Academic Skills</w:t>
      </w:r>
    </w:p>
    <w:p w14:paraId="29427079" w14:textId="78F2A4B4" w:rsidR="00BA43E9" w:rsidRDefault="00BA43E9" w:rsidP="00BA43E9">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Assignment 2</w:t>
      </w:r>
    </w:p>
    <w:p w14:paraId="75503859" w14:textId="77777777" w:rsidR="00BA43E9" w:rsidRDefault="00BA43E9" w:rsidP="006F5C8B">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9BF1B92" w14:textId="77777777" w:rsidR="00BA43E9" w:rsidRDefault="00BA43E9" w:rsidP="006F5C8B">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6AFBB46" w14:textId="405B1D80" w:rsidR="006F5C8B" w:rsidRPr="006F5C8B" w:rsidRDefault="006F5C8B" w:rsidP="006F5C8B">
      <w:pPr>
        <w:spacing w:before="100" w:beforeAutospacing="1" w:after="100" w:afterAutospacing="1" w:line="240" w:lineRule="auto"/>
        <w:rPr>
          <w:rFonts w:ascii="Times New Roman" w:eastAsia="Times New Roman" w:hAnsi="Times New Roman" w:cs="Times New Roman"/>
          <w:kern w:val="0"/>
          <w:lang w:eastAsia="en-GB"/>
          <w14:ligatures w14:val="none"/>
        </w:rPr>
      </w:pPr>
      <w:r w:rsidRPr="006F5C8B">
        <w:rPr>
          <w:rFonts w:ascii="Times New Roman" w:eastAsia="Times New Roman" w:hAnsi="Times New Roman" w:cs="Times New Roman"/>
          <w:kern w:val="0"/>
          <w:lang w:eastAsia="en-GB"/>
          <w14:ligatures w14:val="none"/>
        </w:rPr>
        <w:t xml:space="preserve">Based on the provided references related to "The Authority and Inspiration of Scripture," I will choose four </w:t>
      </w:r>
      <w:proofErr w:type="gramStart"/>
      <w:r w:rsidRPr="006F5C8B">
        <w:rPr>
          <w:rFonts w:ascii="Times New Roman" w:eastAsia="Times New Roman" w:hAnsi="Times New Roman" w:cs="Times New Roman"/>
          <w:kern w:val="0"/>
          <w:lang w:eastAsia="en-GB"/>
          <w14:ligatures w14:val="none"/>
        </w:rPr>
        <w:t xml:space="preserve">works </w:t>
      </w:r>
      <w:r w:rsidR="00BA43E9">
        <w:rPr>
          <w:rFonts w:ascii="Times New Roman" w:eastAsia="Times New Roman" w:hAnsi="Times New Roman" w:cs="Times New Roman"/>
          <w:kern w:val="0"/>
          <w:lang w:eastAsia="en-GB"/>
          <w14:ligatures w14:val="none"/>
        </w:rPr>
        <w:t xml:space="preserve"> :</w:t>
      </w:r>
      <w:proofErr w:type="gramEnd"/>
    </w:p>
    <w:p w14:paraId="4EB061C4" w14:textId="77777777" w:rsidR="006F5C8B" w:rsidRPr="006F5C8B" w:rsidRDefault="006F5C8B" w:rsidP="006F5C8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F5C8B">
        <w:rPr>
          <w:rFonts w:ascii="Times New Roman" w:eastAsia="Times New Roman" w:hAnsi="Times New Roman" w:cs="Times New Roman"/>
          <w:b/>
          <w:bCs/>
          <w:kern w:val="0"/>
          <w:lang w:eastAsia="en-GB"/>
          <w14:ligatures w14:val="none"/>
        </w:rPr>
        <w:t xml:space="preserve">John Calvin, </w:t>
      </w:r>
      <w:r w:rsidRPr="006F5C8B">
        <w:rPr>
          <w:rFonts w:ascii="Times New Roman" w:eastAsia="Times New Roman" w:hAnsi="Times New Roman" w:cs="Times New Roman"/>
          <w:b/>
          <w:bCs/>
          <w:i/>
          <w:iCs/>
          <w:kern w:val="0"/>
          <w:lang w:eastAsia="en-GB"/>
          <w14:ligatures w14:val="none"/>
        </w:rPr>
        <w:t>Institutes of the Christian Religion</w:t>
      </w:r>
    </w:p>
    <w:p w14:paraId="5FA3876D" w14:textId="77777777" w:rsidR="006F5C8B" w:rsidRPr="006F5C8B" w:rsidRDefault="006F5C8B" w:rsidP="006F5C8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F5C8B">
        <w:rPr>
          <w:rFonts w:ascii="Times New Roman" w:eastAsia="Times New Roman" w:hAnsi="Times New Roman" w:cs="Times New Roman"/>
          <w:b/>
          <w:bCs/>
          <w:kern w:val="0"/>
          <w:lang w:eastAsia="en-GB"/>
          <w14:ligatures w14:val="none"/>
        </w:rPr>
        <w:t xml:space="preserve">B. B. Warfield, </w:t>
      </w:r>
      <w:r w:rsidRPr="006F5C8B">
        <w:rPr>
          <w:rFonts w:ascii="Times New Roman" w:eastAsia="Times New Roman" w:hAnsi="Times New Roman" w:cs="Times New Roman"/>
          <w:b/>
          <w:bCs/>
          <w:i/>
          <w:iCs/>
          <w:kern w:val="0"/>
          <w:lang w:eastAsia="en-GB"/>
          <w14:ligatures w14:val="none"/>
        </w:rPr>
        <w:t>The Inspiration and Authority of the Bible</w:t>
      </w:r>
    </w:p>
    <w:p w14:paraId="1F8F37AB" w14:textId="77777777" w:rsidR="006F5C8B" w:rsidRPr="006F5C8B" w:rsidRDefault="006F5C8B" w:rsidP="006F5C8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F5C8B">
        <w:rPr>
          <w:rFonts w:ascii="Times New Roman" w:eastAsia="Times New Roman" w:hAnsi="Times New Roman" w:cs="Times New Roman"/>
          <w:b/>
          <w:bCs/>
          <w:kern w:val="0"/>
          <w:lang w:eastAsia="en-GB"/>
          <w14:ligatures w14:val="none"/>
        </w:rPr>
        <w:t xml:space="preserve">Peter Enns, </w:t>
      </w:r>
      <w:r w:rsidRPr="006F5C8B">
        <w:rPr>
          <w:rFonts w:ascii="Times New Roman" w:eastAsia="Times New Roman" w:hAnsi="Times New Roman" w:cs="Times New Roman"/>
          <w:b/>
          <w:bCs/>
          <w:i/>
          <w:iCs/>
          <w:kern w:val="0"/>
          <w:lang w:eastAsia="en-GB"/>
          <w14:ligatures w14:val="none"/>
        </w:rPr>
        <w:t>Inspiration and Incarnation: Evangelicals and the Problem of the Old Testament</w:t>
      </w:r>
    </w:p>
    <w:p w14:paraId="54575125" w14:textId="77777777" w:rsidR="006F5C8B" w:rsidRPr="006F5C8B" w:rsidRDefault="006F5C8B" w:rsidP="006F5C8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F5C8B">
        <w:rPr>
          <w:rFonts w:ascii="Times New Roman" w:eastAsia="Times New Roman" w:hAnsi="Times New Roman" w:cs="Times New Roman"/>
          <w:b/>
          <w:bCs/>
          <w:kern w:val="0"/>
          <w:lang w:eastAsia="en-GB"/>
          <w14:ligatures w14:val="none"/>
        </w:rPr>
        <w:t xml:space="preserve">N. T. Wright, </w:t>
      </w:r>
      <w:r w:rsidRPr="006F5C8B">
        <w:rPr>
          <w:rFonts w:ascii="Times New Roman" w:eastAsia="Times New Roman" w:hAnsi="Times New Roman" w:cs="Times New Roman"/>
          <w:b/>
          <w:bCs/>
          <w:i/>
          <w:iCs/>
          <w:kern w:val="0"/>
          <w:lang w:eastAsia="en-GB"/>
          <w14:ligatures w14:val="none"/>
        </w:rPr>
        <w:t>The New Testament and the People of God</w:t>
      </w:r>
    </w:p>
    <w:p w14:paraId="34D0D0DC" w14:textId="77777777" w:rsidR="006F5C8B" w:rsidRPr="006F5C8B" w:rsidRDefault="006F5C8B" w:rsidP="006F5C8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6F5C8B">
        <w:rPr>
          <w:rFonts w:ascii="Times New Roman" w:eastAsia="Times New Roman" w:hAnsi="Times New Roman" w:cs="Times New Roman"/>
          <w:b/>
          <w:bCs/>
          <w:kern w:val="0"/>
          <w:sz w:val="27"/>
          <w:szCs w:val="27"/>
          <w:lang w:eastAsia="en-GB"/>
          <w14:ligatures w14:val="none"/>
        </w:rPr>
        <w:t xml:space="preserve">1. John Calvin, </w:t>
      </w:r>
      <w:r w:rsidRPr="006F5C8B">
        <w:rPr>
          <w:rFonts w:ascii="Times New Roman" w:eastAsia="Times New Roman" w:hAnsi="Times New Roman" w:cs="Times New Roman"/>
          <w:b/>
          <w:bCs/>
          <w:i/>
          <w:iCs/>
          <w:kern w:val="0"/>
          <w:sz w:val="27"/>
          <w:szCs w:val="27"/>
          <w:lang w:eastAsia="en-GB"/>
          <w14:ligatures w14:val="none"/>
        </w:rPr>
        <w:t>Institutes of the Christian Religion</w:t>
      </w:r>
    </w:p>
    <w:p w14:paraId="5868E2BD" w14:textId="77777777" w:rsidR="006F5C8B" w:rsidRDefault="006F5C8B" w:rsidP="006F5C8B">
      <w:pPr>
        <w:pStyle w:val="NormalWeb"/>
      </w:pPr>
      <w:r>
        <w:t>Abstract: John Calvin’s Institutes of the Christian Religion (1845 translation by Henry Beveridge) is of foundational importance in the reform of scripture. One gets a sense of Calvin’s self-authenticating principle or character of Scripture—that Scripture has its own divine authority that is acknowledged only by an inner testimony of the Holy Spirit. The crux of his argument is deeply theological and inextricable from the climate of post-Reformation Europe: ecclesiastical authority was hotly contested.</w:t>
      </w:r>
    </w:p>
    <w:p w14:paraId="4ACF4F1E" w14:textId="77777777" w:rsidR="006F5C8B" w:rsidRDefault="006F5C8B" w:rsidP="006F5C8B">
      <w:pPr>
        <w:pStyle w:val="NormalWeb"/>
      </w:pPr>
      <w:r>
        <w:t>Calvin cites a variety of scriptural exegesis and patristic (Augustine) sources, but in the end, he sees Scripture as the only "true standard" to which all matters of faith and practice must be held up. Calvin is quite systematic; he covers the whole thing—nothing really to do after Calvin except correct him. However, those supporting him asserted that his insistence on the Spirit’s work in validating Scripture may marginalize historically critical approaches to biblical analysis.</w:t>
      </w:r>
    </w:p>
    <w:p w14:paraId="0E1AFF4E" w14:textId="0DD62E47" w:rsidR="006F5C8B" w:rsidRDefault="006F5C8B" w:rsidP="006F5C8B">
      <w:pPr>
        <w:pStyle w:val="NormalWeb"/>
      </w:pPr>
      <w:r>
        <w:t>More than any other work, the Institutes offer a wealth of data for foundational reflections on Scriptural authority in contemporary venues, such as those enabling faith-reason conversations. It is a helpful companion piece to later theological approaches, but it also serves as an excellent foil (that is contrary view) against modern critiques of so</w:t>
      </w:r>
      <w:r>
        <w:t>la sc</w:t>
      </w:r>
      <w:r>
        <w:t>riptura.</w:t>
      </w:r>
    </w:p>
    <w:p w14:paraId="56589F1E" w14:textId="77777777" w:rsidR="006F5C8B" w:rsidRDefault="006F5C8B" w:rsidP="006F5C8B">
      <w:pPr>
        <w:pStyle w:val="NormalWeb"/>
      </w:pPr>
    </w:p>
    <w:p w14:paraId="0B892520" w14:textId="5A9C8EC8" w:rsidR="002E26EF" w:rsidRDefault="006F5C8B">
      <w:pPr>
        <w:rPr>
          <w:rStyle w:val="Emphasis"/>
        </w:rPr>
      </w:pPr>
      <w:r>
        <w:t xml:space="preserve">2. B. B. Warfield, </w:t>
      </w:r>
      <w:r>
        <w:rPr>
          <w:rStyle w:val="Emphasis"/>
        </w:rPr>
        <w:t>The Inspiration and Authority of the Bible</w:t>
      </w:r>
    </w:p>
    <w:p w14:paraId="28E0F9C8" w14:textId="13F63C2B" w:rsidR="006F5C8B" w:rsidRDefault="006F5C8B" w:rsidP="006F5C8B">
      <w:pPr>
        <w:pStyle w:val="NormalWeb"/>
      </w:pPr>
      <w:r>
        <w:t xml:space="preserve">The Inspiration and Authority of the Bible (1948) by B. B. Warfield of "biblical inerrancy" fame; </w:t>
      </w:r>
      <w:r w:rsidR="00BA43E9">
        <w:t>also,</w:t>
      </w:r>
      <w:r>
        <w:t xml:space="preserve"> a fine piece of evangelical 20th century scholarship, Warfield, "On the Divine Origin of the Scriptures," in The Inspiration and Authority of the Bible: How Scripture Transforms Your Life and Mission (Bellingham, WA: </w:t>
      </w:r>
      <w:proofErr w:type="spellStart"/>
      <w:r>
        <w:t>Lexham</w:t>
      </w:r>
      <w:proofErr w:type="spellEnd"/>
      <w:r>
        <w:t xml:space="preserve"> Press, 2014), 2040. Warfield upheld verbal plenary inspiration, affirming that all parts of the Bible were inspired by God and were wholly truthful in all their assertions. Warfield writes during a time in which </w:t>
      </w:r>
      <w:r>
        <w:lastRenderedPageBreak/>
        <w:t>liberalism and higher criticism threatened traditional paradigms of the faith, so much so that his work interacts with many modernist objections.</w:t>
      </w:r>
    </w:p>
    <w:p w14:paraId="59DB3D3B" w14:textId="77777777" w:rsidR="006F5C8B" w:rsidRDefault="006F5C8B" w:rsidP="006F5C8B">
      <w:pPr>
        <w:pStyle w:val="NormalWeb"/>
      </w:pPr>
      <w:r>
        <w:t xml:space="preserve">Through a synthesis of biblical exegesis and philosophical argument—with an emphasis on the coherence between the divine authorship of scriptures and human contingent acts of writing. One of his strengths is his rigorous methodology concerning the unity and diversity of Scripture; another strength is his engagement with historical theology </w:t>
      </w:r>
      <w:proofErr w:type="gramStart"/>
      <w:r>
        <w:t>as a means to</w:t>
      </w:r>
      <w:proofErr w:type="gramEnd"/>
      <w:r>
        <w:t xml:space="preserve"> demonstrate continuity with the wider Christian tradition. Yet his dismissal of higher critical methods, which critics often mention as a limitation, has, in turn, some believe excluded him from the serious conversation within contemporary biblical scholarship.</w:t>
      </w:r>
    </w:p>
    <w:p w14:paraId="4AC8D687" w14:textId="77777777" w:rsidR="006F5C8B" w:rsidRDefault="006F5C8B" w:rsidP="006F5C8B">
      <w:pPr>
        <w:pStyle w:val="NormalWeb"/>
      </w:pPr>
      <w:r>
        <w:t>Given ongoing debates related to inerrancy, this work will be especially useful for research on these matters, as well as provide a historical and theological foundation on behalf of the evangelical view. His arguments both enrich and conflict with later scholars who have taken a more subtle or critical position on inspiration.</w:t>
      </w:r>
    </w:p>
    <w:p w14:paraId="1F073D1C" w14:textId="61EBD728" w:rsidR="006F5C8B" w:rsidRDefault="006F5C8B" w:rsidP="006F5C8B">
      <w:pPr>
        <w:pStyle w:val="NormalWeb"/>
        <w:rPr>
          <w:rStyle w:val="Emphasis"/>
          <w:rFonts w:eastAsiaTheme="majorEastAsia"/>
        </w:rPr>
      </w:pPr>
      <w:r>
        <w:t xml:space="preserve">3. Peter Enns, </w:t>
      </w:r>
      <w:r>
        <w:rPr>
          <w:rStyle w:val="Emphasis"/>
          <w:rFonts w:eastAsiaTheme="majorEastAsia"/>
        </w:rPr>
        <w:t>Inspiration and Incarnation: Evangelicals and the Problem of the Old Testament</w:t>
      </w:r>
    </w:p>
    <w:p w14:paraId="44E2A0F3" w14:textId="77777777" w:rsidR="006F5C8B" w:rsidRDefault="006F5C8B" w:rsidP="006F5C8B">
      <w:pPr>
        <w:pStyle w:val="NormalWeb"/>
      </w:pPr>
      <w:r>
        <w:t>Peter Enns, for example, in his book (2005) Inspiration and Incarnation, questions traditional ways of thinking about Scripture from an evangelical perspective suggesting something like an "incarnational model" of what Scripture is. Similarly to how Jesus was both fully divine and yet fully human, Enns writes that Scripture is also a "both-and" type of revelation, as it too is the result of divine inspiration but takes its form within a particular time and culture. Important topics he covers include the Old Testament, Ancient Near Eastern literature, diversity in the Bible, and the use of the Old Testament.</w:t>
      </w:r>
    </w:p>
    <w:p w14:paraId="45456624" w14:textId="380BED80" w:rsidR="006F5C8B" w:rsidRDefault="006F5C8B" w:rsidP="006F5C8B">
      <w:pPr>
        <w:pStyle w:val="NormalWeb"/>
      </w:pPr>
      <w:r>
        <w:t xml:space="preserve">Enns appeals to comparative literature and </w:t>
      </w:r>
      <w:r w:rsidR="00BA43E9">
        <w:t>archaeological</w:t>
      </w:r>
      <w:r>
        <w:t xml:space="preserve"> evidence, but the implications of this type of cultural embeddedness for biblical texts are clear. The strength of this collection lies in its interdisciplinary nature, providing new approaches to the question of how to understand the Bible’s authority. However, some evangelicals have attacked his work as undermining classic doctrines of inerrancy, particularly the existence of contradictions in Scripture.</w:t>
      </w:r>
    </w:p>
    <w:p w14:paraId="126C4115" w14:textId="77777777" w:rsidR="006F5C8B" w:rsidRDefault="006F5C8B" w:rsidP="006F5C8B">
      <w:pPr>
        <w:pStyle w:val="NormalWeb"/>
      </w:pPr>
      <w:r>
        <w:t>Enns’ attention to the critical scholarship challenge of traditional perspectives on inspiration is invaluable for scholars. In contrast to Warfield, it provides a different model for approaching the dual aspects of the Bible as divine and human, making it a critical reading for scholars in this field.</w:t>
      </w:r>
    </w:p>
    <w:p w14:paraId="68B97065" w14:textId="19B2A2F6" w:rsidR="006F5C8B" w:rsidRDefault="006F5C8B" w:rsidP="006F5C8B">
      <w:pPr>
        <w:pStyle w:val="NormalWeb"/>
        <w:rPr>
          <w:rStyle w:val="Emphasis"/>
          <w:rFonts w:eastAsiaTheme="majorEastAsia"/>
        </w:rPr>
      </w:pPr>
      <w:r>
        <w:t xml:space="preserve">4. N. T. Wright, </w:t>
      </w:r>
      <w:r>
        <w:rPr>
          <w:rStyle w:val="Emphasis"/>
          <w:rFonts w:eastAsiaTheme="majorEastAsia"/>
        </w:rPr>
        <w:t>The New Testament and the People of God</w:t>
      </w:r>
    </w:p>
    <w:p w14:paraId="571A4C8A" w14:textId="5BE19D91" w:rsidR="00BA43E9" w:rsidRDefault="00BA43E9" w:rsidP="00BA43E9">
      <w:pPr>
        <w:pStyle w:val="NormalWeb"/>
      </w:pPr>
      <w:r>
        <w:t xml:space="preserve">N. T. Wright's The New Testament and God's People is a watershed work in biblical theology and historical Jesus studies (1992). Wright argued that because the Bible comprises narratives, it should not be read in an </w:t>
      </w:r>
      <w:r>
        <w:t>isolated</w:t>
      </w:r>
      <w:r>
        <w:t>, broad narrative context, that is, the story of God’s covenant with humanity. A pillar of his argument is the influence that Second Temple Judaism had on the New Testament writers.</w:t>
      </w:r>
    </w:p>
    <w:p w14:paraId="26F73E93" w14:textId="2DFD2FED" w:rsidR="00BA43E9" w:rsidRDefault="00BA43E9" w:rsidP="00BA43E9">
      <w:pPr>
        <w:pStyle w:val="NormalWeb"/>
      </w:pPr>
      <w:r>
        <w:t xml:space="preserve">Using historical-critical methods as well, Wright backs up his work with a strong theological structure, relying heavily on Jewish and Greco-Roman sources. His historicity and theological reflection are among his major strengths, along with biblical narrative unity. His narrative theology has, however, been critiqued for sometimes </w:t>
      </w:r>
      <w:r>
        <w:t>sideline the</w:t>
      </w:r>
      <w:r>
        <w:t xml:space="preserve"> systematic formulation of doctrine.</w:t>
      </w:r>
    </w:p>
    <w:p w14:paraId="76284B37" w14:textId="406F8B7C" w:rsidR="00BA43E9" w:rsidRDefault="00BA43E9" w:rsidP="00BA43E9">
      <w:pPr>
        <w:pStyle w:val="NormalWeb"/>
      </w:pPr>
      <w:r>
        <w:t xml:space="preserve">Regarding the latter, Wright’s work is accessible and compelling, providing a framework for understanding the authority of the New Testament both historically and functionally. It serves as a complimentary layer to Enns and Warfield by connecting critical historical methodologies with theological issues, making it an essential source for any holistic accounts of the </w:t>
      </w:r>
      <w:r>
        <w:t>Scripture</w:t>
      </w:r>
      <w:r>
        <w:t xml:space="preserve"> authority of Scripture.</w:t>
      </w:r>
    </w:p>
    <w:p w14:paraId="7086C427" w14:textId="77777777" w:rsidR="006F5C8B" w:rsidRDefault="006F5C8B" w:rsidP="006F5C8B">
      <w:pPr>
        <w:pStyle w:val="NormalWeb"/>
        <w:rPr>
          <w:rStyle w:val="Emphasis"/>
          <w:rFonts w:eastAsiaTheme="majorEastAsia"/>
        </w:rPr>
      </w:pPr>
    </w:p>
    <w:p w14:paraId="51D0B778" w14:textId="77777777" w:rsidR="006F5C8B" w:rsidRDefault="006F5C8B" w:rsidP="006F5C8B">
      <w:pPr>
        <w:pStyle w:val="NormalWeb"/>
      </w:pPr>
    </w:p>
    <w:p w14:paraId="2C910A5D" w14:textId="77777777" w:rsidR="006F5C8B" w:rsidRDefault="006F5C8B" w:rsidP="006F5C8B">
      <w:pPr>
        <w:pStyle w:val="NormalWeb"/>
      </w:pPr>
    </w:p>
    <w:p w14:paraId="13B1D465" w14:textId="77777777" w:rsidR="006F5C8B" w:rsidRDefault="006F5C8B"/>
    <w:sectPr w:rsidR="006F5C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1EBD82" w14:textId="77777777" w:rsidR="00867754" w:rsidRDefault="00867754" w:rsidP="00867754">
      <w:pPr>
        <w:spacing w:after="0" w:line="240" w:lineRule="auto"/>
      </w:pPr>
      <w:r>
        <w:separator/>
      </w:r>
    </w:p>
  </w:endnote>
  <w:endnote w:type="continuationSeparator" w:id="0">
    <w:p w14:paraId="378CF0EB" w14:textId="77777777" w:rsidR="00867754" w:rsidRDefault="00867754" w:rsidP="00867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4A04DF" w14:textId="77777777" w:rsidR="00867754" w:rsidRDefault="00867754" w:rsidP="00867754">
      <w:pPr>
        <w:spacing w:after="0" w:line="240" w:lineRule="auto"/>
      </w:pPr>
      <w:r>
        <w:separator/>
      </w:r>
    </w:p>
  </w:footnote>
  <w:footnote w:type="continuationSeparator" w:id="0">
    <w:p w14:paraId="6F672D79" w14:textId="77777777" w:rsidR="00867754" w:rsidRDefault="00867754" w:rsidP="008677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77171"/>
    <w:multiLevelType w:val="multilevel"/>
    <w:tmpl w:val="7A101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2997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C8B"/>
    <w:rsid w:val="002E26EF"/>
    <w:rsid w:val="006F5C8B"/>
    <w:rsid w:val="006F688B"/>
    <w:rsid w:val="00867754"/>
    <w:rsid w:val="00BA4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536E4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C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5C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5C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5C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5C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5C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C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C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C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C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5C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5C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5C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5C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5C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C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C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C8B"/>
    <w:rPr>
      <w:rFonts w:eastAsiaTheme="majorEastAsia" w:cstheme="majorBidi"/>
      <w:color w:val="272727" w:themeColor="text1" w:themeTint="D8"/>
    </w:rPr>
  </w:style>
  <w:style w:type="paragraph" w:styleId="Title">
    <w:name w:val="Title"/>
    <w:basedOn w:val="Normal"/>
    <w:next w:val="Normal"/>
    <w:link w:val="TitleChar"/>
    <w:uiPriority w:val="10"/>
    <w:qFormat/>
    <w:rsid w:val="006F5C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C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C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C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C8B"/>
    <w:pPr>
      <w:spacing w:before="160"/>
      <w:jc w:val="center"/>
    </w:pPr>
    <w:rPr>
      <w:i/>
      <w:iCs/>
      <w:color w:val="404040" w:themeColor="text1" w:themeTint="BF"/>
    </w:rPr>
  </w:style>
  <w:style w:type="character" w:customStyle="1" w:styleId="QuoteChar">
    <w:name w:val="Quote Char"/>
    <w:basedOn w:val="DefaultParagraphFont"/>
    <w:link w:val="Quote"/>
    <w:uiPriority w:val="29"/>
    <w:rsid w:val="006F5C8B"/>
    <w:rPr>
      <w:i/>
      <w:iCs/>
      <w:color w:val="404040" w:themeColor="text1" w:themeTint="BF"/>
    </w:rPr>
  </w:style>
  <w:style w:type="paragraph" w:styleId="ListParagraph">
    <w:name w:val="List Paragraph"/>
    <w:basedOn w:val="Normal"/>
    <w:uiPriority w:val="34"/>
    <w:qFormat/>
    <w:rsid w:val="006F5C8B"/>
    <w:pPr>
      <w:ind w:left="720"/>
      <w:contextualSpacing/>
    </w:pPr>
  </w:style>
  <w:style w:type="character" w:styleId="IntenseEmphasis">
    <w:name w:val="Intense Emphasis"/>
    <w:basedOn w:val="DefaultParagraphFont"/>
    <w:uiPriority w:val="21"/>
    <w:qFormat/>
    <w:rsid w:val="006F5C8B"/>
    <w:rPr>
      <w:i/>
      <w:iCs/>
      <w:color w:val="0F4761" w:themeColor="accent1" w:themeShade="BF"/>
    </w:rPr>
  </w:style>
  <w:style w:type="paragraph" w:styleId="IntenseQuote">
    <w:name w:val="Intense Quote"/>
    <w:basedOn w:val="Normal"/>
    <w:next w:val="Normal"/>
    <w:link w:val="IntenseQuoteChar"/>
    <w:uiPriority w:val="30"/>
    <w:qFormat/>
    <w:rsid w:val="006F5C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5C8B"/>
    <w:rPr>
      <w:i/>
      <w:iCs/>
      <w:color w:val="0F4761" w:themeColor="accent1" w:themeShade="BF"/>
    </w:rPr>
  </w:style>
  <w:style w:type="character" w:styleId="IntenseReference">
    <w:name w:val="Intense Reference"/>
    <w:basedOn w:val="DefaultParagraphFont"/>
    <w:uiPriority w:val="32"/>
    <w:qFormat/>
    <w:rsid w:val="006F5C8B"/>
    <w:rPr>
      <w:b/>
      <w:bCs/>
      <w:smallCaps/>
      <w:color w:val="0F4761" w:themeColor="accent1" w:themeShade="BF"/>
      <w:spacing w:val="5"/>
    </w:rPr>
  </w:style>
  <w:style w:type="paragraph" w:styleId="NormalWeb">
    <w:name w:val="Normal (Web)"/>
    <w:basedOn w:val="Normal"/>
    <w:uiPriority w:val="99"/>
    <w:semiHidden/>
    <w:unhideWhenUsed/>
    <w:rsid w:val="006F5C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F5C8B"/>
    <w:rPr>
      <w:i/>
      <w:iCs/>
    </w:rPr>
  </w:style>
  <w:style w:type="paragraph" w:styleId="Header">
    <w:name w:val="header"/>
    <w:basedOn w:val="Normal"/>
    <w:link w:val="HeaderChar"/>
    <w:uiPriority w:val="99"/>
    <w:unhideWhenUsed/>
    <w:rsid w:val="00867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754"/>
  </w:style>
  <w:style w:type="paragraph" w:styleId="Footer">
    <w:name w:val="footer"/>
    <w:basedOn w:val="Normal"/>
    <w:link w:val="FooterChar"/>
    <w:uiPriority w:val="99"/>
    <w:unhideWhenUsed/>
    <w:rsid w:val="00867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3891">
      <w:bodyDiv w:val="1"/>
      <w:marLeft w:val="0"/>
      <w:marRight w:val="0"/>
      <w:marTop w:val="0"/>
      <w:marBottom w:val="0"/>
      <w:divBdr>
        <w:top w:val="none" w:sz="0" w:space="0" w:color="auto"/>
        <w:left w:val="none" w:sz="0" w:space="0" w:color="auto"/>
        <w:bottom w:val="none" w:sz="0" w:space="0" w:color="auto"/>
        <w:right w:val="none" w:sz="0" w:space="0" w:color="auto"/>
      </w:divBdr>
    </w:div>
    <w:div w:id="373585221">
      <w:bodyDiv w:val="1"/>
      <w:marLeft w:val="0"/>
      <w:marRight w:val="0"/>
      <w:marTop w:val="0"/>
      <w:marBottom w:val="0"/>
      <w:divBdr>
        <w:top w:val="none" w:sz="0" w:space="0" w:color="auto"/>
        <w:left w:val="none" w:sz="0" w:space="0" w:color="auto"/>
        <w:bottom w:val="none" w:sz="0" w:space="0" w:color="auto"/>
        <w:right w:val="none" w:sz="0" w:space="0" w:color="auto"/>
      </w:divBdr>
    </w:div>
    <w:div w:id="658314421">
      <w:bodyDiv w:val="1"/>
      <w:marLeft w:val="0"/>
      <w:marRight w:val="0"/>
      <w:marTop w:val="0"/>
      <w:marBottom w:val="0"/>
      <w:divBdr>
        <w:top w:val="none" w:sz="0" w:space="0" w:color="auto"/>
        <w:left w:val="none" w:sz="0" w:space="0" w:color="auto"/>
        <w:bottom w:val="none" w:sz="0" w:space="0" w:color="auto"/>
        <w:right w:val="none" w:sz="0" w:space="0" w:color="auto"/>
      </w:divBdr>
    </w:div>
    <w:div w:id="815681741">
      <w:bodyDiv w:val="1"/>
      <w:marLeft w:val="0"/>
      <w:marRight w:val="0"/>
      <w:marTop w:val="0"/>
      <w:marBottom w:val="0"/>
      <w:divBdr>
        <w:top w:val="none" w:sz="0" w:space="0" w:color="auto"/>
        <w:left w:val="none" w:sz="0" w:space="0" w:color="auto"/>
        <w:bottom w:val="none" w:sz="0" w:space="0" w:color="auto"/>
        <w:right w:val="none" w:sz="0" w:space="0" w:color="auto"/>
      </w:divBdr>
    </w:div>
    <w:div w:id="1548758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934</Words>
  <Characters>5324</Characters>
  <Application>Microsoft Office Word</Application>
  <DocSecurity>0</DocSecurity>
  <Lines>44</Lines>
  <Paragraphs>12</Paragraphs>
  <ScaleCrop>false</ScaleCrop>
  <Company/>
  <LinksUpToDate>false</LinksUpToDate>
  <CharactersWithSpaces>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2024-11-23T12:28:00Z</dcterms:created>
  <dcterms:modified xsi:type="dcterms:W3CDTF">2024-11-23T12:28:00Z</dcterms:modified>
</cp:coreProperties>
</file>