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546" w:rsidRDefault="00D87262" w:rsidP="001F4CE1">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2E67CE" w:rsidRDefault="002E67CE" w:rsidP="00D121FD">
      <w:pPr>
        <w:pStyle w:val="Heading1"/>
        <w:jc w:val="center"/>
        <w:rPr>
          <w:lang w:val="cy-GB"/>
        </w:rPr>
      </w:pPr>
      <w:r>
        <w:rPr>
          <w:lang w:val="cy-GB"/>
        </w:rPr>
        <w:t>Undergraduate a</w:t>
      </w:r>
      <w:r w:rsidRPr="0065654E">
        <w:rPr>
          <w:lang w:val="cy-GB"/>
        </w:rPr>
        <w:t>ssignment</w:t>
      </w:r>
      <w:r w:rsidR="00D121FD">
        <w:rPr>
          <w:lang w:val="cy-GB"/>
        </w:rPr>
        <w:t xml:space="preserve"> </w:t>
      </w:r>
      <w:r w:rsidRPr="0065654E">
        <w:rPr>
          <w:lang w:val="cy-GB"/>
        </w:rPr>
        <w:t>feedback form</w:t>
      </w:r>
    </w:p>
    <w:p w:rsidR="001E50BB" w:rsidRPr="001E50BB" w:rsidRDefault="001E50BB" w:rsidP="001E50BB">
      <w:pPr>
        <w:jc w:val="center"/>
        <w:rPr>
          <w:rFonts w:ascii="Arial" w:hAnsi="Arial" w:cs="Arial"/>
          <w:b/>
          <w:lang w:val="cy-GB"/>
        </w:rPr>
      </w:pPr>
      <w:r w:rsidRPr="001E50BB">
        <w:rPr>
          <w:rFonts w:ascii="Arial" w:hAnsi="Arial" w:cs="Arial"/>
          <w:b/>
          <w:lang w:val="cy-GB"/>
        </w:rPr>
        <w:t>(to be completed by marker)</w:t>
      </w:r>
    </w:p>
    <w:p w:rsidR="002E67CE" w:rsidRPr="001E50BB" w:rsidRDefault="002E67CE" w:rsidP="001E50BB">
      <w:pPr>
        <w:jc w:val="center"/>
        <w:rPr>
          <w:rFonts w:ascii="Arial" w:hAnsi="Arial" w:cs="Arial"/>
          <w:b/>
          <w:lang w:val="cy-GB"/>
        </w:rPr>
      </w:pPr>
    </w:p>
    <w:p w:rsidR="002E67CE" w:rsidRDefault="002E67CE" w:rsidP="001E50B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5654E" w:rsidRPr="0065654E" w:rsidTr="0004354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5654E" w:rsidRDefault="0065654E" w:rsidP="00E57529">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sidR="00CE3B79">
              <w:rPr>
                <w:rFonts w:ascii="Calibri" w:hAnsi="Calibri" w:cs="Tahoma"/>
                <w:i/>
                <w:sz w:val="24"/>
                <w:szCs w:val="24"/>
              </w:rPr>
              <w:t>me:</w:t>
            </w:r>
            <w:r w:rsidR="002B7AFE">
              <w:rPr>
                <w:rFonts w:ascii="Calibri" w:hAnsi="Calibri" w:cs="Tahoma"/>
                <w:i/>
                <w:sz w:val="24"/>
                <w:szCs w:val="24"/>
              </w:rPr>
              <w:t xml:space="preserve"> Matthew Barham</w:t>
            </w:r>
          </w:p>
          <w:p w:rsidR="00FA2A4C" w:rsidRPr="0065654E" w:rsidRDefault="00FA2A4C" w:rsidP="00E57529">
            <w:pPr>
              <w:pStyle w:val="NormalWeb"/>
              <w:spacing w:before="0" w:beforeAutospacing="0" w:after="0" w:afterAutospacing="0"/>
              <w:ind w:right="34"/>
              <w:rPr>
                <w:rFonts w:ascii="Calibri" w:hAnsi="Calibri" w:cs="Tahoma"/>
                <w:i/>
                <w:sz w:val="24"/>
                <w:szCs w:val="24"/>
              </w:rPr>
            </w:pPr>
          </w:p>
        </w:tc>
      </w:tr>
      <w:tr w:rsidR="001E50BB" w:rsidRPr="0065654E" w:rsidTr="00DB2FD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1E50BB" w:rsidRPr="0065654E" w:rsidRDefault="00D121FD" w:rsidP="00C129C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rsidR="0019726D">
              <w:rPr>
                <w:rFonts w:ascii="Calibri" w:hAnsi="Calibri" w:cs="Tahoma"/>
                <w:i/>
                <w:sz w:val="24"/>
                <w:szCs w:val="24"/>
              </w:rPr>
              <w:t xml:space="preserve"> Health and Well-being in Ancient and Medieval Religions </w:t>
            </w:r>
          </w:p>
        </w:tc>
        <w:tc>
          <w:tcPr>
            <w:tcW w:w="3967" w:type="dxa"/>
            <w:gridSpan w:val="2"/>
            <w:tcBorders>
              <w:top w:val="single" w:sz="4" w:space="0" w:color="auto"/>
              <w:left w:val="single" w:sz="4" w:space="0" w:color="auto"/>
              <w:bottom w:val="single" w:sz="4" w:space="0" w:color="auto"/>
              <w:right w:val="single" w:sz="4" w:space="0" w:color="auto"/>
            </w:tcBorders>
          </w:tcPr>
          <w:p w:rsidR="001E50BB" w:rsidRPr="0065654E" w:rsidRDefault="001E50BB" w:rsidP="00C129C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2B7AFE">
              <w:rPr>
                <w:rFonts w:ascii="Calibri" w:hAnsi="Calibri" w:cs="Tahoma"/>
                <w:i/>
                <w:sz w:val="24"/>
                <w:szCs w:val="24"/>
              </w:rPr>
              <w:t>1500703</w:t>
            </w:r>
          </w:p>
        </w:tc>
      </w:tr>
      <w:tr w:rsidR="00590E9A" w:rsidRPr="0065654E" w:rsidTr="002E67C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590E9A" w:rsidRPr="0065654E" w:rsidRDefault="00590E9A" w:rsidP="00C129C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C129C7" w:rsidRDefault="00590E9A" w:rsidP="00043549">
            <w:pPr>
              <w:pStyle w:val="NormalWeb"/>
              <w:rPr>
                <w:rFonts w:ascii="Calibri" w:hAnsi="Calibri" w:cs="Tahoma"/>
                <w:i/>
                <w:sz w:val="24"/>
                <w:szCs w:val="24"/>
              </w:rPr>
            </w:pPr>
            <w:r w:rsidRPr="0065654E">
              <w:rPr>
                <w:rFonts w:ascii="Calibri" w:hAnsi="Calibri" w:cs="Tahoma"/>
                <w:i/>
                <w:sz w:val="24"/>
                <w:szCs w:val="24"/>
              </w:rPr>
              <w:t>Comments:</w:t>
            </w: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1E50BB" w:rsidRDefault="001E50BB"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D121FD" w:rsidRDefault="00D121FD" w:rsidP="00043549">
            <w:pPr>
              <w:pStyle w:val="NormalWeb"/>
              <w:rPr>
                <w:rFonts w:ascii="Calibri" w:hAnsi="Calibri" w:cs="Tahoma"/>
                <w:i/>
                <w:sz w:val="24"/>
                <w:szCs w:val="24"/>
              </w:rPr>
            </w:pPr>
          </w:p>
          <w:p w:rsidR="001E50BB" w:rsidRPr="0065654E" w:rsidRDefault="001E50BB" w:rsidP="00043549">
            <w:pPr>
              <w:pStyle w:val="NormalWeb"/>
              <w:rPr>
                <w:rFonts w:ascii="Calibri" w:hAnsi="Calibri" w:cs="Tahoma"/>
                <w:i/>
                <w:sz w:val="24"/>
                <w:szCs w:val="24"/>
              </w:rPr>
            </w:pPr>
          </w:p>
        </w:tc>
      </w:tr>
      <w:tr w:rsidR="00EC7546" w:rsidRPr="0065654E" w:rsidTr="00043549">
        <w:trPr>
          <w:trHeight w:val="492"/>
        </w:trPr>
        <w:tc>
          <w:tcPr>
            <w:tcW w:w="6768" w:type="dxa"/>
            <w:gridSpan w:val="2"/>
            <w:tcBorders>
              <w:top w:val="single" w:sz="4" w:space="0" w:color="auto"/>
            </w:tcBorders>
            <w:vAlign w:val="center"/>
          </w:tcPr>
          <w:p w:rsidR="00EC7546" w:rsidRPr="0065654E" w:rsidRDefault="00E3766D" w:rsidP="00043549">
            <w:pPr>
              <w:pStyle w:val="NormalWeb"/>
              <w:ind w:left="142" w:right="34"/>
              <w:rPr>
                <w:rFonts w:ascii="Calibri" w:hAnsi="Calibri" w:cs="Tahoma"/>
                <w:i/>
                <w:sz w:val="24"/>
                <w:szCs w:val="24"/>
              </w:rPr>
            </w:pPr>
            <w:r w:rsidRPr="0065654E">
              <w:rPr>
                <w:rFonts w:ascii="Calibri" w:hAnsi="Calibri" w:cs="Tahoma"/>
                <w:i/>
                <w:sz w:val="24"/>
                <w:szCs w:val="24"/>
              </w:rPr>
              <w:t>M</w:t>
            </w:r>
            <w:r w:rsidR="00EC7546" w:rsidRPr="0065654E">
              <w:rPr>
                <w:rFonts w:ascii="Calibri" w:hAnsi="Calibri" w:cs="Tahoma"/>
                <w:i/>
                <w:sz w:val="24"/>
                <w:szCs w:val="24"/>
              </w:rPr>
              <w:t>arker</w:t>
            </w:r>
            <w:r w:rsidR="00CE3B79">
              <w:rPr>
                <w:rFonts w:ascii="Calibri" w:hAnsi="Calibri" w:cs="Tahoma"/>
                <w:i/>
                <w:sz w:val="24"/>
                <w:szCs w:val="24"/>
              </w:rPr>
              <w:t xml:space="preserve">’s </w:t>
            </w:r>
            <w:r w:rsidR="00EC7546" w:rsidRPr="0065654E">
              <w:rPr>
                <w:rFonts w:ascii="Calibri" w:hAnsi="Calibri" w:cs="Tahoma"/>
                <w:i/>
                <w:sz w:val="24"/>
                <w:szCs w:val="24"/>
              </w:rPr>
              <w:t>signature:</w:t>
            </w:r>
          </w:p>
        </w:tc>
        <w:tc>
          <w:tcPr>
            <w:tcW w:w="1987" w:type="dxa"/>
            <w:tcBorders>
              <w:top w:val="single" w:sz="4" w:space="0" w:color="auto"/>
            </w:tcBorders>
            <w:vAlign w:val="center"/>
          </w:tcPr>
          <w:p w:rsidR="00EC7546" w:rsidRPr="0065654E" w:rsidRDefault="0065654E" w:rsidP="00E3766D">
            <w:pPr>
              <w:pStyle w:val="NormalWeb"/>
              <w:spacing w:after="0"/>
              <w:ind w:left="142" w:right="34"/>
              <w:rPr>
                <w:rFonts w:ascii="Calibri" w:hAnsi="Calibri" w:cs="Tahoma"/>
                <w:i/>
                <w:sz w:val="24"/>
                <w:szCs w:val="24"/>
              </w:rPr>
            </w:pPr>
            <w:r>
              <w:rPr>
                <w:rFonts w:ascii="Calibri" w:hAnsi="Calibri" w:cs="Tahoma"/>
                <w:i/>
                <w:sz w:val="24"/>
                <w:szCs w:val="24"/>
              </w:rPr>
              <w:t>D</w:t>
            </w:r>
            <w:r w:rsidR="00EC7546" w:rsidRPr="0065654E">
              <w:rPr>
                <w:rFonts w:ascii="Calibri" w:hAnsi="Calibri" w:cs="Tahoma"/>
                <w:i/>
                <w:sz w:val="24"/>
                <w:szCs w:val="24"/>
              </w:rPr>
              <w:t>ate</w:t>
            </w:r>
            <w:r>
              <w:rPr>
                <w:rFonts w:ascii="Calibri" w:hAnsi="Calibri" w:cs="Tahoma"/>
                <w:i/>
                <w:sz w:val="24"/>
                <w:szCs w:val="24"/>
              </w:rPr>
              <w:t>:</w:t>
            </w:r>
          </w:p>
        </w:tc>
      </w:tr>
      <w:tr w:rsidR="00EC7546" w:rsidRPr="0065654E" w:rsidTr="00043549">
        <w:tc>
          <w:tcPr>
            <w:tcW w:w="8755" w:type="dxa"/>
            <w:gridSpan w:val="3"/>
            <w:vAlign w:val="center"/>
          </w:tcPr>
          <w:p w:rsidR="00043549" w:rsidRDefault="00E3766D" w:rsidP="002E67C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P</w:t>
            </w:r>
            <w:r w:rsidR="00EC7546" w:rsidRPr="0065654E">
              <w:rPr>
                <w:rFonts w:ascii="Calibri" w:hAnsi="Calibri" w:cs="Tahoma"/>
                <w:i/>
                <w:sz w:val="24"/>
                <w:szCs w:val="24"/>
              </w:rPr>
              <w:t>rovisional mark:</w:t>
            </w:r>
            <w:r w:rsidR="00B45FEF" w:rsidRPr="0065654E">
              <w:rPr>
                <w:rFonts w:ascii="Calibri" w:hAnsi="Calibri" w:cs="Tahoma"/>
                <w:i/>
                <w:sz w:val="24"/>
                <w:szCs w:val="24"/>
              </w:rPr>
              <w:t xml:space="preserve"> </w:t>
            </w:r>
          </w:p>
          <w:p w:rsidR="00EC7546" w:rsidRPr="0065654E" w:rsidRDefault="00EC7546" w:rsidP="0004354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w:t>
            </w:r>
            <w:r w:rsidR="00F73533" w:rsidRPr="0065654E">
              <w:rPr>
                <w:rFonts w:ascii="Calibri" w:hAnsi="Calibri" w:cs="Tahoma"/>
                <w:i/>
                <w:sz w:val="24"/>
                <w:szCs w:val="24"/>
              </w:rPr>
              <w:t>firmed</w:t>
            </w:r>
            <w:r w:rsidRPr="0065654E">
              <w:rPr>
                <w:rFonts w:ascii="Calibri" w:hAnsi="Calibri" w:cs="Tahoma"/>
                <w:i/>
                <w:sz w:val="24"/>
                <w:szCs w:val="24"/>
              </w:rPr>
              <w:t xml:space="preserve"> by the </w:t>
            </w:r>
            <w:r w:rsidR="00CC52A3">
              <w:rPr>
                <w:rFonts w:ascii="Calibri" w:hAnsi="Calibri" w:cs="Tahoma"/>
                <w:i/>
                <w:sz w:val="24"/>
                <w:szCs w:val="24"/>
              </w:rPr>
              <w:t xml:space="preserve">final </w:t>
            </w:r>
            <w:r w:rsidRPr="0065654E">
              <w:rPr>
                <w:rFonts w:ascii="Calibri" w:hAnsi="Calibri" w:cs="Tahoma"/>
                <w:i/>
                <w:sz w:val="24"/>
                <w:szCs w:val="24"/>
              </w:rPr>
              <w:t>exam</w:t>
            </w:r>
            <w:r w:rsidR="00076A0B">
              <w:rPr>
                <w:rFonts w:ascii="Calibri" w:hAnsi="Calibri" w:cs="Tahoma"/>
                <w:i/>
                <w:sz w:val="24"/>
                <w:szCs w:val="24"/>
              </w:rPr>
              <w:t>ination</w:t>
            </w:r>
            <w:r w:rsidRPr="0065654E">
              <w:rPr>
                <w:rFonts w:ascii="Calibri" w:hAnsi="Calibri" w:cs="Tahoma"/>
                <w:i/>
                <w:sz w:val="24"/>
                <w:szCs w:val="24"/>
              </w:rPr>
              <w:t xml:space="preserve"> board. </w:t>
            </w:r>
          </w:p>
        </w:tc>
      </w:tr>
    </w:tbl>
    <w:p w:rsidR="00EC7546" w:rsidRDefault="00EC7546" w:rsidP="00FA07E9">
      <w:pPr>
        <w:pStyle w:val="NormalWeb"/>
        <w:spacing w:before="0" w:beforeAutospacing="0" w:after="0" w:afterAutospacing="0"/>
        <w:ind w:right="-334"/>
        <w:rPr>
          <w:rFonts w:ascii="Trebuchet MS" w:hAnsi="Trebuchet MS" w:cs="Tahoma"/>
          <w:b/>
          <w:bCs/>
          <w:sz w:val="24"/>
          <w:szCs w:val="24"/>
        </w:rPr>
      </w:pPr>
    </w:p>
    <w:p w:rsidR="0019726D" w:rsidRDefault="0019726D" w:rsidP="00FA07E9">
      <w:pPr>
        <w:pStyle w:val="NormalWeb"/>
        <w:spacing w:before="0" w:beforeAutospacing="0" w:after="0" w:afterAutospacing="0"/>
        <w:ind w:right="-334"/>
        <w:rPr>
          <w:rFonts w:ascii="Trebuchet MS" w:hAnsi="Trebuchet MS" w:cs="Tahoma"/>
          <w:b/>
          <w:bCs/>
          <w:sz w:val="24"/>
          <w:szCs w:val="24"/>
        </w:rPr>
      </w:pPr>
    </w:p>
    <w:p w:rsidR="0019726D" w:rsidRDefault="0019726D" w:rsidP="00FA07E9">
      <w:pPr>
        <w:pStyle w:val="NormalWeb"/>
        <w:spacing w:before="0" w:beforeAutospacing="0" w:after="0" w:afterAutospacing="0"/>
        <w:ind w:right="-334"/>
        <w:rPr>
          <w:rFonts w:ascii="Trebuchet MS" w:hAnsi="Trebuchet MS" w:cs="Tahoma"/>
          <w:b/>
          <w:bCs/>
          <w:sz w:val="24"/>
          <w:szCs w:val="24"/>
        </w:rPr>
      </w:pPr>
    </w:p>
    <w:p w:rsidR="0019726D" w:rsidRPr="00506129" w:rsidRDefault="0019726D" w:rsidP="006A326E">
      <w:pPr>
        <w:pStyle w:val="NormalWeb"/>
        <w:spacing w:before="0" w:beforeAutospacing="0" w:after="0" w:afterAutospacing="0" w:line="480" w:lineRule="auto"/>
        <w:ind w:right="-334"/>
        <w:jc w:val="center"/>
        <w:rPr>
          <w:rFonts w:ascii="Times New Roman" w:hAnsi="Times New Roman"/>
          <w:b/>
          <w:bCs/>
          <w:sz w:val="24"/>
          <w:szCs w:val="24"/>
        </w:rPr>
      </w:pPr>
      <w:r w:rsidRPr="00506129">
        <w:rPr>
          <w:rFonts w:ascii="Times New Roman" w:hAnsi="Times New Roman"/>
          <w:b/>
          <w:bCs/>
          <w:sz w:val="24"/>
          <w:szCs w:val="24"/>
        </w:rPr>
        <w:lastRenderedPageBreak/>
        <w:t>Patient Practitioner Relationships</w:t>
      </w:r>
    </w:p>
    <w:p w:rsidR="0019726D" w:rsidRPr="00506129" w:rsidRDefault="0019726D" w:rsidP="006A326E">
      <w:pPr>
        <w:pStyle w:val="NormalWeb"/>
        <w:spacing w:before="0" w:beforeAutospacing="0" w:after="0" w:afterAutospacing="0" w:line="480" w:lineRule="auto"/>
        <w:ind w:right="-334"/>
        <w:jc w:val="center"/>
        <w:rPr>
          <w:rFonts w:ascii="Times New Roman" w:hAnsi="Times New Roman"/>
          <w:b/>
          <w:bCs/>
          <w:sz w:val="24"/>
          <w:szCs w:val="24"/>
        </w:rPr>
      </w:pPr>
    </w:p>
    <w:p w:rsidR="001441E7" w:rsidRPr="00506129" w:rsidRDefault="0019726D"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There is a trap that scholars can fall into when discussing the rise of Hippocratic “rational” medicine, one that hampers not only our understanding of this rising medical method, but also the pre-existing</w:t>
      </w:r>
      <w:r w:rsidR="001441E7" w:rsidRPr="00506129">
        <w:rPr>
          <w:rFonts w:ascii="Times New Roman" w:hAnsi="Times New Roman"/>
          <w:bCs/>
          <w:sz w:val="24"/>
          <w:szCs w:val="24"/>
        </w:rPr>
        <w:t xml:space="preserve"> and</w:t>
      </w:r>
      <w:r w:rsidRPr="00506129">
        <w:rPr>
          <w:rFonts w:ascii="Times New Roman" w:hAnsi="Times New Roman"/>
          <w:bCs/>
          <w:sz w:val="24"/>
          <w:szCs w:val="24"/>
        </w:rPr>
        <w:t xml:space="preserve"> established, Cult of Asclepius.</w:t>
      </w:r>
      <w:r w:rsidR="00C74487" w:rsidRPr="00506129">
        <w:rPr>
          <w:rStyle w:val="FootnoteReference"/>
          <w:rFonts w:ascii="Times New Roman" w:hAnsi="Times New Roman"/>
          <w:bCs/>
          <w:sz w:val="24"/>
          <w:szCs w:val="24"/>
        </w:rPr>
        <w:footnoteReference w:id="1"/>
      </w:r>
      <w:r w:rsidRPr="00506129">
        <w:rPr>
          <w:rFonts w:ascii="Times New Roman" w:hAnsi="Times New Roman"/>
          <w:bCs/>
          <w:sz w:val="24"/>
          <w:szCs w:val="24"/>
        </w:rPr>
        <w:t xml:space="preserve"> It was once often assumed, but has in modern scholarship been disproved, that there was a conflict of ideas between the two medical approaches.</w:t>
      </w:r>
      <w:r w:rsidR="00C74487" w:rsidRPr="00506129">
        <w:rPr>
          <w:rStyle w:val="FootnoteReference"/>
          <w:rFonts w:ascii="Times New Roman" w:hAnsi="Times New Roman"/>
          <w:bCs/>
          <w:sz w:val="24"/>
          <w:szCs w:val="24"/>
        </w:rPr>
        <w:footnoteReference w:id="2"/>
      </w:r>
      <w:r w:rsidRPr="00506129">
        <w:rPr>
          <w:rFonts w:ascii="Times New Roman" w:hAnsi="Times New Roman"/>
          <w:bCs/>
          <w:sz w:val="24"/>
          <w:szCs w:val="24"/>
        </w:rPr>
        <w:t xml:space="preserve"> The majority of this conflict is seen to have come from an idea that Hippocratic Medicine was “rational” and that the </w:t>
      </w:r>
      <w:proofErr w:type="spellStart"/>
      <w:r w:rsidRPr="00506129">
        <w:rPr>
          <w:rFonts w:ascii="Times New Roman" w:hAnsi="Times New Roman"/>
          <w:bCs/>
          <w:sz w:val="24"/>
          <w:szCs w:val="24"/>
        </w:rPr>
        <w:t>Asclepian</w:t>
      </w:r>
      <w:proofErr w:type="spellEnd"/>
      <w:r w:rsidRPr="00506129">
        <w:rPr>
          <w:rFonts w:ascii="Times New Roman" w:hAnsi="Times New Roman"/>
          <w:bCs/>
          <w:sz w:val="24"/>
          <w:szCs w:val="24"/>
        </w:rPr>
        <w:t xml:space="preserve"> Cult healing practices were “irrational”.</w:t>
      </w:r>
      <w:r w:rsidR="00C74487" w:rsidRPr="00506129">
        <w:rPr>
          <w:rStyle w:val="FootnoteReference"/>
          <w:rFonts w:ascii="Times New Roman" w:hAnsi="Times New Roman"/>
          <w:bCs/>
          <w:sz w:val="24"/>
          <w:szCs w:val="24"/>
        </w:rPr>
        <w:footnoteReference w:id="3"/>
      </w:r>
      <w:r w:rsidRPr="00506129">
        <w:rPr>
          <w:rFonts w:ascii="Times New Roman" w:hAnsi="Times New Roman"/>
          <w:bCs/>
          <w:sz w:val="24"/>
          <w:szCs w:val="24"/>
        </w:rPr>
        <w:t xml:space="preserve"> It may be the case that to our modern eyes that it is true, undoubtedly so</w:t>
      </w:r>
      <w:r w:rsidR="001441E7" w:rsidRPr="00506129">
        <w:rPr>
          <w:rFonts w:ascii="Times New Roman" w:hAnsi="Times New Roman"/>
          <w:bCs/>
          <w:sz w:val="24"/>
          <w:szCs w:val="24"/>
        </w:rPr>
        <w:t xml:space="preserve"> to many</w:t>
      </w:r>
      <w:r w:rsidRPr="00506129">
        <w:rPr>
          <w:rFonts w:ascii="Times New Roman" w:hAnsi="Times New Roman"/>
          <w:bCs/>
          <w:sz w:val="24"/>
          <w:szCs w:val="24"/>
        </w:rPr>
        <w:t xml:space="preserve">, that Hippocratic Medicine was </w:t>
      </w:r>
      <w:r w:rsidR="001441E7" w:rsidRPr="00506129">
        <w:rPr>
          <w:rFonts w:ascii="Times New Roman" w:hAnsi="Times New Roman"/>
          <w:bCs/>
          <w:sz w:val="24"/>
          <w:szCs w:val="24"/>
        </w:rPr>
        <w:t>“</w:t>
      </w:r>
      <w:r w:rsidRPr="00506129">
        <w:rPr>
          <w:rFonts w:ascii="Times New Roman" w:hAnsi="Times New Roman"/>
          <w:bCs/>
          <w:sz w:val="24"/>
          <w:szCs w:val="24"/>
        </w:rPr>
        <w:t>better</w:t>
      </w:r>
      <w:r w:rsidR="001441E7" w:rsidRPr="00506129">
        <w:rPr>
          <w:rFonts w:ascii="Times New Roman" w:hAnsi="Times New Roman"/>
          <w:bCs/>
          <w:sz w:val="24"/>
          <w:szCs w:val="24"/>
        </w:rPr>
        <w:t>”</w:t>
      </w:r>
      <w:r w:rsidRPr="00506129">
        <w:rPr>
          <w:rFonts w:ascii="Times New Roman" w:hAnsi="Times New Roman"/>
          <w:bCs/>
          <w:sz w:val="24"/>
          <w:szCs w:val="24"/>
        </w:rPr>
        <w:t xml:space="preserve"> because it was “rational” and not “irrational”. However,</w:t>
      </w:r>
      <w:r w:rsidR="001441E7" w:rsidRPr="00506129">
        <w:rPr>
          <w:rFonts w:ascii="Times New Roman" w:hAnsi="Times New Roman"/>
          <w:bCs/>
          <w:sz w:val="24"/>
          <w:szCs w:val="24"/>
        </w:rPr>
        <w:t xml:space="preserve"> this projection of 20</w:t>
      </w:r>
      <w:r w:rsidR="001441E7" w:rsidRPr="00506129">
        <w:rPr>
          <w:rFonts w:ascii="Times New Roman" w:hAnsi="Times New Roman"/>
          <w:bCs/>
          <w:sz w:val="24"/>
          <w:szCs w:val="24"/>
          <w:vertAlign w:val="superscript"/>
        </w:rPr>
        <w:t>th</w:t>
      </w:r>
      <w:r w:rsidR="001441E7" w:rsidRPr="00506129">
        <w:rPr>
          <w:rFonts w:ascii="Times New Roman" w:hAnsi="Times New Roman"/>
          <w:bCs/>
          <w:sz w:val="24"/>
          <w:szCs w:val="24"/>
        </w:rPr>
        <w:t xml:space="preserve"> century</w:t>
      </w:r>
      <w:r w:rsidRPr="00506129">
        <w:rPr>
          <w:rFonts w:ascii="Times New Roman" w:hAnsi="Times New Roman"/>
          <w:bCs/>
          <w:sz w:val="24"/>
          <w:szCs w:val="24"/>
        </w:rPr>
        <w:t xml:space="preserve"> medical ideals onto those of the ancient Greeks hinders our understanding of these two scientific medical approaches. </w:t>
      </w:r>
      <w:r w:rsidR="001441E7" w:rsidRPr="00506129">
        <w:rPr>
          <w:rFonts w:ascii="Times New Roman" w:hAnsi="Times New Roman"/>
          <w:bCs/>
          <w:sz w:val="24"/>
          <w:szCs w:val="24"/>
        </w:rPr>
        <w:t>One that allows</w:t>
      </w:r>
      <w:r w:rsidRPr="00506129">
        <w:rPr>
          <w:rFonts w:ascii="Times New Roman" w:hAnsi="Times New Roman"/>
          <w:bCs/>
          <w:sz w:val="24"/>
          <w:szCs w:val="24"/>
        </w:rPr>
        <w:t xml:space="preserve"> for a swift answer to</w:t>
      </w:r>
      <w:r w:rsidR="001441E7" w:rsidRPr="00506129">
        <w:rPr>
          <w:rFonts w:ascii="Times New Roman" w:hAnsi="Times New Roman"/>
          <w:bCs/>
          <w:sz w:val="24"/>
          <w:szCs w:val="24"/>
        </w:rPr>
        <w:t xml:space="preserve"> ‘Why did Hippocratic medicine grow in popularity over the late fifth and fourth centuries BCE?’ one that suggests it was because the ancient Greeks began to look towards rationality for medical advice or in other words ‘science over religion’.</w:t>
      </w:r>
      <w:r w:rsidR="00C74487" w:rsidRPr="00506129">
        <w:rPr>
          <w:rStyle w:val="FootnoteReference"/>
          <w:rFonts w:ascii="Times New Roman" w:hAnsi="Times New Roman"/>
          <w:bCs/>
          <w:sz w:val="24"/>
          <w:szCs w:val="24"/>
        </w:rPr>
        <w:footnoteReference w:id="4"/>
      </w:r>
      <w:r w:rsidRPr="00506129">
        <w:rPr>
          <w:rFonts w:ascii="Times New Roman" w:hAnsi="Times New Roman"/>
          <w:bCs/>
          <w:sz w:val="24"/>
          <w:szCs w:val="24"/>
        </w:rPr>
        <w:t xml:space="preserve"> </w:t>
      </w:r>
      <w:r w:rsidR="001441E7" w:rsidRPr="00506129">
        <w:rPr>
          <w:rFonts w:ascii="Times New Roman" w:hAnsi="Times New Roman"/>
          <w:bCs/>
          <w:sz w:val="24"/>
          <w:szCs w:val="24"/>
        </w:rPr>
        <w:t>In fact, this could not be father than the truth; here I shall present the argument that it was thanks to</w:t>
      </w:r>
      <w:r w:rsidR="00C74487" w:rsidRPr="00506129">
        <w:rPr>
          <w:rFonts w:ascii="Times New Roman" w:hAnsi="Times New Roman"/>
          <w:bCs/>
          <w:sz w:val="24"/>
          <w:szCs w:val="24"/>
        </w:rPr>
        <w:t xml:space="preserve"> aspects of</w:t>
      </w:r>
      <w:r w:rsidR="001441E7" w:rsidRPr="00506129">
        <w:rPr>
          <w:rFonts w:ascii="Times New Roman" w:hAnsi="Times New Roman"/>
          <w:bCs/>
          <w:sz w:val="24"/>
          <w:szCs w:val="24"/>
        </w:rPr>
        <w:t xml:space="preserve"> the Hippocratic method, namely the beneficial patient-practitioner relationship it allowed for</w:t>
      </w:r>
      <w:r w:rsidR="00C74487" w:rsidRPr="00506129">
        <w:rPr>
          <w:rFonts w:ascii="Times New Roman" w:hAnsi="Times New Roman"/>
          <w:bCs/>
          <w:sz w:val="24"/>
          <w:szCs w:val="24"/>
        </w:rPr>
        <w:t>, that</w:t>
      </w:r>
      <w:r w:rsidR="001441E7" w:rsidRPr="00506129">
        <w:rPr>
          <w:rFonts w:ascii="Times New Roman" w:hAnsi="Times New Roman"/>
          <w:bCs/>
          <w:sz w:val="24"/>
          <w:szCs w:val="24"/>
        </w:rPr>
        <w:t xml:space="preserve"> </w:t>
      </w:r>
      <w:r w:rsidR="00C74487" w:rsidRPr="00506129">
        <w:rPr>
          <w:rFonts w:ascii="Times New Roman" w:hAnsi="Times New Roman"/>
          <w:bCs/>
          <w:sz w:val="24"/>
          <w:szCs w:val="24"/>
        </w:rPr>
        <w:t xml:space="preserve">contributed towards not only its growth, but also that of </w:t>
      </w:r>
      <w:r w:rsidR="001441E7" w:rsidRPr="00506129">
        <w:rPr>
          <w:rFonts w:ascii="Times New Roman" w:hAnsi="Times New Roman"/>
          <w:bCs/>
          <w:sz w:val="24"/>
          <w:szCs w:val="24"/>
        </w:rPr>
        <w:t>the Cult of Asclepius.</w:t>
      </w:r>
    </w:p>
    <w:p w:rsidR="001441E7" w:rsidRPr="00506129" w:rsidRDefault="001441E7" w:rsidP="006A326E">
      <w:pPr>
        <w:pStyle w:val="NormalWeb"/>
        <w:spacing w:before="0" w:beforeAutospacing="0" w:after="0" w:afterAutospacing="0" w:line="480" w:lineRule="auto"/>
        <w:ind w:right="-334"/>
        <w:rPr>
          <w:rFonts w:ascii="Times New Roman" w:hAnsi="Times New Roman"/>
          <w:bCs/>
          <w:sz w:val="24"/>
          <w:szCs w:val="24"/>
        </w:rPr>
      </w:pPr>
    </w:p>
    <w:p w:rsidR="00587017" w:rsidRPr="00506129" w:rsidRDefault="00C74487"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 xml:space="preserve">As established in the introduction, and also inspected by Spyros </w:t>
      </w:r>
      <w:proofErr w:type="spellStart"/>
      <w:r w:rsidRPr="00506129">
        <w:rPr>
          <w:rFonts w:ascii="Times New Roman" w:hAnsi="Times New Roman"/>
          <w:bCs/>
          <w:sz w:val="24"/>
          <w:szCs w:val="24"/>
        </w:rPr>
        <w:t>Marketos</w:t>
      </w:r>
      <w:proofErr w:type="spellEnd"/>
      <w:r w:rsidRPr="00506129">
        <w:rPr>
          <w:rFonts w:ascii="Times New Roman" w:hAnsi="Times New Roman"/>
          <w:bCs/>
          <w:sz w:val="24"/>
          <w:szCs w:val="24"/>
        </w:rPr>
        <w:t xml:space="preserve">, there was, despite our modern understanding of medicine and religion influencing our preconceptions, no </w:t>
      </w:r>
      <w:r w:rsidRPr="00506129">
        <w:rPr>
          <w:rFonts w:ascii="Times New Roman" w:hAnsi="Times New Roman"/>
          <w:bCs/>
          <w:sz w:val="24"/>
          <w:szCs w:val="24"/>
        </w:rPr>
        <w:lastRenderedPageBreak/>
        <w:t>conflict between the two sects have been recorded.</w:t>
      </w:r>
      <w:r w:rsidRPr="00506129">
        <w:rPr>
          <w:rStyle w:val="FootnoteReference"/>
          <w:rFonts w:ascii="Times New Roman" w:hAnsi="Times New Roman"/>
          <w:bCs/>
          <w:sz w:val="24"/>
          <w:szCs w:val="24"/>
        </w:rPr>
        <w:footnoteReference w:id="5"/>
      </w:r>
      <w:r w:rsidRPr="00506129">
        <w:rPr>
          <w:rFonts w:ascii="Times New Roman" w:hAnsi="Times New Roman"/>
          <w:bCs/>
          <w:sz w:val="24"/>
          <w:szCs w:val="24"/>
        </w:rPr>
        <w:t xml:space="preserve"> For </w:t>
      </w:r>
      <w:proofErr w:type="spellStart"/>
      <w:r w:rsidRPr="00506129">
        <w:rPr>
          <w:rFonts w:ascii="Times New Roman" w:hAnsi="Times New Roman"/>
          <w:bCs/>
          <w:sz w:val="24"/>
          <w:szCs w:val="24"/>
        </w:rPr>
        <w:t>Marketos</w:t>
      </w:r>
      <w:proofErr w:type="spellEnd"/>
      <w:r w:rsidRPr="00506129">
        <w:rPr>
          <w:rFonts w:ascii="Times New Roman" w:hAnsi="Times New Roman"/>
          <w:bCs/>
          <w:sz w:val="24"/>
          <w:szCs w:val="24"/>
        </w:rPr>
        <w:t xml:space="preserve"> this seems to be enough of evidence to determine there was no conflict and perhaps this was the case. But it is more reasonable to state that the total lack of ancient texts depicting any sort of conflict (large or small) tells that if there was a conflict, it was minimal enough to be excluded by authors for whom with have texts. In addition to this lack of texts, perhaps there is more reason to assume there would be no conflict o</w:t>
      </w:r>
      <w:r w:rsidR="00587017" w:rsidRPr="00506129">
        <w:rPr>
          <w:rFonts w:ascii="Times New Roman" w:hAnsi="Times New Roman"/>
          <w:bCs/>
          <w:sz w:val="24"/>
          <w:szCs w:val="24"/>
        </w:rPr>
        <w:t>f</w:t>
      </w:r>
      <w:r w:rsidRPr="00506129">
        <w:rPr>
          <w:rFonts w:ascii="Times New Roman" w:hAnsi="Times New Roman"/>
          <w:bCs/>
          <w:sz w:val="24"/>
          <w:szCs w:val="24"/>
        </w:rPr>
        <w:t xml:space="preserve"> ideals. Hippocratic medicine, often described as “rational”, was a</w:t>
      </w:r>
      <w:r w:rsidR="00506129">
        <w:rPr>
          <w:rFonts w:ascii="Times New Roman" w:hAnsi="Times New Roman"/>
          <w:bCs/>
          <w:sz w:val="24"/>
          <w:szCs w:val="24"/>
        </w:rPr>
        <w:t>s a matter of fact closely</w:t>
      </w:r>
      <w:r w:rsidRPr="00506129">
        <w:rPr>
          <w:rFonts w:ascii="Times New Roman" w:hAnsi="Times New Roman"/>
          <w:bCs/>
          <w:sz w:val="24"/>
          <w:szCs w:val="24"/>
        </w:rPr>
        <w:t xml:space="preserve"> linked to the Cult of Asclepius. Hipp</w:t>
      </w:r>
      <w:r w:rsidR="00506129">
        <w:rPr>
          <w:rFonts w:ascii="Times New Roman" w:hAnsi="Times New Roman"/>
          <w:bCs/>
          <w:sz w:val="24"/>
          <w:szCs w:val="24"/>
        </w:rPr>
        <w:t>ocratic physicians (whom Plato called</w:t>
      </w:r>
      <w:r w:rsidRPr="00506129">
        <w:rPr>
          <w:rFonts w:ascii="Times New Roman" w:hAnsi="Times New Roman"/>
          <w:bCs/>
          <w:sz w:val="24"/>
          <w:szCs w:val="24"/>
        </w:rPr>
        <w:t xml:space="preserve"> Asclepiads) respected the </w:t>
      </w:r>
      <w:proofErr w:type="spellStart"/>
      <w:r w:rsidRPr="00506129">
        <w:rPr>
          <w:rFonts w:ascii="Times New Roman" w:hAnsi="Times New Roman"/>
          <w:bCs/>
          <w:sz w:val="24"/>
          <w:szCs w:val="24"/>
        </w:rPr>
        <w:t>Asclepian</w:t>
      </w:r>
      <w:proofErr w:type="spellEnd"/>
      <w:r w:rsidRPr="00506129">
        <w:rPr>
          <w:rFonts w:ascii="Times New Roman" w:hAnsi="Times New Roman"/>
          <w:bCs/>
          <w:sz w:val="24"/>
          <w:szCs w:val="24"/>
        </w:rPr>
        <w:t xml:space="preserve"> traditions, they were not against the spiritual healing provided in </w:t>
      </w:r>
      <w:proofErr w:type="spellStart"/>
      <w:r w:rsidRPr="00506129">
        <w:rPr>
          <w:rFonts w:ascii="Times New Roman" w:hAnsi="Times New Roman"/>
          <w:bCs/>
          <w:sz w:val="24"/>
          <w:szCs w:val="24"/>
        </w:rPr>
        <w:t>Asclepeions</w:t>
      </w:r>
      <w:proofErr w:type="spellEnd"/>
      <w:r w:rsidR="00587017" w:rsidRPr="00506129">
        <w:rPr>
          <w:rFonts w:ascii="Times New Roman" w:hAnsi="Times New Roman"/>
          <w:bCs/>
          <w:sz w:val="24"/>
          <w:szCs w:val="24"/>
        </w:rPr>
        <w:t xml:space="preserve"> and</w:t>
      </w:r>
      <w:r w:rsidRPr="00506129">
        <w:rPr>
          <w:rFonts w:ascii="Times New Roman" w:hAnsi="Times New Roman"/>
          <w:bCs/>
          <w:sz w:val="24"/>
          <w:szCs w:val="24"/>
        </w:rPr>
        <w:t xml:space="preserve"> the first line of the Hippocratic </w:t>
      </w:r>
      <w:r w:rsidR="00506129">
        <w:rPr>
          <w:rFonts w:ascii="Times New Roman" w:hAnsi="Times New Roman"/>
          <w:bCs/>
          <w:sz w:val="24"/>
          <w:szCs w:val="24"/>
        </w:rPr>
        <w:t>Oath requires the physician to ‘</w:t>
      </w:r>
      <w:r w:rsidRPr="00506129">
        <w:rPr>
          <w:rFonts w:ascii="Times New Roman" w:hAnsi="Times New Roman"/>
          <w:bCs/>
          <w:sz w:val="24"/>
          <w:szCs w:val="24"/>
        </w:rPr>
        <w:t xml:space="preserve">swear by Apollo Physician, by Asclepius, by </w:t>
      </w:r>
      <w:proofErr w:type="spellStart"/>
      <w:r w:rsidRPr="00506129">
        <w:rPr>
          <w:rFonts w:ascii="Times New Roman" w:hAnsi="Times New Roman"/>
          <w:bCs/>
          <w:sz w:val="24"/>
          <w:szCs w:val="24"/>
        </w:rPr>
        <w:t>Hygea</w:t>
      </w:r>
      <w:proofErr w:type="spellEnd"/>
      <w:r w:rsidRPr="00506129">
        <w:rPr>
          <w:rFonts w:ascii="Times New Roman" w:hAnsi="Times New Roman"/>
          <w:bCs/>
          <w:sz w:val="24"/>
          <w:szCs w:val="24"/>
        </w:rPr>
        <w:t>, and Panacea and by all</w:t>
      </w:r>
      <w:r w:rsidR="00506129">
        <w:rPr>
          <w:rFonts w:ascii="Times New Roman" w:hAnsi="Times New Roman"/>
          <w:bCs/>
          <w:sz w:val="24"/>
          <w:szCs w:val="24"/>
        </w:rPr>
        <w:t xml:space="preserve"> the gods and goddesses’</w:t>
      </w:r>
      <w:r w:rsidRPr="00506129">
        <w:rPr>
          <w:rFonts w:ascii="Times New Roman" w:hAnsi="Times New Roman"/>
          <w:bCs/>
          <w:sz w:val="24"/>
          <w:szCs w:val="24"/>
        </w:rPr>
        <w:t>.</w:t>
      </w:r>
      <w:r w:rsidRPr="00506129">
        <w:rPr>
          <w:rStyle w:val="FootnoteReference"/>
          <w:rFonts w:ascii="Times New Roman" w:hAnsi="Times New Roman"/>
          <w:bCs/>
          <w:sz w:val="24"/>
          <w:szCs w:val="24"/>
        </w:rPr>
        <w:footnoteReference w:id="6"/>
      </w:r>
      <w:r w:rsidRPr="00506129">
        <w:rPr>
          <w:rFonts w:ascii="Times New Roman" w:hAnsi="Times New Roman"/>
          <w:bCs/>
          <w:sz w:val="24"/>
          <w:szCs w:val="24"/>
        </w:rPr>
        <w:t xml:space="preserve">  </w:t>
      </w:r>
      <w:r w:rsidR="00587017" w:rsidRPr="00506129">
        <w:rPr>
          <w:rFonts w:ascii="Times New Roman" w:hAnsi="Times New Roman"/>
          <w:bCs/>
          <w:sz w:val="24"/>
          <w:szCs w:val="24"/>
        </w:rPr>
        <w:t xml:space="preserve">All these factors lead to the conclusion that Hippocratic medical methods were complimentary to those in place in the numerous cult sites on the Greek mainland. Hippocratic physicians were not an alternative but an additional, supplementary medical option. </w:t>
      </w:r>
    </w:p>
    <w:p w:rsidR="00587017" w:rsidRPr="00506129" w:rsidRDefault="00587017" w:rsidP="006A326E">
      <w:pPr>
        <w:pStyle w:val="NormalWeb"/>
        <w:spacing w:before="0" w:beforeAutospacing="0" w:after="0" w:afterAutospacing="0" w:line="480" w:lineRule="auto"/>
        <w:ind w:right="-334"/>
        <w:rPr>
          <w:rFonts w:ascii="Times New Roman" w:hAnsi="Times New Roman"/>
          <w:bCs/>
          <w:sz w:val="24"/>
          <w:szCs w:val="24"/>
        </w:rPr>
      </w:pPr>
    </w:p>
    <w:p w:rsidR="00587017" w:rsidRPr="00506129" w:rsidRDefault="00587017" w:rsidP="006A326E">
      <w:pPr>
        <w:pStyle w:val="NormalWeb"/>
        <w:spacing w:before="0" w:beforeAutospacing="0" w:after="0" w:afterAutospacing="0" w:line="480" w:lineRule="auto"/>
        <w:ind w:right="-334"/>
        <w:rPr>
          <w:rFonts w:ascii="Times New Roman" w:hAnsi="Times New Roman"/>
          <w:bCs/>
          <w:i/>
          <w:sz w:val="24"/>
          <w:szCs w:val="24"/>
        </w:rPr>
      </w:pPr>
      <w:r w:rsidRPr="00506129">
        <w:rPr>
          <w:rFonts w:ascii="Times New Roman" w:hAnsi="Times New Roman"/>
          <w:bCs/>
          <w:sz w:val="24"/>
          <w:szCs w:val="24"/>
        </w:rPr>
        <w:t>Despite these similarities they are still, in ancient and modern writings, seen as separate entities. Perhaps one of the most puzzling similarities is their respective grown of popularity. For two separate public healing facilities, they both enjoyed an apparent increase almost simultaneously, one might expect to see a trend whereby one sect will decrease in popularity as the other rises, but this is not the case. In the decades directly proceeding the spread of Hippocratic medicine the Cult of Asclepius too did grow in popularity. This idiosyncrasy</w:t>
      </w:r>
      <w:r w:rsidR="0058663A" w:rsidRPr="00506129">
        <w:rPr>
          <w:rFonts w:ascii="Times New Roman" w:hAnsi="Times New Roman"/>
          <w:bCs/>
          <w:sz w:val="24"/>
          <w:szCs w:val="24"/>
        </w:rPr>
        <w:t xml:space="preserve"> has lead</w:t>
      </w:r>
      <w:r w:rsidRPr="00506129">
        <w:rPr>
          <w:rFonts w:ascii="Times New Roman" w:hAnsi="Times New Roman"/>
          <w:bCs/>
          <w:sz w:val="24"/>
          <w:szCs w:val="24"/>
        </w:rPr>
        <w:t xml:space="preserve"> me to this hypothesis; there must have been an aspect of Hippocratic medicine that appealed to many Greeks, one that was not seen before but also one that could be fulfille</w:t>
      </w:r>
      <w:r w:rsidR="00506129">
        <w:rPr>
          <w:rFonts w:ascii="Times New Roman" w:hAnsi="Times New Roman"/>
          <w:bCs/>
          <w:sz w:val="24"/>
          <w:szCs w:val="24"/>
        </w:rPr>
        <w:t xml:space="preserve">d by </w:t>
      </w:r>
      <w:r w:rsidR="00506129">
        <w:rPr>
          <w:rFonts w:ascii="Times New Roman" w:hAnsi="Times New Roman"/>
          <w:bCs/>
          <w:sz w:val="24"/>
          <w:szCs w:val="24"/>
        </w:rPr>
        <w:lastRenderedPageBreak/>
        <w:t>the Asclepius Cult;</w:t>
      </w:r>
      <w:r w:rsidRPr="00506129">
        <w:rPr>
          <w:rFonts w:ascii="Times New Roman" w:hAnsi="Times New Roman"/>
          <w:bCs/>
          <w:sz w:val="24"/>
          <w:szCs w:val="24"/>
        </w:rPr>
        <w:t xml:space="preserve"> I believe this facet was the Hippocratic focus on the patient resulting in a positive (what in modern medical terms is called) </w:t>
      </w:r>
      <w:r w:rsidRPr="00506129">
        <w:rPr>
          <w:rFonts w:ascii="Times New Roman" w:hAnsi="Times New Roman"/>
          <w:bCs/>
          <w:i/>
          <w:sz w:val="24"/>
          <w:szCs w:val="24"/>
        </w:rPr>
        <w:t>patient-practitioner relationship.</w:t>
      </w:r>
    </w:p>
    <w:p w:rsidR="001441E7" w:rsidRPr="00506129" w:rsidRDefault="001441E7" w:rsidP="006A326E">
      <w:pPr>
        <w:pStyle w:val="NormalWeb"/>
        <w:spacing w:before="0" w:beforeAutospacing="0" w:after="0" w:afterAutospacing="0" w:line="480" w:lineRule="auto"/>
        <w:ind w:right="-334"/>
        <w:rPr>
          <w:rFonts w:ascii="Times New Roman" w:hAnsi="Times New Roman"/>
          <w:bCs/>
          <w:i/>
          <w:sz w:val="24"/>
          <w:szCs w:val="24"/>
        </w:rPr>
      </w:pPr>
    </w:p>
    <w:p w:rsidR="00626250" w:rsidRPr="00506129" w:rsidRDefault="00626250"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It seems fitting now to discuss the specifics when comparing the patient-practitioner relationship</w:t>
      </w:r>
      <w:r w:rsidR="00506129">
        <w:rPr>
          <w:rFonts w:ascii="Times New Roman" w:hAnsi="Times New Roman"/>
          <w:bCs/>
          <w:sz w:val="24"/>
          <w:szCs w:val="24"/>
        </w:rPr>
        <w:t>s</w:t>
      </w:r>
      <w:r w:rsidRPr="00506129">
        <w:rPr>
          <w:rFonts w:ascii="Times New Roman" w:hAnsi="Times New Roman"/>
          <w:bCs/>
          <w:sz w:val="24"/>
          <w:szCs w:val="24"/>
        </w:rPr>
        <w:t xml:space="preserve"> of Hippocratic medicine and religious medicine found in the Cult of Asclepius. Before the rise of Hippocratic methods of healing, medical aid was predominantly in the hands of the gods, the god who received most attention for his healing attributes was Asclepius. </w:t>
      </w:r>
      <w:r w:rsidR="00C43180" w:rsidRPr="00506129">
        <w:rPr>
          <w:rFonts w:ascii="Times New Roman" w:hAnsi="Times New Roman"/>
          <w:bCs/>
          <w:sz w:val="24"/>
          <w:szCs w:val="24"/>
        </w:rPr>
        <w:t xml:space="preserve">Incubation was the most prevalent form of medical </w:t>
      </w:r>
      <w:r w:rsidR="00506129">
        <w:rPr>
          <w:rFonts w:ascii="Times New Roman" w:hAnsi="Times New Roman"/>
          <w:bCs/>
          <w:sz w:val="24"/>
          <w:szCs w:val="24"/>
        </w:rPr>
        <w:t>‘</w:t>
      </w:r>
      <w:r w:rsidR="00C43180" w:rsidRPr="00506129">
        <w:rPr>
          <w:rFonts w:ascii="Times New Roman" w:hAnsi="Times New Roman"/>
          <w:bCs/>
          <w:sz w:val="24"/>
          <w:szCs w:val="24"/>
        </w:rPr>
        <w:t>treatment</w:t>
      </w:r>
      <w:r w:rsidR="00506129">
        <w:rPr>
          <w:rFonts w:ascii="Times New Roman" w:hAnsi="Times New Roman"/>
          <w:bCs/>
          <w:sz w:val="24"/>
          <w:szCs w:val="24"/>
        </w:rPr>
        <w:t>’</w:t>
      </w:r>
      <w:r w:rsidR="00C43180" w:rsidRPr="00506129">
        <w:rPr>
          <w:rFonts w:ascii="Times New Roman" w:hAnsi="Times New Roman"/>
          <w:bCs/>
          <w:sz w:val="24"/>
          <w:szCs w:val="24"/>
        </w:rPr>
        <w:t>, t</w:t>
      </w:r>
      <w:r w:rsidRPr="00506129">
        <w:rPr>
          <w:rFonts w:ascii="Times New Roman" w:hAnsi="Times New Roman"/>
          <w:bCs/>
          <w:sz w:val="24"/>
          <w:szCs w:val="24"/>
        </w:rPr>
        <w:t xml:space="preserve">o be healed </w:t>
      </w:r>
      <w:r w:rsidR="00C43180" w:rsidRPr="00506129">
        <w:rPr>
          <w:rFonts w:ascii="Times New Roman" w:hAnsi="Times New Roman"/>
          <w:bCs/>
          <w:sz w:val="24"/>
          <w:szCs w:val="24"/>
        </w:rPr>
        <w:t xml:space="preserve">a person would pilgrimage to their nearest </w:t>
      </w:r>
      <w:proofErr w:type="spellStart"/>
      <w:r w:rsidR="00C43180" w:rsidRPr="00506129">
        <w:rPr>
          <w:rFonts w:ascii="Times New Roman" w:hAnsi="Times New Roman"/>
          <w:bCs/>
          <w:sz w:val="24"/>
          <w:szCs w:val="24"/>
        </w:rPr>
        <w:t>Asclepieon</w:t>
      </w:r>
      <w:proofErr w:type="spellEnd"/>
      <w:r w:rsidR="00C43180" w:rsidRPr="00506129">
        <w:rPr>
          <w:rFonts w:ascii="Times New Roman" w:hAnsi="Times New Roman"/>
          <w:bCs/>
          <w:sz w:val="24"/>
          <w:szCs w:val="24"/>
        </w:rPr>
        <w:t xml:space="preserve"> (temple of Asclepius), make a simple sacrifice (Marcia </w:t>
      </w:r>
      <w:proofErr w:type="spellStart"/>
      <w:r w:rsidR="00C43180" w:rsidRPr="00506129">
        <w:rPr>
          <w:rFonts w:ascii="Times New Roman" w:hAnsi="Times New Roman"/>
          <w:bCs/>
          <w:sz w:val="24"/>
          <w:szCs w:val="24"/>
        </w:rPr>
        <w:t>Inhorn</w:t>
      </w:r>
      <w:proofErr w:type="spellEnd"/>
      <w:r w:rsidR="00C43180" w:rsidRPr="00506129">
        <w:rPr>
          <w:rFonts w:ascii="Times New Roman" w:hAnsi="Times New Roman"/>
          <w:bCs/>
          <w:sz w:val="24"/>
          <w:szCs w:val="24"/>
        </w:rPr>
        <w:t xml:space="preserve"> give cakes and fruit as examples, but there is evidence for a variety of other ‘</w:t>
      </w:r>
      <w:r w:rsidR="00C43180" w:rsidRPr="00506129">
        <w:rPr>
          <w:rFonts w:ascii="Times New Roman" w:hAnsi="Times New Roman"/>
          <w:bCs/>
          <w:i/>
          <w:sz w:val="24"/>
          <w:szCs w:val="24"/>
        </w:rPr>
        <w:t>things’</w:t>
      </w:r>
      <w:r w:rsidR="00C43180" w:rsidRPr="00506129">
        <w:rPr>
          <w:rFonts w:ascii="Times New Roman" w:hAnsi="Times New Roman"/>
          <w:bCs/>
          <w:sz w:val="24"/>
          <w:szCs w:val="24"/>
        </w:rPr>
        <w:t xml:space="preserve"> including sculptures which often related to the medical problem the patient sought the god to alleviate).</w:t>
      </w:r>
      <w:r w:rsidR="00C43180" w:rsidRPr="00506129">
        <w:rPr>
          <w:rStyle w:val="FootnoteReference"/>
          <w:rFonts w:ascii="Times New Roman" w:hAnsi="Times New Roman"/>
          <w:bCs/>
          <w:sz w:val="24"/>
          <w:szCs w:val="24"/>
        </w:rPr>
        <w:footnoteReference w:id="7"/>
      </w:r>
      <w:r w:rsidR="00C43180" w:rsidRPr="00506129">
        <w:rPr>
          <w:rFonts w:ascii="Times New Roman" w:hAnsi="Times New Roman"/>
          <w:bCs/>
          <w:sz w:val="24"/>
          <w:szCs w:val="24"/>
        </w:rPr>
        <w:t xml:space="preserve"> After the sacrifice the patient would lay and await a visit from the god Asclepius </w:t>
      </w:r>
      <w:r w:rsidR="00506129">
        <w:rPr>
          <w:rFonts w:ascii="Times New Roman" w:hAnsi="Times New Roman"/>
          <w:bCs/>
          <w:sz w:val="24"/>
          <w:szCs w:val="24"/>
        </w:rPr>
        <w:t>(or in one</w:t>
      </w:r>
      <w:r w:rsidR="00C43180" w:rsidRPr="00506129">
        <w:rPr>
          <w:rFonts w:ascii="Times New Roman" w:hAnsi="Times New Roman"/>
          <w:bCs/>
          <w:sz w:val="24"/>
          <w:szCs w:val="24"/>
        </w:rPr>
        <w:t xml:space="preserve"> </w:t>
      </w:r>
      <w:r w:rsidR="00506129">
        <w:rPr>
          <w:rFonts w:ascii="Times New Roman" w:hAnsi="Times New Roman"/>
          <w:bCs/>
          <w:sz w:val="24"/>
          <w:szCs w:val="24"/>
        </w:rPr>
        <w:t xml:space="preserve">account </w:t>
      </w:r>
      <w:r w:rsidR="00C43180" w:rsidRPr="00506129">
        <w:rPr>
          <w:rFonts w:ascii="Times New Roman" w:hAnsi="Times New Roman"/>
          <w:bCs/>
          <w:sz w:val="24"/>
          <w:szCs w:val="24"/>
        </w:rPr>
        <w:t>a dog) through a vision</w:t>
      </w:r>
      <w:r w:rsidR="00506129">
        <w:rPr>
          <w:rFonts w:ascii="Times New Roman" w:hAnsi="Times New Roman"/>
          <w:bCs/>
          <w:sz w:val="24"/>
          <w:szCs w:val="24"/>
        </w:rPr>
        <w:t xml:space="preserve"> or dream. In this dream state they were cured or told the cure to their ailment</w:t>
      </w:r>
      <w:r w:rsidR="00C43180" w:rsidRPr="00506129">
        <w:rPr>
          <w:rFonts w:ascii="Times New Roman" w:hAnsi="Times New Roman"/>
          <w:bCs/>
          <w:sz w:val="24"/>
          <w:szCs w:val="24"/>
        </w:rPr>
        <w:t xml:space="preserve"> </w:t>
      </w:r>
      <w:r w:rsidR="00506129">
        <w:rPr>
          <w:rFonts w:ascii="Times New Roman" w:hAnsi="Times New Roman"/>
          <w:bCs/>
          <w:sz w:val="24"/>
          <w:szCs w:val="24"/>
        </w:rPr>
        <w:t>after which they awake and left</w:t>
      </w:r>
      <w:r w:rsidR="00C43180" w:rsidRPr="00506129">
        <w:rPr>
          <w:rFonts w:ascii="Times New Roman" w:hAnsi="Times New Roman"/>
          <w:bCs/>
          <w:sz w:val="24"/>
          <w:szCs w:val="24"/>
        </w:rPr>
        <w:t xml:space="preserve"> the temple cured of their condition.</w:t>
      </w:r>
      <w:r w:rsidR="005B2CFB" w:rsidRPr="00506129">
        <w:rPr>
          <w:rStyle w:val="FootnoteReference"/>
          <w:rFonts w:ascii="Times New Roman" w:hAnsi="Times New Roman"/>
          <w:bCs/>
          <w:sz w:val="24"/>
          <w:szCs w:val="24"/>
        </w:rPr>
        <w:footnoteReference w:id="8"/>
      </w:r>
      <w:r w:rsidR="00506129">
        <w:rPr>
          <w:rFonts w:ascii="Times New Roman" w:hAnsi="Times New Roman"/>
          <w:bCs/>
          <w:sz w:val="24"/>
          <w:szCs w:val="24"/>
        </w:rPr>
        <w:t xml:space="preserve"> Whether or not the patient is genuinely contacted by the god Asclepius is of no importance, the fact is even if a patient did receive divine assistance there would have been no time to form a relationship of any kind what so ever with their practitioner (in this case Asclepius). The same is true of the priests who worked at the temples; there is not an extended period of intimate contact between patient and priest to form a bond or trust.</w:t>
      </w:r>
      <w:r w:rsidR="00C43180" w:rsidRPr="00506129">
        <w:rPr>
          <w:rFonts w:ascii="Times New Roman" w:hAnsi="Times New Roman"/>
          <w:bCs/>
          <w:sz w:val="24"/>
          <w:szCs w:val="24"/>
        </w:rPr>
        <w:t xml:space="preserve"> </w:t>
      </w:r>
    </w:p>
    <w:p w:rsidR="007C2073" w:rsidRPr="00506129" w:rsidRDefault="007C2073" w:rsidP="006A326E">
      <w:pPr>
        <w:pStyle w:val="NormalWeb"/>
        <w:spacing w:before="0" w:beforeAutospacing="0" w:after="0" w:afterAutospacing="0" w:line="480" w:lineRule="auto"/>
        <w:ind w:right="-334"/>
        <w:rPr>
          <w:rFonts w:ascii="Times New Roman" w:hAnsi="Times New Roman"/>
          <w:bCs/>
          <w:sz w:val="24"/>
          <w:szCs w:val="24"/>
        </w:rPr>
      </w:pPr>
    </w:p>
    <w:p w:rsidR="007C2073" w:rsidRPr="00506129" w:rsidRDefault="007C2073"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Now, comparing this to how a Hippocratic physician would approach his patient the differences are vast. If a person were to see a Hippocratic physician</w:t>
      </w:r>
      <w:r w:rsidR="00506129">
        <w:rPr>
          <w:rFonts w:ascii="Times New Roman" w:hAnsi="Times New Roman"/>
          <w:bCs/>
          <w:sz w:val="24"/>
          <w:szCs w:val="24"/>
        </w:rPr>
        <w:t xml:space="preserve"> </w:t>
      </w:r>
      <w:r w:rsidRPr="00506129">
        <w:rPr>
          <w:rFonts w:ascii="Times New Roman" w:hAnsi="Times New Roman"/>
          <w:bCs/>
          <w:sz w:val="24"/>
          <w:szCs w:val="24"/>
        </w:rPr>
        <w:t xml:space="preserve">for the first time, their experience would be something wholly different to that they had experienced in an </w:t>
      </w:r>
      <w:proofErr w:type="spellStart"/>
      <w:r w:rsidRPr="00506129">
        <w:rPr>
          <w:rFonts w:ascii="Times New Roman" w:hAnsi="Times New Roman"/>
          <w:bCs/>
          <w:sz w:val="24"/>
          <w:szCs w:val="24"/>
        </w:rPr>
        <w:lastRenderedPageBreak/>
        <w:t>Asclepieon</w:t>
      </w:r>
      <w:proofErr w:type="spellEnd"/>
      <w:r w:rsidRPr="00506129">
        <w:rPr>
          <w:rFonts w:ascii="Times New Roman" w:hAnsi="Times New Roman"/>
          <w:bCs/>
          <w:sz w:val="24"/>
          <w:szCs w:val="24"/>
        </w:rPr>
        <w:t>. The Hippocra</w:t>
      </w:r>
      <w:r w:rsidR="00506129">
        <w:rPr>
          <w:rFonts w:ascii="Times New Roman" w:hAnsi="Times New Roman"/>
          <w:bCs/>
          <w:sz w:val="24"/>
          <w:szCs w:val="24"/>
        </w:rPr>
        <w:t xml:space="preserve">tic method was </w:t>
      </w:r>
      <w:r w:rsidR="00506129" w:rsidRPr="00506129">
        <w:rPr>
          <w:rFonts w:ascii="Times New Roman" w:hAnsi="Times New Roman"/>
          <w:bCs/>
          <w:i/>
          <w:sz w:val="24"/>
          <w:szCs w:val="24"/>
        </w:rPr>
        <w:t>holistic</w:t>
      </w:r>
      <w:r w:rsidR="00506129">
        <w:rPr>
          <w:rFonts w:ascii="Times New Roman" w:hAnsi="Times New Roman"/>
          <w:bCs/>
          <w:i/>
          <w:sz w:val="24"/>
          <w:szCs w:val="24"/>
        </w:rPr>
        <w:t xml:space="preserve"> </w:t>
      </w:r>
      <w:r w:rsidR="00506129">
        <w:rPr>
          <w:rFonts w:ascii="Times New Roman" w:hAnsi="Times New Roman"/>
          <w:bCs/>
          <w:sz w:val="24"/>
          <w:szCs w:val="24"/>
        </w:rPr>
        <w:t>in nature, meaning the focus of treatment was not on the disease in itself but the person as a whole. P</w:t>
      </w:r>
      <w:r w:rsidRPr="00506129">
        <w:rPr>
          <w:rFonts w:ascii="Times New Roman" w:hAnsi="Times New Roman"/>
          <w:bCs/>
          <w:sz w:val="24"/>
          <w:szCs w:val="24"/>
        </w:rPr>
        <w:t>hysicians would travel from polis to polis treating people; home visits where the most common and treatment was determined by interactions with the patient.</w:t>
      </w:r>
      <w:r w:rsidRPr="00506129">
        <w:rPr>
          <w:rStyle w:val="FootnoteReference"/>
          <w:rFonts w:ascii="Times New Roman" w:hAnsi="Times New Roman"/>
          <w:bCs/>
          <w:sz w:val="24"/>
          <w:szCs w:val="24"/>
        </w:rPr>
        <w:footnoteReference w:id="9"/>
      </w:r>
      <w:r w:rsidRPr="00506129">
        <w:rPr>
          <w:rFonts w:ascii="Times New Roman" w:hAnsi="Times New Roman"/>
          <w:bCs/>
          <w:sz w:val="24"/>
          <w:szCs w:val="24"/>
        </w:rPr>
        <w:t xml:space="preserve"> </w:t>
      </w:r>
      <w:r w:rsidR="00506129">
        <w:rPr>
          <w:rFonts w:ascii="Times New Roman" w:hAnsi="Times New Roman"/>
          <w:bCs/>
          <w:sz w:val="24"/>
          <w:szCs w:val="24"/>
        </w:rPr>
        <w:t xml:space="preserve">In the paper referred earlier by </w:t>
      </w:r>
      <w:proofErr w:type="spellStart"/>
      <w:r w:rsidR="00506129">
        <w:rPr>
          <w:rFonts w:ascii="Times New Roman" w:hAnsi="Times New Roman"/>
          <w:bCs/>
          <w:sz w:val="24"/>
          <w:szCs w:val="24"/>
        </w:rPr>
        <w:t>Marketos</w:t>
      </w:r>
      <w:proofErr w:type="spellEnd"/>
      <w:r w:rsidR="00506129">
        <w:rPr>
          <w:rFonts w:ascii="Times New Roman" w:hAnsi="Times New Roman"/>
          <w:bCs/>
          <w:sz w:val="24"/>
          <w:szCs w:val="24"/>
        </w:rPr>
        <w:t>, he states that in Hippocratic teaching ‘the place of a physician is at the bedside of his patient’.</w:t>
      </w:r>
      <w:r w:rsidR="00506129">
        <w:rPr>
          <w:rStyle w:val="FootnoteReference"/>
          <w:rFonts w:ascii="Times New Roman" w:hAnsi="Times New Roman"/>
          <w:bCs/>
          <w:sz w:val="24"/>
          <w:szCs w:val="24"/>
        </w:rPr>
        <w:footnoteReference w:id="10"/>
      </w:r>
      <w:r w:rsidR="00506129">
        <w:rPr>
          <w:rFonts w:ascii="Times New Roman" w:hAnsi="Times New Roman"/>
          <w:bCs/>
          <w:sz w:val="24"/>
          <w:szCs w:val="24"/>
        </w:rPr>
        <w:t xml:space="preserve">  He also remarks </w:t>
      </w:r>
      <w:r w:rsidR="006B7BFE">
        <w:rPr>
          <w:rFonts w:ascii="Times New Roman" w:hAnsi="Times New Roman"/>
          <w:bCs/>
          <w:sz w:val="24"/>
          <w:szCs w:val="24"/>
        </w:rPr>
        <w:t>th</w:t>
      </w:r>
      <w:r w:rsidR="00506129">
        <w:rPr>
          <w:rFonts w:ascii="Times New Roman" w:hAnsi="Times New Roman"/>
          <w:bCs/>
          <w:sz w:val="24"/>
          <w:szCs w:val="24"/>
        </w:rPr>
        <w:t>at the physician would ‘follow the more communal character of life in antiquity</w:t>
      </w:r>
      <w:r w:rsidR="006B7BFE">
        <w:rPr>
          <w:rFonts w:ascii="Times New Roman" w:hAnsi="Times New Roman"/>
          <w:bCs/>
          <w:sz w:val="24"/>
          <w:szCs w:val="24"/>
        </w:rPr>
        <w:t>’.</w:t>
      </w:r>
      <w:r w:rsidR="002F1460">
        <w:rPr>
          <w:rFonts w:ascii="Times New Roman" w:hAnsi="Times New Roman"/>
          <w:bCs/>
          <w:sz w:val="24"/>
          <w:szCs w:val="24"/>
        </w:rPr>
        <w:t xml:space="preserve"> I believe from these examples that it is sound to state that a patient will have a closer relationship to a Hippocratic physician than they would do to either a priest of Asclepius or to the god himself.</w:t>
      </w:r>
      <w:r w:rsidR="00506129">
        <w:rPr>
          <w:rFonts w:ascii="Times New Roman" w:hAnsi="Times New Roman"/>
          <w:bCs/>
          <w:sz w:val="24"/>
          <w:szCs w:val="24"/>
        </w:rPr>
        <w:t xml:space="preserve">  </w:t>
      </w:r>
    </w:p>
    <w:p w:rsidR="007C2073" w:rsidRPr="00506129" w:rsidRDefault="007C2073" w:rsidP="006A326E">
      <w:pPr>
        <w:pStyle w:val="NormalWeb"/>
        <w:spacing w:before="0" w:beforeAutospacing="0" w:after="0" w:afterAutospacing="0" w:line="480" w:lineRule="auto"/>
        <w:ind w:right="-334"/>
        <w:rPr>
          <w:rFonts w:ascii="Times New Roman" w:hAnsi="Times New Roman"/>
          <w:bCs/>
          <w:sz w:val="24"/>
          <w:szCs w:val="24"/>
        </w:rPr>
      </w:pPr>
    </w:p>
    <w:p w:rsidR="007C2073" w:rsidRPr="00506129" w:rsidRDefault="007C2073"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The importance of the far more personal patient-practitioner relationship offered by Hippocratic physicians cannot be understated. Over the past decade there have been a number of studies examining the benefits to patients when they receive a closer relationship to their practitioner. In 2009 the Harvard Medical School presented a paper titled ‘</w:t>
      </w:r>
      <w:r w:rsidRPr="00506129">
        <w:rPr>
          <w:rFonts w:ascii="Times New Roman" w:hAnsi="Times New Roman"/>
          <w:bCs/>
          <w:i/>
          <w:sz w:val="24"/>
          <w:szCs w:val="24"/>
        </w:rPr>
        <w:t>Which patients improve: Characteristics increasing sensitivity to a supportive patient-practitioner relationship on the benefits of patient-practitioner relationships’</w:t>
      </w:r>
      <w:r w:rsidRPr="00506129">
        <w:rPr>
          <w:rFonts w:ascii="Times New Roman" w:hAnsi="Times New Roman"/>
          <w:bCs/>
          <w:sz w:val="24"/>
          <w:szCs w:val="24"/>
        </w:rPr>
        <w:t xml:space="preserve"> their study came to a number of conclusions, perhaps the most relevant for this topic is their conclusions on the benefits of a positive patient-practitioner relationship.</w:t>
      </w:r>
      <w:r w:rsidR="00176546">
        <w:rPr>
          <w:rStyle w:val="FootnoteReference"/>
          <w:rFonts w:ascii="Times New Roman" w:hAnsi="Times New Roman"/>
          <w:bCs/>
          <w:sz w:val="24"/>
          <w:szCs w:val="24"/>
        </w:rPr>
        <w:footnoteReference w:id="11"/>
      </w:r>
    </w:p>
    <w:p w:rsidR="007C2073" w:rsidRPr="00506129" w:rsidRDefault="007C2073" w:rsidP="006A326E">
      <w:pPr>
        <w:pStyle w:val="NormalWeb"/>
        <w:spacing w:before="0" w:beforeAutospacing="0" w:after="0" w:afterAutospacing="0" w:line="480" w:lineRule="auto"/>
        <w:ind w:right="-334"/>
        <w:rPr>
          <w:rFonts w:ascii="Times New Roman" w:hAnsi="Times New Roman"/>
          <w:bCs/>
          <w:sz w:val="24"/>
          <w:szCs w:val="24"/>
        </w:rPr>
      </w:pPr>
    </w:p>
    <w:p w:rsidR="007C2073" w:rsidRDefault="007C2073" w:rsidP="006A326E">
      <w:pPr>
        <w:pStyle w:val="NormalWeb"/>
        <w:spacing w:before="0" w:beforeAutospacing="0" w:after="0" w:afterAutospacing="0" w:line="480" w:lineRule="auto"/>
        <w:ind w:left="720" w:right="-334"/>
        <w:rPr>
          <w:rFonts w:ascii="Times New Roman" w:hAnsi="Times New Roman"/>
          <w:bCs/>
          <w:i/>
          <w:sz w:val="24"/>
          <w:szCs w:val="24"/>
        </w:rPr>
      </w:pPr>
      <w:r w:rsidRPr="00506129">
        <w:rPr>
          <w:rFonts w:ascii="Times New Roman" w:hAnsi="Times New Roman"/>
          <w:bCs/>
          <w:i/>
          <w:sz w:val="24"/>
          <w:szCs w:val="24"/>
        </w:rPr>
        <w:t xml:space="preserve">It appears that a certain amount of support from either the individual’s greater social world or from the study environment is related to likelihood of healing… It appears that this rich relationship can be very powerful… This finding fits with growing </w:t>
      </w:r>
      <w:r w:rsidRPr="00506129">
        <w:rPr>
          <w:rFonts w:ascii="Times New Roman" w:hAnsi="Times New Roman"/>
          <w:bCs/>
          <w:i/>
          <w:sz w:val="24"/>
          <w:szCs w:val="24"/>
        </w:rPr>
        <w:lastRenderedPageBreak/>
        <w:t xml:space="preserve">literature on the powerful influence of these [supportive patient-practitioner] experiences. </w:t>
      </w:r>
      <w:r w:rsidRPr="00506129">
        <w:rPr>
          <w:rStyle w:val="FootnoteReference"/>
          <w:rFonts w:ascii="Times New Roman" w:hAnsi="Times New Roman"/>
          <w:bCs/>
          <w:i/>
          <w:sz w:val="24"/>
          <w:szCs w:val="24"/>
        </w:rPr>
        <w:footnoteReference w:id="12"/>
      </w:r>
      <w:r w:rsidRPr="00506129">
        <w:rPr>
          <w:rFonts w:ascii="Times New Roman" w:hAnsi="Times New Roman"/>
          <w:bCs/>
          <w:i/>
          <w:sz w:val="24"/>
          <w:szCs w:val="24"/>
        </w:rPr>
        <w:t xml:space="preserve">  </w:t>
      </w:r>
    </w:p>
    <w:p w:rsidR="00506129" w:rsidRPr="00506129" w:rsidRDefault="00506129" w:rsidP="006A326E">
      <w:pPr>
        <w:pStyle w:val="NormalWeb"/>
        <w:spacing w:before="0" w:beforeAutospacing="0" w:after="0" w:afterAutospacing="0" w:line="480" w:lineRule="auto"/>
        <w:ind w:left="720" w:right="-334"/>
        <w:rPr>
          <w:rFonts w:ascii="Times New Roman" w:hAnsi="Times New Roman"/>
          <w:bCs/>
          <w:i/>
          <w:sz w:val="24"/>
          <w:szCs w:val="24"/>
        </w:rPr>
      </w:pPr>
    </w:p>
    <w:p w:rsidR="002F1460" w:rsidRDefault="007C2073" w:rsidP="006A326E">
      <w:pPr>
        <w:pStyle w:val="NormalWeb"/>
        <w:spacing w:before="0" w:beforeAutospacing="0" w:after="0" w:afterAutospacing="0" w:line="480" w:lineRule="auto"/>
        <w:ind w:right="-334"/>
        <w:rPr>
          <w:rFonts w:ascii="Times New Roman" w:hAnsi="Times New Roman"/>
          <w:bCs/>
          <w:sz w:val="24"/>
          <w:szCs w:val="24"/>
        </w:rPr>
      </w:pPr>
      <w:r w:rsidRPr="00506129">
        <w:rPr>
          <w:rFonts w:ascii="Times New Roman" w:hAnsi="Times New Roman"/>
          <w:bCs/>
          <w:sz w:val="24"/>
          <w:szCs w:val="24"/>
        </w:rPr>
        <w:t>The study also states</w:t>
      </w:r>
      <w:r w:rsidR="00397D11" w:rsidRPr="00506129">
        <w:rPr>
          <w:rFonts w:ascii="Times New Roman" w:hAnsi="Times New Roman"/>
          <w:bCs/>
          <w:sz w:val="24"/>
          <w:szCs w:val="24"/>
        </w:rPr>
        <w:t xml:space="preserve"> that</w:t>
      </w:r>
      <w:r w:rsidR="00506129" w:rsidRPr="00506129">
        <w:rPr>
          <w:rFonts w:ascii="Times New Roman" w:hAnsi="Times New Roman"/>
          <w:bCs/>
          <w:sz w:val="24"/>
          <w:szCs w:val="24"/>
        </w:rPr>
        <w:t>, understandably,</w:t>
      </w:r>
      <w:r w:rsidR="00397D11" w:rsidRPr="00506129">
        <w:rPr>
          <w:rFonts w:ascii="Times New Roman" w:hAnsi="Times New Roman"/>
          <w:bCs/>
          <w:sz w:val="24"/>
          <w:szCs w:val="24"/>
        </w:rPr>
        <w:t xml:space="preserve"> patient</w:t>
      </w:r>
      <w:r w:rsidR="00506129" w:rsidRPr="00506129">
        <w:rPr>
          <w:rFonts w:ascii="Times New Roman" w:hAnsi="Times New Roman"/>
          <w:bCs/>
          <w:sz w:val="24"/>
          <w:szCs w:val="24"/>
        </w:rPr>
        <w:t xml:space="preserve">s </w:t>
      </w:r>
      <w:r w:rsidR="002F1460">
        <w:rPr>
          <w:rFonts w:ascii="Times New Roman" w:hAnsi="Times New Roman"/>
          <w:bCs/>
          <w:sz w:val="24"/>
          <w:szCs w:val="24"/>
        </w:rPr>
        <w:t>‘</w:t>
      </w:r>
      <w:r w:rsidRPr="00506129">
        <w:rPr>
          <w:rFonts w:ascii="Times New Roman" w:hAnsi="Times New Roman"/>
          <w:bCs/>
          <w:sz w:val="24"/>
          <w:szCs w:val="24"/>
        </w:rPr>
        <w:t>dissatisfied with care are less likely to make return visits, more likely to switch practitioners, and are likely to have low trust in their practitioner</w:t>
      </w:r>
      <w:r w:rsidR="002F1460">
        <w:rPr>
          <w:rFonts w:ascii="Times New Roman" w:hAnsi="Times New Roman"/>
          <w:bCs/>
          <w:sz w:val="24"/>
          <w:szCs w:val="24"/>
        </w:rPr>
        <w:t>’.</w:t>
      </w:r>
      <w:r w:rsidRPr="00506129">
        <w:rPr>
          <w:rStyle w:val="FootnoteReference"/>
          <w:rFonts w:ascii="Times New Roman" w:hAnsi="Times New Roman"/>
          <w:bCs/>
          <w:sz w:val="24"/>
          <w:szCs w:val="24"/>
        </w:rPr>
        <w:footnoteReference w:id="13"/>
      </w:r>
      <w:r w:rsidR="002F1460">
        <w:rPr>
          <w:rFonts w:ascii="Times New Roman" w:hAnsi="Times New Roman"/>
          <w:bCs/>
          <w:sz w:val="24"/>
          <w:szCs w:val="24"/>
        </w:rPr>
        <w:t xml:space="preserve"> If we can assume the same effect would be felt no matter the time period and we use</w:t>
      </w:r>
      <w:r w:rsidRPr="00506129">
        <w:rPr>
          <w:rFonts w:ascii="Times New Roman" w:hAnsi="Times New Roman"/>
          <w:bCs/>
          <w:sz w:val="24"/>
          <w:szCs w:val="24"/>
        </w:rPr>
        <w:t xml:space="preserve"> for example an ancient Greek Athenian, </w:t>
      </w:r>
      <w:r w:rsidR="00397D11" w:rsidRPr="00506129">
        <w:rPr>
          <w:rFonts w:ascii="Times New Roman" w:hAnsi="Times New Roman"/>
          <w:bCs/>
          <w:sz w:val="24"/>
          <w:szCs w:val="24"/>
        </w:rPr>
        <w:t>still feeling and seeing</w:t>
      </w:r>
      <w:r w:rsidRPr="00506129">
        <w:rPr>
          <w:rFonts w:ascii="Times New Roman" w:hAnsi="Times New Roman"/>
          <w:bCs/>
          <w:sz w:val="24"/>
          <w:szCs w:val="24"/>
        </w:rPr>
        <w:t xml:space="preserve"> the effects of the 5</w:t>
      </w:r>
      <w:r w:rsidRPr="00506129">
        <w:rPr>
          <w:rFonts w:ascii="Times New Roman" w:hAnsi="Times New Roman"/>
          <w:bCs/>
          <w:sz w:val="24"/>
          <w:szCs w:val="24"/>
          <w:vertAlign w:val="superscript"/>
        </w:rPr>
        <w:t>th</w:t>
      </w:r>
      <w:r w:rsidRPr="00506129">
        <w:rPr>
          <w:rFonts w:ascii="Times New Roman" w:hAnsi="Times New Roman"/>
          <w:bCs/>
          <w:sz w:val="24"/>
          <w:szCs w:val="24"/>
        </w:rPr>
        <w:t xml:space="preserve"> century plague, finding no relief from the gods, had little in the way of other options until the advent of Hippocrates</w:t>
      </w:r>
      <w:r w:rsidR="002F1460">
        <w:rPr>
          <w:rFonts w:ascii="Times New Roman" w:hAnsi="Times New Roman"/>
          <w:bCs/>
          <w:sz w:val="24"/>
          <w:szCs w:val="24"/>
        </w:rPr>
        <w:t xml:space="preserve"> and his new approach to medicine.</w:t>
      </w:r>
    </w:p>
    <w:p w:rsidR="002F1460" w:rsidRDefault="002F1460" w:rsidP="006A326E">
      <w:pPr>
        <w:pStyle w:val="NormalWeb"/>
        <w:spacing w:before="0" w:beforeAutospacing="0" w:after="0" w:afterAutospacing="0" w:line="480" w:lineRule="auto"/>
        <w:ind w:right="-334"/>
        <w:rPr>
          <w:rFonts w:ascii="Times New Roman" w:hAnsi="Times New Roman"/>
          <w:bCs/>
          <w:sz w:val="24"/>
          <w:szCs w:val="24"/>
        </w:rPr>
      </w:pPr>
    </w:p>
    <w:p w:rsidR="002F1460" w:rsidRDefault="002F1460" w:rsidP="006A326E">
      <w:pPr>
        <w:pStyle w:val="NormalWeb"/>
        <w:spacing w:before="0" w:beforeAutospacing="0" w:after="0" w:afterAutospacing="0" w:line="480" w:lineRule="auto"/>
        <w:ind w:right="-334"/>
        <w:rPr>
          <w:rFonts w:ascii="Times New Roman" w:hAnsi="Times New Roman"/>
          <w:bCs/>
          <w:sz w:val="24"/>
          <w:szCs w:val="24"/>
        </w:rPr>
      </w:pPr>
      <w:r>
        <w:rPr>
          <w:rFonts w:ascii="Times New Roman" w:hAnsi="Times New Roman"/>
          <w:bCs/>
          <w:sz w:val="24"/>
          <w:szCs w:val="24"/>
        </w:rPr>
        <w:t xml:space="preserve">However this concept is problematic as it can lead to a regressive mode of though where we expect people to turn their backs on the Cult of Asclepius in favour for this new medical method. As stated earlier in this paper we in fact see a rise in both Hippocratic </w:t>
      </w:r>
      <w:r>
        <w:rPr>
          <w:rFonts w:ascii="Times New Roman" w:hAnsi="Times New Roman"/>
          <w:b/>
          <w:bCs/>
          <w:sz w:val="24"/>
          <w:szCs w:val="24"/>
        </w:rPr>
        <w:t>and</w:t>
      </w:r>
      <w:r>
        <w:rPr>
          <w:rFonts w:ascii="Times New Roman" w:hAnsi="Times New Roman"/>
          <w:bCs/>
          <w:sz w:val="24"/>
          <w:szCs w:val="24"/>
        </w:rPr>
        <w:t xml:space="preserve"> </w:t>
      </w:r>
      <w:proofErr w:type="spellStart"/>
      <w:r>
        <w:rPr>
          <w:rFonts w:ascii="Times New Roman" w:hAnsi="Times New Roman"/>
          <w:bCs/>
          <w:sz w:val="24"/>
          <w:szCs w:val="24"/>
        </w:rPr>
        <w:t>Asclepian</w:t>
      </w:r>
      <w:proofErr w:type="spellEnd"/>
      <w:r>
        <w:rPr>
          <w:rFonts w:ascii="Times New Roman" w:hAnsi="Times New Roman"/>
          <w:bCs/>
          <w:sz w:val="24"/>
          <w:szCs w:val="24"/>
        </w:rPr>
        <w:t xml:space="preserve"> Cult worship. Which leads to the next conclusion we can draw from what has already been discussed in this paper: the cult of Asclepius benefited from the new ideas brought into the mainstream by Hippocratic physicians. </w:t>
      </w:r>
    </w:p>
    <w:p w:rsidR="002F1460" w:rsidRDefault="002F1460" w:rsidP="006A326E">
      <w:pPr>
        <w:pStyle w:val="NormalWeb"/>
        <w:spacing w:before="0" w:beforeAutospacing="0" w:after="0" w:afterAutospacing="0" w:line="480" w:lineRule="auto"/>
        <w:ind w:right="-334"/>
        <w:rPr>
          <w:rFonts w:ascii="Times New Roman" w:hAnsi="Times New Roman"/>
          <w:bCs/>
          <w:sz w:val="24"/>
          <w:szCs w:val="24"/>
        </w:rPr>
      </w:pPr>
    </w:p>
    <w:p w:rsidR="00397D11" w:rsidRPr="002F1460" w:rsidRDefault="002F1460" w:rsidP="006A326E">
      <w:pPr>
        <w:pStyle w:val="NormalWeb"/>
        <w:spacing w:before="0" w:beforeAutospacing="0" w:after="0" w:afterAutospacing="0" w:line="480" w:lineRule="auto"/>
        <w:ind w:right="-334"/>
        <w:rPr>
          <w:rFonts w:ascii="Times New Roman" w:hAnsi="Times New Roman"/>
          <w:bCs/>
          <w:sz w:val="24"/>
          <w:szCs w:val="24"/>
        </w:rPr>
      </w:pPr>
      <w:r>
        <w:rPr>
          <w:rFonts w:ascii="Times New Roman" w:hAnsi="Times New Roman"/>
          <w:bCs/>
          <w:sz w:val="24"/>
          <w:szCs w:val="24"/>
        </w:rPr>
        <w:t xml:space="preserve">It is my belief that the influx of </w:t>
      </w:r>
      <w:proofErr w:type="spellStart"/>
      <w:r>
        <w:rPr>
          <w:rFonts w:ascii="Times New Roman" w:hAnsi="Times New Roman"/>
          <w:bCs/>
          <w:sz w:val="24"/>
          <w:szCs w:val="24"/>
        </w:rPr>
        <w:t>Asclepian</w:t>
      </w:r>
      <w:proofErr w:type="spellEnd"/>
      <w:r>
        <w:rPr>
          <w:rFonts w:ascii="Times New Roman" w:hAnsi="Times New Roman"/>
          <w:bCs/>
          <w:sz w:val="24"/>
          <w:szCs w:val="24"/>
        </w:rPr>
        <w:t xml:space="preserve"> cult sites on the Greek main</w:t>
      </w:r>
      <w:r w:rsidR="00FB72C7">
        <w:rPr>
          <w:rFonts w:ascii="Times New Roman" w:hAnsi="Times New Roman"/>
          <w:bCs/>
          <w:sz w:val="24"/>
          <w:szCs w:val="24"/>
        </w:rPr>
        <w:t xml:space="preserve">land was a direct result of Greeks wanting to reap the benefits of the new patient-practitioner relationship that Hippocratic doctors provided. Due to the lack of conflict between the two medical styles Greeks were not inclined to ‘pick a side’. In addition the accessibility of Hippocratic medicine presented an answer to the Cult of Asclepius’ problems with accessibility.  </w:t>
      </w:r>
      <w:r>
        <w:rPr>
          <w:rFonts w:ascii="Times New Roman" w:hAnsi="Times New Roman"/>
          <w:bCs/>
          <w:sz w:val="24"/>
          <w:szCs w:val="24"/>
        </w:rPr>
        <w:t xml:space="preserve">    </w:t>
      </w:r>
      <w:r w:rsidR="00291A88">
        <w:rPr>
          <w:rFonts w:ascii="Trebuchet MS" w:hAnsi="Trebuchet MS" w:cs="Tahoma"/>
          <w:bCs/>
          <w:sz w:val="24"/>
          <w:szCs w:val="24"/>
        </w:rPr>
        <w:t xml:space="preserve"> </w:t>
      </w:r>
    </w:p>
    <w:p w:rsidR="00397D11" w:rsidRDefault="00397D11" w:rsidP="007C2073">
      <w:pPr>
        <w:pStyle w:val="NormalWeb"/>
        <w:spacing w:before="0" w:beforeAutospacing="0" w:after="0" w:afterAutospacing="0"/>
        <w:ind w:right="-334"/>
        <w:rPr>
          <w:rFonts w:ascii="Trebuchet MS" w:hAnsi="Trebuchet MS" w:cs="Tahoma"/>
          <w:bCs/>
          <w:sz w:val="24"/>
          <w:szCs w:val="24"/>
        </w:rPr>
      </w:pPr>
    </w:p>
    <w:p w:rsidR="007C2073" w:rsidRPr="007C2073" w:rsidRDefault="007C2073" w:rsidP="007C2073">
      <w:pPr>
        <w:pStyle w:val="NormalWeb"/>
        <w:spacing w:before="0" w:beforeAutospacing="0" w:after="0" w:afterAutospacing="0"/>
        <w:ind w:right="-334"/>
        <w:rPr>
          <w:rFonts w:ascii="Trebuchet MS" w:hAnsi="Trebuchet MS" w:cs="Tahoma"/>
          <w:bCs/>
          <w:sz w:val="24"/>
          <w:szCs w:val="24"/>
        </w:rPr>
      </w:pPr>
      <w:r>
        <w:rPr>
          <w:rFonts w:ascii="Trebuchet MS" w:hAnsi="Trebuchet MS" w:cs="Tahoma"/>
          <w:bCs/>
          <w:sz w:val="24"/>
          <w:szCs w:val="24"/>
        </w:rPr>
        <w:t xml:space="preserve">     </w:t>
      </w:r>
    </w:p>
    <w:p w:rsidR="006A326E" w:rsidRDefault="006A326E" w:rsidP="006A326E">
      <w:pPr>
        <w:rPr>
          <w:rFonts w:ascii="Trebuchet MS" w:hAnsi="Trebuchet MS" w:cs="Tahoma"/>
          <w:bCs/>
          <w:i/>
          <w:color w:val="000000"/>
        </w:rPr>
      </w:pPr>
    </w:p>
    <w:p w:rsidR="006A326E" w:rsidRDefault="006A326E" w:rsidP="006A326E">
      <w:pPr>
        <w:rPr>
          <w:rFonts w:ascii="Trebuchet MS" w:hAnsi="Trebuchet MS" w:cs="Tahoma"/>
          <w:bCs/>
          <w:i/>
          <w:color w:val="000000"/>
        </w:rPr>
      </w:pPr>
    </w:p>
    <w:p w:rsidR="00FE6DBD" w:rsidRPr="006A326E" w:rsidRDefault="00FE6DBD" w:rsidP="006A326E">
      <w:pPr>
        <w:rPr>
          <w:rFonts w:ascii="Trebuchet MS" w:hAnsi="Trebuchet MS" w:cs="Tahoma"/>
          <w:bCs/>
          <w:color w:val="000000"/>
        </w:rPr>
      </w:pPr>
      <w:proofErr w:type="spellStart"/>
      <w:r>
        <w:rPr>
          <w:rFonts w:ascii="Trebuchet MS" w:hAnsi="Trebuchet MS" w:cs="Tahoma"/>
          <w:bCs/>
        </w:rPr>
        <w:t>Bibiliography</w:t>
      </w:r>
      <w:proofErr w:type="spellEnd"/>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proofErr w:type="gramStart"/>
      <w:r>
        <w:rPr>
          <w:rFonts w:ascii="Trebuchet MS" w:hAnsi="Trebuchet MS" w:cs="Tahoma"/>
          <w:bCs/>
          <w:sz w:val="24"/>
          <w:szCs w:val="24"/>
        </w:rPr>
        <w:t>Conboy</w:t>
      </w:r>
      <w:proofErr w:type="spellEnd"/>
      <w:r>
        <w:rPr>
          <w:rFonts w:ascii="Trebuchet MS" w:hAnsi="Trebuchet MS" w:cs="Tahoma"/>
          <w:bCs/>
          <w:sz w:val="24"/>
          <w:szCs w:val="24"/>
        </w:rPr>
        <w:t xml:space="preserve">, L. A., Macklin, E., Kelly, J., </w:t>
      </w:r>
      <w:proofErr w:type="spellStart"/>
      <w:r>
        <w:rPr>
          <w:rFonts w:ascii="Trebuchet MS" w:hAnsi="Trebuchet MS" w:cs="Tahoma"/>
          <w:bCs/>
          <w:sz w:val="24"/>
          <w:szCs w:val="24"/>
        </w:rPr>
        <w:t>Kokkotou</w:t>
      </w:r>
      <w:proofErr w:type="spellEnd"/>
      <w:r>
        <w:rPr>
          <w:rFonts w:ascii="Trebuchet MS" w:hAnsi="Trebuchet MS" w:cs="Tahoma"/>
          <w:bCs/>
          <w:sz w:val="24"/>
          <w:szCs w:val="24"/>
        </w:rPr>
        <w:t xml:space="preserve">, E., </w:t>
      </w:r>
      <w:proofErr w:type="spellStart"/>
      <w:r>
        <w:rPr>
          <w:rFonts w:ascii="Trebuchet MS" w:hAnsi="Trebuchet MS" w:cs="Tahoma"/>
          <w:bCs/>
          <w:sz w:val="24"/>
          <w:szCs w:val="24"/>
        </w:rPr>
        <w:t>Lembo</w:t>
      </w:r>
      <w:proofErr w:type="spellEnd"/>
      <w:r>
        <w:rPr>
          <w:rFonts w:ascii="Trebuchet MS" w:hAnsi="Trebuchet MS" w:cs="Tahoma"/>
          <w:bCs/>
          <w:sz w:val="24"/>
          <w:szCs w:val="24"/>
        </w:rPr>
        <w:t xml:space="preserve">, A. and </w:t>
      </w:r>
      <w:proofErr w:type="spellStart"/>
      <w:r>
        <w:rPr>
          <w:rFonts w:ascii="Trebuchet MS" w:hAnsi="Trebuchet MS" w:cs="Tahoma"/>
          <w:bCs/>
          <w:sz w:val="24"/>
          <w:szCs w:val="24"/>
        </w:rPr>
        <w:t>Kaptchuk</w:t>
      </w:r>
      <w:proofErr w:type="spellEnd"/>
      <w:r>
        <w:rPr>
          <w:rFonts w:ascii="Trebuchet MS" w:hAnsi="Trebuchet MS" w:cs="Tahoma"/>
          <w:bCs/>
          <w:sz w:val="24"/>
          <w:szCs w:val="24"/>
        </w:rPr>
        <w:t>, T. 2009.</w:t>
      </w:r>
      <w:proofErr w:type="gramEnd"/>
      <w:r>
        <w:rPr>
          <w:rFonts w:ascii="Trebuchet MS" w:hAnsi="Trebuchet MS" w:cs="Tahoma"/>
          <w:bCs/>
          <w:sz w:val="24"/>
          <w:szCs w:val="24"/>
        </w:rPr>
        <w:t xml:space="preserve"> </w:t>
      </w:r>
      <w:proofErr w:type="gramStart"/>
      <w:r>
        <w:rPr>
          <w:rFonts w:ascii="Trebuchet MS" w:hAnsi="Trebuchet MS" w:cs="Tahoma"/>
          <w:bCs/>
          <w:sz w:val="24"/>
          <w:szCs w:val="24"/>
        </w:rPr>
        <w:t xml:space="preserve">‘Which Patients improve: Characteristics increasing sensitivity to a supportive patient-practitioner relationship,’ </w:t>
      </w:r>
      <w:r>
        <w:rPr>
          <w:rFonts w:ascii="Trebuchet MS" w:hAnsi="Trebuchet MS" w:cs="Tahoma"/>
          <w:bCs/>
          <w:i/>
          <w:sz w:val="24"/>
          <w:szCs w:val="24"/>
        </w:rPr>
        <w:t xml:space="preserve">Social Science &amp; Medicine, </w:t>
      </w:r>
      <w:r>
        <w:rPr>
          <w:rFonts w:ascii="Trebuchet MS" w:hAnsi="Trebuchet MS" w:cs="Tahoma"/>
          <w:bCs/>
          <w:sz w:val="24"/>
          <w:szCs w:val="24"/>
        </w:rPr>
        <w:t>Vol. 70, November, 479-484.</w:t>
      </w:r>
      <w:proofErr w:type="gramEnd"/>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Ferngren</w:t>
      </w:r>
      <w:proofErr w:type="spellEnd"/>
      <w:r>
        <w:rPr>
          <w:rFonts w:ascii="Trebuchet MS" w:hAnsi="Trebuchet MS" w:cs="Tahoma"/>
          <w:bCs/>
          <w:sz w:val="24"/>
          <w:szCs w:val="24"/>
        </w:rPr>
        <w:t xml:space="preserve">, G. B. 2014. </w:t>
      </w:r>
      <w:r>
        <w:rPr>
          <w:rFonts w:ascii="Trebuchet MS" w:hAnsi="Trebuchet MS" w:cs="Tahoma"/>
          <w:bCs/>
          <w:i/>
          <w:sz w:val="24"/>
          <w:szCs w:val="24"/>
        </w:rPr>
        <w:t>Medicine and Religion: A Historical Introduction</w:t>
      </w:r>
      <w:r>
        <w:rPr>
          <w:rFonts w:ascii="Trebuchet MS" w:hAnsi="Trebuchet MS" w:cs="Tahoma"/>
          <w:bCs/>
          <w:sz w:val="24"/>
          <w:szCs w:val="24"/>
        </w:rPr>
        <w:t>. USA: The Johns Hopkins Univers</w:t>
      </w:r>
      <w:bookmarkStart w:id="0" w:name="_GoBack"/>
      <w:bookmarkEnd w:id="0"/>
      <w:r>
        <w:rPr>
          <w:rFonts w:ascii="Trebuchet MS" w:hAnsi="Trebuchet MS" w:cs="Tahoma"/>
          <w:bCs/>
          <w:sz w:val="24"/>
          <w:szCs w:val="24"/>
        </w:rPr>
        <w:t>ity Press</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r>
        <w:rPr>
          <w:rFonts w:ascii="Trebuchet MS" w:hAnsi="Trebuchet MS" w:cs="Tahoma"/>
          <w:bCs/>
          <w:sz w:val="24"/>
          <w:szCs w:val="24"/>
        </w:rPr>
        <w:t xml:space="preserve">Forrest, C. B. and Schrader, S. 2002. ‘Managed Care, Primary Care, and the Patient-practitioner Relationship,’ </w:t>
      </w:r>
      <w:r>
        <w:rPr>
          <w:rFonts w:ascii="Trebuchet MS" w:hAnsi="Trebuchet MS" w:cs="Tahoma"/>
          <w:bCs/>
          <w:i/>
          <w:sz w:val="24"/>
          <w:szCs w:val="24"/>
        </w:rPr>
        <w:t xml:space="preserve">Johns Hopkins Bloomberg School of Public Health, </w:t>
      </w:r>
      <w:r>
        <w:rPr>
          <w:rFonts w:ascii="Trebuchet MS" w:hAnsi="Trebuchet MS" w:cs="Tahoma"/>
          <w:bCs/>
          <w:sz w:val="24"/>
          <w:szCs w:val="24"/>
        </w:rPr>
        <w:t>Vol. 17, April, 270-277</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proofErr w:type="gramStart"/>
      <w:r>
        <w:rPr>
          <w:rFonts w:ascii="Trebuchet MS" w:hAnsi="Trebuchet MS" w:cs="Tahoma"/>
          <w:bCs/>
          <w:sz w:val="24"/>
          <w:szCs w:val="24"/>
        </w:rPr>
        <w:t>Fritton</w:t>
      </w:r>
      <w:proofErr w:type="spellEnd"/>
      <w:r>
        <w:rPr>
          <w:rFonts w:ascii="Trebuchet MS" w:hAnsi="Trebuchet MS" w:cs="Tahoma"/>
          <w:bCs/>
          <w:sz w:val="24"/>
          <w:szCs w:val="24"/>
        </w:rPr>
        <w:t>, F. and Acheson, H. W. K. 1979.</w:t>
      </w:r>
      <w:proofErr w:type="gramEnd"/>
      <w:r>
        <w:rPr>
          <w:rFonts w:ascii="Trebuchet MS" w:hAnsi="Trebuchet MS" w:cs="Tahoma"/>
          <w:bCs/>
          <w:sz w:val="24"/>
          <w:szCs w:val="24"/>
        </w:rPr>
        <w:t xml:space="preserve"> </w:t>
      </w:r>
      <w:r>
        <w:rPr>
          <w:rFonts w:ascii="Trebuchet MS" w:hAnsi="Trebuchet MS" w:cs="Tahoma"/>
          <w:bCs/>
          <w:i/>
          <w:sz w:val="24"/>
          <w:szCs w:val="24"/>
        </w:rPr>
        <w:t xml:space="preserve">Doctor/Patient Relationship: A Study in General Practice. </w:t>
      </w:r>
      <w:r>
        <w:rPr>
          <w:rFonts w:ascii="Trebuchet MS" w:hAnsi="Trebuchet MS" w:cs="Tahoma"/>
          <w:bCs/>
          <w:sz w:val="24"/>
          <w:szCs w:val="24"/>
        </w:rPr>
        <w:t>London: Her Majesty’s Stationary Office</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i/>
          <w:sz w:val="24"/>
          <w:szCs w:val="24"/>
        </w:rPr>
      </w:pPr>
      <w:proofErr w:type="spellStart"/>
      <w:proofErr w:type="gramStart"/>
      <w:r>
        <w:rPr>
          <w:rFonts w:ascii="Trebuchet MS" w:hAnsi="Trebuchet MS" w:cs="Tahoma"/>
          <w:bCs/>
          <w:sz w:val="24"/>
          <w:szCs w:val="24"/>
        </w:rPr>
        <w:t>Inhorn</w:t>
      </w:r>
      <w:proofErr w:type="spellEnd"/>
      <w:r>
        <w:rPr>
          <w:rFonts w:ascii="Trebuchet MS" w:hAnsi="Trebuchet MS" w:cs="Tahoma"/>
          <w:bCs/>
          <w:sz w:val="24"/>
          <w:szCs w:val="24"/>
        </w:rPr>
        <w:t>, M. C. 2005.</w:t>
      </w:r>
      <w:proofErr w:type="gramEnd"/>
      <w:r>
        <w:rPr>
          <w:rFonts w:ascii="Trebuchet MS" w:hAnsi="Trebuchet MS" w:cs="Tahoma"/>
          <w:bCs/>
          <w:sz w:val="24"/>
          <w:szCs w:val="24"/>
        </w:rPr>
        <w:t xml:space="preserve"> ‘Healing and medicine in Greece and Rome,’ </w:t>
      </w:r>
      <w:proofErr w:type="spellStart"/>
      <w:r>
        <w:rPr>
          <w:rFonts w:ascii="Trebuchet MS" w:hAnsi="Trebuchet MS" w:cs="Tahoma"/>
          <w:bCs/>
          <w:i/>
          <w:sz w:val="24"/>
          <w:szCs w:val="24"/>
        </w:rPr>
        <w:t>Encyclopedia</w:t>
      </w:r>
      <w:proofErr w:type="spellEnd"/>
      <w:r>
        <w:rPr>
          <w:rFonts w:ascii="Trebuchet MS" w:hAnsi="Trebuchet MS" w:cs="Tahoma"/>
          <w:bCs/>
          <w:i/>
          <w:sz w:val="24"/>
          <w:szCs w:val="24"/>
        </w:rPr>
        <w:t xml:space="preserve"> of Religion</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Jouonna</w:t>
      </w:r>
      <w:proofErr w:type="spellEnd"/>
      <w:r>
        <w:rPr>
          <w:rFonts w:ascii="Trebuchet MS" w:hAnsi="Trebuchet MS" w:cs="Tahoma"/>
          <w:bCs/>
          <w:sz w:val="24"/>
          <w:szCs w:val="24"/>
        </w:rPr>
        <w:t xml:space="preserve">, J. 1992. </w:t>
      </w:r>
      <w:r>
        <w:rPr>
          <w:rFonts w:ascii="Trebuchet MS" w:hAnsi="Trebuchet MS" w:cs="Tahoma"/>
          <w:bCs/>
          <w:i/>
          <w:sz w:val="24"/>
          <w:szCs w:val="24"/>
        </w:rPr>
        <w:t>Hippocrates.</w:t>
      </w:r>
      <w:r>
        <w:rPr>
          <w:rFonts w:ascii="Trebuchet MS" w:hAnsi="Trebuchet MS" w:cs="Tahoma"/>
          <w:bCs/>
          <w:sz w:val="24"/>
          <w:szCs w:val="24"/>
        </w:rPr>
        <w:t xml:space="preserve"> (</w:t>
      </w:r>
      <w:proofErr w:type="gramStart"/>
      <w:r>
        <w:rPr>
          <w:rFonts w:ascii="Trebuchet MS" w:hAnsi="Trebuchet MS" w:cs="Tahoma"/>
          <w:bCs/>
          <w:sz w:val="24"/>
          <w:szCs w:val="24"/>
        </w:rPr>
        <w:t>trans</w:t>
      </w:r>
      <w:proofErr w:type="gramEnd"/>
      <w:r>
        <w:rPr>
          <w:rFonts w:ascii="Trebuchet MS" w:hAnsi="Trebuchet MS" w:cs="Tahoma"/>
          <w:bCs/>
          <w:sz w:val="24"/>
          <w:szCs w:val="24"/>
        </w:rPr>
        <w:t xml:space="preserve">. </w:t>
      </w:r>
      <w:proofErr w:type="spellStart"/>
      <w:r>
        <w:rPr>
          <w:rFonts w:ascii="Trebuchet MS" w:hAnsi="Trebuchet MS" w:cs="Tahoma"/>
          <w:bCs/>
          <w:sz w:val="24"/>
          <w:szCs w:val="24"/>
        </w:rPr>
        <w:t>DeBovoise</w:t>
      </w:r>
      <w:proofErr w:type="spellEnd"/>
      <w:r>
        <w:rPr>
          <w:rFonts w:ascii="Trebuchet MS" w:hAnsi="Trebuchet MS" w:cs="Tahoma"/>
          <w:bCs/>
          <w:sz w:val="24"/>
          <w:szCs w:val="24"/>
        </w:rPr>
        <w:t>, M. B.). USA: The Johns Hopkins University Press</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r>
        <w:rPr>
          <w:rFonts w:ascii="Trebuchet MS" w:hAnsi="Trebuchet MS" w:cs="Tahoma"/>
          <w:bCs/>
          <w:sz w:val="24"/>
          <w:szCs w:val="24"/>
        </w:rPr>
        <w:t xml:space="preserve">Shi, L., Forrest, C. B. and Schrader, S. 2003. ‘Vulnerability and the Patient-Practitioner Relationship: The Roles of Gatekeeping and Primary Care </w:t>
      </w:r>
      <w:proofErr w:type="spellStart"/>
      <w:r>
        <w:rPr>
          <w:rFonts w:ascii="Trebuchet MS" w:hAnsi="Trebuchet MS" w:cs="Tahoma"/>
          <w:bCs/>
          <w:sz w:val="24"/>
          <w:szCs w:val="24"/>
        </w:rPr>
        <w:t>Performace</w:t>
      </w:r>
      <w:proofErr w:type="spellEnd"/>
      <w:r>
        <w:rPr>
          <w:rFonts w:ascii="Trebuchet MS" w:hAnsi="Trebuchet MS" w:cs="Tahoma"/>
          <w:bCs/>
          <w:sz w:val="24"/>
          <w:szCs w:val="24"/>
        </w:rPr>
        <w:t xml:space="preserve">,’ </w:t>
      </w:r>
      <w:r>
        <w:rPr>
          <w:rFonts w:ascii="Trebuchet MS" w:hAnsi="Trebuchet MS" w:cs="Tahoma"/>
          <w:bCs/>
          <w:i/>
          <w:sz w:val="24"/>
          <w:szCs w:val="24"/>
        </w:rPr>
        <w:t xml:space="preserve">American Journal of Public Health, </w:t>
      </w:r>
      <w:r>
        <w:rPr>
          <w:rFonts w:ascii="Trebuchet MS" w:hAnsi="Trebuchet MS" w:cs="Tahoma"/>
          <w:bCs/>
          <w:sz w:val="24"/>
          <w:szCs w:val="24"/>
        </w:rPr>
        <w:t>Jan, 138-144</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Marketos</w:t>
      </w:r>
      <w:proofErr w:type="spellEnd"/>
      <w:r>
        <w:rPr>
          <w:rFonts w:ascii="Trebuchet MS" w:hAnsi="Trebuchet MS" w:cs="Tahoma"/>
          <w:bCs/>
          <w:sz w:val="24"/>
          <w:szCs w:val="24"/>
        </w:rPr>
        <w:t xml:space="preserve">, S.G. 1997. ‘The Parallels between </w:t>
      </w:r>
      <w:proofErr w:type="spellStart"/>
      <w:r>
        <w:rPr>
          <w:rFonts w:ascii="Trebuchet MS" w:hAnsi="Trebuchet MS" w:cs="Tahoma"/>
          <w:bCs/>
          <w:sz w:val="24"/>
          <w:szCs w:val="24"/>
        </w:rPr>
        <w:t>Asclepian</w:t>
      </w:r>
      <w:proofErr w:type="spellEnd"/>
      <w:r>
        <w:rPr>
          <w:rFonts w:ascii="Trebuchet MS" w:hAnsi="Trebuchet MS" w:cs="Tahoma"/>
          <w:bCs/>
          <w:sz w:val="24"/>
          <w:szCs w:val="24"/>
        </w:rPr>
        <w:t xml:space="preserve"> and Hippocratic Medicine on the Island of Kos,’ </w:t>
      </w:r>
      <w:r>
        <w:rPr>
          <w:rFonts w:ascii="Trebuchet MS" w:hAnsi="Trebuchet MS" w:cs="Tahoma"/>
          <w:bCs/>
          <w:i/>
          <w:sz w:val="24"/>
          <w:szCs w:val="24"/>
        </w:rPr>
        <w:t xml:space="preserve">American Journal of Nephrology, </w:t>
      </w:r>
      <w:r>
        <w:rPr>
          <w:rFonts w:ascii="Trebuchet MS" w:hAnsi="Trebuchet MS" w:cs="Tahoma"/>
          <w:bCs/>
          <w:sz w:val="24"/>
          <w:szCs w:val="24"/>
        </w:rPr>
        <w:t>17, May-August, 205-208</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Sarafino</w:t>
      </w:r>
      <w:proofErr w:type="spellEnd"/>
      <w:r>
        <w:rPr>
          <w:rFonts w:ascii="Trebuchet MS" w:hAnsi="Trebuchet MS" w:cs="Tahoma"/>
          <w:bCs/>
          <w:sz w:val="24"/>
          <w:szCs w:val="24"/>
        </w:rPr>
        <w:t xml:space="preserve">, E. P. 1998. </w:t>
      </w:r>
      <w:r>
        <w:rPr>
          <w:rFonts w:ascii="Trebuchet MS" w:hAnsi="Trebuchet MS" w:cs="Tahoma"/>
          <w:bCs/>
          <w:i/>
          <w:sz w:val="24"/>
          <w:szCs w:val="24"/>
        </w:rPr>
        <w:t xml:space="preserve">Health </w:t>
      </w:r>
      <w:proofErr w:type="spellStart"/>
      <w:r>
        <w:rPr>
          <w:rFonts w:ascii="Trebuchet MS" w:hAnsi="Trebuchet MS" w:cs="Tahoma"/>
          <w:bCs/>
          <w:i/>
          <w:sz w:val="24"/>
          <w:szCs w:val="24"/>
        </w:rPr>
        <w:t>Phychology</w:t>
      </w:r>
      <w:proofErr w:type="spellEnd"/>
      <w:r>
        <w:rPr>
          <w:rFonts w:ascii="Trebuchet MS" w:hAnsi="Trebuchet MS" w:cs="Tahoma"/>
          <w:bCs/>
          <w:i/>
          <w:sz w:val="24"/>
          <w:szCs w:val="24"/>
        </w:rPr>
        <w:t xml:space="preserve">: Biopsychosocial Interactions. </w:t>
      </w:r>
      <w:r>
        <w:rPr>
          <w:rFonts w:ascii="Trebuchet MS" w:hAnsi="Trebuchet MS" w:cs="Tahoma"/>
          <w:bCs/>
          <w:sz w:val="24"/>
          <w:szCs w:val="24"/>
        </w:rPr>
        <w:t>USA: John Wiley &amp; Sons, INC</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Temkin</w:t>
      </w:r>
      <w:proofErr w:type="spellEnd"/>
      <w:r>
        <w:rPr>
          <w:rFonts w:ascii="Trebuchet MS" w:hAnsi="Trebuchet MS" w:cs="Tahoma"/>
          <w:bCs/>
          <w:sz w:val="24"/>
          <w:szCs w:val="24"/>
        </w:rPr>
        <w:t xml:space="preserve">, O. 1991 </w:t>
      </w:r>
      <w:r>
        <w:rPr>
          <w:rFonts w:ascii="Trebuchet MS" w:hAnsi="Trebuchet MS" w:cs="Tahoma"/>
          <w:bCs/>
          <w:i/>
          <w:sz w:val="24"/>
          <w:szCs w:val="24"/>
        </w:rPr>
        <w:t xml:space="preserve">Hippocrates in a World of Pagans and Christians. </w:t>
      </w:r>
      <w:r>
        <w:rPr>
          <w:rFonts w:ascii="Trebuchet MS" w:hAnsi="Trebuchet MS" w:cs="Tahoma"/>
          <w:bCs/>
          <w:sz w:val="24"/>
          <w:szCs w:val="24"/>
        </w:rPr>
        <w:t>London: The Johns Hopkins University Press</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Default="00FE6DBD" w:rsidP="007C2073">
      <w:pPr>
        <w:pStyle w:val="NormalWeb"/>
        <w:spacing w:before="0" w:beforeAutospacing="0" w:after="0" w:afterAutospacing="0"/>
        <w:ind w:right="-334"/>
        <w:rPr>
          <w:rFonts w:ascii="Trebuchet MS" w:hAnsi="Trebuchet MS" w:cs="Tahoma"/>
          <w:bCs/>
          <w:sz w:val="24"/>
          <w:szCs w:val="24"/>
        </w:rPr>
      </w:pPr>
      <w:proofErr w:type="spellStart"/>
      <w:r>
        <w:rPr>
          <w:rFonts w:ascii="Trebuchet MS" w:hAnsi="Trebuchet MS" w:cs="Tahoma"/>
          <w:bCs/>
          <w:sz w:val="24"/>
          <w:szCs w:val="24"/>
        </w:rPr>
        <w:t>Wickkiser</w:t>
      </w:r>
      <w:proofErr w:type="spellEnd"/>
      <w:r>
        <w:rPr>
          <w:rFonts w:ascii="Trebuchet MS" w:hAnsi="Trebuchet MS" w:cs="Tahoma"/>
          <w:bCs/>
          <w:sz w:val="24"/>
          <w:szCs w:val="24"/>
        </w:rPr>
        <w:t xml:space="preserve">, B. L. 1969. </w:t>
      </w:r>
      <w:proofErr w:type="gramStart"/>
      <w:r>
        <w:rPr>
          <w:rFonts w:ascii="Trebuchet MS" w:hAnsi="Trebuchet MS" w:cs="Tahoma"/>
          <w:bCs/>
          <w:i/>
          <w:sz w:val="24"/>
          <w:szCs w:val="24"/>
        </w:rPr>
        <w:t>Asclepios, Medicine, and the Politics of Healing in Fifth-Century Greece.</w:t>
      </w:r>
      <w:proofErr w:type="gramEnd"/>
      <w:r>
        <w:rPr>
          <w:rFonts w:ascii="Trebuchet MS" w:hAnsi="Trebuchet MS" w:cs="Tahoma"/>
          <w:bCs/>
          <w:i/>
          <w:sz w:val="24"/>
          <w:szCs w:val="24"/>
        </w:rPr>
        <w:t xml:space="preserve"> </w:t>
      </w:r>
      <w:r>
        <w:rPr>
          <w:rFonts w:ascii="Trebuchet MS" w:hAnsi="Trebuchet MS" w:cs="Tahoma"/>
          <w:bCs/>
          <w:sz w:val="24"/>
          <w:szCs w:val="24"/>
        </w:rPr>
        <w:t>USA: The Johns Hopkins University Press</w:t>
      </w:r>
    </w:p>
    <w:p w:rsidR="00FE6DBD" w:rsidRDefault="00FE6DBD" w:rsidP="007C2073">
      <w:pPr>
        <w:pStyle w:val="NormalWeb"/>
        <w:spacing w:before="0" w:beforeAutospacing="0" w:after="0" w:afterAutospacing="0"/>
        <w:ind w:right="-334"/>
        <w:rPr>
          <w:rFonts w:ascii="Trebuchet MS" w:hAnsi="Trebuchet MS" w:cs="Tahoma"/>
          <w:bCs/>
          <w:sz w:val="24"/>
          <w:szCs w:val="24"/>
        </w:rPr>
      </w:pPr>
    </w:p>
    <w:p w:rsidR="00FE6DBD" w:rsidRPr="00FE6DBD" w:rsidRDefault="00FE6DBD" w:rsidP="007C2073">
      <w:pPr>
        <w:pStyle w:val="NormalWeb"/>
        <w:spacing w:before="0" w:beforeAutospacing="0" w:after="0" w:afterAutospacing="0"/>
        <w:ind w:right="-334"/>
        <w:rPr>
          <w:rFonts w:ascii="Trebuchet MS" w:hAnsi="Trebuchet MS" w:cs="Tahoma"/>
          <w:bCs/>
          <w:i/>
          <w:sz w:val="24"/>
          <w:szCs w:val="24"/>
        </w:rPr>
      </w:pPr>
      <w:r>
        <w:rPr>
          <w:rFonts w:ascii="Trebuchet MS" w:hAnsi="Trebuchet MS" w:cs="Tahoma"/>
          <w:bCs/>
          <w:sz w:val="24"/>
          <w:szCs w:val="24"/>
        </w:rPr>
        <w:t xml:space="preserve"> </w:t>
      </w:r>
    </w:p>
    <w:sectPr w:rsidR="00FE6DBD" w:rsidRPr="00FE6DBD"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A2" w:rsidRDefault="00A819A2" w:rsidP="00AD5D5A">
      <w:r>
        <w:separator/>
      </w:r>
    </w:p>
  </w:endnote>
  <w:endnote w:type="continuationSeparator" w:id="0">
    <w:p w:rsidR="00A819A2" w:rsidRDefault="00A819A2"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B73" w:rsidRPr="00337A70" w:rsidRDefault="00565B73">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A2" w:rsidRDefault="00A819A2" w:rsidP="00AD5D5A">
      <w:r>
        <w:separator/>
      </w:r>
    </w:p>
  </w:footnote>
  <w:footnote w:type="continuationSeparator" w:id="0">
    <w:p w:rsidR="00A819A2" w:rsidRDefault="00A819A2" w:rsidP="00AD5D5A">
      <w:r>
        <w:continuationSeparator/>
      </w:r>
    </w:p>
  </w:footnote>
  <w:footnote w:id="1">
    <w:p w:rsidR="00C74487" w:rsidRDefault="00C74487">
      <w:pPr>
        <w:pStyle w:val="FootnoteText"/>
      </w:pPr>
      <w:r>
        <w:rPr>
          <w:rStyle w:val="FootnoteReference"/>
        </w:rPr>
        <w:footnoteRef/>
      </w:r>
      <w:r>
        <w:t xml:space="preserve"> </w:t>
      </w:r>
      <w:proofErr w:type="spellStart"/>
      <w:r>
        <w:t>Wickkiser</w:t>
      </w:r>
      <w:proofErr w:type="spellEnd"/>
      <w:r>
        <w:t xml:space="preserve"> 2008:3-4</w:t>
      </w:r>
    </w:p>
  </w:footnote>
  <w:footnote w:id="2">
    <w:p w:rsidR="00C74487" w:rsidRDefault="00C74487">
      <w:pPr>
        <w:pStyle w:val="FootnoteText"/>
      </w:pPr>
      <w:r>
        <w:rPr>
          <w:rStyle w:val="FootnoteReference"/>
        </w:rPr>
        <w:footnoteRef/>
      </w:r>
      <w:r>
        <w:t xml:space="preserve"> </w:t>
      </w:r>
      <w:proofErr w:type="spellStart"/>
      <w:r>
        <w:t>Wickkiser</w:t>
      </w:r>
      <w:proofErr w:type="spellEnd"/>
      <w:r>
        <w:t xml:space="preserve"> 2008:3-4</w:t>
      </w:r>
    </w:p>
  </w:footnote>
  <w:footnote w:id="3">
    <w:p w:rsidR="00C74487" w:rsidRDefault="00C74487">
      <w:pPr>
        <w:pStyle w:val="FootnoteText"/>
      </w:pPr>
      <w:r>
        <w:rPr>
          <w:rStyle w:val="FootnoteReference"/>
        </w:rPr>
        <w:footnoteRef/>
      </w:r>
      <w:r>
        <w:t xml:space="preserve"> </w:t>
      </w:r>
      <w:proofErr w:type="spellStart"/>
      <w:r>
        <w:t>Wickkiser</w:t>
      </w:r>
      <w:proofErr w:type="spellEnd"/>
      <w:r>
        <w:t xml:space="preserve"> 2008:3-4</w:t>
      </w:r>
    </w:p>
  </w:footnote>
  <w:footnote w:id="4">
    <w:p w:rsidR="00C74487" w:rsidRDefault="00C74487">
      <w:pPr>
        <w:pStyle w:val="FootnoteText"/>
      </w:pPr>
      <w:r>
        <w:rPr>
          <w:rStyle w:val="FootnoteReference"/>
        </w:rPr>
        <w:footnoteRef/>
      </w:r>
      <w:r>
        <w:t xml:space="preserve"> </w:t>
      </w:r>
      <w:proofErr w:type="spellStart"/>
      <w:r>
        <w:t>Wickkiser</w:t>
      </w:r>
      <w:proofErr w:type="spellEnd"/>
      <w:r>
        <w:t xml:space="preserve"> 2008:3-4</w:t>
      </w:r>
    </w:p>
  </w:footnote>
  <w:footnote w:id="5">
    <w:p w:rsidR="00C74487" w:rsidRDefault="00C74487">
      <w:pPr>
        <w:pStyle w:val="FootnoteText"/>
      </w:pPr>
      <w:r>
        <w:rPr>
          <w:rStyle w:val="FootnoteReference"/>
        </w:rPr>
        <w:footnoteRef/>
      </w:r>
      <w:r>
        <w:t xml:space="preserve"> Spyros </w:t>
      </w:r>
      <w:proofErr w:type="spellStart"/>
      <w:r>
        <w:t>Marketos</w:t>
      </w:r>
      <w:proofErr w:type="spellEnd"/>
      <w:r>
        <w:t xml:space="preserve"> 1997:205</w:t>
      </w:r>
    </w:p>
  </w:footnote>
  <w:footnote w:id="6">
    <w:p w:rsidR="00C74487" w:rsidRDefault="00C74487">
      <w:pPr>
        <w:pStyle w:val="FootnoteText"/>
      </w:pPr>
      <w:r>
        <w:rPr>
          <w:rStyle w:val="FootnoteReference"/>
        </w:rPr>
        <w:footnoteRef/>
      </w:r>
      <w:r>
        <w:t xml:space="preserve"> Spyros </w:t>
      </w:r>
      <w:proofErr w:type="spellStart"/>
      <w:r>
        <w:t>Marketos</w:t>
      </w:r>
      <w:proofErr w:type="spellEnd"/>
      <w:r>
        <w:t xml:space="preserve"> 1997:205</w:t>
      </w:r>
    </w:p>
  </w:footnote>
  <w:footnote w:id="7">
    <w:p w:rsidR="00C43180" w:rsidRDefault="00C43180">
      <w:pPr>
        <w:pStyle w:val="FootnoteText"/>
      </w:pPr>
      <w:r>
        <w:rPr>
          <w:rStyle w:val="FootnoteReference"/>
        </w:rPr>
        <w:footnoteRef/>
      </w:r>
      <w:r>
        <w:t xml:space="preserve"> </w:t>
      </w:r>
      <w:r w:rsidR="00176546">
        <w:t xml:space="preserve">Marcia </w:t>
      </w:r>
      <w:proofErr w:type="spellStart"/>
      <w:r w:rsidR="00176546">
        <w:t>Incorn</w:t>
      </w:r>
      <w:proofErr w:type="spellEnd"/>
      <w:r w:rsidR="00176546">
        <w:t xml:space="preserve"> 2005:3839-3840 </w:t>
      </w:r>
    </w:p>
  </w:footnote>
  <w:footnote w:id="8">
    <w:p w:rsidR="005B2CFB" w:rsidRDefault="005B2CFB">
      <w:pPr>
        <w:pStyle w:val="FootnoteText"/>
      </w:pPr>
      <w:r>
        <w:rPr>
          <w:rStyle w:val="FootnoteReference"/>
        </w:rPr>
        <w:footnoteRef/>
      </w:r>
      <w:r>
        <w:t xml:space="preserve"> </w:t>
      </w:r>
      <w:r w:rsidR="00176546">
        <w:t xml:space="preserve">Marcia </w:t>
      </w:r>
      <w:proofErr w:type="spellStart"/>
      <w:r w:rsidR="00176546">
        <w:t>Incorn</w:t>
      </w:r>
      <w:proofErr w:type="spellEnd"/>
      <w:r w:rsidR="00176546">
        <w:t xml:space="preserve"> 2005:3840</w:t>
      </w:r>
    </w:p>
  </w:footnote>
  <w:footnote w:id="9">
    <w:p w:rsidR="007C2073" w:rsidRDefault="007C2073">
      <w:pPr>
        <w:pStyle w:val="FootnoteText"/>
      </w:pPr>
      <w:r>
        <w:rPr>
          <w:rStyle w:val="FootnoteReference"/>
        </w:rPr>
        <w:footnoteRef/>
      </w:r>
      <w:r>
        <w:t xml:space="preserve"> </w:t>
      </w:r>
      <w:r w:rsidR="00176546">
        <w:t xml:space="preserve">Spyros </w:t>
      </w:r>
      <w:proofErr w:type="spellStart"/>
      <w:r w:rsidR="00176546">
        <w:t>Marketos</w:t>
      </w:r>
      <w:proofErr w:type="spellEnd"/>
      <w:r w:rsidR="00176546">
        <w:t xml:space="preserve"> 1997:205</w:t>
      </w:r>
    </w:p>
  </w:footnote>
  <w:footnote w:id="10">
    <w:p w:rsidR="00506129" w:rsidRDefault="00506129">
      <w:pPr>
        <w:pStyle w:val="FootnoteText"/>
      </w:pPr>
      <w:r>
        <w:rPr>
          <w:rStyle w:val="FootnoteReference"/>
        </w:rPr>
        <w:footnoteRef/>
      </w:r>
      <w:r>
        <w:t xml:space="preserve"> </w:t>
      </w:r>
      <w:r w:rsidR="00176546">
        <w:t xml:space="preserve">Spyros </w:t>
      </w:r>
      <w:proofErr w:type="spellStart"/>
      <w:r w:rsidR="00176546">
        <w:t>Marketos</w:t>
      </w:r>
      <w:proofErr w:type="spellEnd"/>
      <w:r w:rsidR="00176546">
        <w:t xml:space="preserve"> 1997:207</w:t>
      </w:r>
    </w:p>
  </w:footnote>
  <w:footnote w:id="11">
    <w:p w:rsidR="00176546" w:rsidRDefault="00176546">
      <w:pPr>
        <w:pStyle w:val="FootnoteText"/>
      </w:pPr>
      <w:r>
        <w:rPr>
          <w:rStyle w:val="FootnoteReference"/>
        </w:rPr>
        <w:footnoteRef/>
      </w:r>
      <w:r>
        <w:t xml:space="preserve"> </w:t>
      </w:r>
      <w:proofErr w:type="gramStart"/>
      <w:r>
        <w:t>Lisa Colby et.al.</w:t>
      </w:r>
      <w:proofErr w:type="gramEnd"/>
      <w:r>
        <w:t xml:space="preserve"> 2009:479</w:t>
      </w:r>
    </w:p>
  </w:footnote>
  <w:footnote w:id="12">
    <w:p w:rsidR="007C2073" w:rsidRDefault="007C2073">
      <w:pPr>
        <w:pStyle w:val="FootnoteText"/>
      </w:pPr>
      <w:r>
        <w:rPr>
          <w:rStyle w:val="FootnoteReference"/>
        </w:rPr>
        <w:footnoteRef/>
      </w:r>
      <w:r>
        <w:t xml:space="preserve"> </w:t>
      </w:r>
      <w:proofErr w:type="gramStart"/>
      <w:r w:rsidR="00176546">
        <w:t>Lisa Colby et.al.</w:t>
      </w:r>
      <w:proofErr w:type="gramEnd"/>
      <w:r w:rsidR="00176546">
        <w:t xml:space="preserve"> 2009:483</w:t>
      </w:r>
    </w:p>
  </w:footnote>
  <w:footnote w:id="13">
    <w:p w:rsidR="007C2073" w:rsidRDefault="007C2073">
      <w:pPr>
        <w:pStyle w:val="FootnoteText"/>
      </w:pPr>
      <w:r>
        <w:rPr>
          <w:rStyle w:val="FootnoteReference"/>
        </w:rPr>
        <w:footnoteRef/>
      </w:r>
      <w:r>
        <w:t xml:space="preserve"> </w:t>
      </w:r>
      <w:proofErr w:type="gramStart"/>
      <w:r w:rsidR="00176546">
        <w:t>Lisa Colby et.al.</w:t>
      </w:r>
      <w:proofErr w:type="gramEnd"/>
      <w:r w:rsidR="00176546">
        <w:t xml:space="preserve"> 2009:483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0"/>
  </w:num>
  <w:num w:numId="3">
    <w:abstractNumId w:val="9"/>
  </w:num>
  <w:num w:numId="4">
    <w:abstractNumId w:val="6"/>
  </w:num>
  <w:num w:numId="5">
    <w:abstractNumId w:val="2"/>
  </w:num>
  <w:num w:numId="6">
    <w:abstractNumId w:val="4"/>
  </w:num>
  <w:num w:numId="7">
    <w:abstractNumId w:val="13"/>
  </w:num>
  <w:num w:numId="8">
    <w:abstractNumId w:val="21"/>
  </w:num>
  <w:num w:numId="9">
    <w:abstractNumId w:val="23"/>
  </w:num>
  <w:num w:numId="10">
    <w:abstractNumId w:val="5"/>
  </w:num>
  <w:num w:numId="11">
    <w:abstractNumId w:val="19"/>
  </w:num>
  <w:num w:numId="12">
    <w:abstractNumId w:val="22"/>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217"/>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85F"/>
    <w:rsid w:val="00013545"/>
    <w:rsid w:val="00026363"/>
    <w:rsid w:val="00043549"/>
    <w:rsid w:val="00046A16"/>
    <w:rsid w:val="00047074"/>
    <w:rsid w:val="00076A0B"/>
    <w:rsid w:val="000854DF"/>
    <w:rsid w:val="000A6D49"/>
    <w:rsid w:val="000E3682"/>
    <w:rsid w:val="000E3751"/>
    <w:rsid w:val="001070F2"/>
    <w:rsid w:val="00111283"/>
    <w:rsid w:val="001441E7"/>
    <w:rsid w:val="00172497"/>
    <w:rsid w:val="00176546"/>
    <w:rsid w:val="0019726D"/>
    <w:rsid w:val="001C0B52"/>
    <w:rsid w:val="001C4B2D"/>
    <w:rsid w:val="001E0E06"/>
    <w:rsid w:val="001E50BB"/>
    <w:rsid w:val="001F4CE1"/>
    <w:rsid w:val="002132DC"/>
    <w:rsid w:val="00216211"/>
    <w:rsid w:val="00224B95"/>
    <w:rsid w:val="002715FA"/>
    <w:rsid w:val="00276002"/>
    <w:rsid w:val="00277421"/>
    <w:rsid w:val="00290783"/>
    <w:rsid w:val="00291A88"/>
    <w:rsid w:val="002A4D88"/>
    <w:rsid w:val="002B7AFE"/>
    <w:rsid w:val="002D2A04"/>
    <w:rsid w:val="002E2BA0"/>
    <w:rsid w:val="002E67CE"/>
    <w:rsid w:val="002F1460"/>
    <w:rsid w:val="002F1475"/>
    <w:rsid w:val="003014FE"/>
    <w:rsid w:val="00305185"/>
    <w:rsid w:val="00307B22"/>
    <w:rsid w:val="00326631"/>
    <w:rsid w:val="00337A70"/>
    <w:rsid w:val="00341D2F"/>
    <w:rsid w:val="0038342D"/>
    <w:rsid w:val="00397D11"/>
    <w:rsid w:val="003C3F4F"/>
    <w:rsid w:val="003C7F6F"/>
    <w:rsid w:val="003E08F3"/>
    <w:rsid w:val="003F0AD2"/>
    <w:rsid w:val="0040732D"/>
    <w:rsid w:val="004250DD"/>
    <w:rsid w:val="0043758C"/>
    <w:rsid w:val="0044129B"/>
    <w:rsid w:val="00447497"/>
    <w:rsid w:val="00460A5C"/>
    <w:rsid w:val="004627BA"/>
    <w:rsid w:val="004724D6"/>
    <w:rsid w:val="00475C78"/>
    <w:rsid w:val="004B73BA"/>
    <w:rsid w:val="004C79CE"/>
    <w:rsid w:val="00506129"/>
    <w:rsid w:val="00521E0F"/>
    <w:rsid w:val="00531109"/>
    <w:rsid w:val="00537B4C"/>
    <w:rsid w:val="005429EF"/>
    <w:rsid w:val="005627D4"/>
    <w:rsid w:val="00565B73"/>
    <w:rsid w:val="0058663A"/>
    <w:rsid w:val="00587017"/>
    <w:rsid w:val="0058726A"/>
    <w:rsid w:val="00590E9A"/>
    <w:rsid w:val="005942E9"/>
    <w:rsid w:val="005B2CFB"/>
    <w:rsid w:val="005C6560"/>
    <w:rsid w:val="00610318"/>
    <w:rsid w:val="00626250"/>
    <w:rsid w:val="00632937"/>
    <w:rsid w:val="0065654E"/>
    <w:rsid w:val="00662A40"/>
    <w:rsid w:val="006805EC"/>
    <w:rsid w:val="00691819"/>
    <w:rsid w:val="00693C4D"/>
    <w:rsid w:val="006A205D"/>
    <w:rsid w:val="006A326E"/>
    <w:rsid w:val="006B7BFE"/>
    <w:rsid w:val="006C0A3A"/>
    <w:rsid w:val="006C5E96"/>
    <w:rsid w:val="006F231B"/>
    <w:rsid w:val="00751BE2"/>
    <w:rsid w:val="00765417"/>
    <w:rsid w:val="00770733"/>
    <w:rsid w:val="00773D0E"/>
    <w:rsid w:val="00790E2F"/>
    <w:rsid w:val="007B721A"/>
    <w:rsid w:val="007C098A"/>
    <w:rsid w:val="007C2073"/>
    <w:rsid w:val="007C6F33"/>
    <w:rsid w:val="007D7715"/>
    <w:rsid w:val="00823895"/>
    <w:rsid w:val="0083442E"/>
    <w:rsid w:val="00840B95"/>
    <w:rsid w:val="0084272E"/>
    <w:rsid w:val="00843DE9"/>
    <w:rsid w:val="00860711"/>
    <w:rsid w:val="0089447F"/>
    <w:rsid w:val="008A4DCC"/>
    <w:rsid w:val="008B3A97"/>
    <w:rsid w:val="008D03F0"/>
    <w:rsid w:val="008E525C"/>
    <w:rsid w:val="008E5976"/>
    <w:rsid w:val="00914769"/>
    <w:rsid w:val="00961FFE"/>
    <w:rsid w:val="00973B44"/>
    <w:rsid w:val="009801D3"/>
    <w:rsid w:val="009A3D0A"/>
    <w:rsid w:val="009B2D10"/>
    <w:rsid w:val="009C01A3"/>
    <w:rsid w:val="009C396A"/>
    <w:rsid w:val="00A02C62"/>
    <w:rsid w:val="00A2073F"/>
    <w:rsid w:val="00A303FE"/>
    <w:rsid w:val="00A41032"/>
    <w:rsid w:val="00A41AF9"/>
    <w:rsid w:val="00A507E4"/>
    <w:rsid w:val="00A50BE3"/>
    <w:rsid w:val="00A62E68"/>
    <w:rsid w:val="00A819A2"/>
    <w:rsid w:val="00A972E4"/>
    <w:rsid w:val="00A9744A"/>
    <w:rsid w:val="00AC36E3"/>
    <w:rsid w:val="00AC3798"/>
    <w:rsid w:val="00AC6213"/>
    <w:rsid w:val="00AD5D5A"/>
    <w:rsid w:val="00B11E29"/>
    <w:rsid w:val="00B36F4A"/>
    <w:rsid w:val="00B42501"/>
    <w:rsid w:val="00B45FEF"/>
    <w:rsid w:val="00B81E5D"/>
    <w:rsid w:val="00B96983"/>
    <w:rsid w:val="00B9724B"/>
    <w:rsid w:val="00BC17F1"/>
    <w:rsid w:val="00BC5074"/>
    <w:rsid w:val="00BE7B7A"/>
    <w:rsid w:val="00BF22DC"/>
    <w:rsid w:val="00BF3D29"/>
    <w:rsid w:val="00BF6291"/>
    <w:rsid w:val="00C129C7"/>
    <w:rsid w:val="00C22A88"/>
    <w:rsid w:val="00C43180"/>
    <w:rsid w:val="00C65E7F"/>
    <w:rsid w:val="00C74487"/>
    <w:rsid w:val="00C93CD4"/>
    <w:rsid w:val="00CC52A3"/>
    <w:rsid w:val="00CE3B79"/>
    <w:rsid w:val="00D0754F"/>
    <w:rsid w:val="00D121FD"/>
    <w:rsid w:val="00D459DC"/>
    <w:rsid w:val="00D56EFA"/>
    <w:rsid w:val="00D87262"/>
    <w:rsid w:val="00DA3217"/>
    <w:rsid w:val="00DA3E0F"/>
    <w:rsid w:val="00DB185F"/>
    <w:rsid w:val="00DB2FD8"/>
    <w:rsid w:val="00DB43BB"/>
    <w:rsid w:val="00DD363B"/>
    <w:rsid w:val="00DE54B1"/>
    <w:rsid w:val="00E22F41"/>
    <w:rsid w:val="00E3766D"/>
    <w:rsid w:val="00E57529"/>
    <w:rsid w:val="00E84F5D"/>
    <w:rsid w:val="00EC7546"/>
    <w:rsid w:val="00F1661E"/>
    <w:rsid w:val="00F346BE"/>
    <w:rsid w:val="00F73533"/>
    <w:rsid w:val="00F7471D"/>
    <w:rsid w:val="00FA07E9"/>
    <w:rsid w:val="00FA2A4C"/>
    <w:rsid w:val="00FB72C7"/>
    <w:rsid w:val="00FE6DBD"/>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basedOn w:val="DefaultParagraphFont"/>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basedOn w:val="CommentText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basedOn w:val="DefaultParagraphFont"/>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basedOn w:val="DefaultParagraphFont"/>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rsid w:val="00AD5D5A"/>
    <w:rPr>
      <w:sz w:val="24"/>
      <w:szCs w:val="24"/>
      <w:lang w:eastAsia="zh-CN"/>
    </w:rPr>
  </w:style>
  <w:style w:type="paragraph" w:styleId="FootnoteText">
    <w:name w:val="footnote text"/>
    <w:basedOn w:val="Normal"/>
    <w:link w:val="FootnoteTextChar"/>
    <w:rsid w:val="00C74487"/>
    <w:rPr>
      <w:sz w:val="20"/>
      <w:szCs w:val="20"/>
    </w:rPr>
  </w:style>
  <w:style w:type="character" w:customStyle="1" w:styleId="FootnoteTextChar">
    <w:name w:val="Footnote Text Char"/>
    <w:basedOn w:val="DefaultParagraphFont"/>
    <w:link w:val="FootnoteText"/>
    <w:rsid w:val="00C74487"/>
    <w:rPr>
      <w:lang w:eastAsia="zh-CN"/>
    </w:rPr>
  </w:style>
  <w:style w:type="character" w:styleId="FootnoteReference">
    <w:name w:val="footnote reference"/>
    <w:basedOn w:val="DefaultParagraphFont"/>
    <w:rsid w:val="00C7448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basedOn w:val="DefaultParagraphFont"/>
    <w:rsid w:val="00840B95"/>
    <w:rPr>
      <w:sz w:val="16"/>
      <w:szCs w:val="16"/>
    </w:rPr>
  </w:style>
  <w:style w:type="paragraph" w:styleId="CommentText">
    <w:name w:val="annotation text"/>
    <w:basedOn w:val="Normal"/>
    <w:link w:val="CommentTextChar"/>
    <w:rsid w:val="00840B95"/>
    <w:rPr>
      <w:sz w:val="20"/>
      <w:szCs w:val="20"/>
    </w:rPr>
  </w:style>
  <w:style w:type="character" w:customStyle="1" w:styleId="CommentTextChar">
    <w:name w:val="Comment Text Char"/>
    <w:basedOn w:val="DefaultParagraphFont"/>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basedOn w:val="CommentTextChar"/>
    <w:link w:val="CommentSubject"/>
    <w:rsid w:val="00840B95"/>
    <w:rPr>
      <w:b/>
      <w:bCs/>
      <w:lang w:eastAsia="zh-CN"/>
    </w:rPr>
  </w:style>
  <w:style w:type="paragraph" w:styleId="BalloonText">
    <w:name w:val="Balloon Text"/>
    <w:basedOn w:val="Normal"/>
    <w:link w:val="BalloonTextChar"/>
    <w:rsid w:val="00840B95"/>
    <w:rPr>
      <w:rFonts w:ascii="Tahoma" w:hAnsi="Tahoma" w:cs="Tahoma"/>
      <w:sz w:val="16"/>
      <w:szCs w:val="16"/>
    </w:rPr>
  </w:style>
  <w:style w:type="character" w:customStyle="1" w:styleId="BalloonTextChar">
    <w:name w:val="Balloon Text Char"/>
    <w:basedOn w:val="DefaultParagraphFont"/>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cs="Tahoma"/>
      <w:sz w:val="22"/>
      <w:szCs w:val="20"/>
      <w:lang w:eastAsia="en-US"/>
    </w:rPr>
  </w:style>
  <w:style w:type="character" w:customStyle="1" w:styleId="HeaderChar">
    <w:name w:val="Header Char"/>
    <w:basedOn w:val="DefaultParagraphFont"/>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style>
  <w:style w:type="character" w:customStyle="1" w:styleId="FooterChar">
    <w:name w:val="Footer Char"/>
    <w:basedOn w:val="DefaultParagraphFont"/>
    <w:link w:val="Footer"/>
    <w:uiPriority w:val="99"/>
    <w:rsid w:val="00AD5D5A"/>
    <w:rPr>
      <w:sz w:val="24"/>
      <w:szCs w:val="24"/>
      <w:lang w:eastAsia="zh-CN"/>
    </w:rPr>
  </w:style>
  <w:style w:type="paragraph" w:styleId="FootnoteText">
    <w:name w:val="footnote text"/>
    <w:basedOn w:val="Normal"/>
    <w:link w:val="FootnoteTextChar"/>
    <w:rsid w:val="00C74487"/>
    <w:rPr>
      <w:sz w:val="20"/>
      <w:szCs w:val="20"/>
    </w:rPr>
  </w:style>
  <w:style w:type="character" w:customStyle="1" w:styleId="FootnoteTextChar">
    <w:name w:val="Footnote Text Char"/>
    <w:basedOn w:val="DefaultParagraphFont"/>
    <w:link w:val="FootnoteText"/>
    <w:rsid w:val="00C74487"/>
    <w:rPr>
      <w:lang w:eastAsia="zh-CN"/>
    </w:rPr>
  </w:style>
  <w:style w:type="character" w:styleId="FootnoteReference">
    <w:name w:val="footnote reference"/>
    <w:basedOn w:val="DefaultParagraphFont"/>
    <w:rsid w:val="00C744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A42F0-39C6-4AF2-B23D-FE798842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7</Pages>
  <Words>1705</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Matt</cp:lastModifiedBy>
  <cp:revision>29</cp:revision>
  <cp:lastPrinted>2010-10-08T16:31:00Z</cp:lastPrinted>
  <dcterms:created xsi:type="dcterms:W3CDTF">2015-11-19T16:18:00Z</dcterms:created>
  <dcterms:modified xsi:type="dcterms:W3CDTF">2017-12-11T20:19:00Z</dcterms:modified>
</cp:coreProperties>
</file>