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ajorEastAsia" w:cstheme="majorBidi"/>
          <w:spacing w:val="-10"/>
          <w:kern w:val="28"/>
          <w:sz w:val="56"/>
          <w:szCs w:val="56"/>
        </w:rPr>
        <w:id w:val="-399136005"/>
        <w:docPartObj>
          <w:docPartGallery w:val="Cover Pages"/>
          <w:docPartUnique/>
        </w:docPartObj>
      </w:sdtPr>
      <w:sdtContent>
        <w:p w14:paraId="7CA06F18" w14:textId="5834E87E" w:rsidR="00251E77" w:rsidRDefault="00251E77">
          <w:r>
            <w:rPr>
              <w:noProof/>
            </w:rPr>
            <w:drawing>
              <wp:anchor distT="0" distB="0" distL="114300" distR="114300" simplePos="0" relativeHeight="251660288" behindDoc="0" locked="0" layoutInCell="1" allowOverlap="1" wp14:anchorId="5C20402F" wp14:editId="25836B76">
                <wp:simplePos x="0" y="0"/>
                <wp:positionH relativeFrom="column">
                  <wp:posOffset>2971800</wp:posOffset>
                </wp:positionH>
                <wp:positionV relativeFrom="paragraph">
                  <wp:posOffset>363</wp:posOffset>
                </wp:positionV>
                <wp:extent cx="3555365" cy="1480185"/>
                <wp:effectExtent l="0" t="0" r="6985" b="5715"/>
                <wp:wrapSquare wrapText="bothSides"/>
                <wp:docPr id="1479839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5365" cy="1480185"/>
                        </a:xfrm>
                        <a:prstGeom prst="rect">
                          <a:avLst/>
                        </a:prstGeom>
                        <a:noFill/>
                        <a:ln>
                          <a:noFill/>
                        </a:ln>
                      </pic:spPr>
                    </pic:pic>
                  </a:graphicData>
                </a:graphic>
              </wp:anchor>
            </w:drawing>
          </w:r>
        </w:p>
        <w:p w14:paraId="0FE720C1" w14:textId="4EA5A1E4" w:rsidR="00251E77" w:rsidRPr="00251E77" w:rsidRDefault="00000000" w:rsidP="00251E77">
          <w:pPr>
            <w:pStyle w:val="Title"/>
          </w:pPr>
        </w:p>
      </w:sdtContent>
    </w:sdt>
    <w:p w14:paraId="1FB4AE32" w14:textId="77777777" w:rsidR="00025FD3" w:rsidRDefault="00025FD3" w:rsidP="00251E77"/>
    <w:p w14:paraId="1BDDF8C1" w14:textId="77777777" w:rsidR="00251E77" w:rsidRDefault="00251E77" w:rsidP="00251E77"/>
    <w:p w14:paraId="71BA3C53" w14:textId="77777777" w:rsidR="00251E77" w:rsidRPr="00740351" w:rsidRDefault="00251E77" w:rsidP="00251E77">
      <w:pPr>
        <w:rPr>
          <w:rFonts w:cs="Arial"/>
        </w:rPr>
      </w:pPr>
    </w:p>
    <w:p w14:paraId="7B595B4D" w14:textId="60E36FDF" w:rsidR="00251E77" w:rsidRPr="00740351" w:rsidRDefault="00251E77" w:rsidP="00740351">
      <w:pPr>
        <w:pStyle w:val="Title"/>
        <w:jc w:val="center"/>
        <w:rPr>
          <w:rFonts w:cs="Arial"/>
          <w:b/>
          <w:bCs/>
        </w:rPr>
      </w:pPr>
      <w:r w:rsidRPr="00740351">
        <w:rPr>
          <w:rFonts w:cs="Arial"/>
          <w:b/>
          <w:bCs/>
        </w:rPr>
        <w:t>Master of Business Administration</w:t>
      </w:r>
    </w:p>
    <w:p w14:paraId="227F2247" w14:textId="48A431F0" w:rsidR="00251E77" w:rsidRPr="00740351" w:rsidRDefault="00043170" w:rsidP="00740351">
      <w:pPr>
        <w:pStyle w:val="Title"/>
        <w:jc w:val="center"/>
        <w:rPr>
          <w:rFonts w:cs="Arial"/>
          <w:sz w:val="40"/>
          <w:szCs w:val="40"/>
        </w:rPr>
      </w:pPr>
      <w:r>
        <w:rPr>
          <w:rFonts w:cs="Arial"/>
          <w:sz w:val="40"/>
          <w:szCs w:val="40"/>
        </w:rPr>
        <w:t>Module: Marketing</w:t>
      </w:r>
      <w:r w:rsidR="00251E77" w:rsidRPr="00740351">
        <w:rPr>
          <w:rFonts w:cs="Arial"/>
          <w:sz w:val="40"/>
          <w:szCs w:val="40"/>
        </w:rPr>
        <w:t xml:space="preserve"> Management</w:t>
      </w:r>
    </w:p>
    <w:p w14:paraId="33BD43BC" w14:textId="251EDCFE" w:rsidR="00251E77" w:rsidRPr="00740351" w:rsidRDefault="00251E77" w:rsidP="00740351">
      <w:pPr>
        <w:pStyle w:val="Title"/>
        <w:jc w:val="center"/>
        <w:rPr>
          <w:rFonts w:cs="Arial"/>
          <w:sz w:val="40"/>
          <w:szCs w:val="40"/>
        </w:rPr>
      </w:pPr>
      <w:r w:rsidRPr="00740351">
        <w:rPr>
          <w:rFonts w:cs="Arial"/>
          <w:sz w:val="40"/>
          <w:szCs w:val="40"/>
        </w:rPr>
        <w:t>Module Code: LCMB702</w:t>
      </w:r>
      <w:r w:rsidR="00043170">
        <w:rPr>
          <w:rFonts w:cs="Arial"/>
          <w:sz w:val="40"/>
          <w:szCs w:val="40"/>
        </w:rPr>
        <w:t>4</w:t>
      </w:r>
    </w:p>
    <w:p w14:paraId="74B0F37E" w14:textId="77777777" w:rsidR="00740351" w:rsidRDefault="00740351" w:rsidP="00740351">
      <w:pPr>
        <w:jc w:val="center"/>
      </w:pPr>
    </w:p>
    <w:p w14:paraId="79361398" w14:textId="1AE004B4" w:rsidR="00740351" w:rsidRDefault="00740351" w:rsidP="00740351">
      <w:pPr>
        <w:pStyle w:val="Title"/>
        <w:jc w:val="center"/>
        <w:rPr>
          <w:sz w:val="40"/>
          <w:szCs w:val="40"/>
        </w:rPr>
      </w:pPr>
      <w:r w:rsidRPr="00740351">
        <w:rPr>
          <w:sz w:val="40"/>
          <w:szCs w:val="40"/>
        </w:rPr>
        <w:t xml:space="preserve">Assessment Component 1: </w:t>
      </w:r>
      <w:r w:rsidR="00043170" w:rsidRPr="00043170">
        <w:rPr>
          <w:sz w:val="40"/>
          <w:szCs w:val="40"/>
        </w:rPr>
        <w:t>Marketing Environment Analysis</w:t>
      </w:r>
    </w:p>
    <w:p w14:paraId="6B93A3B8" w14:textId="77777777" w:rsidR="00740351" w:rsidRPr="00740351" w:rsidRDefault="00740351" w:rsidP="00740351"/>
    <w:p w14:paraId="3D2FF6D9" w14:textId="1C776B53" w:rsidR="00740351" w:rsidRDefault="00043170" w:rsidP="00740351">
      <w:pPr>
        <w:pStyle w:val="Title"/>
        <w:jc w:val="center"/>
        <w:rPr>
          <w:sz w:val="40"/>
          <w:szCs w:val="40"/>
        </w:rPr>
      </w:pPr>
      <w:r w:rsidRPr="00043170">
        <w:rPr>
          <w:sz w:val="40"/>
          <w:szCs w:val="40"/>
        </w:rPr>
        <w:t>Evaluating the Impact of Macro-Environmental Forces on Pioneer and Follower Firms: A Comparative Analysis of Apple and Samsung</w:t>
      </w:r>
      <w:r>
        <w:rPr>
          <w:sz w:val="40"/>
          <w:szCs w:val="40"/>
        </w:rPr>
        <w:t>.</w:t>
      </w:r>
    </w:p>
    <w:p w14:paraId="4AD32F37" w14:textId="4F497A5F" w:rsidR="00740351" w:rsidRPr="00740351" w:rsidRDefault="00740351" w:rsidP="00740351">
      <w:r>
        <w:rPr>
          <w:noProof/>
        </w:rPr>
        <mc:AlternateContent>
          <mc:Choice Requires="wps">
            <w:drawing>
              <wp:anchor distT="0" distB="0" distL="114300" distR="114300" simplePos="0" relativeHeight="251661312" behindDoc="0" locked="0" layoutInCell="1" allowOverlap="1" wp14:anchorId="50E876E3" wp14:editId="57DA8F2D">
                <wp:simplePos x="0" y="0"/>
                <wp:positionH relativeFrom="column">
                  <wp:posOffset>-791570</wp:posOffset>
                </wp:positionH>
                <wp:positionV relativeFrom="paragraph">
                  <wp:posOffset>266794</wp:posOffset>
                </wp:positionV>
                <wp:extent cx="7533564" cy="0"/>
                <wp:effectExtent l="0" t="0" r="0" b="0"/>
                <wp:wrapNone/>
                <wp:docPr id="2128543278" name="Straight Connector 2"/>
                <wp:cNvGraphicFramePr/>
                <a:graphic xmlns:a="http://schemas.openxmlformats.org/drawingml/2006/main">
                  <a:graphicData uri="http://schemas.microsoft.com/office/word/2010/wordprocessingShape">
                    <wps:wsp>
                      <wps:cNvCnPr/>
                      <wps:spPr>
                        <a:xfrm flipV="1">
                          <a:off x="0" y="0"/>
                          <a:ext cx="7533564"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2C7018" id="Straight Connector 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35pt,21pt" to="530.8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" strokecolor="#156082 [3204]" strokeweight="1.5pt">
                <v:stroke joinstyle="miter"/>
              </v:line>
            </w:pict>
          </mc:Fallback>
        </mc:AlternateContent>
      </w:r>
    </w:p>
    <w:p w14:paraId="0CD83A0C" w14:textId="77777777" w:rsidR="00740351" w:rsidRDefault="00740351" w:rsidP="00740351"/>
    <w:p w14:paraId="2CB162B3" w14:textId="7B218742" w:rsidR="00740351" w:rsidRPr="00740351" w:rsidRDefault="00740351" w:rsidP="00740351">
      <w:pPr>
        <w:rPr>
          <w:sz w:val="32"/>
          <w:szCs w:val="32"/>
        </w:rPr>
      </w:pPr>
      <w:r w:rsidRPr="00740351">
        <w:rPr>
          <w:sz w:val="32"/>
          <w:szCs w:val="32"/>
        </w:rPr>
        <w:t xml:space="preserve">Name: Riyaben Jayrushnabhai Prajapati </w:t>
      </w:r>
    </w:p>
    <w:p w14:paraId="4B518EDD" w14:textId="79D02A24" w:rsidR="00740351" w:rsidRPr="00740351" w:rsidRDefault="00740351" w:rsidP="00740351">
      <w:pPr>
        <w:rPr>
          <w:sz w:val="32"/>
          <w:szCs w:val="32"/>
        </w:rPr>
      </w:pPr>
      <w:r w:rsidRPr="00740351">
        <w:rPr>
          <w:sz w:val="32"/>
          <w:szCs w:val="32"/>
        </w:rPr>
        <w:t>Student ID:</w:t>
      </w:r>
      <w:r>
        <w:rPr>
          <w:sz w:val="32"/>
          <w:szCs w:val="32"/>
        </w:rPr>
        <w:t xml:space="preserve"> 2529556</w:t>
      </w:r>
    </w:p>
    <w:p w14:paraId="47857136" w14:textId="08E79B3D" w:rsidR="00740351" w:rsidRPr="00740351" w:rsidRDefault="00740351" w:rsidP="00740351">
      <w:pPr>
        <w:rPr>
          <w:sz w:val="32"/>
          <w:szCs w:val="32"/>
        </w:rPr>
      </w:pPr>
      <w:r w:rsidRPr="00740351">
        <w:rPr>
          <w:sz w:val="32"/>
          <w:szCs w:val="32"/>
        </w:rPr>
        <w:t xml:space="preserve">Lecturer: </w:t>
      </w:r>
      <w:r w:rsidR="00043170" w:rsidRPr="00043170">
        <w:rPr>
          <w:sz w:val="32"/>
          <w:szCs w:val="32"/>
        </w:rPr>
        <w:t>Laila Maazouz</w:t>
      </w:r>
      <w:r w:rsidR="00043170">
        <w:rPr>
          <w:sz w:val="32"/>
          <w:szCs w:val="32"/>
        </w:rPr>
        <w:t xml:space="preserve"> &amp;</w:t>
      </w:r>
      <w:r w:rsidR="00043170" w:rsidRPr="00043170">
        <w:rPr>
          <w:sz w:val="32"/>
          <w:szCs w:val="32"/>
        </w:rPr>
        <w:t xml:space="preserve"> Dian Mayasari</w:t>
      </w:r>
    </w:p>
    <w:p w14:paraId="74EB927C" w14:textId="3CBF1384" w:rsidR="00740351" w:rsidRPr="00740351" w:rsidRDefault="00740351" w:rsidP="00740351">
      <w:pPr>
        <w:rPr>
          <w:sz w:val="32"/>
          <w:szCs w:val="32"/>
        </w:rPr>
      </w:pPr>
      <w:r w:rsidRPr="00740351">
        <w:rPr>
          <w:sz w:val="32"/>
          <w:szCs w:val="32"/>
        </w:rPr>
        <w:t>Word Count:</w:t>
      </w:r>
      <w:r>
        <w:rPr>
          <w:sz w:val="32"/>
          <w:szCs w:val="32"/>
        </w:rPr>
        <w:t xml:space="preserve"> </w:t>
      </w:r>
      <w:r w:rsidR="003156C2">
        <w:rPr>
          <w:sz w:val="32"/>
          <w:szCs w:val="32"/>
        </w:rPr>
        <w:t>2699</w:t>
      </w:r>
    </w:p>
    <w:p w14:paraId="347DCD8C" w14:textId="2257700C" w:rsidR="001D4008" w:rsidRDefault="00740351" w:rsidP="00043170">
      <w:pPr>
        <w:rPr>
          <w:sz w:val="32"/>
          <w:szCs w:val="32"/>
        </w:rPr>
      </w:pPr>
      <w:r w:rsidRPr="00740351">
        <w:rPr>
          <w:sz w:val="32"/>
          <w:szCs w:val="32"/>
        </w:rPr>
        <w:t>Submission Date:</w:t>
      </w:r>
      <w:r>
        <w:rPr>
          <w:sz w:val="32"/>
          <w:szCs w:val="32"/>
        </w:rPr>
        <w:t xml:space="preserve"> </w:t>
      </w:r>
      <w:r w:rsidR="00CE16C1">
        <w:rPr>
          <w:sz w:val="32"/>
          <w:szCs w:val="32"/>
        </w:rPr>
        <w:t>2</w:t>
      </w:r>
      <w:r w:rsidR="00043170">
        <w:rPr>
          <w:sz w:val="32"/>
          <w:szCs w:val="32"/>
        </w:rPr>
        <w:t>7</w:t>
      </w:r>
      <w:r w:rsidR="00CE16C1" w:rsidRPr="00CE16C1">
        <w:rPr>
          <w:sz w:val="32"/>
          <w:szCs w:val="32"/>
          <w:vertAlign w:val="superscript"/>
        </w:rPr>
        <w:t>th</w:t>
      </w:r>
      <w:r w:rsidR="00CE16C1">
        <w:rPr>
          <w:sz w:val="32"/>
          <w:szCs w:val="32"/>
        </w:rPr>
        <w:t xml:space="preserve"> </w:t>
      </w:r>
      <w:r w:rsidR="00541F17">
        <w:rPr>
          <w:sz w:val="32"/>
          <w:szCs w:val="32"/>
        </w:rPr>
        <w:t>March</w:t>
      </w:r>
      <w:r w:rsidR="00CE16C1">
        <w:rPr>
          <w:sz w:val="32"/>
          <w:szCs w:val="32"/>
        </w:rPr>
        <w:t xml:space="preserve"> 2026</w:t>
      </w:r>
    </w:p>
    <w:sdt>
      <w:sdtPr>
        <w:rPr>
          <w:rFonts w:ascii="Arial" w:eastAsiaTheme="minorHAnsi" w:hAnsi="Arial" w:cstheme="minorBidi"/>
          <w:color w:val="auto"/>
          <w:kern w:val="2"/>
          <w:sz w:val="24"/>
          <w:szCs w:val="24"/>
          <w:lang w:bidi="gu-IN"/>
          <w14:ligatures w14:val="standardContextual"/>
        </w:rPr>
        <w:id w:val="344446033"/>
        <w:docPartObj>
          <w:docPartGallery w:val="Table of Contents"/>
          <w:docPartUnique/>
        </w:docPartObj>
      </w:sdtPr>
      <w:sdtEndPr>
        <w:rPr>
          <w:b/>
          <w:bCs/>
          <w:noProof/>
        </w:rPr>
      </w:sdtEndPr>
      <w:sdtContent>
        <w:p w14:paraId="02D463F8" w14:textId="6C801F76" w:rsidR="001D4008" w:rsidRDefault="001D4008">
          <w:pPr>
            <w:pStyle w:val="TOCHeading"/>
          </w:pPr>
          <w:r>
            <w:t>Contents</w:t>
          </w:r>
        </w:p>
        <w:p w14:paraId="5AC72F50" w14:textId="5739315F" w:rsidR="004A1B79" w:rsidRDefault="001D4008">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5473230" w:history="1">
            <w:r w:rsidR="004A1B79" w:rsidRPr="002E7269">
              <w:rPr>
                <w:rStyle w:val="Hyperlink"/>
                <w:noProof/>
              </w:rPr>
              <w:t>List of Abbreviations</w:t>
            </w:r>
            <w:r w:rsidR="004A1B79">
              <w:rPr>
                <w:noProof/>
                <w:webHidden/>
              </w:rPr>
              <w:tab/>
            </w:r>
            <w:r w:rsidR="004A1B79">
              <w:rPr>
                <w:noProof/>
                <w:webHidden/>
              </w:rPr>
              <w:fldChar w:fldCharType="begin"/>
            </w:r>
            <w:r w:rsidR="004A1B79">
              <w:rPr>
                <w:noProof/>
                <w:webHidden/>
              </w:rPr>
              <w:instrText xml:space="preserve"> PAGEREF _Toc225473230 \h </w:instrText>
            </w:r>
            <w:r w:rsidR="004A1B79">
              <w:rPr>
                <w:noProof/>
                <w:webHidden/>
              </w:rPr>
            </w:r>
            <w:r w:rsidR="004A1B79">
              <w:rPr>
                <w:noProof/>
                <w:webHidden/>
              </w:rPr>
              <w:fldChar w:fldCharType="separate"/>
            </w:r>
            <w:r w:rsidR="004A1B79">
              <w:rPr>
                <w:noProof/>
                <w:webHidden/>
              </w:rPr>
              <w:t>2</w:t>
            </w:r>
            <w:r w:rsidR="004A1B79">
              <w:rPr>
                <w:noProof/>
                <w:webHidden/>
              </w:rPr>
              <w:fldChar w:fldCharType="end"/>
            </w:r>
          </w:hyperlink>
        </w:p>
        <w:p w14:paraId="266EF7FD" w14:textId="3C91CDA5" w:rsidR="004A1B79" w:rsidRDefault="004A1B79">
          <w:pPr>
            <w:pStyle w:val="TOC1"/>
            <w:tabs>
              <w:tab w:val="right" w:leader="dot" w:pos="9350"/>
            </w:tabs>
            <w:rPr>
              <w:rFonts w:asciiTheme="minorHAnsi" w:eastAsiaTheme="minorEastAsia" w:hAnsiTheme="minorHAnsi"/>
              <w:noProof/>
            </w:rPr>
          </w:pPr>
          <w:hyperlink w:anchor="_Toc225473231" w:history="1">
            <w:r w:rsidRPr="002E7269">
              <w:rPr>
                <w:rStyle w:val="Hyperlink"/>
                <w:noProof/>
              </w:rPr>
              <w:t>Executive Summary</w:t>
            </w:r>
            <w:r>
              <w:rPr>
                <w:noProof/>
                <w:webHidden/>
              </w:rPr>
              <w:tab/>
            </w:r>
            <w:r>
              <w:rPr>
                <w:noProof/>
                <w:webHidden/>
              </w:rPr>
              <w:fldChar w:fldCharType="begin"/>
            </w:r>
            <w:r>
              <w:rPr>
                <w:noProof/>
                <w:webHidden/>
              </w:rPr>
              <w:instrText xml:space="preserve"> PAGEREF _Toc225473231 \h </w:instrText>
            </w:r>
            <w:r>
              <w:rPr>
                <w:noProof/>
                <w:webHidden/>
              </w:rPr>
            </w:r>
            <w:r>
              <w:rPr>
                <w:noProof/>
                <w:webHidden/>
              </w:rPr>
              <w:fldChar w:fldCharType="separate"/>
            </w:r>
            <w:r>
              <w:rPr>
                <w:noProof/>
                <w:webHidden/>
              </w:rPr>
              <w:t>3</w:t>
            </w:r>
            <w:r>
              <w:rPr>
                <w:noProof/>
                <w:webHidden/>
              </w:rPr>
              <w:fldChar w:fldCharType="end"/>
            </w:r>
          </w:hyperlink>
        </w:p>
        <w:p w14:paraId="0A2C7C48" w14:textId="30ACEF62" w:rsidR="004A1B79" w:rsidRDefault="004A1B79">
          <w:pPr>
            <w:pStyle w:val="TOC1"/>
            <w:tabs>
              <w:tab w:val="right" w:leader="dot" w:pos="9350"/>
            </w:tabs>
            <w:rPr>
              <w:rFonts w:asciiTheme="minorHAnsi" w:eastAsiaTheme="minorEastAsia" w:hAnsiTheme="minorHAnsi"/>
              <w:noProof/>
            </w:rPr>
          </w:pPr>
          <w:hyperlink w:anchor="_Toc225473232" w:history="1">
            <w:r w:rsidRPr="002E7269">
              <w:rPr>
                <w:rStyle w:val="Hyperlink"/>
                <w:noProof/>
              </w:rPr>
              <w:t>1. Introduction</w:t>
            </w:r>
            <w:r>
              <w:rPr>
                <w:noProof/>
                <w:webHidden/>
              </w:rPr>
              <w:tab/>
            </w:r>
            <w:r>
              <w:rPr>
                <w:noProof/>
                <w:webHidden/>
              </w:rPr>
              <w:fldChar w:fldCharType="begin"/>
            </w:r>
            <w:r>
              <w:rPr>
                <w:noProof/>
                <w:webHidden/>
              </w:rPr>
              <w:instrText xml:space="preserve"> PAGEREF _Toc225473232 \h </w:instrText>
            </w:r>
            <w:r>
              <w:rPr>
                <w:noProof/>
                <w:webHidden/>
              </w:rPr>
            </w:r>
            <w:r>
              <w:rPr>
                <w:noProof/>
                <w:webHidden/>
              </w:rPr>
              <w:fldChar w:fldCharType="separate"/>
            </w:r>
            <w:r>
              <w:rPr>
                <w:noProof/>
                <w:webHidden/>
              </w:rPr>
              <w:t>4</w:t>
            </w:r>
            <w:r>
              <w:rPr>
                <w:noProof/>
                <w:webHidden/>
              </w:rPr>
              <w:fldChar w:fldCharType="end"/>
            </w:r>
          </w:hyperlink>
        </w:p>
        <w:p w14:paraId="67A881B0" w14:textId="3CDACD50" w:rsidR="004A1B79" w:rsidRDefault="004A1B79">
          <w:pPr>
            <w:pStyle w:val="TOC1"/>
            <w:tabs>
              <w:tab w:val="right" w:leader="dot" w:pos="9350"/>
            </w:tabs>
            <w:rPr>
              <w:rFonts w:asciiTheme="minorHAnsi" w:eastAsiaTheme="minorEastAsia" w:hAnsiTheme="minorHAnsi"/>
              <w:noProof/>
            </w:rPr>
          </w:pPr>
          <w:hyperlink w:anchor="_Toc225473233" w:history="1">
            <w:r w:rsidRPr="002E7269">
              <w:rPr>
                <w:rStyle w:val="Hyperlink"/>
                <w:noProof/>
              </w:rPr>
              <w:t>2. Company Overview</w:t>
            </w:r>
            <w:r>
              <w:rPr>
                <w:noProof/>
                <w:webHidden/>
              </w:rPr>
              <w:tab/>
            </w:r>
            <w:r>
              <w:rPr>
                <w:noProof/>
                <w:webHidden/>
              </w:rPr>
              <w:fldChar w:fldCharType="begin"/>
            </w:r>
            <w:r>
              <w:rPr>
                <w:noProof/>
                <w:webHidden/>
              </w:rPr>
              <w:instrText xml:space="preserve"> PAGEREF _Toc225473233 \h </w:instrText>
            </w:r>
            <w:r>
              <w:rPr>
                <w:noProof/>
                <w:webHidden/>
              </w:rPr>
            </w:r>
            <w:r>
              <w:rPr>
                <w:noProof/>
                <w:webHidden/>
              </w:rPr>
              <w:fldChar w:fldCharType="separate"/>
            </w:r>
            <w:r>
              <w:rPr>
                <w:noProof/>
                <w:webHidden/>
              </w:rPr>
              <w:t>4</w:t>
            </w:r>
            <w:r>
              <w:rPr>
                <w:noProof/>
                <w:webHidden/>
              </w:rPr>
              <w:fldChar w:fldCharType="end"/>
            </w:r>
          </w:hyperlink>
        </w:p>
        <w:p w14:paraId="46842B3B" w14:textId="67791E73" w:rsidR="004A1B79" w:rsidRDefault="004A1B79">
          <w:pPr>
            <w:pStyle w:val="TOC1"/>
            <w:tabs>
              <w:tab w:val="right" w:leader="dot" w:pos="9350"/>
            </w:tabs>
            <w:rPr>
              <w:rFonts w:asciiTheme="minorHAnsi" w:eastAsiaTheme="minorEastAsia" w:hAnsiTheme="minorHAnsi"/>
              <w:noProof/>
            </w:rPr>
          </w:pPr>
          <w:hyperlink w:anchor="_Toc225473234" w:history="1">
            <w:r w:rsidRPr="002E7269">
              <w:rPr>
                <w:rStyle w:val="Hyperlink"/>
                <w:noProof/>
              </w:rPr>
              <w:t>3. Macro Environment Analysis (Task 1)</w:t>
            </w:r>
            <w:r>
              <w:rPr>
                <w:noProof/>
                <w:webHidden/>
              </w:rPr>
              <w:tab/>
            </w:r>
            <w:r>
              <w:rPr>
                <w:noProof/>
                <w:webHidden/>
              </w:rPr>
              <w:fldChar w:fldCharType="begin"/>
            </w:r>
            <w:r>
              <w:rPr>
                <w:noProof/>
                <w:webHidden/>
              </w:rPr>
              <w:instrText xml:space="preserve"> PAGEREF _Toc225473234 \h </w:instrText>
            </w:r>
            <w:r>
              <w:rPr>
                <w:noProof/>
                <w:webHidden/>
              </w:rPr>
            </w:r>
            <w:r>
              <w:rPr>
                <w:noProof/>
                <w:webHidden/>
              </w:rPr>
              <w:fldChar w:fldCharType="separate"/>
            </w:r>
            <w:r>
              <w:rPr>
                <w:noProof/>
                <w:webHidden/>
              </w:rPr>
              <w:t>5</w:t>
            </w:r>
            <w:r>
              <w:rPr>
                <w:noProof/>
                <w:webHidden/>
              </w:rPr>
              <w:fldChar w:fldCharType="end"/>
            </w:r>
          </w:hyperlink>
        </w:p>
        <w:p w14:paraId="577B5EA8" w14:textId="7A994999" w:rsidR="004A1B79" w:rsidRDefault="004A1B79">
          <w:pPr>
            <w:pStyle w:val="TOC2"/>
            <w:tabs>
              <w:tab w:val="right" w:leader="dot" w:pos="9350"/>
            </w:tabs>
            <w:rPr>
              <w:rFonts w:asciiTheme="minorHAnsi" w:eastAsiaTheme="minorEastAsia" w:hAnsiTheme="minorHAnsi"/>
              <w:noProof/>
            </w:rPr>
          </w:pPr>
          <w:hyperlink w:anchor="_Toc225473235" w:history="1">
            <w:r w:rsidRPr="002E7269">
              <w:rPr>
                <w:rStyle w:val="Hyperlink"/>
                <w:noProof/>
              </w:rPr>
              <w:t>3.1 Technological Factors</w:t>
            </w:r>
            <w:r>
              <w:rPr>
                <w:noProof/>
                <w:webHidden/>
              </w:rPr>
              <w:tab/>
            </w:r>
            <w:r>
              <w:rPr>
                <w:noProof/>
                <w:webHidden/>
              </w:rPr>
              <w:fldChar w:fldCharType="begin"/>
            </w:r>
            <w:r>
              <w:rPr>
                <w:noProof/>
                <w:webHidden/>
              </w:rPr>
              <w:instrText xml:space="preserve"> PAGEREF _Toc225473235 \h </w:instrText>
            </w:r>
            <w:r>
              <w:rPr>
                <w:noProof/>
                <w:webHidden/>
              </w:rPr>
            </w:r>
            <w:r>
              <w:rPr>
                <w:noProof/>
                <w:webHidden/>
              </w:rPr>
              <w:fldChar w:fldCharType="separate"/>
            </w:r>
            <w:r>
              <w:rPr>
                <w:noProof/>
                <w:webHidden/>
              </w:rPr>
              <w:t>5</w:t>
            </w:r>
            <w:r>
              <w:rPr>
                <w:noProof/>
                <w:webHidden/>
              </w:rPr>
              <w:fldChar w:fldCharType="end"/>
            </w:r>
          </w:hyperlink>
        </w:p>
        <w:p w14:paraId="32EB4646" w14:textId="2EE4EEF1" w:rsidR="004A1B79" w:rsidRDefault="004A1B79">
          <w:pPr>
            <w:pStyle w:val="TOC2"/>
            <w:tabs>
              <w:tab w:val="right" w:leader="dot" w:pos="9350"/>
            </w:tabs>
            <w:rPr>
              <w:rFonts w:asciiTheme="minorHAnsi" w:eastAsiaTheme="minorEastAsia" w:hAnsiTheme="minorHAnsi"/>
              <w:noProof/>
            </w:rPr>
          </w:pPr>
          <w:hyperlink w:anchor="_Toc225473236" w:history="1">
            <w:r w:rsidRPr="002E7269">
              <w:rPr>
                <w:rStyle w:val="Hyperlink"/>
                <w:noProof/>
              </w:rPr>
              <w:t>3.2 Economic Factors</w:t>
            </w:r>
            <w:r>
              <w:rPr>
                <w:noProof/>
                <w:webHidden/>
              </w:rPr>
              <w:tab/>
            </w:r>
            <w:r>
              <w:rPr>
                <w:noProof/>
                <w:webHidden/>
              </w:rPr>
              <w:fldChar w:fldCharType="begin"/>
            </w:r>
            <w:r>
              <w:rPr>
                <w:noProof/>
                <w:webHidden/>
              </w:rPr>
              <w:instrText xml:space="preserve"> PAGEREF _Toc225473236 \h </w:instrText>
            </w:r>
            <w:r>
              <w:rPr>
                <w:noProof/>
                <w:webHidden/>
              </w:rPr>
            </w:r>
            <w:r>
              <w:rPr>
                <w:noProof/>
                <w:webHidden/>
              </w:rPr>
              <w:fldChar w:fldCharType="separate"/>
            </w:r>
            <w:r>
              <w:rPr>
                <w:noProof/>
                <w:webHidden/>
              </w:rPr>
              <w:t>6</w:t>
            </w:r>
            <w:r>
              <w:rPr>
                <w:noProof/>
                <w:webHidden/>
              </w:rPr>
              <w:fldChar w:fldCharType="end"/>
            </w:r>
          </w:hyperlink>
        </w:p>
        <w:p w14:paraId="06F3ACD9" w14:textId="279A0BC9" w:rsidR="004A1B79" w:rsidRDefault="004A1B79">
          <w:pPr>
            <w:pStyle w:val="TOC1"/>
            <w:tabs>
              <w:tab w:val="right" w:leader="dot" w:pos="9350"/>
            </w:tabs>
            <w:rPr>
              <w:rFonts w:asciiTheme="minorHAnsi" w:eastAsiaTheme="minorEastAsia" w:hAnsiTheme="minorHAnsi"/>
              <w:noProof/>
            </w:rPr>
          </w:pPr>
          <w:hyperlink w:anchor="_Toc225473237" w:history="1">
            <w:r w:rsidRPr="002E7269">
              <w:rPr>
                <w:rStyle w:val="Hyperlink"/>
                <w:noProof/>
              </w:rPr>
              <w:t>4. Strategic Response (Task 2)</w:t>
            </w:r>
            <w:r>
              <w:rPr>
                <w:noProof/>
                <w:webHidden/>
              </w:rPr>
              <w:tab/>
            </w:r>
            <w:r>
              <w:rPr>
                <w:noProof/>
                <w:webHidden/>
              </w:rPr>
              <w:fldChar w:fldCharType="begin"/>
            </w:r>
            <w:r>
              <w:rPr>
                <w:noProof/>
                <w:webHidden/>
              </w:rPr>
              <w:instrText xml:space="preserve"> PAGEREF _Toc225473237 \h </w:instrText>
            </w:r>
            <w:r>
              <w:rPr>
                <w:noProof/>
                <w:webHidden/>
              </w:rPr>
            </w:r>
            <w:r>
              <w:rPr>
                <w:noProof/>
                <w:webHidden/>
              </w:rPr>
              <w:fldChar w:fldCharType="separate"/>
            </w:r>
            <w:r>
              <w:rPr>
                <w:noProof/>
                <w:webHidden/>
              </w:rPr>
              <w:t>9</w:t>
            </w:r>
            <w:r>
              <w:rPr>
                <w:noProof/>
                <w:webHidden/>
              </w:rPr>
              <w:fldChar w:fldCharType="end"/>
            </w:r>
          </w:hyperlink>
        </w:p>
        <w:p w14:paraId="4D3AA3E6" w14:textId="6174E70D" w:rsidR="004A1B79" w:rsidRDefault="004A1B79">
          <w:pPr>
            <w:pStyle w:val="TOC2"/>
            <w:tabs>
              <w:tab w:val="right" w:leader="dot" w:pos="9350"/>
            </w:tabs>
            <w:rPr>
              <w:rFonts w:asciiTheme="minorHAnsi" w:eastAsiaTheme="minorEastAsia" w:hAnsiTheme="minorHAnsi"/>
              <w:noProof/>
            </w:rPr>
          </w:pPr>
          <w:hyperlink w:anchor="_Toc225473238" w:history="1">
            <w:r w:rsidRPr="002E7269">
              <w:rPr>
                <w:rStyle w:val="Hyperlink"/>
                <w:noProof/>
              </w:rPr>
              <w:t>4.1 Porter’s Generic Strategies</w:t>
            </w:r>
            <w:r>
              <w:rPr>
                <w:noProof/>
                <w:webHidden/>
              </w:rPr>
              <w:tab/>
            </w:r>
            <w:r>
              <w:rPr>
                <w:noProof/>
                <w:webHidden/>
              </w:rPr>
              <w:fldChar w:fldCharType="begin"/>
            </w:r>
            <w:r>
              <w:rPr>
                <w:noProof/>
                <w:webHidden/>
              </w:rPr>
              <w:instrText xml:space="preserve"> PAGEREF _Toc225473238 \h </w:instrText>
            </w:r>
            <w:r>
              <w:rPr>
                <w:noProof/>
                <w:webHidden/>
              </w:rPr>
            </w:r>
            <w:r>
              <w:rPr>
                <w:noProof/>
                <w:webHidden/>
              </w:rPr>
              <w:fldChar w:fldCharType="separate"/>
            </w:r>
            <w:r>
              <w:rPr>
                <w:noProof/>
                <w:webHidden/>
              </w:rPr>
              <w:t>9</w:t>
            </w:r>
            <w:r>
              <w:rPr>
                <w:noProof/>
                <w:webHidden/>
              </w:rPr>
              <w:fldChar w:fldCharType="end"/>
            </w:r>
          </w:hyperlink>
        </w:p>
        <w:p w14:paraId="5DAE88B1" w14:textId="4E49FF0B" w:rsidR="004A1B79" w:rsidRDefault="004A1B79">
          <w:pPr>
            <w:pStyle w:val="TOC2"/>
            <w:tabs>
              <w:tab w:val="right" w:leader="dot" w:pos="9350"/>
            </w:tabs>
            <w:rPr>
              <w:rFonts w:asciiTheme="minorHAnsi" w:eastAsiaTheme="minorEastAsia" w:hAnsiTheme="minorHAnsi"/>
              <w:noProof/>
            </w:rPr>
          </w:pPr>
          <w:hyperlink w:anchor="_Toc225473239" w:history="1">
            <w:r w:rsidRPr="002E7269">
              <w:rPr>
                <w:rStyle w:val="Hyperlink"/>
                <w:noProof/>
              </w:rPr>
              <w:t>4.2 Ansoff Matrix</w:t>
            </w:r>
            <w:r>
              <w:rPr>
                <w:noProof/>
                <w:webHidden/>
              </w:rPr>
              <w:tab/>
            </w:r>
            <w:r>
              <w:rPr>
                <w:noProof/>
                <w:webHidden/>
              </w:rPr>
              <w:fldChar w:fldCharType="begin"/>
            </w:r>
            <w:r>
              <w:rPr>
                <w:noProof/>
                <w:webHidden/>
              </w:rPr>
              <w:instrText xml:space="preserve"> PAGEREF _Toc225473239 \h </w:instrText>
            </w:r>
            <w:r>
              <w:rPr>
                <w:noProof/>
                <w:webHidden/>
              </w:rPr>
            </w:r>
            <w:r>
              <w:rPr>
                <w:noProof/>
                <w:webHidden/>
              </w:rPr>
              <w:fldChar w:fldCharType="separate"/>
            </w:r>
            <w:r>
              <w:rPr>
                <w:noProof/>
                <w:webHidden/>
              </w:rPr>
              <w:t>11</w:t>
            </w:r>
            <w:r>
              <w:rPr>
                <w:noProof/>
                <w:webHidden/>
              </w:rPr>
              <w:fldChar w:fldCharType="end"/>
            </w:r>
          </w:hyperlink>
        </w:p>
        <w:p w14:paraId="0BBEDBD9" w14:textId="72D20474" w:rsidR="004A1B79" w:rsidRDefault="004A1B79">
          <w:pPr>
            <w:pStyle w:val="TOC1"/>
            <w:tabs>
              <w:tab w:val="right" w:leader="dot" w:pos="9350"/>
            </w:tabs>
            <w:rPr>
              <w:rFonts w:asciiTheme="minorHAnsi" w:eastAsiaTheme="minorEastAsia" w:hAnsiTheme="minorHAnsi"/>
              <w:noProof/>
            </w:rPr>
          </w:pPr>
          <w:hyperlink w:anchor="_Toc225473240" w:history="1">
            <w:r w:rsidRPr="002E7269">
              <w:rPr>
                <w:rStyle w:val="Hyperlink"/>
                <w:noProof/>
              </w:rPr>
              <w:t>5. Critical Evaluation</w:t>
            </w:r>
            <w:r>
              <w:rPr>
                <w:noProof/>
                <w:webHidden/>
              </w:rPr>
              <w:tab/>
            </w:r>
            <w:r>
              <w:rPr>
                <w:noProof/>
                <w:webHidden/>
              </w:rPr>
              <w:fldChar w:fldCharType="begin"/>
            </w:r>
            <w:r>
              <w:rPr>
                <w:noProof/>
                <w:webHidden/>
              </w:rPr>
              <w:instrText xml:space="preserve"> PAGEREF _Toc225473240 \h </w:instrText>
            </w:r>
            <w:r>
              <w:rPr>
                <w:noProof/>
                <w:webHidden/>
              </w:rPr>
            </w:r>
            <w:r>
              <w:rPr>
                <w:noProof/>
                <w:webHidden/>
              </w:rPr>
              <w:fldChar w:fldCharType="separate"/>
            </w:r>
            <w:r>
              <w:rPr>
                <w:noProof/>
                <w:webHidden/>
              </w:rPr>
              <w:t>13</w:t>
            </w:r>
            <w:r>
              <w:rPr>
                <w:noProof/>
                <w:webHidden/>
              </w:rPr>
              <w:fldChar w:fldCharType="end"/>
            </w:r>
          </w:hyperlink>
        </w:p>
        <w:p w14:paraId="3404DCBD" w14:textId="23419111" w:rsidR="004A1B79" w:rsidRDefault="004A1B79">
          <w:pPr>
            <w:pStyle w:val="TOC1"/>
            <w:tabs>
              <w:tab w:val="right" w:leader="dot" w:pos="9350"/>
            </w:tabs>
            <w:rPr>
              <w:rFonts w:asciiTheme="minorHAnsi" w:eastAsiaTheme="minorEastAsia" w:hAnsiTheme="minorHAnsi"/>
              <w:noProof/>
            </w:rPr>
          </w:pPr>
          <w:hyperlink w:anchor="_Toc225473241" w:history="1">
            <w:r w:rsidRPr="002E7269">
              <w:rPr>
                <w:rStyle w:val="Hyperlink"/>
                <w:noProof/>
              </w:rPr>
              <w:t>6. Conclusion</w:t>
            </w:r>
            <w:r>
              <w:rPr>
                <w:noProof/>
                <w:webHidden/>
              </w:rPr>
              <w:tab/>
            </w:r>
            <w:r>
              <w:rPr>
                <w:noProof/>
                <w:webHidden/>
              </w:rPr>
              <w:fldChar w:fldCharType="begin"/>
            </w:r>
            <w:r>
              <w:rPr>
                <w:noProof/>
                <w:webHidden/>
              </w:rPr>
              <w:instrText xml:space="preserve"> PAGEREF _Toc225473241 \h </w:instrText>
            </w:r>
            <w:r>
              <w:rPr>
                <w:noProof/>
                <w:webHidden/>
              </w:rPr>
            </w:r>
            <w:r>
              <w:rPr>
                <w:noProof/>
                <w:webHidden/>
              </w:rPr>
              <w:fldChar w:fldCharType="separate"/>
            </w:r>
            <w:r>
              <w:rPr>
                <w:noProof/>
                <w:webHidden/>
              </w:rPr>
              <w:t>14</w:t>
            </w:r>
            <w:r>
              <w:rPr>
                <w:noProof/>
                <w:webHidden/>
              </w:rPr>
              <w:fldChar w:fldCharType="end"/>
            </w:r>
          </w:hyperlink>
        </w:p>
        <w:p w14:paraId="39950E62" w14:textId="7A2F81B7" w:rsidR="004A1B79" w:rsidRDefault="004A1B79">
          <w:pPr>
            <w:pStyle w:val="TOC1"/>
            <w:tabs>
              <w:tab w:val="right" w:leader="dot" w:pos="9350"/>
            </w:tabs>
            <w:rPr>
              <w:rFonts w:asciiTheme="minorHAnsi" w:eastAsiaTheme="minorEastAsia" w:hAnsiTheme="minorHAnsi"/>
              <w:noProof/>
            </w:rPr>
          </w:pPr>
          <w:hyperlink w:anchor="_Toc225473242" w:history="1">
            <w:r w:rsidRPr="002E7269">
              <w:rPr>
                <w:rStyle w:val="Hyperlink"/>
                <w:noProof/>
              </w:rPr>
              <w:t>7. References</w:t>
            </w:r>
            <w:r>
              <w:rPr>
                <w:noProof/>
                <w:webHidden/>
              </w:rPr>
              <w:tab/>
            </w:r>
            <w:r>
              <w:rPr>
                <w:noProof/>
                <w:webHidden/>
              </w:rPr>
              <w:fldChar w:fldCharType="begin"/>
            </w:r>
            <w:r>
              <w:rPr>
                <w:noProof/>
                <w:webHidden/>
              </w:rPr>
              <w:instrText xml:space="preserve"> PAGEREF _Toc225473242 \h </w:instrText>
            </w:r>
            <w:r>
              <w:rPr>
                <w:noProof/>
                <w:webHidden/>
              </w:rPr>
            </w:r>
            <w:r>
              <w:rPr>
                <w:noProof/>
                <w:webHidden/>
              </w:rPr>
              <w:fldChar w:fldCharType="separate"/>
            </w:r>
            <w:r>
              <w:rPr>
                <w:noProof/>
                <w:webHidden/>
              </w:rPr>
              <w:t>16</w:t>
            </w:r>
            <w:r>
              <w:rPr>
                <w:noProof/>
                <w:webHidden/>
              </w:rPr>
              <w:fldChar w:fldCharType="end"/>
            </w:r>
          </w:hyperlink>
        </w:p>
        <w:p w14:paraId="290BC7FC" w14:textId="2655A9A2" w:rsidR="001D4008" w:rsidRPr="002B0A64" w:rsidRDefault="001D4008">
          <w:pPr>
            <w:rPr>
              <w:b/>
              <w:bCs/>
              <w:noProof/>
            </w:rPr>
          </w:pPr>
          <w:r>
            <w:rPr>
              <w:b/>
              <w:bCs/>
              <w:noProof/>
            </w:rPr>
            <w:fldChar w:fldCharType="end"/>
          </w:r>
        </w:p>
      </w:sdtContent>
    </w:sdt>
    <w:p w14:paraId="732B711E" w14:textId="4B7A5987" w:rsidR="00740351" w:rsidRDefault="001D4008">
      <w:pPr>
        <w:spacing w:line="278" w:lineRule="auto"/>
        <w:jc w:val="left"/>
        <w:rPr>
          <w:sz w:val="32"/>
          <w:szCs w:val="32"/>
        </w:rPr>
      </w:pPr>
      <w:r>
        <w:rPr>
          <w:sz w:val="32"/>
          <w:szCs w:val="32"/>
        </w:rPr>
        <w:br w:type="page"/>
      </w:r>
    </w:p>
    <w:p w14:paraId="4F8CC8FD" w14:textId="4AAAA505" w:rsidR="002B0A64" w:rsidRPr="002B0A64" w:rsidRDefault="002B0A64" w:rsidP="002B0A64">
      <w:pPr>
        <w:pStyle w:val="Heading1"/>
      </w:pPr>
      <w:bookmarkStart w:id="0" w:name="_Toc224865682"/>
      <w:bookmarkStart w:id="1" w:name="_Toc225473230"/>
      <w:r w:rsidRPr="002B0A64">
        <w:lastRenderedPageBreak/>
        <w:t>List of Abbreviations</w:t>
      </w:r>
      <w:bookmarkEnd w:id="0"/>
      <w:bookmarkEnd w:id="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88"/>
        <w:gridCol w:w="81"/>
      </w:tblGrid>
      <w:tr w:rsidR="006C48F6" w:rsidRPr="006C48F6" w14:paraId="610266BF" w14:textId="77777777">
        <w:trPr>
          <w:tblCellSpacing w:w="15" w:type="dxa"/>
        </w:trPr>
        <w:tc>
          <w:tcPr>
            <w:tcW w:w="0" w:type="auto"/>
            <w:vAlign w:val="center"/>
          </w:tcPr>
          <w:p w14:paraId="1A7F84EB" w14:textId="77777777" w:rsidR="006C48F6" w:rsidRDefault="006C48F6" w:rsidP="006C48F6">
            <w:pPr>
              <w:spacing w:line="278" w:lineRule="auto"/>
              <w:jc w:val="left"/>
            </w:pPr>
            <w:r>
              <w:t>AI</w:t>
            </w:r>
            <w:r>
              <w:tab/>
              <w:t>Artificial Intelligence</w:t>
            </w:r>
          </w:p>
          <w:p w14:paraId="0A307285" w14:textId="7FA5FBD4" w:rsidR="006C48F6" w:rsidRPr="006C48F6" w:rsidRDefault="006C48F6" w:rsidP="006C48F6">
            <w:pPr>
              <w:spacing w:line="278" w:lineRule="auto"/>
              <w:jc w:val="left"/>
              <w:rPr>
                <w:b/>
                <w:bCs/>
              </w:rPr>
            </w:pPr>
            <w:r>
              <w:t>AR</w:t>
            </w:r>
            <w:r>
              <w:tab/>
              <w:t>Augmented Reality</w:t>
            </w:r>
          </w:p>
          <w:p w14:paraId="291AD8DB" w14:textId="77777777" w:rsidR="006C48F6" w:rsidRDefault="006C48F6" w:rsidP="006C48F6">
            <w:pPr>
              <w:spacing w:line="278" w:lineRule="auto"/>
              <w:jc w:val="left"/>
            </w:pPr>
            <w:r>
              <w:t>B2C</w:t>
            </w:r>
            <w:r>
              <w:tab/>
              <w:t>Business-to-Consumer</w:t>
            </w:r>
          </w:p>
          <w:p w14:paraId="05FE06DB" w14:textId="77777777" w:rsidR="006C48F6" w:rsidRDefault="006C48F6" w:rsidP="006C48F6">
            <w:pPr>
              <w:spacing w:line="278" w:lineRule="auto"/>
              <w:jc w:val="left"/>
            </w:pPr>
            <w:r>
              <w:t>GDP</w:t>
            </w:r>
            <w:r>
              <w:tab/>
              <w:t>Gross Domestic Product</w:t>
            </w:r>
          </w:p>
          <w:p w14:paraId="7D59A2FF" w14:textId="77777777" w:rsidR="006C48F6" w:rsidRDefault="006C48F6" w:rsidP="006C48F6">
            <w:pPr>
              <w:spacing w:line="278" w:lineRule="auto"/>
              <w:jc w:val="left"/>
            </w:pPr>
            <w:r>
              <w:t>HBR</w:t>
            </w:r>
            <w:r>
              <w:tab/>
              <w:t>Harvard Business Review</w:t>
            </w:r>
          </w:p>
          <w:p w14:paraId="72CF0D9D" w14:textId="77777777" w:rsidR="006C48F6" w:rsidRDefault="006C48F6" w:rsidP="006C48F6">
            <w:pPr>
              <w:spacing w:line="278" w:lineRule="auto"/>
              <w:jc w:val="left"/>
            </w:pPr>
            <w:r>
              <w:t>HCI</w:t>
            </w:r>
            <w:r>
              <w:tab/>
              <w:t>Human-Computer Interaction</w:t>
            </w:r>
          </w:p>
          <w:p w14:paraId="0C4A3F58" w14:textId="77777777" w:rsidR="006C48F6" w:rsidRDefault="006C48F6" w:rsidP="006C48F6">
            <w:pPr>
              <w:spacing w:line="278" w:lineRule="auto"/>
              <w:jc w:val="left"/>
            </w:pPr>
            <w:r>
              <w:t>IDC</w:t>
            </w:r>
            <w:r>
              <w:tab/>
              <w:t>International Data Corporation</w:t>
            </w:r>
          </w:p>
          <w:p w14:paraId="176CB776" w14:textId="77777777" w:rsidR="006C48F6" w:rsidRDefault="006C48F6" w:rsidP="006C48F6">
            <w:pPr>
              <w:spacing w:line="278" w:lineRule="auto"/>
              <w:jc w:val="left"/>
            </w:pPr>
            <w:r>
              <w:t>IMF</w:t>
            </w:r>
            <w:r>
              <w:tab/>
              <w:t>International Monetary Fund</w:t>
            </w:r>
          </w:p>
          <w:p w14:paraId="40C6EEF4" w14:textId="77777777" w:rsidR="006C48F6" w:rsidRDefault="006C48F6" w:rsidP="006C48F6">
            <w:pPr>
              <w:spacing w:line="278" w:lineRule="auto"/>
              <w:jc w:val="left"/>
            </w:pPr>
            <w:r>
              <w:t>IoT</w:t>
            </w:r>
            <w:r>
              <w:tab/>
              <w:t>Internet of Things</w:t>
            </w:r>
          </w:p>
          <w:p w14:paraId="2AC9CC40" w14:textId="77777777" w:rsidR="006C48F6" w:rsidRDefault="006C48F6" w:rsidP="006C48F6">
            <w:pPr>
              <w:spacing w:line="278" w:lineRule="auto"/>
              <w:jc w:val="left"/>
            </w:pPr>
            <w:r>
              <w:t>iOS</w:t>
            </w:r>
            <w:r>
              <w:tab/>
              <w:t>iPhone Operating System</w:t>
            </w:r>
          </w:p>
          <w:p w14:paraId="1AAD8347" w14:textId="77777777" w:rsidR="006C48F6" w:rsidRDefault="006C48F6" w:rsidP="006C48F6">
            <w:pPr>
              <w:spacing w:line="278" w:lineRule="auto"/>
              <w:jc w:val="left"/>
            </w:pPr>
            <w:r>
              <w:t>MBA</w:t>
            </w:r>
            <w:r>
              <w:tab/>
              <w:t>Master of Business Administration</w:t>
            </w:r>
          </w:p>
          <w:p w14:paraId="0D91EDF9" w14:textId="748D29D4" w:rsidR="006C48F6" w:rsidRDefault="006C48F6" w:rsidP="006C48F6">
            <w:pPr>
              <w:spacing w:line="278" w:lineRule="auto"/>
              <w:jc w:val="left"/>
            </w:pPr>
            <w:r>
              <w:t xml:space="preserve">OECD - </w:t>
            </w:r>
            <w:r w:rsidR="00D62533">
              <w:t>Organisation</w:t>
            </w:r>
            <w:r>
              <w:t xml:space="preserve"> for Economic Co-operation and Development</w:t>
            </w:r>
          </w:p>
          <w:p w14:paraId="32631F42" w14:textId="77777777" w:rsidR="006C48F6" w:rsidRDefault="006C48F6" w:rsidP="006C48F6">
            <w:pPr>
              <w:spacing w:line="278" w:lineRule="auto"/>
              <w:jc w:val="left"/>
            </w:pPr>
            <w:r>
              <w:t>PESTLE</w:t>
            </w:r>
            <w:r>
              <w:tab/>
              <w:t>Political, Economic, Social, Technological, Legal and Environmental</w:t>
            </w:r>
          </w:p>
          <w:p w14:paraId="1FB2EA7D" w14:textId="77777777" w:rsidR="006C48F6" w:rsidRDefault="006C48F6" w:rsidP="006C48F6">
            <w:pPr>
              <w:spacing w:line="278" w:lineRule="auto"/>
              <w:jc w:val="left"/>
            </w:pPr>
            <w:r>
              <w:t>R&amp;D</w:t>
            </w:r>
            <w:r>
              <w:tab/>
              <w:t>Research and Development</w:t>
            </w:r>
          </w:p>
          <w:p w14:paraId="2DDA8A23" w14:textId="77777777" w:rsidR="006C48F6" w:rsidRDefault="006C48F6" w:rsidP="006C48F6">
            <w:pPr>
              <w:spacing w:line="278" w:lineRule="auto"/>
              <w:jc w:val="left"/>
            </w:pPr>
            <w:r>
              <w:t>SMJ</w:t>
            </w:r>
            <w:r>
              <w:tab/>
              <w:t>Strategic Management Journal</w:t>
            </w:r>
          </w:p>
          <w:p w14:paraId="33F23A8E" w14:textId="77777777" w:rsidR="006C48F6" w:rsidRDefault="006C48F6" w:rsidP="006C48F6">
            <w:pPr>
              <w:spacing w:line="278" w:lineRule="auto"/>
              <w:jc w:val="left"/>
            </w:pPr>
            <w:r>
              <w:t>SWOT</w:t>
            </w:r>
            <w:r>
              <w:tab/>
              <w:t>Strengths, Weaknesses, Opportunities and Threats</w:t>
            </w:r>
          </w:p>
          <w:p w14:paraId="6EBD2B41" w14:textId="77777777" w:rsidR="006C48F6" w:rsidRDefault="006C48F6" w:rsidP="006C48F6">
            <w:pPr>
              <w:spacing w:line="278" w:lineRule="auto"/>
              <w:jc w:val="left"/>
            </w:pPr>
            <w:r>
              <w:t>UI</w:t>
            </w:r>
            <w:r>
              <w:tab/>
              <w:t>User Interface</w:t>
            </w:r>
          </w:p>
          <w:p w14:paraId="6A315C5D" w14:textId="77777777" w:rsidR="006C48F6" w:rsidRDefault="006C48F6" w:rsidP="006C48F6">
            <w:pPr>
              <w:spacing w:line="278" w:lineRule="auto"/>
              <w:jc w:val="left"/>
            </w:pPr>
            <w:r>
              <w:t>UX</w:t>
            </w:r>
            <w:r>
              <w:tab/>
              <w:t>User Experience</w:t>
            </w:r>
          </w:p>
          <w:p w14:paraId="02B15074" w14:textId="77777777" w:rsidR="006C48F6" w:rsidRDefault="006C48F6" w:rsidP="006C48F6">
            <w:pPr>
              <w:spacing w:line="278" w:lineRule="auto"/>
              <w:jc w:val="left"/>
            </w:pPr>
            <w:r>
              <w:t>VR</w:t>
            </w:r>
            <w:r>
              <w:tab/>
              <w:t>Virtual Reality</w:t>
            </w:r>
          </w:p>
          <w:p w14:paraId="0EE3D616" w14:textId="18D542C1" w:rsidR="006C48F6" w:rsidRPr="006C48F6" w:rsidRDefault="006C48F6" w:rsidP="006C48F6">
            <w:pPr>
              <w:spacing w:line="278" w:lineRule="auto"/>
              <w:jc w:val="left"/>
            </w:pPr>
          </w:p>
        </w:tc>
        <w:tc>
          <w:tcPr>
            <w:tcW w:w="0" w:type="auto"/>
            <w:vAlign w:val="center"/>
          </w:tcPr>
          <w:p w14:paraId="5598C675" w14:textId="77777777" w:rsidR="006C48F6" w:rsidRPr="006C48F6" w:rsidRDefault="006C48F6" w:rsidP="006C48F6"/>
        </w:tc>
      </w:tr>
    </w:tbl>
    <w:p w14:paraId="7933E767" w14:textId="77777777" w:rsidR="002B0A64" w:rsidRDefault="002B0A64" w:rsidP="002B0A64"/>
    <w:p w14:paraId="0035E369" w14:textId="77777777" w:rsidR="002B0A64" w:rsidRDefault="002B0A64" w:rsidP="002B0A64"/>
    <w:p w14:paraId="7D26CFF1" w14:textId="77777777" w:rsidR="002B0A64" w:rsidRDefault="002B0A64" w:rsidP="002B0A64"/>
    <w:p w14:paraId="1E84515A" w14:textId="77777777" w:rsidR="002B0A64" w:rsidRDefault="002B0A64" w:rsidP="002B0A64"/>
    <w:p w14:paraId="60A69D07" w14:textId="77777777" w:rsidR="00043170" w:rsidRPr="002B0A64" w:rsidRDefault="00043170" w:rsidP="002B0A64"/>
    <w:p w14:paraId="556B0493" w14:textId="30C73D18" w:rsidR="00740351" w:rsidRDefault="00740351" w:rsidP="00740351">
      <w:pPr>
        <w:pStyle w:val="Heading1"/>
      </w:pPr>
      <w:bookmarkStart w:id="2" w:name="_Toc224865683"/>
      <w:bookmarkStart w:id="3" w:name="_Toc225473231"/>
      <w:r w:rsidRPr="00740351">
        <w:lastRenderedPageBreak/>
        <w:t>Executive Summary</w:t>
      </w:r>
      <w:bookmarkEnd w:id="2"/>
      <w:bookmarkEnd w:id="3"/>
    </w:p>
    <w:p w14:paraId="523C53D9" w14:textId="6048CECE" w:rsidR="006C48F6" w:rsidRDefault="003156C2" w:rsidP="002D02E9">
      <w:r w:rsidRPr="003156C2">
        <w:t>This report analyses the impact of technological and economic macro-environmental factors on the competitive positioning of Apple and Samsung in the global smartphone industry. Apple is examined as a pioneer firm, using innovation, ecosystem integration, and premium pricing to sustain differentiation and profitability. Samsung, as a follower, adopts a more flexible strategy based on rapid technological adaptation and a broad product portfolio across multiple market segments. The analysis shows that technological change strengthens Apple’s ecosystem advantage but may reduce flexibility, while Samsung benefits from adaptability but faces weaker strategic differentiation. Economically, Apple’s premium pricing supports strong margins but limits accessibility during downturns, whereas Samsung’s diversified pricing improves resilience but may weaken brand exclusivity. Using Porter’s Generic Strategies and Ansoff’s Growth Matrix, the report concludes that Apple demonstrates stronger long-term strategic coherence, while Samsung’s advantage lies in adaptability.</w:t>
      </w:r>
    </w:p>
    <w:p w14:paraId="165F0C5C" w14:textId="6EED56F7" w:rsidR="002B0A64" w:rsidRDefault="006C48F6" w:rsidP="006C48F6">
      <w:pPr>
        <w:spacing w:line="278" w:lineRule="auto"/>
        <w:jc w:val="left"/>
      </w:pPr>
      <w:r>
        <w:br w:type="page"/>
      </w:r>
    </w:p>
    <w:p w14:paraId="17EAC366" w14:textId="65F89215" w:rsidR="002D02E9" w:rsidRDefault="006C48F6" w:rsidP="002D02E9">
      <w:pPr>
        <w:pStyle w:val="Heading1"/>
      </w:pPr>
      <w:bookmarkStart w:id="4" w:name="_Toc225473232"/>
      <w:r>
        <w:lastRenderedPageBreak/>
        <w:t xml:space="preserve">1. </w:t>
      </w:r>
      <w:r w:rsidR="002D02E9">
        <w:t>Introduction</w:t>
      </w:r>
      <w:bookmarkEnd w:id="4"/>
    </w:p>
    <w:p w14:paraId="197A63B8" w14:textId="77777777" w:rsidR="003156C2" w:rsidRPr="003156C2" w:rsidRDefault="003156C2" w:rsidP="003156C2">
      <w:r w:rsidRPr="003156C2">
        <w:t>The macro marketing environment plays an important role in shaping organisational strategy by influencing how firms identify opportunities, respond to threats, and sustain competitive advantage in dynamic markets. Frameworks such as PESTLE highlight the significance of external forces, particularly in innovation-intensive industries where rapid technological change and economic volatility continuously reshape competition (Kotler and Keller, 2016).</w:t>
      </w:r>
    </w:p>
    <w:p w14:paraId="075048F0" w14:textId="77777777" w:rsidR="003156C2" w:rsidRPr="003156C2" w:rsidRDefault="003156C2" w:rsidP="003156C2">
      <w:r w:rsidRPr="003156C2">
        <w:t>In this context, firms are often categorised as pioneers or followers according to their approach to innovation and market entry. Pioneer firms may gain first-mover advantages through innovation and differentiation, but these advantages are not always sustainable, as followers can use imitation, scale, and adaptability to challenge early market leadership (Lieberman and Montgomery, 1988). This is evident in the smartphone industry, where Apple represents a pioneer through its innovation-led premium ecosystem, while Samsung operates as a fast follower through technological responsiveness and product diversification.</w:t>
      </w:r>
    </w:p>
    <w:p w14:paraId="2E0AD06B" w14:textId="40F6BE41" w:rsidR="003156C2" w:rsidRPr="003156C2" w:rsidRDefault="003156C2" w:rsidP="003156C2">
      <w:r w:rsidRPr="003156C2">
        <w:t xml:space="preserve">This report analyses how technological and economic macro-environmental factors create opportunities and constraints for both firms and shape their competitive positioning. It applies Porter’s Generic Strategies (Porter, 1980) and Ansoff’s Growth Matrix (Ansoff, 1957) </w:t>
      </w:r>
      <w:r w:rsidRPr="003156C2">
        <w:t>applies to</w:t>
      </w:r>
      <w:r w:rsidRPr="003156C2">
        <w:t xml:space="preserve"> </w:t>
      </w:r>
      <w:r w:rsidRPr="003156C2">
        <w:t>evaluating</w:t>
      </w:r>
      <w:r w:rsidRPr="003156C2">
        <w:t xml:space="preserve"> their strategic responses, arguing that long-term competitive advantage depends more on strategic coherence than on reactive flexibility.</w:t>
      </w:r>
    </w:p>
    <w:p w14:paraId="77F8BF45" w14:textId="77777777" w:rsidR="007E6553" w:rsidRDefault="007E6553" w:rsidP="002D02E9"/>
    <w:p w14:paraId="6F70B7E4" w14:textId="2E6D104B" w:rsidR="002D02E9" w:rsidRDefault="006C48F6" w:rsidP="002D02E9">
      <w:pPr>
        <w:pStyle w:val="Heading1"/>
      </w:pPr>
      <w:bookmarkStart w:id="5" w:name="_Toc225473233"/>
      <w:r>
        <w:t xml:space="preserve">2. </w:t>
      </w:r>
      <w:r w:rsidR="002D02E9" w:rsidRPr="002D02E9">
        <w:t>Company Overview</w:t>
      </w:r>
      <w:bookmarkEnd w:id="5"/>
    </w:p>
    <w:p w14:paraId="7B1D585F" w14:textId="77777777" w:rsidR="003156C2" w:rsidRPr="003156C2" w:rsidRDefault="003156C2" w:rsidP="003156C2">
      <w:r w:rsidRPr="003156C2">
        <w:t>The global smartphone industry is defined by rapid innovation, intense competition, and changing consumer expectations, making competitive advantage difficult to sustain. Within this market, Apple Inc. and Samsung Electronics are leading competitors, but their strategies reflect different approaches to value creation and market positioning as pioneer and follower firms.</w:t>
      </w:r>
    </w:p>
    <w:p w14:paraId="2FD41DA3" w14:textId="2365465C" w:rsidR="003156C2" w:rsidRPr="003156C2" w:rsidRDefault="003156C2" w:rsidP="003156C2">
      <w:r w:rsidRPr="003156C2">
        <w:lastRenderedPageBreak/>
        <w:t xml:space="preserve">Apple’s strategy is </w:t>
      </w:r>
      <w:r w:rsidRPr="003156C2">
        <w:t>centered</w:t>
      </w:r>
      <w:r w:rsidRPr="003156C2">
        <w:t xml:space="preserve"> on innovation, design excellence, and ecosystem integration, enabling a highly differentiated user experience. Its closed operating system and vertical integration of hardware and software strengthen brand loyalty and support premium pricing and high profit margins (Porter, 1980; Johnson et al., 2020). However, this model may reduce flexibility and limit accessibility in price-sensitive markets.</w:t>
      </w:r>
    </w:p>
    <w:p w14:paraId="7781CA0E" w14:textId="77777777" w:rsidR="003156C2" w:rsidRPr="003156C2" w:rsidRDefault="003156C2" w:rsidP="003156C2">
      <w:r w:rsidRPr="003156C2">
        <w:t>In contrast, Samsung adopts a broader and more adaptive strategy, offering products across multiple price segments. As a fast follower, it rapidly incorporates technological developments into its portfolio, allowing greater responsiveness to consumer preferences and external change (Grant, 2019). While this supports market coverage and resilience, it may weaken brand differentiation and strategic consistency.</w:t>
      </w:r>
    </w:p>
    <w:p w14:paraId="1EFC12A7" w14:textId="20281A17" w:rsidR="002B0A64" w:rsidRDefault="003156C2" w:rsidP="001D4008">
      <w:r w:rsidRPr="003156C2">
        <w:t>Overall, the contrast highlights a trade-off between coherence and adaptability, which underpins the later analysis of how both firms respond to macro-environmental forces.</w:t>
      </w:r>
    </w:p>
    <w:p w14:paraId="79E210A2" w14:textId="77777777" w:rsidR="00EE7520" w:rsidRDefault="00EE7520" w:rsidP="001D4008"/>
    <w:p w14:paraId="2A289592" w14:textId="7555A27E" w:rsidR="002D02E9" w:rsidRPr="002D02E9" w:rsidRDefault="002D02E9" w:rsidP="007E6553">
      <w:pPr>
        <w:pStyle w:val="Heading1"/>
      </w:pPr>
      <w:bookmarkStart w:id="6" w:name="_Toc225473234"/>
      <w:r w:rsidRPr="002D02E9">
        <w:t>3. Macro Environment Analysis (T</w:t>
      </w:r>
      <w:r w:rsidR="00EE7520">
        <w:t>ask</w:t>
      </w:r>
      <w:r w:rsidRPr="002D02E9">
        <w:t xml:space="preserve"> 1)</w:t>
      </w:r>
      <w:bookmarkEnd w:id="6"/>
    </w:p>
    <w:p w14:paraId="244CD02C" w14:textId="70A511A8" w:rsidR="002D02E9" w:rsidRDefault="002D02E9" w:rsidP="002D02E9">
      <w:pPr>
        <w:pStyle w:val="Heading2"/>
      </w:pPr>
      <w:bookmarkStart w:id="7" w:name="_Toc225473235"/>
      <w:r w:rsidRPr="002D02E9">
        <w:t>3.1 Technological Factors</w:t>
      </w:r>
      <w:bookmarkEnd w:id="7"/>
    </w:p>
    <w:p w14:paraId="17569F5F" w14:textId="77777777" w:rsidR="003156C2" w:rsidRPr="003156C2" w:rsidRDefault="003156C2" w:rsidP="003156C2">
      <w:r w:rsidRPr="003156C2">
        <w:t>Technological factors are a critical part of the macro-environment, particularly in the smartphone industry where rapid innovation, ecosystem development, and product differentiation are central to competitive advantage. Advances in mobile operating systems, artificial intelligence, and hardware integration have intensified competition and increased the speed at which firms must adapt, creating both opportunities and risks (Kotler and Keller, 2016; Teece et al., 1997; Christensen, 1997). However, firms benefit differently depending on their strategic orientation.</w:t>
      </w:r>
    </w:p>
    <w:p w14:paraId="712CC950" w14:textId="77777777" w:rsidR="003156C2" w:rsidRPr="003156C2" w:rsidRDefault="003156C2" w:rsidP="003156C2">
      <w:r w:rsidRPr="003156C2">
        <w:t xml:space="preserve">For Apple Inc., technological change has supported its pioneer position by reinforcing a tightly integrated hardware and software strategy. Through its iOS ecosystem, Apple controls innovation processes and coordinates proprietary technologies such as custom silicon and integrated services. This strengthens differentiation, customer lock-in, and premium pricing (Porter, 1980; West and Mace, 2010). Apple’s ability to capture a disproportionate share of industry profits despite a smaller market share demonstrates </w:t>
      </w:r>
      <w:r w:rsidRPr="003156C2">
        <w:lastRenderedPageBreak/>
        <w:t>the effectiveness of this approach (Statista, 2024). However, the closed nature of its ecosystem may reduce responsiveness to external technological change and limit interoperability, raising questions about the long-term sustainability of a highly controlled innovation model.</w:t>
      </w:r>
    </w:p>
    <w:p w14:paraId="5E33FF0B" w14:textId="77777777" w:rsidR="003156C2" w:rsidRPr="003156C2" w:rsidRDefault="003156C2" w:rsidP="003156C2">
      <w:r w:rsidRPr="003156C2">
        <w:t>In contrast, Samsung Electronics follows a fast-follower strategy, rapidly integrating new features across a broad product portfolio. By using Android, Samsung benefits from greater openness and flexibility, enabling quicker adoption of innovations such as foldable displays and advanced camera technologies (Grant, 2019; Yoffie and Kim, 2013). This strengthens responsiveness to shifting consumer preferences and macro-environmental change, contributing to its strong market share (Statista, 2024). However, reliance on external platforms and imitation-based innovation may weaken long-term differentiation and increase exposure to commoditisation and margin pressure.</w:t>
      </w:r>
    </w:p>
    <w:p w14:paraId="0BCC21F1" w14:textId="514338D1" w:rsidR="003156C2" w:rsidRPr="003156C2" w:rsidRDefault="003156C2" w:rsidP="003156C2">
      <w:r>
        <w:t>Overall</w:t>
      </w:r>
      <w:r w:rsidRPr="003156C2">
        <w:t>, technological change amplifies each firm’s strategic logic. Apple’s controlled model reinforces differentiation but may reduce adaptability, whereas Samsung’s flexibility improves responsiveness but risks weaker strategic distinction. This suggests that sustained competitive advantage depends not only on adapting to technological change, but on maintaining a coherent strategic position.</w:t>
      </w:r>
    </w:p>
    <w:p w14:paraId="1F2014B0" w14:textId="6A74A123" w:rsidR="00EE7520" w:rsidRPr="00EE7520" w:rsidRDefault="00EE7520" w:rsidP="00EE7520"/>
    <w:p w14:paraId="31DAFD7B" w14:textId="4D2B852B" w:rsidR="002D02E9" w:rsidRPr="002D02E9" w:rsidRDefault="002D02E9" w:rsidP="002D02E9">
      <w:pPr>
        <w:pStyle w:val="Heading2"/>
      </w:pPr>
      <w:bookmarkStart w:id="8" w:name="_Toc225473236"/>
      <w:r w:rsidRPr="002D02E9">
        <w:t>3.2 Economic Factors</w:t>
      </w:r>
      <w:bookmarkEnd w:id="8"/>
    </w:p>
    <w:p w14:paraId="0A436200" w14:textId="77777777" w:rsidR="00176636" w:rsidRPr="00176636" w:rsidRDefault="00176636" w:rsidP="00176636">
      <w:r w:rsidRPr="00176636">
        <w:t>Economic factors exert a significant influence on consumer behaviour, pricing strategies, and overall demand within the global smartphone industry, where fluctuations in inflation, exchange rates, and disposable income directly shape purchasing decisions. In an industry characterised by both premium and price-sensitive segments, macroeconomic conditions do not affect firms uniformly; rather, their impact is mediated by each firm’s strategic positioning and target market focus (Kotler and Keller, 2016; IMF, 2023; World Bank, 2023).</w:t>
      </w:r>
    </w:p>
    <w:p w14:paraId="56135B7C" w14:textId="77777777" w:rsidR="00176636" w:rsidRPr="00176636" w:rsidRDefault="00176636" w:rsidP="00176636">
      <w:r w:rsidRPr="00176636">
        <w:t xml:space="preserve">For Apple Inc., economic conditions present a complex interplay of resilience and vulnerability due to its premium pricing strategy. By targeting higher-income consumer segments, Apple </w:t>
      </w:r>
      <w:proofErr w:type="gramStart"/>
      <w:r w:rsidRPr="00176636">
        <w:t>is able to</w:t>
      </w:r>
      <w:proofErr w:type="gramEnd"/>
      <w:r w:rsidRPr="00176636">
        <w:t xml:space="preserve"> maintain strong margins and reinforce brand exclusivity, </w:t>
      </w:r>
      <w:r w:rsidRPr="00176636">
        <w:lastRenderedPageBreak/>
        <w:t>making it relatively insulated from moderate economic fluctuations. Its high levels of brand equity and customer loyalty further stabilise demand, even during periods of economic uncertainty (Kapferer, 2012; Keller, 2013). Apple’s substantial revenues, exceeding $380 billion in 2024, reflect the strength of this model (Apple Inc., 2024). However, this apparent resilience masks underlying structural constraints. During periods of economic downturn or reduced consumer confidence, particularly in emerging markets, Apple’s premium pricing limits accessibility and constrains market expansion. Moreover, increasing global economic inequality may further narrow its effective target market, raising questions about the long-term scalability of a highly premium-focused strategy.</w:t>
      </w:r>
    </w:p>
    <w:p w14:paraId="3FA99ACF" w14:textId="753A0B89" w:rsidR="00176636" w:rsidRPr="00176636" w:rsidRDefault="00176636" w:rsidP="00176636">
      <w:r w:rsidRPr="00176636">
        <w:t>In contrast, Samsung Electronics adopts a diversified pricing strategy, operating across a wide range of market segments from budget to premium devices. This multi-tiered approach enables Samsung to respond more flexibly to economic fluctuations, capturing demand from both high-income and cost-conscious consumers. During periods of economic instability, the firm can strategically shift emphasis towards mid-range and budget offerings, thereby maintaining sales volume and market share (Grant, 2019; Deloitte, 2023). This adaptability underpins Samsung’s continued dominance in global smartphone shipments (IDC, 2024). However, such flexibility introduces its own strategic limitations. Competing across multiple price tiers may compress profit margins and weaken brand differentiation, as the firm risks being perceived as lacking a clear value proposition. Furthermore, sustained reliance on volume-based competition may expose Samsung to intensified price competition and commoditisation pressures in lower-end segments.</w:t>
      </w:r>
    </w:p>
    <w:p w14:paraId="2F0E074A" w14:textId="02FB56E7" w:rsidR="002C2E9C" w:rsidRPr="002C2E9C" w:rsidRDefault="008442A7" w:rsidP="002C2E9C">
      <w:r w:rsidRPr="002C2E9C">
        <w:rPr>
          <w:noProof/>
        </w:rPr>
        <w:lastRenderedPageBreak/>
        <w:drawing>
          <wp:anchor distT="0" distB="0" distL="114300" distR="114300" simplePos="0" relativeHeight="251662336" behindDoc="0" locked="0" layoutInCell="1" allowOverlap="1" wp14:anchorId="3AE761C6" wp14:editId="32C35E9C">
            <wp:simplePos x="0" y="0"/>
            <wp:positionH relativeFrom="margin">
              <wp:posOffset>1872076</wp:posOffset>
            </wp:positionH>
            <wp:positionV relativeFrom="paragraph">
              <wp:posOffset>561400</wp:posOffset>
            </wp:positionV>
            <wp:extent cx="4036060" cy="3027045"/>
            <wp:effectExtent l="190500" t="190500" r="193040" b="192405"/>
            <wp:wrapSquare wrapText="bothSides"/>
            <wp:docPr id="705722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72226" name="Picture 70572226"/>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36060" cy="302704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Pr="002C2E9C">
        <w:rPr>
          <w:noProof/>
        </w:rPr>
        <mc:AlternateContent>
          <mc:Choice Requires="wps">
            <w:drawing>
              <wp:anchor distT="0" distB="0" distL="114300" distR="114300" simplePos="0" relativeHeight="251664384" behindDoc="0" locked="0" layoutInCell="1" allowOverlap="1" wp14:anchorId="61EEF0A7" wp14:editId="1A847159">
                <wp:simplePos x="0" y="0"/>
                <wp:positionH relativeFrom="column">
                  <wp:posOffset>1699260</wp:posOffset>
                </wp:positionH>
                <wp:positionV relativeFrom="paragraph">
                  <wp:posOffset>3898900</wp:posOffset>
                </wp:positionV>
                <wp:extent cx="4321175" cy="387985"/>
                <wp:effectExtent l="0" t="0" r="3175" b="0"/>
                <wp:wrapSquare wrapText="bothSides"/>
                <wp:docPr id="83312724" name="Text Box 1"/>
                <wp:cNvGraphicFramePr/>
                <a:graphic xmlns:a="http://schemas.openxmlformats.org/drawingml/2006/main">
                  <a:graphicData uri="http://schemas.microsoft.com/office/word/2010/wordprocessingShape">
                    <wps:wsp>
                      <wps:cNvSpPr txBox="1"/>
                      <wps:spPr>
                        <a:xfrm>
                          <a:off x="0" y="0"/>
                          <a:ext cx="4321175" cy="387985"/>
                        </a:xfrm>
                        <a:prstGeom prst="rect">
                          <a:avLst/>
                        </a:prstGeom>
                        <a:solidFill>
                          <a:prstClr val="white"/>
                        </a:solidFill>
                        <a:ln>
                          <a:noFill/>
                        </a:ln>
                      </wps:spPr>
                      <wps:txbx>
                        <w:txbxContent>
                          <w:p w14:paraId="1DBA4D5F" w14:textId="79EC3F77" w:rsidR="002C2E9C" w:rsidRPr="00FE36BD" w:rsidRDefault="002C2E9C" w:rsidP="002C2E9C">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 xml:space="preserve"> (</w:t>
                            </w:r>
                            <w:r w:rsidR="008442A7" w:rsidRPr="008442A7">
                              <w:t>Author’s own work, adapted from Kotler and Keller (2016), Grant (2019), IMF (2023), World Bank (2023), Apple Inc. (2024), IDC (2024), and Statista (2024).</w:t>
                            </w:r>
                            <w:r>
                              <w:t>)</w:t>
                            </w:r>
                          </w:p>
                          <w:p w14:paraId="146CA056" w14:textId="77777777" w:rsidR="002C2E9C" w:rsidRDefault="002C2E9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EEF0A7" id="_x0000_t202" coordsize="21600,21600" o:spt="202" path="m,l,21600r21600,l21600,xe">
                <v:stroke joinstyle="miter"/>
                <v:path gradientshapeok="t" o:connecttype="rect"/>
              </v:shapetype>
              <v:shape id="Text Box 1" o:spid="_x0000_s1026" type="#_x0000_t202" style="position:absolute;left:0;text-align:left;margin-left:133.8pt;margin-top:307pt;width:340.25pt;height:30.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" stroked="f">
                <v:textbox inset="0,0,0,0">
                  <w:txbxContent>
                    <w:p w14:paraId="1DBA4D5F" w14:textId="79EC3F77" w:rsidR="002C2E9C" w:rsidRPr="00FE36BD" w:rsidRDefault="002C2E9C" w:rsidP="002C2E9C">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 xml:space="preserve"> (</w:t>
                      </w:r>
                      <w:r w:rsidR="008442A7" w:rsidRPr="008442A7">
                        <w:t>Author’s own work, adapted from Kotler and Keller (2016), Grant (2019), IMF (2023), World Bank (2023), Apple Inc. (2024), IDC (2024), and Statista (2024).</w:t>
                      </w:r>
                      <w:r>
                        <w:t>)</w:t>
                      </w:r>
                    </w:p>
                    <w:p w14:paraId="146CA056" w14:textId="77777777" w:rsidR="002C2E9C" w:rsidRDefault="002C2E9C"/>
                  </w:txbxContent>
                </v:textbox>
                <w10:wrap type="square"/>
              </v:shape>
            </w:pict>
          </mc:Fallback>
        </mc:AlternateContent>
      </w:r>
      <w:r w:rsidR="002C2E9C" w:rsidRPr="002C2E9C">
        <w:t>As illustrated in Figure 1, economic factors expose a fundamental divergence in strategic resilience between the two firms, highlighting a trade-off between profitability and market accessibility. Apple’s premium positioning maximises margins and brand strength but increases exposure to demand contraction in economically sensitive markets. Conversely, Samsung’s diversified approach enhances resilience and market coverage but may undermine margin stability and strategic coherence. This suggests that economic volatility does not simply create external constraints but actively tests the internal consistency of each firm’s strategy. Consequently, the ability to balance profitability with accessibility while maintaining a clear strategic identity emerges as a critical determinant of sustainable competitive advantage in an increasingly uncertain global economic environment.</w:t>
      </w:r>
    </w:p>
    <w:p w14:paraId="68A4CD37" w14:textId="483A6099" w:rsidR="00176636" w:rsidRPr="00176636" w:rsidRDefault="00176636" w:rsidP="00176636"/>
    <w:p w14:paraId="0A5CB8BE" w14:textId="77777777" w:rsidR="00C32B32" w:rsidRPr="002D02E9" w:rsidRDefault="00C32B32" w:rsidP="002D02E9"/>
    <w:p w14:paraId="3C9FE1DA" w14:textId="585DE175" w:rsidR="002D02E9" w:rsidRPr="002D02E9" w:rsidRDefault="002D02E9" w:rsidP="002D02E9">
      <w:pPr>
        <w:pStyle w:val="Heading1"/>
      </w:pPr>
      <w:bookmarkStart w:id="9" w:name="_Toc225473237"/>
      <w:r w:rsidRPr="002D02E9">
        <w:lastRenderedPageBreak/>
        <w:t>4. Strategic Response (</w:t>
      </w:r>
      <w:r w:rsidR="00EE7520">
        <w:t xml:space="preserve">Task </w:t>
      </w:r>
      <w:r w:rsidRPr="002D02E9">
        <w:t>2)</w:t>
      </w:r>
      <w:bookmarkEnd w:id="9"/>
    </w:p>
    <w:p w14:paraId="064F8B39" w14:textId="7BC84268" w:rsidR="002D02E9" w:rsidRDefault="002D02E9" w:rsidP="002D02E9">
      <w:pPr>
        <w:pStyle w:val="Heading2"/>
      </w:pPr>
      <w:bookmarkStart w:id="10" w:name="_Toc225473238"/>
      <w:r w:rsidRPr="002D02E9">
        <w:t>4.1 Porter’s Generic Strategies</w:t>
      </w:r>
      <w:bookmarkEnd w:id="10"/>
    </w:p>
    <w:p w14:paraId="796A19E6" w14:textId="6BD516AC" w:rsidR="00176636" w:rsidRPr="00176636" w:rsidRDefault="00176636" w:rsidP="00176636">
      <w:r w:rsidRPr="00176636">
        <w:t>Porter’s Generic Strategies framework provides a foundational lens for analysing how firms achieve competitive advantage through cost leadership, differentiation, or focus (Porter, 1980). However, while the model offers a clear categorisation of strategic positioning, its relevance in contemporary, innovation-driven industries has been increasingly questioned, particularly where firms combine multiple strategic approaches to respond to dynamic market conditions. Within the global smartphone industry, Apple Inc. and Samsung Electronics exemplify contrasting yet evolving strategic positions that challenge the rigid boundaries of Porter’s framework.</w:t>
      </w:r>
    </w:p>
    <w:p w14:paraId="76708530" w14:textId="24D0D447" w:rsidR="00176636" w:rsidRPr="00176636" w:rsidRDefault="00176636" w:rsidP="00176636">
      <w:r w:rsidRPr="00176636">
        <w:t>Apple’s strategy aligns closely with differentiation, emphasising innovation, design excellence, and ecosystem integration to create unique and highly controlled value for consumers. Through its vertically integrated hardware and software ecosystem, Apple delivers consistent and premium user experience, enabling the firm to command higher prices and sustain strong brand loyalty. Its continued investment in proprietary technologies, such as custom silicon and integrated services, reinforces barriers to imitation and strengthens its competitive advantage (Porter, 1985; Prahalad and Hamel, 1990). Apple’s ability to capture a disproportionate share of industry profits despite lower unit sales reflects the effectiveness of this approach (Statista, 2024). However, this strategy is not without limitations. The reliance on continuous innovation and premium positioning increases vulnerability to market saturation and economic constraints, particularly in price-sensitive segments. Moreover, in rapidly evolving technological environments, differentiation alone may be insufficient if competing firms can replicate key features at a faster pace.</w:t>
      </w:r>
    </w:p>
    <w:p w14:paraId="55B26D5C" w14:textId="0B10911F" w:rsidR="00176636" w:rsidRPr="00176636" w:rsidRDefault="00176636" w:rsidP="00176636">
      <w:r w:rsidRPr="00176636">
        <w:t xml:space="preserve">In contrast, Samsung adopts a hybrid strategic approach, combining elements of differentiation with aspects of cost leadership. The firm operates across a wide range of price tiers, leveraging economies of scale and supply chain efficiencies to maintain competitive pricing, while simultaneously differentiating through technological innovation such as advanced displays and hardware capabilities (Grant, 2019; Kim and Mauborgne, </w:t>
      </w:r>
      <w:r w:rsidRPr="00176636">
        <w:lastRenderedPageBreak/>
        <w:t>2005). This enables Samsung to capture a broader customer base and respond effectively to diverse market conditions. However, Porter (1980) cautions that firms pursuing multiple strategies risk becoming “stuck in the middle,” potentially weakening their competitive positioning. While Samsung’s performance suggests that hybrid strategies can be effective in practice, this also highlights a key limitation of Porter’s model, which may oversimplify strategic realities in complex, fast-moving industries. Nonetheless, Samsung’s broad positioning may still lead to challenges in maintaining a clearly differentiated brand identity and consistent profit margins.</w:t>
      </w:r>
      <w:r w:rsidR="008442A7" w:rsidRPr="008442A7">
        <w:rPr>
          <w:noProof/>
        </w:rPr>
        <w:t xml:space="preserve"> </w:t>
      </w:r>
    </w:p>
    <w:p w14:paraId="691BD0A9" w14:textId="65ACB4EE" w:rsidR="00EE7520" w:rsidRPr="00EE7520" w:rsidRDefault="008442A7" w:rsidP="00EE7520">
      <w:r>
        <w:rPr>
          <w:noProof/>
        </w:rPr>
        <mc:AlternateContent>
          <mc:Choice Requires="wps">
            <w:drawing>
              <wp:anchor distT="0" distB="0" distL="114300" distR="114300" simplePos="0" relativeHeight="251673600" behindDoc="0" locked="0" layoutInCell="1" allowOverlap="1" wp14:anchorId="3F1ACE44" wp14:editId="3F4C3A55">
                <wp:simplePos x="0" y="0"/>
                <wp:positionH relativeFrom="margin">
                  <wp:posOffset>1509395</wp:posOffset>
                </wp:positionH>
                <wp:positionV relativeFrom="paragraph">
                  <wp:posOffset>4204335</wp:posOffset>
                </wp:positionV>
                <wp:extent cx="4335780" cy="301625"/>
                <wp:effectExtent l="0" t="0" r="7620" b="3175"/>
                <wp:wrapSquare wrapText="bothSides"/>
                <wp:docPr id="876329552" name="Text Box 1"/>
                <wp:cNvGraphicFramePr/>
                <a:graphic xmlns:a="http://schemas.openxmlformats.org/drawingml/2006/main">
                  <a:graphicData uri="http://schemas.microsoft.com/office/word/2010/wordprocessingShape">
                    <wps:wsp>
                      <wps:cNvSpPr txBox="1"/>
                      <wps:spPr>
                        <a:xfrm>
                          <a:off x="0" y="0"/>
                          <a:ext cx="4335780" cy="301625"/>
                        </a:xfrm>
                        <a:prstGeom prst="rect">
                          <a:avLst/>
                        </a:prstGeom>
                        <a:solidFill>
                          <a:prstClr val="white"/>
                        </a:solidFill>
                        <a:ln>
                          <a:noFill/>
                        </a:ln>
                      </wps:spPr>
                      <wps:txbx>
                        <w:txbxContent>
                          <w:p w14:paraId="147FC992" w14:textId="712ABE57" w:rsidR="008442A7" w:rsidRPr="008442A7" w:rsidRDefault="008442A7" w:rsidP="008442A7">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8442A7">
                              <w:t>Author’s own work, adapted from Porter (1980; 1985), Grant (2019), Kim and Mauborgne (2005), and Statista (2024).</w:t>
                            </w:r>
                          </w:p>
                          <w:p w14:paraId="462E8B9C" w14:textId="056491E0" w:rsidR="008442A7" w:rsidRPr="006F42A5" w:rsidRDefault="008442A7" w:rsidP="008442A7">
                            <w:pPr>
                              <w:pStyle w:val="Caption"/>
                              <w:jc w:val="center"/>
                            </w:pP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1ACE44" id="_x0000_s1027" type="#_x0000_t202" style="position:absolute;left:0;text-align:left;margin-left:118.85pt;margin-top:331.05pt;width:341.4pt;height:23.75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" stroked="f">
                <v:textbox inset="0,0,0,0">
                  <w:txbxContent>
                    <w:p w14:paraId="147FC992" w14:textId="712ABE57" w:rsidR="008442A7" w:rsidRPr="008442A7" w:rsidRDefault="008442A7" w:rsidP="008442A7">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8442A7">
                        <w:t>Author’s own work, adapted from Porter (1980; 1985), Grant (2019), Kim and Mauborgne (2005), and Statista (2024).</w:t>
                      </w:r>
                    </w:p>
                    <w:p w14:paraId="462E8B9C" w14:textId="056491E0" w:rsidR="008442A7" w:rsidRPr="006F42A5" w:rsidRDefault="008442A7" w:rsidP="008442A7">
                      <w:pPr>
                        <w:pStyle w:val="Caption"/>
                        <w:jc w:val="center"/>
                      </w:pPr>
                      <w:r>
                        <w:t>)</w:t>
                      </w:r>
                    </w:p>
                  </w:txbxContent>
                </v:textbox>
                <w10:wrap type="square" anchorx="margin"/>
              </v:shape>
            </w:pict>
          </mc:Fallback>
        </mc:AlternateContent>
      </w:r>
      <w:r>
        <w:rPr>
          <w:noProof/>
        </w:rPr>
        <w:drawing>
          <wp:anchor distT="0" distB="0" distL="114300" distR="114300" simplePos="0" relativeHeight="251672576" behindDoc="0" locked="0" layoutInCell="1" allowOverlap="1" wp14:anchorId="06F26707" wp14:editId="2E46ED0B">
            <wp:simplePos x="0" y="0"/>
            <wp:positionH relativeFrom="margin">
              <wp:align>right</wp:align>
            </wp:positionH>
            <wp:positionV relativeFrom="paragraph">
              <wp:posOffset>1013292</wp:posOffset>
            </wp:positionV>
            <wp:extent cx="4058920" cy="3044190"/>
            <wp:effectExtent l="190500" t="190500" r="189230" b="194310"/>
            <wp:wrapSquare wrapText="bothSides"/>
            <wp:docPr id="2123145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4556" name="Picture 21231455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58920" cy="304419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Pr="008442A7">
        <w:t>As illustrated in Figure 2, the comparison reveals that competitive advantage in the smartphone industry cannot be fully explained through the strict application of Porter’s Generic Strategies. Apple’s focused differentiation strategy demonstrates the strength of strategic coherence in sustaining brand equity and profitability, whereas Samsung’s hybrid approach illustrates the growing importance of strategic flexibility in responding to market complexity. This suggests that, rather than being mutually exclusive, differentiation and cost efficiency may need to be integrated into practice. Consequently, while Porter’s framework remains analytically useful, its explanatory power is limited in dynamic, technology-driven markets where firms increasingly adopt hybrid and adaptive strategies to sustain competitive advantage.</w:t>
      </w:r>
    </w:p>
    <w:p w14:paraId="349CC8DF" w14:textId="27142AFF" w:rsidR="002D02E9" w:rsidRPr="002D02E9" w:rsidRDefault="002D02E9" w:rsidP="002D02E9">
      <w:pPr>
        <w:pStyle w:val="Heading2"/>
      </w:pPr>
      <w:bookmarkStart w:id="11" w:name="_Toc225473239"/>
      <w:r w:rsidRPr="002D02E9">
        <w:lastRenderedPageBreak/>
        <w:t>4.2 Ansoff Matrix</w:t>
      </w:r>
      <w:bookmarkEnd w:id="11"/>
    </w:p>
    <w:p w14:paraId="15102B24" w14:textId="022855A7" w:rsidR="00176636" w:rsidRPr="00176636" w:rsidRDefault="00176636" w:rsidP="00176636">
      <w:r w:rsidRPr="00176636">
        <w:t>The Ansoff Matrix provides a widely used framework for analysing organisational growth strategies through market penetration, product development, market development, and diversification (Ansoff, 1957). While the model offers a structured approach to categorising growth options, it has been criticised for its linear and simplified representation of strategic decision-making, particularly in fast-moving, technology-driven industries where growth strategies often overlap and evolve simultaneously. Within the global smartphone industry, Apple Inc. and Samsung Electronics demonstrate contrasting growth trajectories that both utilise and extend beyond the boundaries of Ansoff’s framework.</w:t>
      </w:r>
    </w:p>
    <w:p w14:paraId="2853B502" w14:textId="5F816B7E" w:rsidR="00176636" w:rsidRPr="00176636" w:rsidRDefault="00176636" w:rsidP="00176636">
      <w:r w:rsidRPr="00176636">
        <w:t xml:space="preserve">Apple’s growth strategy is primarily centered on product development, focusing on continuous innovation within its existing markets. The firm regularly introduces new iterations of its flagship products, such as the iPhone, alongside incremental enhancements in software and services that strengthen its ecosystem. This approach enables Apple to maximise customer lifetime value by deepening engagement within its existing user base, thereby reinforcing brand loyalty and sustaining differentiation (Keller, 2013; Kapferer, 2012). In addition, Apple engages selectively in market development by expanding into emerging markets and scaling its services ecosystem, including platforms such as Apple Pay and iCloud. However, this growth strategy remains highly concentrated within Apple’s closed ecosystem, which may constrain its ability to penetrate price-sensitive markets and limit scalability. Furthermore, an over-reliance on incremental product development raises the risk of </w:t>
      </w:r>
      <w:r w:rsidR="008442A7" w:rsidRPr="00176636">
        <w:t>innovative</w:t>
      </w:r>
      <w:r w:rsidRPr="00176636">
        <w:t xml:space="preserve"> fatigue, particularly in a mature market where technological differentiation is becoming increasingly incremental rather than transformative.</w:t>
      </w:r>
    </w:p>
    <w:p w14:paraId="2E53D8A8" w14:textId="2F10082C" w:rsidR="00176636" w:rsidRPr="00176636" w:rsidRDefault="00176636" w:rsidP="00176636">
      <w:r w:rsidRPr="00176636">
        <w:t xml:space="preserve">In contrast, Samsung demonstrates a more expansive and integrated application of growth strategies, combining market penetration, product development, and diversification. The firm introduces a wide range of smartphone models targeting diverse price segments, enabling it to increase market share through aggressive penetration strategies. Simultaneously, Samsung invests heavily in product development, incorporating emerging technologies such as foldable devices, advanced display </w:t>
      </w:r>
      <w:r w:rsidRPr="00176636">
        <w:lastRenderedPageBreak/>
        <w:t>systems, and AI-driven features (Grant, 2019; Cusumano, 2010). Beyond the smartphone market, Samsung’s diversification into semiconductors and consumer electronics enhances its overall resilience and reduces dependence on a single product category. However, this multi-dimensional growth strategy also introduces complexity, as managing diverse product lines and markets may dilute strategic focus and create operational inefficiencies.</w:t>
      </w:r>
      <w:r w:rsidR="008442A7" w:rsidRPr="008442A7">
        <w:rPr>
          <w:noProof/>
        </w:rPr>
        <w:t xml:space="preserve"> </w:t>
      </w:r>
    </w:p>
    <w:p w14:paraId="61AB7115" w14:textId="1777C21D" w:rsidR="00176636" w:rsidRPr="00176636" w:rsidRDefault="008442A7" w:rsidP="00176636">
      <w:r>
        <w:rPr>
          <w:noProof/>
        </w:rPr>
        <mc:AlternateContent>
          <mc:Choice Requires="wps">
            <w:drawing>
              <wp:anchor distT="0" distB="0" distL="114300" distR="114300" simplePos="0" relativeHeight="251676672" behindDoc="0" locked="0" layoutInCell="1" allowOverlap="1" wp14:anchorId="0754173D" wp14:editId="0ADD602E">
                <wp:simplePos x="0" y="0"/>
                <wp:positionH relativeFrom="margin">
                  <wp:posOffset>2656840</wp:posOffset>
                </wp:positionH>
                <wp:positionV relativeFrom="paragraph">
                  <wp:posOffset>5118100</wp:posOffset>
                </wp:positionV>
                <wp:extent cx="2707005" cy="525780"/>
                <wp:effectExtent l="0" t="0" r="0" b="7620"/>
                <wp:wrapSquare wrapText="bothSides"/>
                <wp:docPr id="902209035" name="Text Box 1"/>
                <wp:cNvGraphicFramePr/>
                <a:graphic xmlns:a="http://schemas.openxmlformats.org/drawingml/2006/main">
                  <a:graphicData uri="http://schemas.microsoft.com/office/word/2010/wordprocessingShape">
                    <wps:wsp>
                      <wps:cNvSpPr txBox="1"/>
                      <wps:spPr>
                        <a:xfrm>
                          <a:off x="0" y="0"/>
                          <a:ext cx="2707005" cy="525780"/>
                        </a:xfrm>
                        <a:prstGeom prst="rect">
                          <a:avLst/>
                        </a:prstGeom>
                        <a:solidFill>
                          <a:prstClr val="white"/>
                        </a:solidFill>
                        <a:ln>
                          <a:noFill/>
                        </a:ln>
                      </wps:spPr>
                      <wps:txbx>
                        <w:txbxContent>
                          <w:p w14:paraId="4132776E" w14:textId="44D6F707" w:rsidR="008442A7" w:rsidRPr="0065693F" w:rsidRDefault="008442A7" w:rsidP="008442A7">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8442A7">
                              <w:t>Author’s own work, adapted from Ansoff (1957), Grant (2019), Cusumano (2010), Apple Inc. (2024), and Samsung Electronics (2024).</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4173D" id="_x0000_s1028" type="#_x0000_t202" style="position:absolute;left:0;text-align:left;margin-left:209.2pt;margin-top:403pt;width:213.15pt;height:41.4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" stroked="f">
                <v:textbox inset="0,0,0,0">
                  <w:txbxContent>
                    <w:p w14:paraId="4132776E" w14:textId="44D6F707" w:rsidR="008442A7" w:rsidRPr="0065693F" w:rsidRDefault="008442A7" w:rsidP="008442A7">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8442A7">
                        <w:t>Author’s own work, adapted from Ansoff (1957), Grant (2019), Cusumano (2010), Apple Inc. (2024), and Samsung Electronics (2024).</w:t>
                      </w:r>
                      <w:r>
                        <w:t>)</w:t>
                      </w:r>
                    </w:p>
                  </w:txbxContent>
                </v:textbox>
                <w10:wrap type="square" anchorx="margin"/>
              </v:shape>
            </w:pict>
          </mc:Fallback>
        </mc:AlternateContent>
      </w:r>
      <w:r>
        <w:rPr>
          <w:noProof/>
        </w:rPr>
        <w:drawing>
          <wp:anchor distT="0" distB="0" distL="114300" distR="114300" simplePos="0" relativeHeight="251675648" behindDoc="0" locked="0" layoutInCell="1" allowOverlap="1" wp14:anchorId="0CAC45F9" wp14:editId="76F19DFD">
            <wp:simplePos x="0" y="0"/>
            <wp:positionH relativeFrom="margin">
              <wp:posOffset>2476500</wp:posOffset>
            </wp:positionH>
            <wp:positionV relativeFrom="paragraph">
              <wp:posOffset>322544</wp:posOffset>
            </wp:positionV>
            <wp:extent cx="3268345" cy="4623435"/>
            <wp:effectExtent l="190500" t="190500" r="198755" b="196215"/>
            <wp:wrapSquare wrapText="bothSides"/>
            <wp:docPr id="18321308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130842" name="Picture 183213084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8345" cy="462343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Pr="008442A7">
        <w:t xml:space="preserve">As illustrated in Figure 3, the comparison highlights that while the Ansoff Matrix categorises growth strategies effectively, it does not fully capture the dynamic and interconnected nature of growth in contemporary markets. Apple’s strategy reflects a depth-oriented approach, prioritising ecosystem expansion and value extraction within existing markets, whereas Samsung adopts a breadth-oriented approach, emphasising market expansion and diversification. While Apple’s focused strategy supports strategic coherence and long-term profitability, Samsung’s broader approach enhances adaptability and risk diversification but may compromise strategic clarity. This suggests that successful growth strategies are not solely determined by their position within the Ansoff Matrix, but by the firm’s ability to integrate multiple </w:t>
      </w:r>
      <w:r w:rsidRPr="008442A7">
        <w:lastRenderedPageBreak/>
        <w:t>growth pathways while maintaining alignment with its overall strategic positioning in a rapidly evolving technological environment.</w:t>
      </w:r>
    </w:p>
    <w:p w14:paraId="4A50BBE4" w14:textId="77777777" w:rsidR="00C32B32" w:rsidRPr="002D02E9" w:rsidRDefault="00C32B32" w:rsidP="002D02E9"/>
    <w:p w14:paraId="6BDB6AA2" w14:textId="155D3E1D" w:rsidR="002D02E9" w:rsidRDefault="006C48F6" w:rsidP="002D02E9">
      <w:pPr>
        <w:pStyle w:val="Heading1"/>
      </w:pPr>
      <w:bookmarkStart w:id="12" w:name="_Toc225473240"/>
      <w:r>
        <w:t xml:space="preserve">5. </w:t>
      </w:r>
      <w:r w:rsidR="002D02E9" w:rsidRPr="002D02E9">
        <w:t>Critical Evaluation</w:t>
      </w:r>
      <w:bookmarkEnd w:id="12"/>
    </w:p>
    <w:p w14:paraId="3F866F2C" w14:textId="77777777" w:rsidR="00176636" w:rsidRPr="00176636" w:rsidRDefault="00176636" w:rsidP="00176636">
      <w:r w:rsidRPr="00176636">
        <w:t>The comparative analysis of Apple Inc. and Samsung Electronics suggests that while both firms effectively leverage macro-environmental factors to sustain competitive advantage, their strategic effectiveness is shaped by a fundamental tension between coherence and adaptability. Apple’s tightly integrated ecosystem and differentiation strategy enable the firm to maintain strong brand equity, high customer loyalty, and consistently superior profitability. This reflects a high degree of alignment between internal capabilities and external technological opportunities, consistent with the dynamic capabilities perspective (Teece et al., 1997).</w:t>
      </w:r>
    </w:p>
    <w:p w14:paraId="2363C93F" w14:textId="77777777" w:rsidR="00176636" w:rsidRPr="00176636" w:rsidRDefault="00176636" w:rsidP="00176636">
      <w:r w:rsidRPr="00176636">
        <w:t>However, the apparent strength of Apple’s model may also represent a source of strategic rigidity. Its reliance on premium pricing and controlled innovation limits accessibility in emerging markets and increases exposure to macroeconomic volatility, particularly in periods of declining consumer purchasing power. Furthermore, in a maturing smartphone market where technological advancements are increasingly incremental, Apple’s differentiation advantage may become more difficult to sustain, raising questions about the long-term scalability of its innovation-led strategy.</w:t>
      </w:r>
    </w:p>
    <w:p w14:paraId="462C3CB2" w14:textId="77777777" w:rsidR="00176636" w:rsidRPr="00176636" w:rsidRDefault="00176636" w:rsidP="00176636">
      <w:r w:rsidRPr="00176636">
        <w:t xml:space="preserve">In contrast, Samsung’s adaptive, multi-segment approach demonstrates greater flexibility in responding to both technological disruption and economic uncertainty. By operating across a wide range of price tiers and rapidly integrating emerging technologies, Samsung enhances its resilience and ability to capture diverse market segments (Grant, 2019; Deloitte, 2023). However, this flexibility introduces a different set of strategic challenges. The firm’s hybrid positioning may weaken its overall strategic clarity, supporting Porter’s (1980) argument that firms attempting to pursue multiple strategies risk becoming “stuck in the middle.” Moreover, Samsung’s reliance on continuous product </w:t>
      </w:r>
      <w:r w:rsidRPr="00176636">
        <w:lastRenderedPageBreak/>
        <w:t>variation and feature-based competition may expose it to commoditisation pressures, particularly in lower-end segments where differentiation is limited.</w:t>
      </w:r>
    </w:p>
    <w:p w14:paraId="2A214518" w14:textId="77777777" w:rsidR="00176636" w:rsidRPr="00176636" w:rsidRDefault="00176636" w:rsidP="00176636">
      <w:r w:rsidRPr="00176636">
        <w:t>Critically, this comparison highlights that neither strategic coherence nor adaptability alone is sufficient to ensure sustained competitive advantage. While Apple’s model emphasises consistency and control, it risks reduced responsiveness in highly dynamic environments. Conversely, Samsung’s emphasis on flexibility enhances responsiveness but may undermine long-term differentiation and margin stability. This suggests that competitive advantage in the contemporary smartphone industry is contingent upon a firm’s ability to balance these competing demands, rather than prioritising one exclusively.</w:t>
      </w:r>
    </w:p>
    <w:p w14:paraId="20AB2449" w14:textId="55107B6D" w:rsidR="005A1497" w:rsidRDefault="00176636" w:rsidP="005A1497">
      <w:r w:rsidRPr="00176636">
        <w:t>Therefore, while Apple’s focused differentiation strategy appears more effective in sustaining long-term profitability and brand strength, its future success will depend on its ability to maintain innovation without sacrificing adaptability. Similarly, Samsung’s continued competitiveness will rely on its capacity to translate operational flexibility into a more coherent and defensible strategic identity. Ultimately, the analysis indicates that sustainable competitive advantage is not determined solely by strategic positioning, but by the firm’s ability to continuously realign its strategy in response to evolving macro-environmental conditions while preserving internal consistency.</w:t>
      </w:r>
    </w:p>
    <w:p w14:paraId="473D6332" w14:textId="77777777" w:rsidR="00091B88" w:rsidRPr="005A1497" w:rsidRDefault="00091B88" w:rsidP="005A1497"/>
    <w:p w14:paraId="17BFDA82" w14:textId="0FFED7DE" w:rsidR="002B0A64" w:rsidRDefault="006C48F6" w:rsidP="002D02E9">
      <w:pPr>
        <w:pStyle w:val="Heading1"/>
      </w:pPr>
      <w:bookmarkStart w:id="13" w:name="_Toc225473241"/>
      <w:r>
        <w:t xml:space="preserve">6. </w:t>
      </w:r>
      <w:r w:rsidR="002D02E9" w:rsidRPr="002D02E9">
        <w:t>Conclusion</w:t>
      </w:r>
      <w:bookmarkEnd w:id="13"/>
    </w:p>
    <w:p w14:paraId="1740D98B" w14:textId="0F17ACB4" w:rsidR="003156C2" w:rsidRDefault="003156C2" w:rsidP="003156C2">
      <w:r>
        <w:t>This report has examined the impact of technological and economic macro-environmental factors on the competitive positioning of Apple and Samsung in the smartphone industry. The analysis shows that both firms respond effectively to external forces, but through different strategic approaches to coherence and adaptability.</w:t>
      </w:r>
    </w:p>
    <w:p w14:paraId="785E9B93" w14:textId="069CFCB3" w:rsidR="003156C2" w:rsidRDefault="003156C2" w:rsidP="003156C2">
      <w:r>
        <w:t xml:space="preserve">Technological and economic change creates opportunities for innovation and market growth while also exposing the limits of each firm’s strategic model. Apple’s integrated ecosystem and differentiation strategy support strong brand equity, premium positioning, and profitability. In contrast, Samsung’s fast-follower and multi-segment approach </w:t>
      </w:r>
      <w:r>
        <w:lastRenderedPageBreak/>
        <w:t xml:space="preserve">improves responsiveness and market </w:t>
      </w:r>
      <w:r>
        <w:t>coverage but</w:t>
      </w:r>
      <w:r>
        <w:t xml:space="preserve"> creates greater challenges in maintaining a clear strategic identity.</w:t>
      </w:r>
    </w:p>
    <w:p w14:paraId="5326BCC1" w14:textId="0B19C67B" w:rsidR="00176636" w:rsidRDefault="003156C2" w:rsidP="003156C2">
      <w:r>
        <w:t xml:space="preserve">The use of Porter’s Generic Strategies and Ansoff’s Growth Matrix shows that, although these frameworks remain useful, they are limited in explaining competition in dynamic technology markets. Overall, sustainable competitive advantage depends not only on innovation or adaptability, but on balancing </w:t>
      </w:r>
      <w:r>
        <w:t>while</w:t>
      </w:r>
      <w:r>
        <w:t xml:space="preserve"> maintaining strategic consistency. Apple appears stronger in long-term coherence, whereas Samsung’s advantage lies in flexibility.</w:t>
      </w:r>
    </w:p>
    <w:p w14:paraId="323F8ABC" w14:textId="4A789FF7" w:rsidR="00176636" w:rsidRPr="009F13F7" w:rsidRDefault="00176636" w:rsidP="00176636">
      <w:pPr>
        <w:spacing w:line="278" w:lineRule="auto"/>
        <w:jc w:val="left"/>
      </w:pPr>
      <w:r>
        <w:br w:type="page"/>
      </w:r>
    </w:p>
    <w:p w14:paraId="06910BAB" w14:textId="22B8B217" w:rsidR="001E6BD0" w:rsidRDefault="006C48F6" w:rsidP="001E6BD0">
      <w:pPr>
        <w:pStyle w:val="Heading1"/>
      </w:pPr>
      <w:bookmarkStart w:id="14" w:name="_Toc225473242"/>
      <w:r>
        <w:lastRenderedPageBreak/>
        <w:t xml:space="preserve">7. </w:t>
      </w:r>
      <w:r w:rsidR="001E6BD0">
        <w:t>References</w:t>
      </w:r>
      <w:bookmarkEnd w:id="14"/>
    </w:p>
    <w:p w14:paraId="2B448207" w14:textId="77777777" w:rsidR="00423430" w:rsidRPr="00423430" w:rsidRDefault="00423430" w:rsidP="00423430">
      <w:r w:rsidRPr="00423430">
        <w:t xml:space="preserve">Aaker, D.A. (1996) </w:t>
      </w:r>
      <w:r w:rsidRPr="00423430">
        <w:rPr>
          <w:i/>
          <w:iCs/>
        </w:rPr>
        <w:t>Building strong brands</w:t>
      </w:r>
      <w:r w:rsidRPr="00423430">
        <w:t>. New York: Free Press.</w:t>
      </w:r>
    </w:p>
    <w:p w14:paraId="7E3D1657" w14:textId="77777777" w:rsidR="00423430" w:rsidRPr="00423430" w:rsidRDefault="00423430" w:rsidP="00423430">
      <w:r w:rsidRPr="00423430">
        <w:t xml:space="preserve">Ansoff, H.I. (1957) ‘Strategies for diversification’, </w:t>
      </w:r>
      <w:r w:rsidRPr="00423430">
        <w:rPr>
          <w:i/>
          <w:iCs/>
        </w:rPr>
        <w:t>Harvard Business Review</w:t>
      </w:r>
      <w:r w:rsidRPr="00423430">
        <w:t>, 35(5), pp. 113–124.</w:t>
      </w:r>
    </w:p>
    <w:p w14:paraId="088EF29B" w14:textId="77777777" w:rsidR="00423430" w:rsidRPr="00423430" w:rsidRDefault="00423430" w:rsidP="00423430">
      <w:r w:rsidRPr="00423430">
        <w:t xml:space="preserve">Apple Inc. (2024) </w:t>
      </w:r>
      <w:r w:rsidRPr="00423430">
        <w:rPr>
          <w:i/>
          <w:iCs/>
        </w:rPr>
        <w:t>Annual report (Form 10-K)</w:t>
      </w:r>
      <w:r w:rsidRPr="00423430">
        <w:t xml:space="preserve">. Available at: </w:t>
      </w:r>
      <w:hyperlink r:id="rId12" w:tgtFrame="_new" w:history="1">
        <w:r w:rsidRPr="00423430">
          <w:rPr>
            <w:rStyle w:val="Hyperlink"/>
          </w:rPr>
          <w:t>https://www.apple.com/investor</w:t>
        </w:r>
      </w:hyperlink>
      <w:r w:rsidRPr="00423430">
        <w:t xml:space="preserve"> [Accessed 24 March 2026].</w:t>
      </w:r>
    </w:p>
    <w:p w14:paraId="6EFDE678" w14:textId="77777777" w:rsidR="00423430" w:rsidRPr="00423430" w:rsidRDefault="00423430" w:rsidP="00423430">
      <w:r w:rsidRPr="00423430">
        <w:t xml:space="preserve">Barney, J. (1991) ‘Firm resources and sustained competitive advantage’, </w:t>
      </w:r>
      <w:r w:rsidRPr="00423430">
        <w:rPr>
          <w:i/>
          <w:iCs/>
        </w:rPr>
        <w:t>Journal of Management</w:t>
      </w:r>
      <w:r w:rsidRPr="00423430">
        <w:t>, 17(1), pp. 99–120.</w:t>
      </w:r>
    </w:p>
    <w:p w14:paraId="1D7F7259" w14:textId="77777777" w:rsidR="00423430" w:rsidRPr="00423430" w:rsidRDefault="00423430" w:rsidP="00423430">
      <w:r w:rsidRPr="00423430">
        <w:t xml:space="preserve">Brynjolfsson, E. and McAfee, A. (2014) </w:t>
      </w:r>
      <w:r w:rsidRPr="00423430">
        <w:rPr>
          <w:i/>
          <w:iCs/>
        </w:rPr>
        <w:t xml:space="preserve">The </w:t>
      </w:r>
      <w:proofErr w:type="gramStart"/>
      <w:r w:rsidRPr="00423430">
        <w:rPr>
          <w:i/>
          <w:iCs/>
        </w:rPr>
        <w:t>second machine age</w:t>
      </w:r>
      <w:proofErr w:type="gramEnd"/>
      <w:r w:rsidRPr="00423430">
        <w:t>. New York: Norton.</w:t>
      </w:r>
    </w:p>
    <w:p w14:paraId="3D527169" w14:textId="77777777" w:rsidR="00423430" w:rsidRPr="00423430" w:rsidRDefault="00423430" w:rsidP="00423430">
      <w:r w:rsidRPr="00423430">
        <w:t xml:space="preserve">Christensen, C.M. (1997) </w:t>
      </w:r>
      <w:r w:rsidRPr="00423430">
        <w:rPr>
          <w:i/>
          <w:iCs/>
        </w:rPr>
        <w:t>The innovator’s dilemma</w:t>
      </w:r>
      <w:r w:rsidRPr="00423430">
        <w:t>. Boston: Harvard Business School Press.</w:t>
      </w:r>
    </w:p>
    <w:p w14:paraId="1ED5A203" w14:textId="77777777" w:rsidR="00423430" w:rsidRPr="00423430" w:rsidRDefault="00423430" w:rsidP="00423430">
      <w:r w:rsidRPr="00423430">
        <w:t xml:space="preserve">Counterpoint Research (2024) </w:t>
      </w:r>
      <w:r w:rsidRPr="00423430">
        <w:rPr>
          <w:i/>
          <w:iCs/>
        </w:rPr>
        <w:t>Smartphone market analysis</w:t>
      </w:r>
      <w:r w:rsidRPr="00423430">
        <w:t xml:space="preserve">. Available at: </w:t>
      </w:r>
      <w:hyperlink r:id="rId13" w:tgtFrame="_new" w:history="1">
        <w:r w:rsidRPr="00423430">
          <w:rPr>
            <w:rStyle w:val="Hyperlink"/>
          </w:rPr>
          <w:t>https://www.counterpointresearch.com</w:t>
        </w:r>
      </w:hyperlink>
      <w:r w:rsidRPr="00423430">
        <w:t xml:space="preserve"> [Accessed 23 March 2026].</w:t>
      </w:r>
    </w:p>
    <w:p w14:paraId="04B510E7" w14:textId="77777777" w:rsidR="00423430" w:rsidRPr="00423430" w:rsidRDefault="00423430" w:rsidP="00423430">
      <w:r w:rsidRPr="00423430">
        <w:t xml:space="preserve">Cusumano, M.A. (2010) </w:t>
      </w:r>
      <w:r w:rsidRPr="00423430">
        <w:rPr>
          <w:i/>
          <w:iCs/>
        </w:rPr>
        <w:t>Staying power: Six enduring principles for managing strategy and innovation</w:t>
      </w:r>
      <w:r w:rsidRPr="00423430">
        <w:t>. Oxford: Oxford University Press.</w:t>
      </w:r>
    </w:p>
    <w:p w14:paraId="31563028" w14:textId="77777777" w:rsidR="00423430" w:rsidRPr="00423430" w:rsidRDefault="00423430" w:rsidP="00423430">
      <w:r w:rsidRPr="00423430">
        <w:t xml:space="preserve">D’Aveni, R.A. (1994) </w:t>
      </w:r>
      <w:r w:rsidRPr="00423430">
        <w:rPr>
          <w:i/>
          <w:iCs/>
        </w:rPr>
        <w:t>Hypercompetition</w:t>
      </w:r>
      <w:r w:rsidRPr="00423430">
        <w:t>. New York: Free Press.</w:t>
      </w:r>
    </w:p>
    <w:p w14:paraId="528237E3" w14:textId="77777777" w:rsidR="00423430" w:rsidRPr="00423430" w:rsidRDefault="00423430" w:rsidP="00423430">
      <w:r w:rsidRPr="00423430">
        <w:t xml:space="preserve">Day, G.S. (1994) ‘The capabilities of market-driven organisations’, </w:t>
      </w:r>
      <w:r w:rsidRPr="00423430">
        <w:rPr>
          <w:i/>
          <w:iCs/>
        </w:rPr>
        <w:t>Journal of Marketing</w:t>
      </w:r>
      <w:r w:rsidRPr="00423430">
        <w:t>, 58(4), pp. 37–52.</w:t>
      </w:r>
    </w:p>
    <w:p w14:paraId="68A6D2A2" w14:textId="77777777" w:rsidR="00423430" w:rsidRPr="00423430" w:rsidRDefault="00423430" w:rsidP="00423430">
      <w:r w:rsidRPr="00423430">
        <w:t xml:space="preserve">Deloitte (2023) </w:t>
      </w:r>
      <w:r w:rsidRPr="00423430">
        <w:rPr>
          <w:i/>
          <w:iCs/>
        </w:rPr>
        <w:t>Global mobile consumer trends</w:t>
      </w:r>
      <w:r w:rsidRPr="00423430">
        <w:t xml:space="preserve">. Available at: </w:t>
      </w:r>
      <w:hyperlink r:id="rId14" w:tgtFrame="_new" w:history="1">
        <w:r w:rsidRPr="00423430">
          <w:rPr>
            <w:rStyle w:val="Hyperlink"/>
          </w:rPr>
          <w:t>https://www.deloitte.com</w:t>
        </w:r>
      </w:hyperlink>
      <w:r w:rsidRPr="00423430">
        <w:t xml:space="preserve"> [Accessed 25 March 2026].</w:t>
      </w:r>
    </w:p>
    <w:p w14:paraId="62EB8284" w14:textId="77777777" w:rsidR="00423430" w:rsidRPr="00423430" w:rsidRDefault="00423430" w:rsidP="00423430">
      <w:r w:rsidRPr="00423430">
        <w:t xml:space="preserve">Ghemawat, P. (2002) ‘Competition and business strategy in historical perspective’, </w:t>
      </w:r>
      <w:r w:rsidRPr="00423430">
        <w:rPr>
          <w:i/>
          <w:iCs/>
        </w:rPr>
        <w:t>Business History Review</w:t>
      </w:r>
      <w:r w:rsidRPr="00423430">
        <w:t>, 76(1), pp. 37–74.</w:t>
      </w:r>
    </w:p>
    <w:p w14:paraId="7FFAF0D8" w14:textId="77777777" w:rsidR="00423430" w:rsidRPr="00423430" w:rsidRDefault="00423430" w:rsidP="00423430">
      <w:r w:rsidRPr="00423430">
        <w:t xml:space="preserve">Grant, R.M. (2019) </w:t>
      </w:r>
      <w:r w:rsidRPr="00423430">
        <w:rPr>
          <w:i/>
          <w:iCs/>
        </w:rPr>
        <w:t>Contemporary strategy analysis</w:t>
      </w:r>
      <w:r w:rsidRPr="00423430">
        <w:t>. 10th edn. Oxford: Wiley.</w:t>
      </w:r>
    </w:p>
    <w:p w14:paraId="58F68814" w14:textId="77777777" w:rsidR="00423430" w:rsidRPr="00423430" w:rsidRDefault="00423430" w:rsidP="00423430">
      <w:r w:rsidRPr="00423430">
        <w:t xml:space="preserve">IDC (2024) </w:t>
      </w:r>
      <w:r w:rsidRPr="00423430">
        <w:rPr>
          <w:i/>
          <w:iCs/>
        </w:rPr>
        <w:t>Worldwide smartphone market share report</w:t>
      </w:r>
      <w:r w:rsidRPr="00423430">
        <w:t xml:space="preserve">. Available at: </w:t>
      </w:r>
      <w:hyperlink r:id="rId15" w:tgtFrame="_new" w:history="1">
        <w:r w:rsidRPr="00423430">
          <w:rPr>
            <w:rStyle w:val="Hyperlink"/>
          </w:rPr>
          <w:t>https://www.idc.com</w:t>
        </w:r>
      </w:hyperlink>
      <w:r w:rsidRPr="00423430">
        <w:t xml:space="preserve"> [Accessed 22 March 2026].</w:t>
      </w:r>
    </w:p>
    <w:p w14:paraId="04CF399E" w14:textId="77777777" w:rsidR="00423430" w:rsidRPr="00423430" w:rsidRDefault="00423430" w:rsidP="00423430">
      <w:r w:rsidRPr="00423430">
        <w:lastRenderedPageBreak/>
        <w:t xml:space="preserve">IMF (2023) </w:t>
      </w:r>
      <w:r w:rsidRPr="00423430">
        <w:rPr>
          <w:i/>
          <w:iCs/>
        </w:rPr>
        <w:t>World economic outlook</w:t>
      </w:r>
      <w:r w:rsidRPr="00423430">
        <w:t xml:space="preserve">. Available at: </w:t>
      </w:r>
      <w:hyperlink r:id="rId16" w:tgtFrame="_new" w:history="1">
        <w:r w:rsidRPr="00423430">
          <w:rPr>
            <w:rStyle w:val="Hyperlink"/>
          </w:rPr>
          <w:t>https://www.imf.org</w:t>
        </w:r>
      </w:hyperlink>
      <w:r w:rsidRPr="00423430">
        <w:t xml:space="preserve"> [Accessed 24 March 2026].</w:t>
      </w:r>
    </w:p>
    <w:p w14:paraId="1CE2076A" w14:textId="77777777" w:rsidR="00423430" w:rsidRPr="00423430" w:rsidRDefault="00423430" w:rsidP="00423430">
      <w:r w:rsidRPr="00423430">
        <w:t xml:space="preserve">Johnson, G., Scholes, K. and Whittington, R. (2020) </w:t>
      </w:r>
      <w:r w:rsidRPr="00423430">
        <w:rPr>
          <w:i/>
          <w:iCs/>
        </w:rPr>
        <w:t>Exploring corporate strategy</w:t>
      </w:r>
      <w:r w:rsidRPr="00423430">
        <w:t xml:space="preserve">. 12th </w:t>
      </w:r>
      <w:proofErr w:type="gramStart"/>
      <w:r w:rsidRPr="00423430">
        <w:t>edn</w:t>
      </w:r>
      <w:proofErr w:type="gramEnd"/>
      <w:r w:rsidRPr="00423430">
        <w:t>. Harlow: Pearson.</w:t>
      </w:r>
    </w:p>
    <w:p w14:paraId="26433D02" w14:textId="77777777" w:rsidR="00423430" w:rsidRPr="00423430" w:rsidRDefault="00423430" w:rsidP="00423430">
      <w:r w:rsidRPr="00423430">
        <w:t xml:space="preserve">Kapferer, J.-N. (2012) </w:t>
      </w:r>
      <w:r w:rsidRPr="00423430">
        <w:rPr>
          <w:i/>
          <w:iCs/>
        </w:rPr>
        <w:t>The new strategic brand management</w:t>
      </w:r>
      <w:r w:rsidRPr="00423430">
        <w:t xml:space="preserve">. 5th </w:t>
      </w:r>
      <w:proofErr w:type="gramStart"/>
      <w:r w:rsidRPr="00423430">
        <w:t>edn</w:t>
      </w:r>
      <w:proofErr w:type="gramEnd"/>
      <w:r w:rsidRPr="00423430">
        <w:t>. London: Kogan Page.</w:t>
      </w:r>
    </w:p>
    <w:p w14:paraId="7C8844D9" w14:textId="77777777" w:rsidR="00423430" w:rsidRPr="00423430" w:rsidRDefault="00423430" w:rsidP="00423430">
      <w:r w:rsidRPr="00423430">
        <w:t xml:space="preserve">Keller, K.L. (2013) </w:t>
      </w:r>
      <w:r w:rsidRPr="00423430">
        <w:rPr>
          <w:i/>
          <w:iCs/>
        </w:rPr>
        <w:t>Strategic brand management</w:t>
      </w:r>
      <w:r w:rsidRPr="00423430">
        <w:t xml:space="preserve">. 4th </w:t>
      </w:r>
      <w:proofErr w:type="gramStart"/>
      <w:r w:rsidRPr="00423430">
        <w:t>edn</w:t>
      </w:r>
      <w:proofErr w:type="gramEnd"/>
      <w:r w:rsidRPr="00423430">
        <w:t>. Harlow: Pearson.</w:t>
      </w:r>
    </w:p>
    <w:p w14:paraId="12C631D8" w14:textId="77777777" w:rsidR="00423430" w:rsidRPr="00423430" w:rsidRDefault="00423430" w:rsidP="00423430">
      <w:r w:rsidRPr="00423430">
        <w:t xml:space="preserve">Kim, W.C. and Mauborgne, R. (2005) </w:t>
      </w:r>
      <w:proofErr w:type="gramStart"/>
      <w:r w:rsidRPr="00423430">
        <w:rPr>
          <w:i/>
          <w:iCs/>
        </w:rPr>
        <w:t>Blue ocean</w:t>
      </w:r>
      <w:proofErr w:type="gramEnd"/>
      <w:r w:rsidRPr="00423430">
        <w:rPr>
          <w:i/>
          <w:iCs/>
        </w:rPr>
        <w:t xml:space="preserve"> strategy</w:t>
      </w:r>
      <w:r w:rsidRPr="00423430">
        <w:t>. Boston: Harvard Business School Press.</w:t>
      </w:r>
    </w:p>
    <w:p w14:paraId="5872EC6E" w14:textId="77777777" w:rsidR="00423430" w:rsidRPr="00423430" w:rsidRDefault="00423430" w:rsidP="00423430">
      <w:r w:rsidRPr="00423430">
        <w:t xml:space="preserve">Kotler, P. and Keller, K.L. (2016) </w:t>
      </w:r>
      <w:r w:rsidRPr="00423430">
        <w:rPr>
          <w:i/>
          <w:iCs/>
        </w:rPr>
        <w:t>Marketing management</w:t>
      </w:r>
      <w:r w:rsidRPr="00423430">
        <w:t>. 15th edn. Harlow: Pearson.</w:t>
      </w:r>
    </w:p>
    <w:p w14:paraId="4BE5244F" w14:textId="77777777" w:rsidR="00423430" w:rsidRPr="00423430" w:rsidRDefault="00423430" w:rsidP="00423430">
      <w:r w:rsidRPr="00423430">
        <w:t xml:space="preserve">Lieberman, M.B. and Montgomery, D.B. (1988) ‘First-mover advantages’, </w:t>
      </w:r>
      <w:r w:rsidRPr="00423430">
        <w:rPr>
          <w:i/>
          <w:iCs/>
        </w:rPr>
        <w:t>Strategic Management Journal</w:t>
      </w:r>
      <w:r w:rsidRPr="00423430">
        <w:t>, 9(S1), pp. 41–58.</w:t>
      </w:r>
    </w:p>
    <w:p w14:paraId="30AEB734" w14:textId="77777777" w:rsidR="00423430" w:rsidRPr="00423430" w:rsidRDefault="00423430" w:rsidP="00423430">
      <w:r w:rsidRPr="00423430">
        <w:t xml:space="preserve">McKinsey &amp; Company (2023) </w:t>
      </w:r>
      <w:r w:rsidRPr="00423430">
        <w:rPr>
          <w:i/>
          <w:iCs/>
        </w:rPr>
        <w:t>The future of the smartphone industry</w:t>
      </w:r>
      <w:r w:rsidRPr="00423430">
        <w:t xml:space="preserve">. Available at: </w:t>
      </w:r>
      <w:hyperlink r:id="rId17" w:tgtFrame="_new" w:history="1">
        <w:r w:rsidRPr="00423430">
          <w:rPr>
            <w:rStyle w:val="Hyperlink"/>
          </w:rPr>
          <w:t>https://www.mckinsey.com</w:t>
        </w:r>
      </w:hyperlink>
      <w:r w:rsidRPr="00423430">
        <w:t xml:space="preserve"> [Accessed 23 March 2026].</w:t>
      </w:r>
    </w:p>
    <w:p w14:paraId="39B70AD3" w14:textId="77777777" w:rsidR="00423430" w:rsidRPr="00423430" w:rsidRDefault="00423430" w:rsidP="00423430">
      <w:r w:rsidRPr="00423430">
        <w:t xml:space="preserve">OECD (2023) </w:t>
      </w:r>
      <w:r w:rsidRPr="00423430">
        <w:rPr>
          <w:i/>
          <w:iCs/>
        </w:rPr>
        <w:t>Economic outlook</w:t>
      </w:r>
      <w:r w:rsidRPr="00423430">
        <w:t xml:space="preserve">. Available at: </w:t>
      </w:r>
      <w:hyperlink r:id="rId18" w:tgtFrame="_new" w:history="1">
        <w:r w:rsidRPr="00423430">
          <w:rPr>
            <w:rStyle w:val="Hyperlink"/>
          </w:rPr>
          <w:t>https://www.oecd.org</w:t>
        </w:r>
      </w:hyperlink>
      <w:r w:rsidRPr="00423430">
        <w:t xml:space="preserve"> [Accessed 25 March 2026].</w:t>
      </w:r>
    </w:p>
    <w:p w14:paraId="3E271EB0" w14:textId="77777777" w:rsidR="00423430" w:rsidRPr="00423430" w:rsidRDefault="00423430" w:rsidP="00423430">
      <w:r w:rsidRPr="00423430">
        <w:t xml:space="preserve">Porter, M.E. (1980) </w:t>
      </w:r>
      <w:r w:rsidRPr="00423430">
        <w:rPr>
          <w:i/>
          <w:iCs/>
        </w:rPr>
        <w:t>Competitive strategy: Techniques for analyzing industries and competitors</w:t>
      </w:r>
      <w:r w:rsidRPr="00423430">
        <w:t>. New York: Free Press.</w:t>
      </w:r>
    </w:p>
    <w:p w14:paraId="7DD11E33" w14:textId="77777777" w:rsidR="00423430" w:rsidRPr="00423430" w:rsidRDefault="00423430" w:rsidP="00423430">
      <w:r w:rsidRPr="00423430">
        <w:t xml:space="preserve">Porter, M.E. (1985) </w:t>
      </w:r>
      <w:r w:rsidRPr="00423430">
        <w:rPr>
          <w:i/>
          <w:iCs/>
        </w:rPr>
        <w:t>Competitive advantage: Creating and sustaining superior performance</w:t>
      </w:r>
      <w:r w:rsidRPr="00423430">
        <w:t>. New York: Free Press.</w:t>
      </w:r>
    </w:p>
    <w:p w14:paraId="5A8089AE" w14:textId="77777777" w:rsidR="00423430" w:rsidRPr="00423430" w:rsidRDefault="00423430" w:rsidP="00423430">
      <w:r w:rsidRPr="00423430">
        <w:t xml:space="preserve">Porter, M.E. (2008) ‘The five competitive forces that shape strategy’, </w:t>
      </w:r>
      <w:r w:rsidRPr="00423430">
        <w:rPr>
          <w:i/>
          <w:iCs/>
        </w:rPr>
        <w:t>Harvard Business Review</w:t>
      </w:r>
      <w:r w:rsidRPr="00423430">
        <w:t>, 86(1), pp. 78–93.</w:t>
      </w:r>
    </w:p>
    <w:p w14:paraId="102EBB7F" w14:textId="77777777" w:rsidR="00423430" w:rsidRPr="00423430" w:rsidRDefault="00423430" w:rsidP="00423430">
      <w:r w:rsidRPr="00423430">
        <w:t xml:space="preserve">Prahalad, C.K. and Hamel, G. (1990) ‘The core competence of the corporation’, </w:t>
      </w:r>
      <w:r w:rsidRPr="00423430">
        <w:rPr>
          <w:i/>
          <w:iCs/>
        </w:rPr>
        <w:t>Harvard Business Review</w:t>
      </w:r>
      <w:r w:rsidRPr="00423430">
        <w:t>, 68(3), pp. 79–91.</w:t>
      </w:r>
    </w:p>
    <w:p w14:paraId="6BDB9E19" w14:textId="77777777" w:rsidR="00423430" w:rsidRPr="00423430" w:rsidRDefault="00423430" w:rsidP="00423430">
      <w:r w:rsidRPr="00423430">
        <w:t xml:space="preserve">PwC (2023) </w:t>
      </w:r>
      <w:r w:rsidRPr="00423430">
        <w:rPr>
          <w:i/>
          <w:iCs/>
        </w:rPr>
        <w:t>Global consumer insights survey</w:t>
      </w:r>
      <w:r w:rsidRPr="00423430">
        <w:t xml:space="preserve">. Available at: </w:t>
      </w:r>
      <w:hyperlink r:id="rId19" w:tgtFrame="_new" w:history="1">
        <w:r w:rsidRPr="00423430">
          <w:rPr>
            <w:rStyle w:val="Hyperlink"/>
          </w:rPr>
          <w:t>https://www.pwc.com</w:t>
        </w:r>
      </w:hyperlink>
      <w:r w:rsidRPr="00423430">
        <w:t xml:space="preserve"> [Accessed 24 March 2026].</w:t>
      </w:r>
    </w:p>
    <w:p w14:paraId="634D104D" w14:textId="77777777" w:rsidR="00423430" w:rsidRPr="00423430" w:rsidRDefault="00423430" w:rsidP="00423430">
      <w:r w:rsidRPr="00423430">
        <w:lastRenderedPageBreak/>
        <w:t xml:space="preserve">Samsung Electronics (2024) </w:t>
      </w:r>
      <w:r w:rsidRPr="00423430">
        <w:rPr>
          <w:i/>
          <w:iCs/>
        </w:rPr>
        <w:t>Annual report</w:t>
      </w:r>
      <w:r w:rsidRPr="00423430">
        <w:t xml:space="preserve">. Available at: </w:t>
      </w:r>
      <w:hyperlink r:id="rId20" w:tgtFrame="_new" w:history="1">
        <w:r w:rsidRPr="00423430">
          <w:rPr>
            <w:rStyle w:val="Hyperlink"/>
          </w:rPr>
          <w:t>https://www.samsung.com/global/ir</w:t>
        </w:r>
      </w:hyperlink>
      <w:r w:rsidRPr="00423430">
        <w:t xml:space="preserve"> [Accessed 25 March 2026].</w:t>
      </w:r>
    </w:p>
    <w:p w14:paraId="1E77577B" w14:textId="77777777" w:rsidR="00423430" w:rsidRPr="00423430" w:rsidRDefault="00423430" w:rsidP="00423430">
      <w:r w:rsidRPr="00423430">
        <w:t xml:space="preserve">Solomon, M. (2018) </w:t>
      </w:r>
      <w:r w:rsidRPr="00423430">
        <w:rPr>
          <w:i/>
          <w:iCs/>
        </w:rPr>
        <w:t>Consumer behaviour</w:t>
      </w:r>
      <w:r w:rsidRPr="00423430">
        <w:t xml:space="preserve">. 12th </w:t>
      </w:r>
      <w:proofErr w:type="gramStart"/>
      <w:r w:rsidRPr="00423430">
        <w:t>edn</w:t>
      </w:r>
      <w:proofErr w:type="gramEnd"/>
      <w:r w:rsidRPr="00423430">
        <w:t>. Harlow: Pearson.</w:t>
      </w:r>
    </w:p>
    <w:p w14:paraId="6363C6AC" w14:textId="77777777" w:rsidR="00423430" w:rsidRPr="00423430" w:rsidRDefault="00423430" w:rsidP="00423430">
      <w:r w:rsidRPr="00423430">
        <w:t xml:space="preserve">Statista (2024) </w:t>
      </w:r>
      <w:r w:rsidRPr="00423430">
        <w:rPr>
          <w:i/>
          <w:iCs/>
        </w:rPr>
        <w:t>Global smartphone market share by vendor</w:t>
      </w:r>
      <w:r w:rsidRPr="00423430">
        <w:t xml:space="preserve">. Available at: </w:t>
      </w:r>
      <w:hyperlink r:id="rId21" w:tgtFrame="_new" w:history="1">
        <w:r w:rsidRPr="00423430">
          <w:rPr>
            <w:rStyle w:val="Hyperlink"/>
          </w:rPr>
          <w:t>https://www.statista.com</w:t>
        </w:r>
      </w:hyperlink>
      <w:r w:rsidRPr="00423430">
        <w:t xml:space="preserve"> [Accessed 22 March 2026].</w:t>
      </w:r>
    </w:p>
    <w:p w14:paraId="05C9AF25" w14:textId="77777777" w:rsidR="00423430" w:rsidRPr="00423430" w:rsidRDefault="00423430" w:rsidP="00423430">
      <w:r w:rsidRPr="00423430">
        <w:t xml:space="preserve">Teece, D.J., Pisano, G. and Shuen, A. (1997) ‘Dynamic capabilities and strategic management’, </w:t>
      </w:r>
      <w:r w:rsidRPr="00423430">
        <w:rPr>
          <w:i/>
          <w:iCs/>
        </w:rPr>
        <w:t>Strategic Management Journal</w:t>
      </w:r>
      <w:r w:rsidRPr="00423430">
        <w:t>, 18(7), pp. 509–533.</w:t>
      </w:r>
    </w:p>
    <w:p w14:paraId="2550DF2E" w14:textId="77777777" w:rsidR="00423430" w:rsidRPr="00423430" w:rsidRDefault="00423430" w:rsidP="00423430">
      <w:r w:rsidRPr="00423430">
        <w:t xml:space="preserve">West, J. and Mace, M. (2010) ‘Browsing as the killer app: Explaining the rapid success of Apple’s iPhone’, </w:t>
      </w:r>
      <w:r w:rsidRPr="00423430">
        <w:rPr>
          <w:i/>
          <w:iCs/>
        </w:rPr>
        <w:t>Telecommunications Policy</w:t>
      </w:r>
      <w:r w:rsidRPr="00423430">
        <w:t>, 34(5–6), pp. 270–286.</w:t>
      </w:r>
    </w:p>
    <w:p w14:paraId="2A8EBF27" w14:textId="77777777" w:rsidR="00423430" w:rsidRPr="00423430" w:rsidRDefault="00423430" w:rsidP="00423430">
      <w:r w:rsidRPr="00423430">
        <w:t xml:space="preserve">World Bank (2023) </w:t>
      </w:r>
      <w:r w:rsidRPr="00423430">
        <w:rPr>
          <w:i/>
          <w:iCs/>
        </w:rPr>
        <w:t>Global economic prospects</w:t>
      </w:r>
      <w:r w:rsidRPr="00423430">
        <w:t xml:space="preserve">. Available at: </w:t>
      </w:r>
      <w:hyperlink r:id="rId22" w:tgtFrame="_new" w:history="1">
        <w:r w:rsidRPr="00423430">
          <w:rPr>
            <w:rStyle w:val="Hyperlink"/>
          </w:rPr>
          <w:t>https://www.worldbank.org</w:t>
        </w:r>
      </w:hyperlink>
      <w:r w:rsidRPr="00423430">
        <w:t xml:space="preserve"> [Accessed 23 March 2026].</w:t>
      </w:r>
    </w:p>
    <w:p w14:paraId="41481408" w14:textId="77777777" w:rsidR="00423430" w:rsidRPr="00423430" w:rsidRDefault="00423430" w:rsidP="00423430">
      <w:r w:rsidRPr="00423430">
        <w:t xml:space="preserve">Yoffie, D.B. and Kim, R. (2013) </w:t>
      </w:r>
      <w:r w:rsidRPr="00423430">
        <w:rPr>
          <w:i/>
          <w:iCs/>
        </w:rPr>
        <w:t>Apple vs Samsung: The battle for the smartphone market</w:t>
      </w:r>
      <w:r w:rsidRPr="00423430">
        <w:t>. Harvard Business School Case.</w:t>
      </w:r>
    </w:p>
    <w:p w14:paraId="445D07DC" w14:textId="2B1BBB35" w:rsidR="001D4008" w:rsidRDefault="001D4008" w:rsidP="004A1B79">
      <w:pPr>
        <w:spacing w:line="278" w:lineRule="auto"/>
        <w:jc w:val="left"/>
      </w:pPr>
    </w:p>
    <w:sectPr w:rsidR="001D4008" w:rsidSect="00251E77">
      <w:headerReference w:type="default" r:id="rId23"/>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83B5E" w14:textId="77777777" w:rsidR="009638E6" w:rsidRDefault="009638E6" w:rsidP="00740351">
      <w:pPr>
        <w:spacing w:after="0" w:line="240" w:lineRule="auto"/>
      </w:pPr>
      <w:r>
        <w:separator/>
      </w:r>
    </w:p>
  </w:endnote>
  <w:endnote w:type="continuationSeparator" w:id="0">
    <w:p w14:paraId="17D692BB" w14:textId="77777777" w:rsidR="009638E6" w:rsidRDefault="009638E6" w:rsidP="00740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898601"/>
      <w:docPartObj>
        <w:docPartGallery w:val="Page Numbers (Bottom of Page)"/>
        <w:docPartUnique/>
      </w:docPartObj>
    </w:sdtPr>
    <w:sdtEndPr>
      <w:rPr>
        <w:noProof/>
      </w:rPr>
    </w:sdtEndPr>
    <w:sdtContent>
      <w:p w14:paraId="46711240" w14:textId="77777777" w:rsidR="002B0A64" w:rsidRDefault="002B0A64">
        <w:pPr>
          <w:pStyle w:val="Footer"/>
        </w:pPr>
      </w:p>
      <w:p w14:paraId="6CE632F7" w14:textId="77777777" w:rsidR="002B0A64" w:rsidRDefault="002B0A64">
        <w:pPr>
          <w:pStyle w:val="Footer"/>
        </w:pPr>
      </w:p>
      <w:p w14:paraId="278568A7" w14:textId="73D3E5F6" w:rsidR="00740351" w:rsidRDefault="00740351">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9118A6" w14:textId="77777777" w:rsidR="009638E6" w:rsidRDefault="009638E6" w:rsidP="00740351">
      <w:pPr>
        <w:spacing w:after="0" w:line="240" w:lineRule="auto"/>
      </w:pPr>
      <w:r>
        <w:separator/>
      </w:r>
    </w:p>
  </w:footnote>
  <w:footnote w:type="continuationSeparator" w:id="0">
    <w:p w14:paraId="4A364CA3" w14:textId="77777777" w:rsidR="009638E6" w:rsidRDefault="009638E6" w:rsidP="007403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04CB0" w14:textId="54BBF0D5" w:rsidR="00740351" w:rsidRDefault="002D02E9">
    <w:pPr>
      <w:pStyle w:val="Header"/>
    </w:pPr>
    <w:r w:rsidRPr="002D02E9">
      <w:t xml:space="preserve">Marketing Management </w:t>
    </w:r>
    <w:r w:rsidR="00740351" w:rsidRPr="00740351">
      <w:t xml:space="preserve">| </w:t>
    </w:r>
    <w:r w:rsidRPr="002D02E9">
      <w:t>Marketing Environment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4325C"/>
    <w:multiLevelType w:val="multilevel"/>
    <w:tmpl w:val="6AB64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84E29"/>
    <w:multiLevelType w:val="multilevel"/>
    <w:tmpl w:val="64964B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E4E33"/>
    <w:multiLevelType w:val="multilevel"/>
    <w:tmpl w:val="961AE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251975"/>
    <w:multiLevelType w:val="multilevel"/>
    <w:tmpl w:val="AAE0D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DB35E3"/>
    <w:multiLevelType w:val="multilevel"/>
    <w:tmpl w:val="1BA620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A97360"/>
    <w:multiLevelType w:val="multilevel"/>
    <w:tmpl w:val="E402B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BD0B18"/>
    <w:multiLevelType w:val="multilevel"/>
    <w:tmpl w:val="AF0AA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1C0840"/>
    <w:multiLevelType w:val="multilevel"/>
    <w:tmpl w:val="7192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DE2862"/>
    <w:multiLevelType w:val="multilevel"/>
    <w:tmpl w:val="CAE8A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6022D4"/>
    <w:multiLevelType w:val="multilevel"/>
    <w:tmpl w:val="D184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270303">
    <w:abstractNumId w:val="2"/>
  </w:num>
  <w:num w:numId="2" w16cid:durableId="830175389">
    <w:abstractNumId w:val="5"/>
  </w:num>
  <w:num w:numId="3" w16cid:durableId="1783841237">
    <w:abstractNumId w:val="8"/>
  </w:num>
  <w:num w:numId="4" w16cid:durableId="1714116626">
    <w:abstractNumId w:val="7"/>
  </w:num>
  <w:num w:numId="5" w16cid:durableId="1242638918">
    <w:abstractNumId w:val="9"/>
  </w:num>
  <w:num w:numId="6" w16cid:durableId="122971367">
    <w:abstractNumId w:val="0"/>
  </w:num>
  <w:num w:numId="7" w16cid:durableId="577205644">
    <w:abstractNumId w:val="3"/>
  </w:num>
  <w:num w:numId="8" w16cid:durableId="1962109689">
    <w:abstractNumId w:val="6"/>
  </w:num>
  <w:num w:numId="9" w16cid:durableId="699626368">
    <w:abstractNumId w:val="1"/>
  </w:num>
  <w:num w:numId="10" w16cid:durableId="19068404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FD3"/>
    <w:rsid w:val="00025FD3"/>
    <w:rsid w:val="00043170"/>
    <w:rsid w:val="00061BFD"/>
    <w:rsid w:val="00071F90"/>
    <w:rsid w:val="00091B88"/>
    <w:rsid w:val="00176636"/>
    <w:rsid w:val="001D00F0"/>
    <w:rsid w:val="001D4008"/>
    <w:rsid w:val="001E6BD0"/>
    <w:rsid w:val="00251E77"/>
    <w:rsid w:val="002B0A64"/>
    <w:rsid w:val="002C2E9C"/>
    <w:rsid w:val="002D02E9"/>
    <w:rsid w:val="003156C2"/>
    <w:rsid w:val="00323F4F"/>
    <w:rsid w:val="00404618"/>
    <w:rsid w:val="00423430"/>
    <w:rsid w:val="004569A9"/>
    <w:rsid w:val="00461B80"/>
    <w:rsid w:val="004A1B79"/>
    <w:rsid w:val="004E438C"/>
    <w:rsid w:val="00541F17"/>
    <w:rsid w:val="005A1497"/>
    <w:rsid w:val="005C3F2B"/>
    <w:rsid w:val="005F59F8"/>
    <w:rsid w:val="00607F01"/>
    <w:rsid w:val="006316E9"/>
    <w:rsid w:val="00661299"/>
    <w:rsid w:val="006C48F6"/>
    <w:rsid w:val="00740351"/>
    <w:rsid w:val="007E6553"/>
    <w:rsid w:val="00826CD0"/>
    <w:rsid w:val="0083686A"/>
    <w:rsid w:val="0084262E"/>
    <w:rsid w:val="008442A7"/>
    <w:rsid w:val="0089015E"/>
    <w:rsid w:val="00893CA3"/>
    <w:rsid w:val="009638E6"/>
    <w:rsid w:val="009F13F7"/>
    <w:rsid w:val="00A07D70"/>
    <w:rsid w:val="00A45100"/>
    <w:rsid w:val="00AC72B7"/>
    <w:rsid w:val="00B80ADF"/>
    <w:rsid w:val="00BB3C2D"/>
    <w:rsid w:val="00C32B32"/>
    <w:rsid w:val="00CE16C1"/>
    <w:rsid w:val="00D62533"/>
    <w:rsid w:val="00E07DBB"/>
    <w:rsid w:val="00ED42C3"/>
    <w:rsid w:val="00EE752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8BED91"/>
  <w15:chartTrackingRefBased/>
  <w15:docId w15:val="{29B9D94E-3CC5-4B4A-B96F-F7778D64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008"/>
    <w:pPr>
      <w:spacing w:line="360" w:lineRule="auto"/>
      <w:jc w:val="both"/>
    </w:pPr>
    <w:rPr>
      <w:rFonts w:ascii="Arial" w:hAnsi="Arial"/>
    </w:rPr>
  </w:style>
  <w:style w:type="paragraph" w:styleId="Heading1">
    <w:name w:val="heading 1"/>
    <w:basedOn w:val="Normal"/>
    <w:next w:val="Normal"/>
    <w:link w:val="Heading1Char"/>
    <w:uiPriority w:val="9"/>
    <w:qFormat/>
    <w:rsid w:val="00AC72B7"/>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51E7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AC72B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025F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F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F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F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F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F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2B7"/>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251E77"/>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AC72B7"/>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025F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F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FD3"/>
    <w:rPr>
      <w:rFonts w:eastAsiaTheme="majorEastAsia" w:cstheme="majorBidi"/>
      <w:color w:val="272727" w:themeColor="text1" w:themeTint="D8"/>
    </w:rPr>
  </w:style>
  <w:style w:type="paragraph" w:styleId="Title">
    <w:name w:val="Title"/>
    <w:basedOn w:val="Normal"/>
    <w:next w:val="Normal"/>
    <w:link w:val="TitleChar"/>
    <w:uiPriority w:val="10"/>
    <w:qFormat/>
    <w:rsid w:val="00740351"/>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40351"/>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025F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FD3"/>
    <w:pPr>
      <w:spacing w:before="160"/>
      <w:jc w:val="center"/>
    </w:pPr>
    <w:rPr>
      <w:i/>
      <w:iCs/>
      <w:color w:val="404040" w:themeColor="text1" w:themeTint="BF"/>
    </w:rPr>
  </w:style>
  <w:style w:type="character" w:customStyle="1" w:styleId="QuoteChar">
    <w:name w:val="Quote Char"/>
    <w:basedOn w:val="DefaultParagraphFont"/>
    <w:link w:val="Quote"/>
    <w:uiPriority w:val="29"/>
    <w:rsid w:val="00025FD3"/>
    <w:rPr>
      <w:i/>
      <w:iCs/>
      <w:color w:val="404040" w:themeColor="text1" w:themeTint="BF"/>
    </w:rPr>
  </w:style>
  <w:style w:type="paragraph" w:styleId="ListParagraph">
    <w:name w:val="List Paragraph"/>
    <w:basedOn w:val="Normal"/>
    <w:uiPriority w:val="34"/>
    <w:qFormat/>
    <w:rsid w:val="00025FD3"/>
    <w:pPr>
      <w:ind w:left="720"/>
      <w:contextualSpacing/>
    </w:pPr>
  </w:style>
  <w:style w:type="character" w:styleId="IntenseEmphasis">
    <w:name w:val="Intense Emphasis"/>
    <w:basedOn w:val="DefaultParagraphFont"/>
    <w:uiPriority w:val="21"/>
    <w:qFormat/>
    <w:rsid w:val="00025FD3"/>
    <w:rPr>
      <w:i/>
      <w:iCs/>
      <w:color w:val="0F4761" w:themeColor="accent1" w:themeShade="BF"/>
    </w:rPr>
  </w:style>
  <w:style w:type="paragraph" w:styleId="IntenseQuote">
    <w:name w:val="Intense Quote"/>
    <w:basedOn w:val="Normal"/>
    <w:next w:val="Normal"/>
    <w:link w:val="IntenseQuoteChar"/>
    <w:uiPriority w:val="30"/>
    <w:qFormat/>
    <w:rsid w:val="00025F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FD3"/>
    <w:rPr>
      <w:i/>
      <w:iCs/>
      <w:color w:val="0F4761" w:themeColor="accent1" w:themeShade="BF"/>
    </w:rPr>
  </w:style>
  <w:style w:type="character" w:styleId="IntenseReference">
    <w:name w:val="Intense Reference"/>
    <w:basedOn w:val="DefaultParagraphFont"/>
    <w:uiPriority w:val="32"/>
    <w:qFormat/>
    <w:rsid w:val="00025FD3"/>
    <w:rPr>
      <w:b/>
      <w:bCs/>
      <w:smallCaps/>
      <w:color w:val="0F4761" w:themeColor="accent1" w:themeShade="BF"/>
      <w:spacing w:val="5"/>
    </w:rPr>
  </w:style>
  <w:style w:type="paragraph" w:styleId="NoSpacing">
    <w:name w:val="No Spacing"/>
    <w:uiPriority w:val="1"/>
    <w:qFormat/>
    <w:rsid w:val="00251E77"/>
    <w:pPr>
      <w:spacing w:after="0" w:line="240" w:lineRule="auto"/>
    </w:pPr>
  </w:style>
  <w:style w:type="paragraph" w:styleId="Header">
    <w:name w:val="header"/>
    <w:basedOn w:val="Normal"/>
    <w:link w:val="HeaderChar"/>
    <w:uiPriority w:val="99"/>
    <w:unhideWhenUsed/>
    <w:rsid w:val="007403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351"/>
    <w:rPr>
      <w:rFonts w:ascii="Arial" w:hAnsi="Arial"/>
    </w:rPr>
  </w:style>
  <w:style w:type="paragraph" w:styleId="Footer">
    <w:name w:val="footer"/>
    <w:basedOn w:val="Normal"/>
    <w:link w:val="FooterChar"/>
    <w:uiPriority w:val="99"/>
    <w:unhideWhenUsed/>
    <w:rsid w:val="007403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351"/>
    <w:rPr>
      <w:rFonts w:ascii="Arial" w:hAnsi="Arial"/>
    </w:rPr>
  </w:style>
  <w:style w:type="paragraph" w:styleId="TOCHeading">
    <w:name w:val="TOC Heading"/>
    <w:basedOn w:val="Heading1"/>
    <w:next w:val="Normal"/>
    <w:uiPriority w:val="39"/>
    <w:unhideWhenUsed/>
    <w:qFormat/>
    <w:rsid w:val="001D4008"/>
    <w:pPr>
      <w:spacing w:before="240" w:after="0" w:line="259" w:lineRule="auto"/>
      <w:jc w:val="left"/>
      <w:outlineLvl w:val="9"/>
    </w:pPr>
    <w:rPr>
      <w:rFonts w:asciiTheme="majorHAnsi" w:hAnsiTheme="majorHAnsi"/>
      <w:b w:val="0"/>
      <w:color w:val="0F4761" w:themeColor="accent1" w:themeShade="BF"/>
      <w:kern w:val="0"/>
      <w:sz w:val="32"/>
      <w:szCs w:val="32"/>
      <w:lang w:bidi="ar-SA"/>
      <w14:ligatures w14:val="none"/>
    </w:rPr>
  </w:style>
  <w:style w:type="paragraph" w:styleId="TOC1">
    <w:name w:val="toc 1"/>
    <w:basedOn w:val="Normal"/>
    <w:next w:val="Normal"/>
    <w:autoRedefine/>
    <w:uiPriority w:val="39"/>
    <w:unhideWhenUsed/>
    <w:rsid w:val="001D4008"/>
    <w:pPr>
      <w:spacing w:after="100"/>
    </w:pPr>
  </w:style>
  <w:style w:type="character" w:styleId="Hyperlink">
    <w:name w:val="Hyperlink"/>
    <w:basedOn w:val="DefaultParagraphFont"/>
    <w:uiPriority w:val="99"/>
    <w:unhideWhenUsed/>
    <w:rsid w:val="001D4008"/>
    <w:rPr>
      <w:color w:val="467886" w:themeColor="hyperlink"/>
      <w:u w:val="single"/>
    </w:rPr>
  </w:style>
  <w:style w:type="character" w:styleId="UnresolvedMention">
    <w:name w:val="Unresolved Mention"/>
    <w:basedOn w:val="DefaultParagraphFont"/>
    <w:uiPriority w:val="99"/>
    <w:semiHidden/>
    <w:unhideWhenUsed/>
    <w:rsid w:val="00826CD0"/>
    <w:rPr>
      <w:color w:val="605E5C"/>
      <w:shd w:val="clear" w:color="auto" w:fill="E1DFDD"/>
    </w:rPr>
  </w:style>
  <w:style w:type="paragraph" w:styleId="TOC2">
    <w:name w:val="toc 2"/>
    <w:basedOn w:val="Normal"/>
    <w:next w:val="Normal"/>
    <w:autoRedefine/>
    <w:uiPriority w:val="39"/>
    <w:unhideWhenUsed/>
    <w:rsid w:val="00893CA3"/>
    <w:pPr>
      <w:spacing w:after="100"/>
      <w:ind w:left="240"/>
    </w:pPr>
  </w:style>
  <w:style w:type="paragraph" w:styleId="TOC3">
    <w:name w:val="toc 3"/>
    <w:basedOn w:val="Normal"/>
    <w:next w:val="Normal"/>
    <w:autoRedefine/>
    <w:uiPriority w:val="39"/>
    <w:unhideWhenUsed/>
    <w:rsid w:val="00CE16C1"/>
    <w:pPr>
      <w:spacing w:after="100"/>
      <w:ind w:left="480"/>
    </w:pPr>
  </w:style>
  <w:style w:type="table" w:styleId="TableGrid">
    <w:name w:val="Table Grid"/>
    <w:basedOn w:val="TableNormal"/>
    <w:uiPriority w:val="39"/>
    <w:rsid w:val="00A451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2E9C"/>
    <w:pPr>
      <w:spacing w:after="200" w:line="240" w:lineRule="auto"/>
    </w:pPr>
    <w:rPr>
      <w:i/>
      <w:iCs/>
      <w:color w:val="0E2841" w:themeColor="text2"/>
      <w:sz w:val="18"/>
      <w:szCs w:val="18"/>
    </w:rPr>
  </w:style>
  <w:style w:type="paragraph" w:styleId="NormalWeb">
    <w:name w:val="Normal (Web)"/>
    <w:basedOn w:val="Normal"/>
    <w:uiPriority w:val="99"/>
    <w:semiHidden/>
    <w:unhideWhenUsed/>
    <w:rsid w:val="002C2E9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unterpointresearch.com" TargetMode="External"/><Relationship Id="rId18" Type="http://schemas.openxmlformats.org/officeDocument/2006/relationships/hyperlink" Target="https://www.oecd.or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 TargetMode="External"/><Relationship Id="rId7" Type="http://schemas.openxmlformats.org/officeDocument/2006/relationships/endnotes" Target="endnotes.xml"/><Relationship Id="rId12" Type="http://schemas.openxmlformats.org/officeDocument/2006/relationships/hyperlink" Target="https://www.apple.com/investor" TargetMode="External"/><Relationship Id="rId17" Type="http://schemas.openxmlformats.org/officeDocument/2006/relationships/hyperlink" Target="https://www.mckinsey.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mf.org" TargetMode="External"/><Relationship Id="rId20" Type="http://schemas.openxmlformats.org/officeDocument/2006/relationships/hyperlink" Target="https://www.samsung.com/global/i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dc.com"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pwc.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oitte.com" TargetMode="External"/><Relationship Id="rId22" Type="http://schemas.openxmlformats.org/officeDocument/2006/relationships/hyperlink" Target="https://www.worldban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f</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454</TotalTime>
  <Pages>19</Pages>
  <Words>4287</Words>
  <Characters>24438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Riyaben J. Prajapati</dc:creator>
  <cp:keywords/>
  <dc:description/>
  <cp:lastModifiedBy>Mit Prajapati</cp:lastModifiedBy>
  <cp:revision>43</cp:revision>
  <dcterms:created xsi:type="dcterms:W3CDTF">2026-03-19T13:47:00Z</dcterms:created>
  <dcterms:modified xsi:type="dcterms:W3CDTF">2026-03-27T03:06:00Z</dcterms:modified>
</cp:coreProperties>
</file>