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9BAF20" w14:textId="77777777" w:rsidR="009758A2" w:rsidRDefault="009758A2" w:rsidP="009758A2">
      <w:r>
        <w:rPr>
          <w:noProof/>
        </w:rPr>
        <w:drawing>
          <wp:inline distT="0" distB="0" distL="0" distR="0" wp14:anchorId="7A7C3106" wp14:editId="09719EEE">
            <wp:extent cx="2806700" cy="1249273"/>
            <wp:effectExtent l="0" t="0" r="0" b="0"/>
            <wp:docPr id="1814468204"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25881" cy="1257811"/>
                    </a:xfrm>
                    <a:prstGeom prst="rect">
                      <a:avLst/>
                    </a:prstGeom>
                    <a:noFill/>
                    <a:ln>
                      <a:noFill/>
                    </a:ln>
                  </pic:spPr>
                </pic:pic>
              </a:graphicData>
            </a:graphic>
          </wp:inline>
        </w:drawing>
      </w:r>
    </w:p>
    <w:p w14:paraId="5F9A2B46" w14:textId="77777777" w:rsidR="009758A2" w:rsidRDefault="009758A2" w:rsidP="009758A2"/>
    <w:p w14:paraId="387B15AA" w14:textId="77777777" w:rsidR="009758A2" w:rsidRDefault="009758A2" w:rsidP="009758A2"/>
    <w:p w14:paraId="2E50EB56" w14:textId="77777777" w:rsidR="009758A2" w:rsidRPr="009758A2" w:rsidRDefault="009758A2" w:rsidP="009758A2">
      <w:pPr>
        <w:pStyle w:val="p1"/>
        <w:jc w:val="center"/>
        <w:rPr>
          <w:b/>
          <w:bCs/>
          <w:sz w:val="28"/>
          <w:szCs w:val="28"/>
        </w:rPr>
      </w:pPr>
      <w:proofErr w:type="spellStart"/>
      <w:r w:rsidRPr="009758A2">
        <w:rPr>
          <w:b/>
          <w:bCs/>
          <w:sz w:val="28"/>
          <w:szCs w:val="28"/>
        </w:rPr>
        <w:t>Assigment</w:t>
      </w:r>
      <w:proofErr w:type="spellEnd"/>
      <w:r w:rsidRPr="009758A2">
        <w:rPr>
          <w:b/>
          <w:bCs/>
          <w:sz w:val="28"/>
          <w:szCs w:val="28"/>
        </w:rPr>
        <w:t xml:space="preserve"> 2- Old people living in a dementia care home</w:t>
      </w:r>
    </w:p>
    <w:p w14:paraId="64FAF08C" w14:textId="716109A5" w:rsidR="009758A2" w:rsidRPr="009758A2" w:rsidRDefault="009758A2" w:rsidP="009758A2">
      <w:pPr>
        <w:pStyle w:val="p1"/>
        <w:jc w:val="center"/>
        <w:rPr>
          <w:sz w:val="28"/>
          <w:szCs w:val="28"/>
        </w:rPr>
      </w:pPr>
    </w:p>
    <w:p w14:paraId="09EB2A3E" w14:textId="77777777" w:rsidR="009758A2" w:rsidRPr="009758A2" w:rsidRDefault="009758A2" w:rsidP="009758A2">
      <w:pPr>
        <w:spacing w:before="120" w:after="120"/>
        <w:rPr>
          <w:rFonts w:ascii="Arial" w:hAnsi="Arial" w:cs="Arial"/>
          <w:b/>
          <w:bCs/>
          <w:sz w:val="28"/>
          <w:szCs w:val="28"/>
        </w:rPr>
      </w:pPr>
      <w:r w:rsidRPr="009758A2">
        <w:rPr>
          <w:rFonts w:ascii="Arial" w:hAnsi="Arial" w:cs="Arial"/>
          <w:b/>
          <w:bCs/>
          <w:sz w:val="28"/>
          <w:szCs w:val="28"/>
        </w:rPr>
        <w:t xml:space="preserve"> </w:t>
      </w:r>
    </w:p>
    <w:p w14:paraId="1DC037E9" w14:textId="77777777" w:rsidR="009758A2" w:rsidRPr="009758A2" w:rsidRDefault="009758A2" w:rsidP="009758A2">
      <w:pPr>
        <w:rPr>
          <w:b/>
          <w:bCs/>
          <w:sz w:val="28"/>
          <w:szCs w:val="28"/>
        </w:rPr>
      </w:pPr>
    </w:p>
    <w:p w14:paraId="722D9FA3" w14:textId="77777777" w:rsidR="009758A2" w:rsidRPr="009758A2" w:rsidRDefault="009758A2" w:rsidP="009758A2">
      <w:pPr>
        <w:rPr>
          <w:b/>
          <w:bCs/>
        </w:rPr>
      </w:pPr>
    </w:p>
    <w:p w14:paraId="5B5220AE" w14:textId="77777777" w:rsidR="009758A2" w:rsidRPr="009758A2" w:rsidRDefault="009758A2" w:rsidP="009758A2">
      <w:pPr>
        <w:spacing w:line="276" w:lineRule="auto"/>
        <w:rPr>
          <w:rFonts w:ascii="Arial" w:hAnsi="Arial" w:cs="Arial"/>
          <w:b/>
          <w:bCs/>
          <w:lang w:val="pt-PT"/>
        </w:rPr>
      </w:pPr>
      <w:proofErr w:type="spellStart"/>
      <w:r w:rsidRPr="009758A2">
        <w:rPr>
          <w:rFonts w:ascii="Arial" w:hAnsi="Arial" w:cs="Arial"/>
          <w:b/>
          <w:bCs/>
          <w:lang w:val="pt-PT"/>
        </w:rPr>
        <w:t>Name</w:t>
      </w:r>
      <w:proofErr w:type="spellEnd"/>
      <w:r w:rsidRPr="009758A2">
        <w:rPr>
          <w:rFonts w:ascii="Arial" w:hAnsi="Arial" w:cs="Arial"/>
          <w:b/>
          <w:bCs/>
          <w:lang w:val="pt-PT"/>
        </w:rPr>
        <w:t>: Jussara Maria Sá Si Vieira</w:t>
      </w:r>
    </w:p>
    <w:p w14:paraId="78BCA5C6" w14:textId="77777777" w:rsidR="009758A2" w:rsidRPr="009758A2" w:rsidRDefault="009758A2" w:rsidP="009758A2">
      <w:pPr>
        <w:spacing w:line="276" w:lineRule="auto"/>
        <w:rPr>
          <w:rFonts w:ascii="Arial" w:hAnsi="Arial" w:cs="Arial"/>
          <w:b/>
          <w:bCs/>
        </w:rPr>
      </w:pPr>
      <w:r w:rsidRPr="009758A2">
        <w:rPr>
          <w:rFonts w:ascii="Arial" w:hAnsi="Arial" w:cs="Arial"/>
          <w:b/>
          <w:bCs/>
        </w:rPr>
        <w:t>Student’s ID number: 2431198</w:t>
      </w:r>
    </w:p>
    <w:p w14:paraId="789CAE53" w14:textId="00F1EC15" w:rsidR="009758A2" w:rsidRPr="009758A2" w:rsidRDefault="009758A2" w:rsidP="009758A2">
      <w:pPr>
        <w:pStyle w:val="p1"/>
        <w:spacing w:line="276" w:lineRule="auto"/>
        <w:rPr>
          <w:rStyle w:val="apple-converted-space"/>
          <w:rFonts w:eastAsiaTheme="majorEastAsia"/>
          <w:b/>
          <w:bCs/>
          <w:sz w:val="24"/>
          <w:szCs w:val="24"/>
        </w:rPr>
      </w:pPr>
      <w:r w:rsidRPr="009758A2">
        <w:rPr>
          <w:b/>
          <w:bCs/>
          <w:sz w:val="24"/>
          <w:szCs w:val="24"/>
        </w:rPr>
        <w:t>Module Code: LCHS4010</w:t>
      </w:r>
      <w:r w:rsidRPr="009758A2">
        <w:rPr>
          <w:rStyle w:val="apple-converted-space"/>
          <w:rFonts w:eastAsiaTheme="majorEastAsia"/>
          <w:b/>
          <w:bCs/>
          <w:sz w:val="24"/>
          <w:szCs w:val="24"/>
        </w:rPr>
        <w:t> </w:t>
      </w:r>
    </w:p>
    <w:p w14:paraId="73BD8E83" w14:textId="77777777" w:rsidR="009758A2" w:rsidRPr="009758A2" w:rsidRDefault="009758A2" w:rsidP="009758A2">
      <w:pPr>
        <w:pStyle w:val="p1"/>
        <w:spacing w:line="276" w:lineRule="auto"/>
        <w:rPr>
          <w:rFonts w:eastAsiaTheme="majorEastAsia"/>
          <w:b/>
          <w:bCs/>
          <w:sz w:val="24"/>
          <w:szCs w:val="24"/>
        </w:rPr>
      </w:pPr>
    </w:p>
    <w:p w14:paraId="7A7964FF" w14:textId="6395B29C" w:rsidR="009758A2" w:rsidRPr="009758A2" w:rsidRDefault="009758A2" w:rsidP="009758A2">
      <w:pPr>
        <w:pStyle w:val="p1"/>
        <w:spacing w:line="276" w:lineRule="auto"/>
        <w:rPr>
          <w:b/>
          <w:bCs/>
          <w:sz w:val="24"/>
          <w:szCs w:val="24"/>
        </w:rPr>
      </w:pPr>
      <w:r w:rsidRPr="009758A2">
        <w:rPr>
          <w:b/>
          <w:bCs/>
          <w:sz w:val="24"/>
          <w:szCs w:val="24"/>
        </w:rPr>
        <w:t>Module name: Psychology in Health and Social Care</w:t>
      </w:r>
    </w:p>
    <w:p w14:paraId="18237856" w14:textId="77777777" w:rsidR="009758A2" w:rsidRPr="009758A2" w:rsidRDefault="009758A2" w:rsidP="009758A2">
      <w:pPr>
        <w:pStyle w:val="p1"/>
        <w:spacing w:line="276" w:lineRule="auto"/>
        <w:rPr>
          <w:b/>
          <w:bCs/>
          <w:sz w:val="24"/>
          <w:szCs w:val="24"/>
        </w:rPr>
      </w:pPr>
    </w:p>
    <w:p w14:paraId="1E2487D8" w14:textId="609E4BF2" w:rsidR="009758A2" w:rsidRPr="009758A2" w:rsidRDefault="009758A2" w:rsidP="009758A2">
      <w:pPr>
        <w:spacing w:line="276" w:lineRule="auto"/>
        <w:rPr>
          <w:rFonts w:ascii="Arial" w:hAnsi="Arial" w:cs="Arial"/>
          <w:b/>
          <w:bCs/>
        </w:rPr>
      </w:pPr>
      <w:r w:rsidRPr="009758A2">
        <w:rPr>
          <w:rFonts w:ascii="Arial" w:hAnsi="Arial" w:cs="Arial"/>
          <w:b/>
          <w:bCs/>
        </w:rPr>
        <w:t xml:space="preserve">Lecturer: </w:t>
      </w:r>
      <w:r w:rsidRPr="009758A2">
        <w:rPr>
          <w:rFonts w:ascii="Arial" w:hAnsi="Arial" w:cs="Arial"/>
          <w:b/>
          <w:bCs/>
        </w:rPr>
        <w:t xml:space="preserve">Christopher </w:t>
      </w:r>
      <w:proofErr w:type="spellStart"/>
      <w:r w:rsidRPr="009758A2">
        <w:rPr>
          <w:rFonts w:ascii="Arial" w:hAnsi="Arial" w:cs="Arial"/>
          <w:b/>
          <w:bCs/>
        </w:rPr>
        <w:t>mafuva</w:t>
      </w:r>
      <w:proofErr w:type="spellEnd"/>
    </w:p>
    <w:p w14:paraId="732A0DC4" w14:textId="77777777" w:rsidR="009758A2" w:rsidRDefault="009758A2">
      <w:pPr>
        <w:rPr>
          <w:rFonts w:ascii="Arial" w:hAnsi="Arial" w:cs="Arial"/>
        </w:rPr>
      </w:pPr>
    </w:p>
    <w:p w14:paraId="22E44666" w14:textId="77777777" w:rsidR="009758A2" w:rsidRDefault="009758A2">
      <w:pPr>
        <w:rPr>
          <w:rFonts w:ascii="Arial" w:hAnsi="Arial" w:cs="Arial"/>
        </w:rPr>
      </w:pPr>
    </w:p>
    <w:p w14:paraId="46F52307" w14:textId="77777777" w:rsidR="009758A2" w:rsidRDefault="009758A2">
      <w:pPr>
        <w:rPr>
          <w:rFonts w:ascii="Arial" w:hAnsi="Arial" w:cs="Arial"/>
        </w:rPr>
      </w:pPr>
    </w:p>
    <w:p w14:paraId="4FFFCEBA" w14:textId="77777777" w:rsidR="009758A2" w:rsidRDefault="009758A2">
      <w:pPr>
        <w:rPr>
          <w:rFonts w:ascii="Arial" w:hAnsi="Arial" w:cs="Arial"/>
        </w:rPr>
      </w:pPr>
    </w:p>
    <w:p w14:paraId="61EA99B4" w14:textId="77777777" w:rsidR="009758A2" w:rsidRDefault="009758A2">
      <w:pPr>
        <w:rPr>
          <w:rFonts w:ascii="Arial" w:hAnsi="Arial" w:cs="Arial"/>
        </w:rPr>
      </w:pPr>
    </w:p>
    <w:p w14:paraId="1D7C4BCE" w14:textId="77777777" w:rsidR="009758A2" w:rsidRDefault="009758A2">
      <w:pPr>
        <w:rPr>
          <w:rFonts w:ascii="Arial" w:hAnsi="Arial" w:cs="Arial"/>
        </w:rPr>
      </w:pPr>
    </w:p>
    <w:p w14:paraId="53EA42B4" w14:textId="77777777" w:rsidR="009758A2" w:rsidRDefault="009758A2">
      <w:pPr>
        <w:rPr>
          <w:rFonts w:ascii="Arial" w:hAnsi="Arial" w:cs="Arial"/>
        </w:rPr>
      </w:pPr>
    </w:p>
    <w:p w14:paraId="751CC6E3" w14:textId="77777777" w:rsidR="009758A2" w:rsidRDefault="009758A2">
      <w:pPr>
        <w:rPr>
          <w:rFonts w:ascii="Arial" w:hAnsi="Arial" w:cs="Arial"/>
        </w:rPr>
      </w:pPr>
    </w:p>
    <w:p w14:paraId="6161BE40" w14:textId="77777777" w:rsidR="009758A2" w:rsidRDefault="009758A2">
      <w:pPr>
        <w:rPr>
          <w:rFonts w:ascii="Arial" w:hAnsi="Arial" w:cs="Arial"/>
        </w:rPr>
      </w:pPr>
    </w:p>
    <w:p w14:paraId="282F7CF6" w14:textId="77777777" w:rsidR="009758A2" w:rsidRDefault="009758A2">
      <w:pPr>
        <w:rPr>
          <w:rFonts w:ascii="Arial" w:hAnsi="Arial" w:cs="Arial"/>
        </w:rPr>
      </w:pPr>
    </w:p>
    <w:p w14:paraId="78EF8A4A" w14:textId="77777777" w:rsidR="009758A2" w:rsidRDefault="009758A2">
      <w:pPr>
        <w:rPr>
          <w:rFonts w:ascii="Arial" w:hAnsi="Arial" w:cs="Arial"/>
        </w:rPr>
      </w:pPr>
    </w:p>
    <w:p w14:paraId="4A2147E0" w14:textId="77777777" w:rsidR="009758A2" w:rsidRDefault="009758A2">
      <w:pPr>
        <w:rPr>
          <w:rFonts w:ascii="Arial" w:hAnsi="Arial" w:cs="Arial"/>
        </w:rPr>
      </w:pPr>
    </w:p>
    <w:p w14:paraId="1C44AA8D" w14:textId="77777777" w:rsidR="009758A2" w:rsidRPr="009758A2" w:rsidRDefault="009758A2" w:rsidP="009758A2">
      <w:pPr>
        <w:spacing w:before="100" w:beforeAutospacing="1" w:after="100" w:afterAutospacing="1" w:line="240" w:lineRule="auto"/>
        <w:outlineLvl w:val="0"/>
        <w:rPr>
          <w:rFonts w:ascii="Arial" w:eastAsia="Times New Roman" w:hAnsi="Arial" w:cs="Arial"/>
          <w:b/>
          <w:bCs/>
          <w:color w:val="000000"/>
          <w:kern w:val="36"/>
          <w:sz w:val="32"/>
          <w:szCs w:val="32"/>
          <w:lang w:eastAsia="en-GB"/>
          <w14:ligatures w14:val="none"/>
        </w:rPr>
      </w:pPr>
      <w:r w:rsidRPr="009758A2">
        <w:rPr>
          <w:rFonts w:ascii="Arial" w:eastAsia="Times New Roman" w:hAnsi="Arial" w:cs="Arial"/>
          <w:b/>
          <w:bCs/>
          <w:color w:val="000000"/>
          <w:kern w:val="36"/>
          <w:sz w:val="32"/>
          <w:szCs w:val="32"/>
          <w:lang w:eastAsia="en-GB"/>
          <w14:ligatures w14:val="none"/>
        </w:rPr>
        <w:lastRenderedPageBreak/>
        <w:t>Using Psychological Theories to Support Older Adults with Psychological Health Conditions in Dementia Care Homes</w:t>
      </w:r>
    </w:p>
    <w:p w14:paraId="114F973A" w14:textId="4E74DE0A" w:rsidR="009758A2" w:rsidRPr="009758A2" w:rsidRDefault="009758A2" w:rsidP="009758A2">
      <w:pPr>
        <w:pStyle w:val="ListParagraph"/>
        <w:numPr>
          <w:ilvl w:val="0"/>
          <w:numId w:val="1"/>
        </w:numPr>
        <w:spacing w:before="100" w:beforeAutospacing="1" w:after="100" w:afterAutospacing="1" w:line="240" w:lineRule="auto"/>
        <w:outlineLvl w:val="1"/>
        <w:rPr>
          <w:rFonts w:ascii="Arial" w:eastAsia="Times New Roman" w:hAnsi="Arial" w:cs="Arial"/>
          <w:b/>
          <w:bCs/>
          <w:color w:val="000000"/>
          <w:kern w:val="0"/>
          <w:sz w:val="36"/>
          <w:szCs w:val="36"/>
          <w:lang w:eastAsia="en-GB"/>
          <w14:ligatures w14:val="none"/>
        </w:rPr>
      </w:pPr>
      <w:r w:rsidRPr="009758A2">
        <w:rPr>
          <w:rFonts w:ascii="Arial" w:eastAsia="Times New Roman" w:hAnsi="Arial" w:cs="Arial"/>
          <w:b/>
          <w:bCs/>
          <w:color w:val="000000"/>
          <w:kern w:val="0"/>
          <w:lang w:eastAsia="en-GB"/>
          <w14:ligatures w14:val="none"/>
        </w:rPr>
        <w:t>Introduction</w:t>
      </w:r>
    </w:p>
    <w:p w14:paraId="65E8C8FB" w14:textId="77777777" w:rsidR="009758A2" w:rsidRPr="009758A2" w:rsidRDefault="009758A2" w:rsidP="009758A2">
      <w:pPr>
        <w:pStyle w:val="ListParagraph"/>
        <w:spacing w:before="100" w:beforeAutospacing="1" w:after="100" w:afterAutospacing="1" w:line="240" w:lineRule="auto"/>
        <w:outlineLvl w:val="1"/>
        <w:rPr>
          <w:rFonts w:ascii="Arial" w:eastAsia="Times New Roman" w:hAnsi="Arial" w:cs="Arial"/>
          <w:b/>
          <w:bCs/>
          <w:color w:val="000000"/>
          <w:kern w:val="0"/>
          <w:sz w:val="36"/>
          <w:szCs w:val="36"/>
          <w:lang w:eastAsia="en-GB"/>
          <w14:ligatures w14:val="none"/>
        </w:rPr>
      </w:pPr>
    </w:p>
    <w:p w14:paraId="356941CB" w14:textId="77777777" w:rsidR="009758A2" w:rsidRPr="009758A2" w:rsidRDefault="009758A2" w:rsidP="009758A2">
      <w:pPr>
        <w:pStyle w:val="ListParagraph"/>
        <w:numPr>
          <w:ilvl w:val="0"/>
          <w:numId w:val="2"/>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color w:val="000000"/>
          <w:kern w:val="0"/>
          <w:sz w:val="22"/>
          <w:szCs w:val="22"/>
          <w:lang w:eastAsia="en-GB"/>
          <w14:ligatures w14:val="none"/>
        </w:rPr>
        <w:t>Psychological health conditions among adults aged 65 and over represent a significant challenge within health and social care settings. Older adults are at increased risk of conditions such as depression, anxiety, and dementia-related psychological and behavioural symptoms due to factors including cognitive decline, physical ill-health, bereavement, loss of independence, and social isolation (Age UK, 2023). Within dementia care homes, residents often experience psychological distress that may manifest as agitation, withdrawal, low mood, aggression, or confusion.</w:t>
      </w:r>
    </w:p>
    <w:p w14:paraId="220DEBA7" w14:textId="77777777" w:rsidR="009758A2" w:rsidRPr="009758A2" w:rsidRDefault="009758A2" w:rsidP="009758A2">
      <w:pPr>
        <w:pStyle w:val="ListParagraph"/>
        <w:numPr>
          <w:ilvl w:val="0"/>
          <w:numId w:val="2"/>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color w:val="000000"/>
          <w:kern w:val="0"/>
          <w:sz w:val="22"/>
          <w:szCs w:val="22"/>
          <w:lang w:eastAsia="en-GB"/>
          <w14:ligatures w14:val="none"/>
        </w:rPr>
        <w:t>Health and social care professionals working in dementia care homes must adopt evidence-based, psychologically informed approaches to support residents’ mental wellbeing. Psychological theories provide valuable frameworks for understanding behaviour, emotional responses, and coping mechanisms in later life. By applying these theories to practice, professionals can develop person-centred interventions that enhance quality of life, reduce distress, and promote dignity in care.</w:t>
      </w:r>
    </w:p>
    <w:p w14:paraId="0B163685" w14:textId="77777777" w:rsidR="009758A2" w:rsidRPr="009758A2" w:rsidRDefault="009758A2" w:rsidP="009758A2">
      <w:pPr>
        <w:pStyle w:val="ListParagraph"/>
        <w:numPr>
          <w:ilvl w:val="0"/>
          <w:numId w:val="2"/>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color w:val="000000"/>
          <w:kern w:val="0"/>
          <w:sz w:val="22"/>
          <w:szCs w:val="22"/>
          <w:lang w:eastAsia="en-GB"/>
          <w14:ligatures w14:val="none"/>
        </w:rPr>
        <w:t>This report explores how two psychological theories—</w:t>
      </w:r>
      <w:r w:rsidRPr="009758A2">
        <w:rPr>
          <w:rFonts w:ascii="Arial" w:eastAsia="Times New Roman" w:hAnsi="Arial" w:cs="Arial"/>
          <w:b/>
          <w:bCs/>
          <w:color w:val="000000"/>
          <w:kern w:val="0"/>
          <w:sz w:val="22"/>
          <w:szCs w:val="22"/>
          <w:lang w:eastAsia="en-GB"/>
          <w14:ligatures w14:val="none"/>
        </w:rPr>
        <w:t>Erikson’s Psychosocial Theory of Development</w:t>
      </w:r>
      <w:r w:rsidRPr="009758A2">
        <w:rPr>
          <w:rFonts w:ascii="Arial" w:eastAsia="Times New Roman" w:hAnsi="Arial" w:cs="Arial"/>
          <w:color w:val="000000"/>
          <w:kern w:val="0"/>
          <w:sz w:val="22"/>
          <w:szCs w:val="22"/>
          <w:lang w:eastAsia="en-GB"/>
          <w14:ligatures w14:val="none"/>
        </w:rPr>
        <w:t> and </w:t>
      </w:r>
      <w:r w:rsidRPr="009758A2">
        <w:rPr>
          <w:rFonts w:ascii="Arial" w:eastAsia="Times New Roman" w:hAnsi="Arial" w:cs="Arial"/>
          <w:b/>
          <w:bCs/>
          <w:color w:val="000000"/>
          <w:kern w:val="0"/>
          <w:sz w:val="22"/>
          <w:szCs w:val="22"/>
          <w:lang w:eastAsia="en-GB"/>
          <w14:ligatures w14:val="none"/>
        </w:rPr>
        <w:t>Cognitive Behavioural Theory (CBT)</w:t>
      </w:r>
      <w:r w:rsidRPr="009758A2">
        <w:rPr>
          <w:rFonts w:ascii="Arial" w:eastAsia="Times New Roman" w:hAnsi="Arial" w:cs="Arial"/>
          <w:color w:val="000000"/>
          <w:kern w:val="0"/>
          <w:sz w:val="22"/>
          <w:szCs w:val="22"/>
          <w:lang w:eastAsia="en-GB"/>
          <w14:ligatures w14:val="none"/>
        </w:rPr>
        <w:t>—can be applied within a dementia care home to support adults aged 65 and over who are experiencing psychological health conditions. The report critically evaluates the usefulness of each theory, provides practical examples of application, and discusses challenges faced by professionals, along with strategies to address them.</w:t>
      </w:r>
    </w:p>
    <w:p w14:paraId="4AB0CC10" w14:textId="689F8C98" w:rsidR="009758A2" w:rsidRPr="009758A2" w:rsidRDefault="009758A2" w:rsidP="009758A2">
      <w:pPr>
        <w:pStyle w:val="ListParagraph"/>
        <w:numPr>
          <w:ilvl w:val="0"/>
          <w:numId w:val="2"/>
        </w:num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r w:rsidRPr="009758A2">
        <w:rPr>
          <w:rFonts w:ascii="Arial" w:hAnsi="Arial" w:cs="Arial"/>
          <w:color w:val="000000"/>
          <w:sz w:val="22"/>
          <w:szCs w:val="22"/>
        </w:rPr>
        <w:t>It is also important to emphasise that the global population is ageing rapidly, which has led to an increased demand for health and social care services that are equipped to address psychological as well as physical needs. Older adults living in care homes are particularly vulnerable to psychological distress due to reduced independence, separation from family, and adjustment to unfamiliar environments. For individuals with dementia, these challenges are often intensified by cognitive decline and difficulties with communication. As a result, psychological theories and research play a crucial role in helping professionals understand residents’ emotional responses and behaviours. Applying theory to practice enables care staff to deliver evidence-based, compassionate, and person-centred care that promotes mental wellbeing and preserves dignity in later life.</w:t>
      </w:r>
    </w:p>
    <w:p w14:paraId="127E86F4" w14:textId="77777777" w:rsidR="009758A2" w:rsidRPr="009758A2" w:rsidRDefault="009758A2" w:rsidP="009758A2">
      <w:pPr>
        <w:pStyle w:val="ListParagraph"/>
        <w:spacing w:before="100" w:beforeAutospacing="1" w:after="100" w:afterAutospacing="1" w:line="240" w:lineRule="auto"/>
        <w:outlineLvl w:val="1"/>
        <w:rPr>
          <w:rFonts w:ascii="Times New Roman" w:eastAsia="Times New Roman" w:hAnsi="Times New Roman" w:cs="Times New Roman"/>
          <w:b/>
          <w:bCs/>
          <w:color w:val="000000"/>
          <w:kern w:val="0"/>
          <w:sz w:val="22"/>
          <w:szCs w:val="22"/>
          <w:lang w:eastAsia="en-GB"/>
          <w14:ligatures w14:val="none"/>
        </w:rPr>
      </w:pPr>
    </w:p>
    <w:p w14:paraId="382B4E57" w14:textId="77777777" w:rsidR="009758A2" w:rsidRDefault="009758A2" w:rsidP="009758A2">
      <w:pPr>
        <w:pStyle w:val="ListParagraph"/>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p>
    <w:p w14:paraId="113D8B89" w14:textId="77777777" w:rsidR="009758A2" w:rsidRDefault="009758A2" w:rsidP="009758A2">
      <w:pPr>
        <w:pStyle w:val="ListParagraph"/>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p>
    <w:p w14:paraId="143A84C9" w14:textId="77777777" w:rsidR="009758A2" w:rsidRDefault="009758A2" w:rsidP="009758A2">
      <w:pPr>
        <w:pStyle w:val="ListParagraph"/>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p>
    <w:p w14:paraId="4DCFA5E0" w14:textId="011EC364" w:rsidR="009758A2" w:rsidRPr="009758A2" w:rsidRDefault="009758A2" w:rsidP="009758A2">
      <w:pPr>
        <w:pStyle w:val="ListParagraph"/>
        <w:spacing w:before="100" w:beforeAutospacing="1" w:after="100" w:afterAutospacing="1" w:line="240" w:lineRule="auto"/>
        <w:outlineLvl w:val="1"/>
        <w:rPr>
          <w:rFonts w:ascii="Arial" w:eastAsia="Times New Roman" w:hAnsi="Arial" w:cs="Arial"/>
          <w:b/>
          <w:bCs/>
          <w:color w:val="000000"/>
          <w:kern w:val="0"/>
          <w:lang w:eastAsia="en-GB"/>
          <w14:ligatures w14:val="none"/>
        </w:rPr>
      </w:pPr>
      <w:r w:rsidRPr="009758A2">
        <w:rPr>
          <w:rFonts w:ascii="Arial" w:eastAsia="Times New Roman" w:hAnsi="Arial" w:cs="Arial"/>
          <w:b/>
          <w:bCs/>
          <w:color w:val="000000"/>
          <w:kern w:val="0"/>
          <w:lang w:eastAsia="en-GB"/>
          <w14:ligatures w14:val="none"/>
        </w:rPr>
        <w:t>2. Dementia Care Home</w:t>
      </w:r>
    </w:p>
    <w:p w14:paraId="4CA1C06E" w14:textId="5402363B" w:rsidR="009758A2" w:rsidRPr="009758A2" w:rsidRDefault="009758A2" w:rsidP="009758A2">
      <w:pPr>
        <w:pStyle w:val="ListParagraph"/>
        <w:numPr>
          <w:ilvl w:val="0"/>
          <w:numId w:val="2"/>
        </w:num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9758A2">
        <w:rPr>
          <w:rFonts w:ascii="Arial" w:hAnsi="Arial" w:cs="Arial"/>
          <w:color w:val="000000"/>
          <w:sz w:val="22"/>
          <w:szCs w:val="22"/>
        </w:rPr>
        <w:t xml:space="preserve">In a dementia care home, residents often rely heavily on staff for both practical and emotional support. Daily routines, environmental factors, and staff–resident interactions can significantly influence psychological wellbeing. Multidisciplinary teams must work collaboratively to manage complex needs, including memory loss, confusion, emotional distress, and behavioural symptoms. A strong understanding of psychological theory supports professionals in interpreting behaviour as a form of communication rather than deliberate non-compliance. This approach encourages empathy and reduces the risk of inappropriate responses, such as the overuse of </w:t>
      </w:r>
      <w:r w:rsidRPr="009758A2">
        <w:rPr>
          <w:rFonts w:ascii="Arial" w:hAnsi="Arial" w:cs="Arial"/>
          <w:color w:val="000000"/>
          <w:sz w:val="22"/>
          <w:szCs w:val="22"/>
        </w:rPr>
        <w:lastRenderedPageBreak/>
        <w:t>medication or restrictive practices, thereby improving the overall quality of care provided to older adults.</w:t>
      </w:r>
    </w:p>
    <w:p w14:paraId="5A1EC9A9" w14:textId="77777777" w:rsidR="009758A2" w:rsidRDefault="009758A2" w:rsidP="009758A2">
      <w:pPr>
        <w:pStyle w:val="ListParagraph"/>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p>
    <w:p w14:paraId="2EC28B2F" w14:textId="0340163C" w:rsidR="009758A2" w:rsidRPr="009758A2" w:rsidRDefault="009758A2" w:rsidP="009758A2">
      <w:pPr>
        <w:pStyle w:val="ListParagraph"/>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9758A2">
        <w:rPr>
          <w:rFonts w:ascii="Times New Roman" w:eastAsia="Times New Roman" w:hAnsi="Times New Roman" w:cs="Times New Roman"/>
          <w:b/>
          <w:bCs/>
          <w:color w:val="000000"/>
          <w:kern w:val="0"/>
          <w:sz w:val="36"/>
          <w:szCs w:val="36"/>
          <w:lang w:eastAsia="en-GB"/>
          <w14:ligatures w14:val="none"/>
        </w:rPr>
        <w:t xml:space="preserve">3. </w:t>
      </w:r>
      <w:r w:rsidRPr="009758A2">
        <w:rPr>
          <w:rFonts w:ascii="Arial" w:eastAsia="Times New Roman" w:hAnsi="Arial" w:cs="Arial"/>
          <w:b/>
          <w:bCs/>
          <w:color w:val="000000"/>
          <w:kern w:val="0"/>
          <w:sz w:val="36"/>
          <w:szCs w:val="36"/>
          <w:lang w:eastAsia="en-GB"/>
          <w14:ligatures w14:val="none"/>
        </w:rPr>
        <w:t>Overview of Psychological Theories</w:t>
      </w:r>
    </w:p>
    <w:p w14:paraId="05C67047" w14:textId="77777777" w:rsidR="009758A2" w:rsidRDefault="009758A2" w:rsidP="009758A2">
      <w:pPr>
        <w:pStyle w:val="ListParagraph"/>
        <w:spacing w:before="100" w:beforeAutospacing="1" w:after="100" w:afterAutospacing="1" w:line="240" w:lineRule="auto"/>
        <w:outlineLvl w:val="2"/>
        <w:rPr>
          <w:rFonts w:ascii="Arial" w:eastAsia="Times New Roman" w:hAnsi="Arial" w:cs="Arial"/>
          <w:b/>
          <w:bCs/>
          <w:color w:val="000000"/>
          <w:kern w:val="0"/>
          <w:lang w:eastAsia="en-GB"/>
          <w14:ligatures w14:val="none"/>
        </w:rPr>
      </w:pPr>
    </w:p>
    <w:p w14:paraId="7263CF63" w14:textId="45FFEA25" w:rsidR="009758A2" w:rsidRPr="009758A2" w:rsidRDefault="009758A2" w:rsidP="009758A2">
      <w:pPr>
        <w:pStyle w:val="ListParagraph"/>
        <w:spacing w:before="100" w:beforeAutospacing="1" w:after="100" w:afterAutospacing="1" w:line="240" w:lineRule="auto"/>
        <w:outlineLvl w:val="2"/>
        <w:rPr>
          <w:rFonts w:ascii="Arial" w:eastAsia="Times New Roman" w:hAnsi="Arial" w:cs="Arial"/>
          <w:b/>
          <w:bCs/>
          <w:color w:val="000000"/>
          <w:kern w:val="0"/>
          <w:lang w:eastAsia="en-GB"/>
          <w14:ligatures w14:val="none"/>
        </w:rPr>
      </w:pPr>
      <w:r w:rsidRPr="009758A2">
        <w:rPr>
          <w:rFonts w:ascii="Arial" w:eastAsia="Times New Roman" w:hAnsi="Arial" w:cs="Arial"/>
          <w:b/>
          <w:bCs/>
          <w:color w:val="000000"/>
          <w:kern w:val="0"/>
          <w:lang w:eastAsia="en-GB"/>
          <w14:ligatures w14:val="none"/>
        </w:rPr>
        <w:t>3.1 Erikson’s Psychosocial Theory of Development</w:t>
      </w:r>
    </w:p>
    <w:p w14:paraId="0929EFAF" w14:textId="77777777" w:rsidR="009758A2" w:rsidRDefault="009758A2" w:rsidP="009758A2">
      <w:pPr>
        <w:pStyle w:val="ListParagraph"/>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355C3FF1" w14:textId="77777777" w:rsidR="009758A2" w:rsidRPr="009758A2" w:rsidRDefault="009758A2" w:rsidP="009758A2">
      <w:pPr>
        <w:pStyle w:val="ListParagraph"/>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6F94B137" w14:textId="26750594" w:rsidR="009758A2" w:rsidRPr="009758A2" w:rsidRDefault="009758A2" w:rsidP="009758A2">
      <w:pPr>
        <w:pStyle w:val="ListParagraph"/>
        <w:numPr>
          <w:ilvl w:val="0"/>
          <w:numId w:val="2"/>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color w:val="000000"/>
          <w:kern w:val="0"/>
          <w:sz w:val="22"/>
          <w:szCs w:val="22"/>
          <w:lang w:eastAsia="en-GB"/>
          <w14:ligatures w14:val="none"/>
        </w:rPr>
        <w:t>Erikson’s Psychosocial Theory proposes that individuals progress through eight stages of psychosocial development across the lifespan, each characterised by a central conflict (Erikson, 1982). The final stage, </w:t>
      </w:r>
      <w:r w:rsidRPr="009758A2">
        <w:rPr>
          <w:rFonts w:ascii="Arial" w:eastAsia="Times New Roman" w:hAnsi="Arial" w:cs="Arial"/>
          <w:b/>
          <w:bCs/>
          <w:color w:val="000000"/>
          <w:kern w:val="0"/>
          <w:sz w:val="22"/>
          <w:szCs w:val="22"/>
          <w:lang w:eastAsia="en-GB"/>
          <w14:ligatures w14:val="none"/>
        </w:rPr>
        <w:t>Integrity vs Despair</w:t>
      </w:r>
      <w:r w:rsidRPr="009758A2">
        <w:rPr>
          <w:rFonts w:ascii="Arial" w:eastAsia="Times New Roman" w:hAnsi="Arial" w:cs="Arial"/>
          <w:color w:val="000000"/>
          <w:kern w:val="0"/>
          <w:sz w:val="22"/>
          <w:szCs w:val="22"/>
          <w:lang w:eastAsia="en-GB"/>
          <w14:ligatures w14:val="none"/>
        </w:rPr>
        <w:t>, occurs in later adulthood (65+ years) and is particularly relevant in dementia care settings.</w:t>
      </w:r>
    </w:p>
    <w:p w14:paraId="365F7980" w14:textId="77777777" w:rsidR="009758A2" w:rsidRPr="009758A2" w:rsidRDefault="009758A2" w:rsidP="009758A2">
      <w:pPr>
        <w:pStyle w:val="ListParagraph"/>
        <w:numPr>
          <w:ilvl w:val="0"/>
          <w:numId w:val="2"/>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color w:val="000000"/>
          <w:kern w:val="0"/>
          <w:sz w:val="22"/>
          <w:szCs w:val="22"/>
          <w:lang w:eastAsia="en-GB"/>
          <w14:ligatures w14:val="none"/>
        </w:rPr>
        <w:t>At this stage, individuals reflect on their life experiences. Successful resolution leads to a sense of </w:t>
      </w:r>
      <w:r w:rsidRPr="009758A2">
        <w:rPr>
          <w:rFonts w:ascii="Arial" w:eastAsia="Times New Roman" w:hAnsi="Arial" w:cs="Arial"/>
          <w:b/>
          <w:bCs/>
          <w:color w:val="000000"/>
          <w:kern w:val="0"/>
          <w:sz w:val="22"/>
          <w:szCs w:val="22"/>
          <w:lang w:eastAsia="en-GB"/>
          <w14:ligatures w14:val="none"/>
        </w:rPr>
        <w:t>ego integrity</w:t>
      </w:r>
      <w:r w:rsidRPr="009758A2">
        <w:rPr>
          <w:rFonts w:ascii="Arial" w:eastAsia="Times New Roman" w:hAnsi="Arial" w:cs="Arial"/>
          <w:color w:val="000000"/>
          <w:kern w:val="0"/>
          <w:sz w:val="22"/>
          <w:szCs w:val="22"/>
          <w:lang w:eastAsia="en-GB"/>
          <w14:ligatures w14:val="none"/>
        </w:rPr>
        <w:t>, meaning acceptance of one’s life, achievements, and mortality. Failure to resolve this stage may result in </w:t>
      </w:r>
      <w:r w:rsidRPr="009758A2">
        <w:rPr>
          <w:rFonts w:ascii="Arial" w:eastAsia="Times New Roman" w:hAnsi="Arial" w:cs="Arial"/>
          <w:b/>
          <w:bCs/>
          <w:color w:val="000000"/>
          <w:kern w:val="0"/>
          <w:sz w:val="22"/>
          <w:szCs w:val="22"/>
          <w:lang w:eastAsia="en-GB"/>
          <w14:ligatures w14:val="none"/>
        </w:rPr>
        <w:t>despair</w:t>
      </w:r>
      <w:r w:rsidRPr="009758A2">
        <w:rPr>
          <w:rFonts w:ascii="Arial" w:eastAsia="Times New Roman" w:hAnsi="Arial" w:cs="Arial"/>
          <w:color w:val="000000"/>
          <w:kern w:val="0"/>
          <w:sz w:val="22"/>
          <w:szCs w:val="22"/>
          <w:lang w:eastAsia="en-GB"/>
          <w14:ligatures w14:val="none"/>
        </w:rPr>
        <w:t>, characterised by regret, bitterness, depression, and fear of death (Knight, 2017).</w:t>
      </w:r>
    </w:p>
    <w:p w14:paraId="07C4FA58" w14:textId="77777777" w:rsidR="009758A2" w:rsidRPr="009758A2" w:rsidRDefault="009758A2" w:rsidP="009758A2">
      <w:pPr>
        <w:pStyle w:val="ListParagraph"/>
        <w:numPr>
          <w:ilvl w:val="0"/>
          <w:numId w:val="2"/>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color w:val="000000"/>
          <w:kern w:val="0"/>
          <w:sz w:val="22"/>
          <w:szCs w:val="22"/>
          <w:lang w:eastAsia="en-GB"/>
          <w14:ligatures w14:val="none"/>
        </w:rPr>
        <w:t>For older adults with dementia, cognitive decline may complicate life review processes; however, emotional memory often remains intact. Feelings of despair may emerge as residents experience loss of independence, identity, and social roles. Erikson’s theory highlights the importance of supporting older adults in maintaining a sense of meaning, dignity, and self-worth despite cognitive impairment.</w:t>
      </w:r>
    </w:p>
    <w:p w14:paraId="1E3743F5" w14:textId="77777777" w:rsidR="009758A2" w:rsidRDefault="009758A2">
      <w:pPr>
        <w:rPr>
          <w:rFonts w:ascii="Arial" w:hAnsi="Arial" w:cs="Arial"/>
        </w:rPr>
      </w:pPr>
    </w:p>
    <w:p w14:paraId="5447A1C0" w14:textId="77777777" w:rsidR="009758A2" w:rsidRDefault="009758A2">
      <w:pPr>
        <w:rPr>
          <w:rFonts w:ascii="Arial" w:hAnsi="Arial" w:cs="Arial"/>
        </w:rPr>
      </w:pPr>
    </w:p>
    <w:p w14:paraId="5E7958EF" w14:textId="77777777" w:rsidR="009758A2" w:rsidRPr="009758A2" w:rsidRDefault="009758A2" w:rsidP="009758A2">
      <w:pPr>
        <w:spacing w:before="100" w:beforeAutospacing="1" w:after="100" w:afterAutospacing="1" w:line="240" w:lineRule="auto"/>
        <w:outlineLvl w:val="2"/>
        <w:rPr>
          <w:rFonts w:ascii="Arial" w:eastAsia="Times New Roman" w:hAnsi="Arial" w:cs="Arial"/>
          <w:b/>
          <w:bCs/>
          <w:color w:val="000000"/>
          <w:kern w:val="0"/>
          <w:lang w:eastAsia="en-GB"/>
          <w14:ligatures w14:val="none"/>
        </w:rPr>
      </w:pPr>
      <w:r w:rsidRPr="009758A2">
        <w:rPr>
          <w:rFonts w:ascii="Arial" w:eastAsia="Times New Roman" w:hAnsi="Arial" w:cs="Arial"/>
          <w:b/>
          <w:bCs/>
          <w:color w:val="000000"/>
          <w:kern w:val="0"/>
          <w:lang w:eastAsia="en-GB"/>
          <w14:ligatures w14:val="none"/>
        </w:rPr>
        <w:t>3.2 Cognitive Behavioural Theory (CBT)</w:t>
      </w:r>
    </w:p>
    <w:p w14:paraId="7055B385" w14:textId="77777777" w:rsidR="009758A2" w:rsidRPr="009758A2" w:rsidRDefault="009758A2" w:rsidP="009758A2">
      <w:pPr>
        <w:pStyle w:val="ListParagraph"/>
        <w:numPr>
          <w:ilvl w:val="0"/>
          <w:numId w:val="3"/>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color w:val="000000"/>
          <w:kern w:val="0"/>
          <w:sz w:val="22"/>
          <w:szCs w:val="22"/>
          <w:lang w:eastAsia="en-GB"/>
          <w14:ligatures w14:val="none"/>
        </w:rPr>
        <w:t>Cognitive Behavioural Theory is based on the idea that thoughts, emotions, and behaviours are interconnected, and that psychological distress is often maintained by negative or distorted thinking patterns (Beck, 1976). CBT aims to help individuals identify and modify unhelpful thoughts and behaviours to improve emotional wellbeing.</w:t>
      </w:r>
    </w:p>
    <w:p w14:paraId="22D4E855" w14:textId="77777777" w:rsidR="009758A2" w:rsidRPr="009758A2" w:rsidRDefault="009758A2" w:rsidP="009758A2">
      <w:pPr>
        <w:pStyle w:val="ListParagraph"/>
        <w:numPr>
          <w:ilvl w:val="0"/>
          <w:numId w:val="3"/>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color w:val="000000"/>
          <w:kern w:val="0"/>
          <w:sz w:val="22"/>
          <w:szCs w:val="22"/>
          <w:lang w:eastAsia="en-GB"/>
          <w14:ligatures w14:val="none"/>
        </w:rPr>
        <w:t>Although traditional CBT relies on verbal communication and cognitive insight, adapted forms of CBT have been shown to be effective for older adults, including those with mild to moderate dementia (Spector et al., 2015). In dementia care homes, CBT principles can be simplified and integrated into everyday care practices, focusing on emotional validation, behavioural activation, and routine building.</w:t>
      </w:r>
    </w:p>
    <w:p w14:paraId="5CE1D7D3" w14:textId="77777777" w:rsidR="009758A2" w:rsidRPr="009758A2" w:rsidRDefault="009758A2" w:rsidP="009758A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color w:val="000000"/>
          <w:kern w:val="0"/>
          <w:sz w:val="22"/>
          <w:szCs w:val="22"/>
          <w:lang w:eastAsia="en-GB"/>
          <w14:ligatures w14:val="none"/>
        </w:rPr>
        <w:t>CBT is particularly relevant for addressing depression and anxiety in older adults, which are common comorbidities in dementia (Livingston et al., 2017).</w:t>
      </w:r>
    </w:p>
    <w:p w14:paraId="57A5741B" w14:textId="77777777" w:rsidR="009758A2" w:rsidRDefault="009758A2">
      <w:pPr>
        <w:rPr>
          <w:rFonts w:ascii="Arial" w:hAnsi="Arial" w:cs="Arial"/>
        </w:rPr>
      </w:pPr>
    </w:p>
    <w:p w14:paraId="7A28850E" w14:textId="77777777" w:rsidR="009758A2" w:rsidRDefault="009758A2">
      <w:pPr>
        <w:rPr>
          <w:rFonts w:ascii="Arial" w:hAnsi="Arial" w:cs="Arial"/>
        </w:rPr>
      </w:pPr>
    </w:p>
    <w:p w14:paraId="0078B123" w14:textId="77777777" w:rsidR="009758A2" w:rsidRDefault="009758A2">
      <w:pPr>
        <w:rPr>
          <w:rFonts w:ascii="Arial" w:hAnsi="Arial" w:cs="Arial"/>
        </w:rPr>
      </w:pPr>
    </w:p>
    <w:p w14:paraId="44738755" w14:textId="77777777" w:rsidR="009758A2" w:rsidRPr="009758A2" w:rsidRDefault="009758A2" w:rsidP="009758A2">
      <w:pPr>
        <w:spacing w:before="100" w:beforeAutospacing="1" w:after="100" w:afterAutospacing="1" w:line="240" w:lineRule="auto"/>
        <w:outlineLvl w:val="1"/>
        <w:rPr>
          <w:rFonts w:ascii="Arial" w:eastAsia="Times New Roman" w:hAnsi="Arial" w:cs="Arial"/>
          <w:b/>
          <w:bCs/>
          <w:color w:val="000000"/>
          <w:kern w:val="0"/>
          <w:sz w:val="36"/>
          <w:szCs w:val="36"/>
          <w:lang w:eastAsia="en-GB"/>
          <w14:ligatures w14:val="none"/>
        </w:rPr>
      </w:pPr>
      <w:r w:rsidRPr="009758A2">
        <w:rPr>
          <w:rFonts w:ascii="Arial" w:eastAsia="Times New Roman" w:hAnsi="Arial" w:cs="Arial"/>
          <w:b/>
          <w:bCs/>
          <w:color w:val="000000"/>
          <w:kern w:val="0"/>
          <w:sz w:val="36"/>
          <w:szCs w:val="36"/>
          <w:lang w:eastAsia="en-GB"/>
          <w14:ligatures w14:val="none"/>
        </w:rPr>
        <w:t>4. Application in Health and Social Care Practice</w:t>
      </w:r>
    </w:p>
    <w:p w14:paraId="1F1BA88A" w14:textId="77777777" w:rsidR="009758A2" w:rsidRPr="009758A2" w:rsidRDefault="009758A2" w:rsidP="009758A2">
      <w:pPr>
        <w:spacing w:before="100" w:beforeAutospacing="1" w:after="100" w:afterAutospacing="1" w:line="240" w:lineRule="auto"/>
        <w:outlineLvl w:val="2"/>
        <w:rPr>
          <w:rFonts w:ascii="Arial" w:eastAsia="Times New Roman" w:hAnsi="Arial" w:cs="Arial"/>
          <w:b/>
          <w:bCs/>
          <w:color w:val="000000"/>
          <w:kern w:val="0"/>
          <w:lang w:eastAsia="en-GB"/>
          <w14:ligatures w14:val="none"/>
        </w:rPr>
      </w:pPr>
      <w:r w:rsidRPr="009758A2">
        <w:rPr>
          <w:rFonts w:ascii="Arial" w:eastAsia="Times New Roman" w:hAnsi="Arial" w:cs="Arial"/>
          <w:b/>
          <w:bCs/>
          <w:color w:val="000000"/>
          <w:kern w:val="0"/>
          <w:lang w:eastAsia="en-GB"/>
          <w14:ligatures w14:val="none"/>
        </w:rPr>
        <w:t>4.1 Applying Erikson’s Psychosocial Theory in a Dementia Care Home</w:t>
      </w:r>
    </w:p>
    <w:p w14:paraId="031D75C0" w14:textId="77777777" w:rsidR="009758A2" w:rsidRPr="009758A2" w:rsidRDefault="009758A2" w:rsidP="009758A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color w:val="000000"/>
          <w:kern w:val="0"/>
          <w:sz w:val="22"/>
          <w:szCs w:val="22"/>
          <w:lang w:eastAsia="en-GB"/>
          <w14:ligatures w14:val="none"/>
        </w:rPr>
        <w:lastRenderedPageBreak/>
        <w:t>Erikson’s theory can be applied through </w:t>
      </w:r>
      <w:r w:rsidRPr="009758A2">
        <w:rPr>
          <w:rFonts w:ascii="Arial" w:eastAsia="Times New Roman" w:hAnsi="Arial" w:cs="Arial"/>
          <w:b/>
          <w:bCs/>
          <w:color w:val="000000"/>
          <w:kern w:val="0"/>
          <w:sz w:val="22"/>
          <w:szCs w:val="22"/>
          <w:lang w:eastAsia="en-GB"/>
          <w14:ligatures w14:val="none"/>
        </w:rPr>
        <w:t>life review and reminiscence-based interventions</w:t>
      </w:r>
      <w:r w:rsidRPr="009758A2">
        <w:rPr>
          <w:rFonts w:ascii="Arial" w:eastAsia="Times New Roman" w:hAnsi="Arial" w:cs="Arial"/>
          <w:color w:val="000000"/>
          <w:kern w:val="0"/>
          <w:sz w:val="22"/>
          <w:szCs w:val="22"/>
          <w:lang w:eastAsia="en-GB"/>
          <w14:ligatures w14:val="none"/>
        </w:rPr>
        <w:t>, which encourage residents to reflect on meaningful life experiences. Care staff can facilitate conversations about past roles, achievements, family memories, or cultural traditions, supporting residents in achieving a sense of integrity.</w:t>
      </w:r>
    </w:p>
    <w:p w14:paraId="1F7840BD" w14:textId="77777777" w:rsidR="009758A2" w:rsidRPr="009758A2" w:rsidRDefault="009758A2" w:rsidP="009758A2">
      <w:pPr>
        <w:pStyle w:val="ListParagraph"/>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b/>
          <w:bCs/>
          <w:color w:val="000000"/>
          <w:kern w:val="0"/>
          <w:lang w:eastAsia="en-GB"/>
          <w14:ligatures w14:val="none"/>
        </w:rPr>
        <w:t>Practical example:</w:t>
      </w:r>
    </w:p>
    <w:p w14:paraId="1C3B0265" w14:textId="54C4DDA7" w:rsidR="009758A2" w:rsidRPr="009758A2" w:rsidRDefault="009758A2" w:rsidP="009758A2">
      <w:pPr>
        <w:spacing w:before="100" w:beforeAutospacing="1" w:after="100" w:afterAutospacing="1" w:line="240" w:lineRule="auto"/>
        <w:ind w:left="720"/>
        <w:rPr>
          <w:rFonts w:ascii="Arial" w:eastAsia="Times New Roman" w:hAnsi="Arial" w:cs="Arial"/>
          <w:color w:val="000000"/>
          <w:kern w:val="0"/>
          <w:sz w:val="22"/>
          <w:szCs w:val="22"/>
          <w:lang w:eastAsia="en-GB"/>
          <w14:ligatures w14:val="none"/>
        </w:rPr>
      </w:pPr>
      <w:r w:rsidRPr="009758A2">
        <w:rPr>
          <w:rFonts w:ascii="Times New Roman" w:eastAsia="Times New Roman" w:hAnsi="Times New Roman" w:cs="Times New Roman"/>
          <w:color w:val="000000"/>
          <w:kern w:val="0"/>
          <w:lang w:eastAsia="en-GB"/>
          <w14:ligatures w14:val="none"/>
        </w:rPr>
        <w:br/>
      </w:r>
      <w:r w:rsidRPr="009758A2">
        <w:rPr>
          <w:rFonts w:ascii="Arial" w:eastAsia="Times New Roman" w:hAnsi="Arial" w:cs="Arial"/>
          <w:color w:val="000000"/>
          <w:kern w:val="0"/>
          <w:sz w:val="22"/>
          <w:szCs w:val="22"/>
          <w:lang w:eastAsia="en-GB"/>
          <w14:ligatures w14:val="none"/>
        </w:rPr>
        <w:t>A care worker engages a resident in regular reminiscence sessions using photographs, music from the resident’s youth, or personal objects. This helps the resident reconnect with positive memories, reinforcing identity and reducing feelings of despair or agitation.</w:t>
      </w:r>
    </w:p>
    <w:p w14:paraId="1ED7A6A6" w14:textId="77777777" w:rsidR="009758A2" w:rsidRPr="009758A2" w:rsidRDefault="009758A2" w:rsidP="009758A2">
      <w:pPr>
        <w:pStyle w:val="ListParagraph"/>
        <w:numPr>
          <w:ilvl w:val="0"/>
          <w:numId w:val="6"/>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color w:val="000000"/>
          <w:kern w:val="0"/>
          <w:sz w:val="22"/>
          <w:szCs w:val="22"/>
          <w:lang w:eastAsia="en-GB"/>
          <w14:ligatures w14:val="none"/>
        </w:rPr>
        <w:t>This approach can also inform </w:t>
      </w:r>
      <w:r w:rsidRPr="009758A2">
        <w:rPr>
          <w:rFonts w:ascii="Arial" w:eastAsia="Times New Roman" w:hAnsi="Arial" w:cs="Arial"/>
          <w:b/>
          <w:bCs/>
          <w:color w:val="000000"/>
          <w:kern w:val="0"/>
          <w:sz w:val="22"/>
          <w:szCs w:val="22"/>
          <w:lang w:eastAsia="en-GB"/>
          <w14:ligatures w14:val="none"/>
        </w:rPr>
        <w:t>person-centred care planning</w:t>
      </w:r>
      <w:r w:rsidRPr="009758A2">
        <w:rPr>
          <w:rFonts w:ascii="Arial" w:eastAsia="Times New Roman" w:hAnsi="Arial" w:cs="Arial"/>
          <w:color w:val="000000"/>
          <w:kern w:val="0"/>
          <w:sz w:val="22"/>
          <w:szCs w:val="22"/>
          <w:lang w:eastAsia="en-GB"/>
          <w14:ligatures w14:val="none"/>
        </w:rPr>
        <w:t>, ensuring that care routines reflect residents’ personal histories, values, and preferences. For example, understanding a resident’s former occupation or hobbies can help staff provide meaningful activities that enhance self-esteem.</w:t>
      </w:r>
    </w:p>
    <w:p w14:paraId="56D05DDA" w14:textId="77777777" w:rsidR="009758A2" w:rsidRPr="009758A2" w:rsidRDefault="009758A2" w:rsidP="009758A2">
      <w:pPr>
        <w:spacing w:before="100" w:beforeAutospacing="1" w:after="100" w:afterAutospacing="1" w:line="240" w:lineRule="auto"/>
        <w:rPr>
          <w:rFonts w:ascii="Arial" w:eastAsia="Times New Roman" w:hAnsi="Arial" w:cs="Arial"/>
          <w:b/>
          <w:bCs/>
          <w:color w:val="000000"/>
          <w:kern w:val="0"/>
          <w:lang w:eastAsia="en-GB"/>
          <w14:ligatures w14:val="none"/>
        </w:rPr>
      </w:pPr>
      <w:r w:rsidRPr="009758A2">
        <w:rPr>
          <w:rFonts w:ascii="Arial" w:eastAsia="Times New Roman" w:hAnsi="Arial" w:cs="Arial"/>
          <w:b/>
          <w:bCs/>
          <w:color w:val="000000"/>
          <w:kern w:val="0"/>
          <w:lang w:eastAsia="en-GB"/>
          <w14:ligatures w14:val="none"/>
        </w:rPr>
        <w:t>Critical evaluation:</w:t>
      </w:r>
    </w:p>
    <w:p w14:paraId="5221037F" w14:textId="197273C7" w:rsidR="009758A2" w:rsidRPr="009758A2" w:rsidRDefault="009758A2" w:rsidP="009758A2">
      <w:pPr>
        <w:pStyle w:val="ListParagraph"/>
        <w:numPr>
          <w:ilvl w:val="0"/>
          <w:numId w:val="8"/>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color w:val="000000"/>
          <w:kern w:val="0"/>
          <w:sz w:val="22"/>
          <w:szCs w:val="22"/>
          <w:lang w:eastAsia="en-GB"/>
          <w14:ligatures w14:val="none"/>
        </w:rPr>
        <w:br/>
        <w:t>While Erikson’s theory is valuable for understanding emotional needs in later life, it may be challenging to apply fully in residents with advanced dementia who struggle with communication. However, research suggests that emotional validation and sensory reminiscence can still promote wellbeing even when verbal recall is limited (Woods et al., 2018).</w:t>
      </w:r>
    </w:p>
    <w:p w14:paraId="57900D21" w14:textId="77777777" w:rsidR="009758A2" w:rsidRPr="009758A2" w:rsidRDefault="009758A2" w:rsidP="009758A2">
      <w:pPr>
        <w:spacing w:before="100" w:beforeAutospacing="1" w:after="100" w:afterAutospacing="1" w:line="240" w:lineRule="auto"/>
        <w:rPr>
          <w:rFonts w:ascii="Arial" w:eastAsia="Times New Roman" w:hAnsi="Arial" w:cs="Arial"/>
          <w:color w:val="000000"/>
          <w:kern w:val="0"/>
          <w:lang w:eastAsia="en-GB"/>
          <w14:ligatures w14:val="none"/>
        </w:rPr>
      </w:pPr>
      <w:r w:rsidRPr="009758A2">
        <w:rPr>
          <w:rFonts w:ascii="Arial" w:eastAsia="Times New Roman" w:hAnsi="Arial" w:cs="Arial"/>
          <w:b/>
          <w:bCs/>
          <w:color w:val="000000"/>
          <w:kern w:val="0"/>
          <w:lang w:eastAsia="en-GB"/>
          <w14:ligatures w14:val="none"/>
        </w:rPr>
        <w:t>Challenges and strategies:</w:t>
      </w:r>
    </w:p>
    <w:p w14:paraId="4C549DB4" w14:textId="77777777" w:rsidR="009758A2" w:rsidRPr="009758A2" w:rsidRDefault="009758A2" w:rsidP="009758A2">
      <w:pPr>
        <w:numPr>
          <w:ilvl w:val="0"/>
          <w:numId w:val="4"/>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i/>
          <w:iCs/>
          <w:color w:val="000000"/>
          <w:kern w:val="0"/>
          <w:sz w:val="22"/>
          <w:szCs w:val="22"/>
          <w:lang w:eastAsia="en-GB"/>
          <w14:ligatures w14:val="none"/>
        </w:rPr>
        <w:t>Challenge:</w:t>
      </w:r>
      <w:r w:rsidRPr="009758A2">
        <w:rPr>
          <w:rFonts w:ascii="Arial" w:eastAsia="Times New Roman" w:hAnsi="Arial" w:cs="Arial"/>
          <w:color w:val="000000"/>
          <w:kern w:val="0"/>
          <w:sz w:val="22"/>
          <w:szCs w:val="22"/>
          <w:lang w:eastAsia="en-GB"/>
          <w14:ligatures w14:val="none"/>
        </w:rPr>
        <w:t> Limited time and staffing pressures may restrict opportunities for meaningful interaction.</w:t>
      </w:r>
    </w:p>
    <w:p w14:paraId="6532DFC0" w14:textId="77777777" w:rsidR="009758A2" w:rsidRPr="009758A2" w:rsidRDefault="009758A2" w:rsidP="009758A2">
      <w:pPr>
        <w:numPr>
          <w:ilvl w:val="0"/>
          <w:numId w:val="4"/>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i/>
          <w:iCs/>
          <w:color w:val="000000"/>
          <w:kern w:val="0"/>
          <w:sz w:val="22"/>
          <w:szCs w:val="22"/>
          <w:lang w:eastAsia="en-GB"/>
          <w14:ligatures w14:val="none"/>
        </w:rPr>
        <w:t>Strategy:</w:t>
      </w:r>
      <w:r w:rsidRPr="009758A2">
        <w:rPr>
          <w:rFonts w:ascii="Arial" w:eastAsia="Times New Roman" w:hAnsi="Arial" w:cs="Arial"/>
          <w:color w:val="000000"/>
          <w:kern w:val="0"/>
          <w:sz w:val="22"/>
          <w:szCs w:val="22"/>
          <w:lang w:eastAsia="en-GB"/>
          <w14:ligatures w14:val="none"/>
        </w:rPr>
        <w:t> Incorporate reminiscence into daily care tasks, such as talking during personal care or mealtimes.</w:t>
      </w:r>
    </w:p>
    <w:p w14:paraId="6BBEAF06" w14:textId="77777777" w:rsidR="009758A2" w:rsidRPr="009758A2" w:rsidRDefault="009758A2" w:rsidP="009758A2">
      <w:pPr>
        <w:numPr>
          <w:ilvl w:val="0"/>
          <w:numId w:val="4"/>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i/>
          <w:iCs/>
          <w:color w:val="000000"/>
          <w:kern w:val="0"/>
          <w:sz w:val="22"/>
          <w:szCs w:val="22"/>
          <w:lang w:eastAsia="en-GB"/>
          <w14:ligatures w14:val="none"/>
        </w:rPr>
        <w:t>Challenge:</w:t>
      </w:r>
      <w:r w:rsidRPr="009758A2">
        <w:rPr>
          <w:rFonts w:ascii="Arial" w:eastAsia="Times New Roman" w:hAnsi="Arial" w:cs="Arial"/>
          <w:color w:val="000000"/>
          <w:kern w:val="0"/>
          <w:sz w:val="22"/>
          <w:szCs w:val="22"/>
          <w:lang w:eastAsia="en-GB"/>
          <w14:ligatures w14:val="none"/>
        </w:rPr>
        <w:t> Staff may lack confidence in facilitating life review.</w:t>
      </w:r>
    </w:p>
    <w:p w14:paraId="0D4D7710" w14:textId="77777777" w:rsidR="009758A2" w:rsidRPr="009758A2" w:rsidRDefault="009758A2" w:rsidP="009758A2">
      <w:pPr>
        <w:numPr>
          <w:ilvl w:val="0"/>
          <w:numId w:val="4"/>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i/>
          <w:iCs/>
          <w:color w:val="000000"/>
          <w:kern w:val="0"/>
          <w:sz w:val="22"/>
          <w:szCs w:val="22"/>
          <w:lang w:eastAsia="en-GB"/>
          <w14:ligatures w14:val="none"/>
        </w:rPr>
        <w:t>Strategy:</w:t>
      </w:r>
      <w:r w:rsidRPr="009758A2">
        <w:rPr>
          <w:rFonts w:ascii="Arial" w:eastAsia="Times New Roman" w:hAnsi="Arial" w:cs="Arial"/>
          <w:color w:val="000000"/>
          <w:kern w:val="0"/>
          <w:sz w:val="22"/>
          <w:szCs w:val="22"/>
          <w:lang w:eastAsia="en-GB"/>
          <w14:ligatures w14:val="none"/>
        </w:rPr>
        <w:t> Provide training in person-centred communication and dementia awareness.</w:t>
      </w:r>
    </w:p>
    <w:p w14:paraId="1FD030B0" w14:textId="77777777" w:rsidR="009758A2" w:rsidRDefault="009758A2">
      <w:pPr>
        <w:rPr>
          <w:rFonts w:ascii="Arial" w:hAnsi="Arial" w:cs="Arial"/>
        </w:rPr>
      </w:pPr>
    </w:p>
    <w:p w14:paraId="398E1593" w14:textId="77777777" w:rsidR="009758A2" w:rsidRDefault="009758A2">
      <w:pPr>
        <w:rPr>
          <w:rFonts w:ascii="Arial" w:hAnsi="Arial" w:cs="Arial"/>
        </w:rPr>
      </w:pPr>
    </w:p>
    <w:p w14:paraId="652BD6B6" w14:textId="77777777" w:rsidR="009758A2" w:rsidRDefault="009758A2">
      <w:pPr>
        <w:rPr>
          <w:rFonts w:ascii="Arial" w:hAnsi="Arial" w:cs="Arial"/>
        </w:rPr>
      </w:pPr>
    </w:p>
    <w:p w14:paraId="38FF9A3C" w14:textId="77777777" w:rsidR="009758A2" w:rsidRPr="009758A2" w:rsidRDefault="009758A2" w:rsidP="009758A2">
      <w:pPr>
        <w:spacing w:before="100" w:beforeAutospacing="1" w:after="100" w:afterAutospacing="1" w:line="240" w:lineRule="auto"/>
        <w:outlineLvl w:val="2"/>
        <w:rPr>
          <w:rFonts w:ascii="Arial" w:eastAsia="Times New Roman" w:hAnsi="Arial" w:cs="Arial"/>
          <w:b/>
          <w:bCs/>
          <w:color w:val="000000"/>
          <w:kern w:val="0"/>
          <w:sz w:val="27"/>
          <w:szCs w:val="27"/>
          <w:lang w:eastAsia="en-GB"/>
          <w14:ligatures w14:val="none"/>
        </w:rPr>
      </w:pPr>
      <w:r w:rsidRPr="009758A2">
        <w:rPr>
          <w:rFonts w:ascii="Arial" w:eastAsia="Times New Roman" w:hAnsi="Arial" w:cs="Arial"/>
          <w:b/>
          <w:bCs/>
          <w:color w:val="000000"/>
          <w:kern w:val="0"/>
          <w:sz w:val="27"/>
          <w:szCs w:val="27"/>
          <w:lang w:eastAsia="en-GB"/>
          <w14:ligatures w14:val="none"/>
        </w:rPr>
        <w:t>4.2 Applying Cognitive Behavioural Theory in a Dementia Care Home</w:t>
      </w:r>
    </w:p>
    <w:p w14:paraId="40CCC6F0" w14:textId="77777777" w:rsidR="009758A2" w:rsidRPr="009758A2" w:rsidRDefault="009758A2" w:rsidP="009758A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color w:val="000000"/>
          <w:kern w:val="0"/>
          <w:sz w:val="22"/>
          <w:szCs w:val="22"/>
          <w:lang w:eastAsia="en-GB"/>
          <w14:ligatures w14:val="none"/>
        </w:rPr>
        <w:t>CBT principles can be adapted to support emotional wellbeing by focusing on </w:t>
      </w:r>
      <w:r w:rsidRPr="009758A2">
        <w:rPr>
          <w:rFonts w:ascii="Arial" w:eastAsia="Times New Roman" w:hAnsi="Arial" w:cs="Arial"/>
          <w:b/>
          <w:bCs/>
          <w:color w:val="000000"/>
          <w:kern w:val="0"/>
          <w:sz w:val="22"/>
          <w:szCs w:val="22"/>
          <w:lang w:eastAsia="en-GB"/>
          <w14:ligatures w14:val="none"/>
        </w:rPr>
        <w:t>behavioural strategies</w:t>
      </w:r>
      <w:r w:rsidRPr="009758A2">
        <w:rPr>
          <w:rFonts w:ascii="Arial" w:eastAsia="Times New Roman" w:hAnsi="Arial" w:cs="Arial"/>
          <w:color w:val="000000"/>
          <w:kern w:val="0"/>
          <w:sz w:val="22"/>
          <w:szCs w:val="22"/>
          <w:lang w:eastAsia="en-GB"/>
          <w14:ligatures w14:val="none"/>
        </w:rPr>
        <w:t> rather than complex cognitive restructuring. Behavioural activation, routine establishment, and positive reinforcement are particularly effective.</w:t>
      </w:r>
    </w:p>
    <w:p w14:paraId="0AF8C88C" w14:textId="77777777" w:rsidR="009758A2" w:rsidRPr="009758A2" w:rsidRDefault="009758A2" w:rsidP="009758A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b/>
          <w:bCs/>
          <w:color w:val="000000"/>
          <w:kern w:val="0"/>
          <w:lang w:eastAsia="en-GB"/>
          <w14:ligatures w14:val="none"/>
        </w:rPr>
        <w:t>Practical example:</w:t>
      </w:r>
      <w:r w:rsidRPr="009758A2">
        <w:rPr>
          <w:rFonts w:ascii="Arial" w:eastAsia="Times New Roman" w:hAnsi="Arial" w:cs="Arial"/>
          <w:color w:val="000000"/>
          <w:kern w:val="0"/>
          <w:sz w:val="22"/>
          <w:szCs w:val="22"/>
          <w:lang w:eastAsia="en-GB"/>
          <w14:ligatures w14:val="none"/>
        </w:rPr>
        <w:br/>
        <w:t xml:space="preserve">A resident showing signs of depression is encouraged to engage in small, achievable activities they previously enjoyed, such as gardening or listening to music. Staff reinforce </w:t>
      </w:r>
      <w:r w:rsidRPr="009758A2">
        <w:rPr>
          <w:rFonts w:ascii="Arial" w:eastAsia="Times New Roman" w:hAnsi="Arial" w:cs="Arial"/>
          <w:color w:val="000000"/>
          <w:kern w:val="0"/>
          <w:sz w:val="22"/>
          <w:szCs w:val="22"/>
          <w:lang w:eastAsia="en-GB"/>
          <w14:ligatures w14:val="none"/>
        </w:rPr>
        <w:lastRenderedPageBreak/>
        <w:t>positive engagement through praise and emotional validation, helping improve mood and reduce withdrawal.</w:t>
      </w:r>
    </w:p>
    <w:p w14:paraId="053250CB" w14:textId="77777777" w:rsidR="009758A2" w:rsidRPr="009758A2" w:rsidRDefault="009758A2" w:rsidP="009758A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color w:val="000000"/>
          <w:kern w:val="0"/>
          <w:sz w:val="22"/>
          <w:szCs w:val="22"/>
          <w:lang w:eastAsia="en-GB"/>
          <w14:ligatures w14:val="none"/>
        </w:rPr>
        <w:t>CBT-informed approaches can also help staff understand behavioural expressions of distress. For example, agitation or aggression may be linked to anxiety-provoking thoughts or environmental triggers. By modifying the environment—reducing noise, maintaining routines, and providing reassurance—staff can reduce distress-related behaviours.</w:t>
      </w:r>
    </w:p>
    <w:p w14:paraId="569FE067" w14:textId="77777777" w:rsidR="009758A2" w:rsidRPr="009758A2" w:rsidRDefault="009758A2" w:rsidP="009758A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b/>
          <w:bCs/>
          <w:color w:val="000000"/>
          <w:kern w:val="0"/>
          <w:lang w:eastAsia="en-GB"/>
          <w14:ligatures w14:val="none"/>
        </w:rPr>
        <w:t>Critical evaluation:</w:t>
      </w:r>
      <w:r w:rsidRPr="009758A2">
        <w:rPr>
          <w:rFonts w:ascii="Arial" w:eastAsia="Times New Roman" w:hAnsi="Arial" w:cs="Arial"/>
          <w:color w:val="000000"/>
          <w:kern w:val="0"/>
          <w:lang w:eastAsia="en-GB"/>
          <w14:ligatures w14:val="none"/>
        </w:rPr>
        <w:br/>
      </w:r>
    </w:p>
    <w:p w14:paraId="76523C7B" w14:textId="771AB508" w:rsidR="009758A2" w:rsidRPr="009758A2" w:rsidRDefault="009758A2" w:rsidP="009758A2">
      <w:pPr>
        <w:pStyle w:val="ListParagraph"/>
        <w:numPr>
          <w:ilvl w:val="0"/>
          <w:numId w:val="8"/>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color w:val="000000"/>
          <w:kern w:val="0"/>
          <w:sz w:val="22"/>
          <w:szCs w:val="22"/>
          <w:lang w:eastAsia="en-GB"/>
          <w14:ligatures w14:val="none"/>
        </w:rPr>
        <w:t>CBT is evidence-based and adaptable, making it a strong framework for dementia care. However, its effectiveness depends on appropriate adaptation to cognitive ability. Overly complex interventions may increase frustration for residents with advanced dementia (Spector et al., 2015).</w:t>
      </w:r>
    </w:p>
    <w:p w14:paraId="4BE7387D" w14:textId="77777777" w:rsidR="009758A2" w:rsidRPr="009758A2" w:rsidRDefault="009758A2" w:rsidP="009758A2">
      <w:pPr>
        <w:spacing w:before="100" w:beforeAutospacing="1" w:after="100" w:afterAutospacing="1" w:line="240" w:lineRule="auto"/>
        <w:rPr>
          <w:rFonts w:ascii="Arial" w:eastAsia="Times New Roman" w:hAnsi="Arial" w:cs="Arial"/>
          <w:color w:val="000000"/>
          <w:kern w:val="0"/>
          <w:lang w:eastAsia="en-GB"/>
          <w14:ligatures w14:val="none"/>
        </w:rPr>
      </w:pPr>
      <w:r w:rsidRPr="009758A2">
        <w:rPr>
          <w:rFonts w:ascii="Arial" w:eastAsia="Times New Roman" w:hAnsi="Arial" w:cs="Arial"/>
          <w:b/>
          <w:bCs/>
          <w:color w:val="000000"/>
          <w:kern w:val="0"/>
          <w:lang w:eastAsia="en-GB"/>
          <w14:ligatures w14:val="none"/>
        </w:rPr>
        <w:t>Challenges and strategies:</w:t>
      </w:r>
    </w:p>
    <w:p w14:paraId="006EEC5B" w14:textId="77777777" w:rsidR="009758A2" w:rsidRPr="009758A2" w:rsidRDefault="009758A2" w:rsidP="009758A2">
      <w:pPr>
        <w:numPr>
          <w:ilvl w:val="0"/>
          <w:numId w:val="10"/>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i/>
          <w:iCs/>
          <w:color w:val="000000"/>
          <w:kern w:val="0"/>
          <w:sz w:val="22"/>
          <w:szCs w:val="22"/>
          <w:lang w:eastAsia="en-GB"/>
          <w14:ligatures w14:val="none"/>
        </w:rPr>
        <w:t>Challenge:</w:t>
      </w:r>
      <w:r w:rsidRPr="009758A2">
        <w:rPr>
          <w:rFonts w:ascii="Arial" w:eastAsia="Times New Roman" w:hAnsi="Arial" w:cs="Arial"/>
          <w:color w:val="000000"/>
          <w:kern w:val="0"/>
          <w:sz w:val="22"/>
          <w:szCs w:val="22"/>
          <w:lang w:eastAsia="en-GB"/>
          <w14:ligatures w14:val="none"/>
        </w:rPr>
        <w:t> Cognitive impairment limits insight-based techniques.</w:t>
      </w:r>
    </w:p>
    <w:p w14:paraId="3A6E0379" w14:textId="77777777" w:rsidR="009758A2" w:rsidRPr="009758A2" w:rsidRDefault="009758A2" w:rsidP="009758A2">
      <w:pPr>
        <w:numPr>
          <w:ilvl w:val="0"/>
          <w:numId w:val="10"/>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i/>
          <w:iCs/>
          <w:color w:val="000000"/>
          <w:kern w:val="0"/>
          <w:sz w:val="22"/>
          <w:szCs w:val="22"/>
          <w:lang w:eastAsia="en-GB"/>
          <w14:ligatures w14:val="none"/>
        </w:rPr>
        <w:t>Strategy:</w:t>
      </w:r>
      <w:r w:rsidRPr="009758A2">
        <w:rPr>
          <w:rFonts w:ascii="Arial" w:eastAsia="Times New Roman" w:hAnsi="Arial" w:cs="Arial"/>
          <w:color w:val="000000"/>
          <w:kern w:val="0"/>
          <w:sz w:val="22"/>
          <w:szCs w:val="22"/>
          <w:lang w:eastAsia="en-GB"/>
          <w14:ligatures w14:val="none"/>
        </w:rPr>
        <w:t> Focus on behavioural and emotional components rather than thought analysis.</w:t>
      </w:r>
    </w:p>
    <w:p w14:paraId="29881D70" w14:textId="77777777" w:rsidR="009758A2" w:rsidRPr="009758A2" w:rsidRDefault="009758A2" w:rsidP="009758A2">
      <w:pPr>
        <w:numPr>
          <w:ilvl w:val="0"/>
          <w:numId w:val="10"/>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i/>
          <w:iCs/>
          <w:color w:val="000000"/>
          <w:kern w:val="0"/>
          <w:sz w:val="22"/>
          <w:szCs w:val="22"/>
          <w:lang w:eastAsia="en-GB"/>
          <w14:ligatures w14:val="none"/>
        </w:rPr>
        <w:t>Challenge:</w:t>
      </w:r>
      <w:r w:rsidRPr="009758A2">
        <w:rPr>
          <w:rFonts w:ascii="Arial" w:eastAsia="Times New Roman" w:hAnsi="Arial" w:cs="Arial"/>
          <w:color w:val="000000"/>
          <w:kern w:val="0"/>
          <w:sz w:val="22"/>
          <w:szCs w:val="22"/>
          <w:lang w:eastAsia="en-GB"/>
          <w14:ligatures w14:val="none"/>
        </w:rPr>
        <w:t> Inconsistent application by staff.</w:t>
      </w:r>
    </w:p>
    <w:p w14:paraId="65DE26E1" w14:textId="77777777" w:rsidR="009758A2" w:rsidRPr="009758A2" w:rsidRDefault="009758A2" w:rsidP="009758A2">
      <w:pPr>
        <w:numPr>
          <w:ilvl w:val="0"/>
          <w:numId w:val="10"/>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758A2">
        <w:rPr>
          <w:rFonts w:ascii="Arial" w:eastAsia="Times New Roman" w:hAnsi="Arial" w:cs="Arial"/>
          <w:i/>
          <w:iCs/>
          <w:color w:val="000000"/>
          <w:kern w:val="0"/>
          <w:sz w:val="22"/>
          <w:szCs w:val="22"/>
          <w:lang w:eastAsia="en-GB"/>
          <w14:ligatures w14:val="none"/>
        </w:rPr>
        <w:t>Strategy:</w:t>
      </w:r>
      <w:r w:rsidRPr="009758A2">
        <w:rPr>
          <w:rFonts w:ascii="Arial" w:eastAsia="Times New Roman" w:hAnsi="Arial" w:cs="Arial"/>
          <w:color w:val="000000"/>
          <w:kern w:val="0"/>
          <w:sz w:val="22"/>
          <w:szCs w:val="22"/>
          <w:lang w:eastAsia="en-GB"/>
          <w14:ligatures w14:val="none"/>
        </w:rPr>
        <w:t> Embed CBT principles into care plans and team communication to ensure consistency.</w:t>
      </w:r>
    </w:p>
    <w:p w14:paraId="662EF5FF" w14:textId="77777777" w:rsidR="009758A2" w:rsidRDefault="009758A2">
      <w:pPr>
        <w:rPr>
          <w:rFonts w:ascii="Arial" w:hAnsi="Arial" w:cs="Arial"/>
        </w:rPr>
      </w:pPr>
    </w:p>
    <w:p w14:paraId="0B34C8D7" w14:textId="49ADDCB5" w:rsidR="009758A2" w:rsidRPr="009758A2" w:rsidRDefault="009758A2">
      <w:pPr>
        <w:rPr>
          <w:rFonts w:ascii="Arial" w:hAnsi="Arial" w:cs="Arial"/>
          <w:b/>
          <w:bCs/>
          <w:sz w:val="28"/>
          <w:szCs w:val="28"/>
        </w:rPr>
      </w:pPr>
      <w:r w:rsidRPr="009758A2">
        <w:rPr>
          <w:rFonts w:ascii="Arial" w:hAnsi="Arial" w:cs="Arial"/>
          <w:b/>
          <w:bCs/>
        </w:rPr>
        <w:t>Conclusion:</w:t>
      </w:r>
    </w:p>
    <w:p w14:paraId="0FF0473F" w14:textId="77777777" w:rsidR="009758A2" w:rsidRPr="009758A2" w:rsidRDefault="009758A2" w:rsidP="009758A2">
      <w:pPr>
        <w:pStyle w:val="NormalWeb"/>
        <w:numPr>
          <w:ilvl w:val="0"/>
          <w:numId w:val="8"/>
        </w:numPr>
        <w:rPr>
          <w:rFonts w:ascii="Arial" w:hAnsi="Arial" w:cs="Arial"/>
          <w:color w:val="000000"/>
          <w:sz w:val="22"/>
          <w:szCs w:val="22"/>
        </w:rPr>
      </w:pPr>
      <w:r w:rsidRPr="009758A2">
        <w:rPr>
          <w:rFonts w:ascii="Arial" w:hAnsi="Arial" w:cs="Arial"/>
          <w:color w:val="000000"/>
          <w:sz w:val="22"/>
          <w:szCs w:val="22"/>
        </w:rPr>
        <w:t>Psychological theories play a crucial role in informing effective care for older adults with psychological health conditions in dementia care homes. Erikson’s Psychosocial Theory provides insight into emotional needs related to identity, meaning, and life satisfaction, while Cognitive Behavioural Theory offers practical strategies for managing distress and promoting positive behaviours.</w:t>
      </w:r>
    </w:p>
    <w:p w14:paraId="0FEA0804" w14:textId="77777777" w:rsidR="009758A2" w:rsidRPr="009758A2" w:rsidRDefault="009758A2" w:rsidP="009758A2">
      <w:pPr>
        <w:pStyle w:val="NormalWeb"/>
        <w:numPr>
          <w:ilvl w:val="0"/>
          <w:numId w:val="8"/>
        </w:numPr>
        <w:rPr>
          <w:rFonts w:ascii="Arial" w:hAnsi="Arial" w:cs="Arial"/>
          <w:color w:val="000000"/>
          <w:sz w:val="22"/>
          <w:szCs w:val="22"/>
        </w:rPr>
      </w:pPr>
      <w:r w:rsidRPr="009758A2">
        <w:rPr>
          <w:rFonts w:ascii="Arial" w:hAnsi="Arial" w:cs="Arial"/>
          <w:color w:val="000000"/>
          <w:sz w:val="22"/>
          <w:szCs w:val="22"/>
        </w:rPr>
        <w:t>By integrating these theories into everyday practice, health and social care professionals can enhance person-centred care, reduce psychological distress, and improve quality of life for adults aged 65 and over. Despite challenges such as cognitive decline and resource limitations, appropriate adaptation, training, and teamwork can enable effective implementation. A psychologically informed approach is essential for delivering compassionate, dignified, and effective dementia care.</w:t>
      </w:r>
    </w:p>
    <w:p w14:paraId="22ABBE94" w14:textId="77777777" w:rsidR="009758A2" w:rsidRDefault="009758A2">
      <w:pPr>
        <w:rPr>
          <w:rFonts w:ascii="Arial" w:hAnsi="Arial" w:cs="Arial"/>
        </w:rPr>
      </w:pPr>
    </w:p>
    <w:p w14:paraId="0FF6E880" w14:textId="77777777" w:rsidR="009758A2" w:rsidRDefault="009758A2">
      <w:pPr>
        <w:rPr>
          <w:rFonts w:ascii="Arial" w:hAnsi="Arial" w:cs="Arial"/>
        </w:rPr>
      </w:pPr>
    </w:p>
    <w:p w14:paraId="1C7C200B" w14:textId="77777777" w:rsidR="009758A2" w:rsidRDefault="009758A2">
      <w:pPr>
        <w:rPr>
          <w:rFonts w:ascii="Arial" w:hAnsi="Arial" w:cs="Arial"/>
        </w:rPr>
      </w:pPr>
    </w:p>
    <w:p w14:paraId="7651F291" w14:textId="77777777" w:rsidR="009758A2" w:rsidRDefault="009758A2">
      <w:pPr>
        <w:rPr>
          <w:rFonts w:ascii="Arial" w:hAnsi="Arial" w:cs="Arial"/>
        </w:rPr>
      </w:pPr>
    </w:p>
    <w:p w14:paraId="12E797CC" w14:textId="77777777" w:rsidR="009758A2" w:rsidRDefault="009758A2">
      <w:pPr>
        <w:rPr>
          <w:rFonts w:ascii="Arial" w:hAnsi="Arial" w:cs="Arial"/>
        </w:rPr>
      </w:pPr>
    </w:p>
    <w:p w14:paraId="63F66ECE" w14:textId="77777777" w:rsidR="009758A2" w:rsidRDefault="009758A2">
      <w:pPr>
        <w:rPr>
          <w:rFonts w:ascii="Arial" w:hAnsi="Arial" w:cs="Arial"/>
        </w:rPr>
      </w:pPr>
    </w:p>
    <w:p w14:paraId="78832C8E" w14:textId="77777777" w:rsidR="009758A2" w:rsidRDefault="009758A2">
      <w:pPr>
        <w:rPr>
          <w:rFonts w:ascii="Arial" w:hAnsi="Arial" w:cs="Arial"/>
        </w:rPr>
      </w:pPr>
    </w:p>
    <w:p w14:paraId="5674A96B" w14:textId="77777777" w:rsidR="009758A2" w:rsidRDefault="009758A2">
      <w:pPr>
        <w:rPr>
          <w:rFonts w:ascii="Arial" w:hAnsi="Arial" w:cs="Arial"/>
        </w:rPr>
      </w:pPr>
    </w:p>
    <w:p w14:paraId="5B869523" w14:textId="77777777" w:rsidR="009758A2" w:rsidRDefault="009758A2">
      <w:pPr>
        <w:rPr>
          <w:rFonts w:ascii="Arial" w:hAnsi="Arial" w:cs="Arial"/>
        </w:rPr>
      </w:pPr>
    </w:p>
    <w:p w14:paraId="58024278" w14:textId="5148E693" w:rsidR="009758A2" w:rsidRPr="009758A2" w:rsidRDefault="009758A2">
      <w:pPr>
        <w:rPr>
          <w:rFonts w:ascii="Arial" w:hAnsi="Arial" w:cs="Arial"/>
          <w:b/>
          <w:bCs/>
          <w:sz w:val="28"/>
          <w:szCs w:val="28"/>
        </w:rPr>
      </w:pPr>
      <w:r w:rsidRPr="009758A2">
        <w:rPr>
          <w:rFonts w:ascii="Arial" w:hAnsi="Arial" w:cs="Arial"/>
          <w:b/>
          <w:bCs/>
          <w:sz w:val="28"/>
          <w:szCs w:val="28"/>
        </w:rPr>
        <w:t>References:</w:t>
      </w:r>
    </w:p>
    <w:p w14:paraId="6879E859" w14:textId="77777777" w:rsidR="009758A2" w:rsidRDefault="009758A2" w:rsidP="009758A2">
      <w:pPr>
        <w:pStyle w:val="NormalWeb"/>
        <w:rPr>
          <w:color w:val="000000"/>
        </w:rPr>
      </w:pPr>
      <w:r>
        <w:rPr>
          <w:color w:val="000000"/>
        </w:rPr>
        <w:t>Age UK (2023)</w:t>
      </w:r>
      <w:r>
        <w:rPr>
          <w:rStyle w:val="apple-converted-space"/>
          <w:rFonts w:eastAsiaTheme="majorEastAsia"/>
          <w:color w:val="000000"/>
        </w:rPr>
        <w:t> </w:t>
      </w:r>
      <w:r>
        <w:rPr>
          <w:rStyle w:val="Emphasis"/>
          <w:rFonts w:eastAsiaTheme="majorEastAsia"/>
          <w:color w:val="000000"/>
        </w:rPr>
        <w:t>Mental health in later life</w:t>
      </w:r>
      <w:r>
        <w:rPr>
          <w:color w:val="000000"/>
        </w:rPr>
        <w:t>. Available at:</w:t>
      </w:r>
      <w:r>
        <w:rPr>
          <w:rStyle w:val="apple-converted-space"/>
          <w:rFonts w:eastAsiaTheme="majorEastAsia"/>
          <w:color w:val="000000"/>
        </w:rPr>
        <w:t> </w:t>
      </w:r>
      <w:hyperlink r:id="rId6" w:tgtFrame="_new" w:history="1">
        <w:r>
          <w:rPr>
            <w:rStyle w:val="Hyperlink"/>
            <w:rFonts w:eastAsiaTheme="majorEastAsia"/>
          </w:rPr>
          <w:t>https://www.ageuk.org.uk</w:t>
        </w:r>
      </w:hyperlink>
      <w:r>
        <w:rPr>
          <w:rStyle w:val="apple-converted-space"/>
          <w:rFonts w:eastAsiaTheme="majorEastAsia"/>
          <w:color w:val="000000"/>
        </w:rPr>
        <w:t> </w:t>
      </w:r>
      <w:r>
        <w:rPr>
          <w:color w:val="000000"/>
        </w:rPr>
        <w:t>(Accessed: 10 December 2025).</w:t>
      </w:r>
    </w:p>
    <w:p w14:paraId="27D3989E" w14:textId="77777777" w:rsidR="009758A2" w:rsidRDefault="009758A2" w:rsidP="009758A2">
      <w:pPr>
        <w:pStyle w:val="NormalWeb"/>
        <w:rPr>
          <w:color w:val="000000"/>
        </w:rPr>
      </w:pPr>
      <w:r>
        <w:rPr>
          <w:color w:val="000000"/>
        </w:rPr>
        <w:t>Beck, A.T. (1976)</w:t>
      </w:r>
      <w:r>
        <w:rPr>
          <w:rStyle w:val="apple-converted-space"/>
          <w:rFonts w:eastAsiaTheme="majorEastAsia"/>
          <w:color w:val="000000"/>
        </w:rPr>
        <w:t> </w:t>
      </w:r>
      <w:r>
        <w:rPr>
          <w:rStyle w:val="Emphasis"/>
          <w:rFonts w:eastAsiaTheme="majorEastAsia"/>
          <w:color w:val="000000"/>
        </w:rPr>
        <w:t>Cognitive therapy and the emotional disorders</w:t>
      </w:r>
      <w:r>
        <w:rPr>
          <w:color w:val="000000"/>
        </w:rPr>
        <w:t>. New York: International Universities Press.</w:t>
      </w:r>
    </w:p>
    <w:p w14:paraId="7B92A9A8" w14:textId="77777777" w:rsidR="009758A2" w:rsidRDefault="009758A2" w:rsidP="009758A2">
      <w:pPr>
        <w:pStyle w:val="NormalWeb"/>
        <w:rPr>
          <w:color w:val="000000"/>
        </w:rPr>
      </w:pPr>
      <w:r>
        <w:rPr>
          <w:color w:val="000000"/>
        </w:rPr>
        <w:t>Erikson, E.H. (1982)</w:t>
      </w:r>
      <w:r>
        <w:rPr>
          <w:rStyle w:val="apple-converted-space"/>
          <w:rFonts w:eastAsiaTheme="majorEastAsia"/>
          <w:color w:val="000000"/>
        </w:rPr>
        <w:t> </w:t>
      </w:r>
      <w:r>
        <w:rPr>
          <w:rStyle w:val="Emphasis"/>
          <w:rFonts w:eastAsiaTheme="majorEastAsia"/>
          <w:color w:val="000000"/>
        </w:rPr>
        <w:t>The life cycle completed</w:t>
      </w:r>
      <w:r>
        <w:rPr>
          <w:color w:val="000000"/>
        </w:rPr>
        <w:t>. New York: Norton.</w:t>
      </w:r>
    </w:p>
    <w:p w14:paraId="44837E14" w14:textId="77777777" w:rsidR="009758A2" w:rsidRDefault="009758A2" w:rsidP="009758A2">
      <w:pPr>
        <w:pStyle w:val="NormalWeb"/>
        <w:rPr>
          <w:color w:val="000000"/>
        </w:rPr>
      </w:pPr>
      <w:r>
        <w:rPr>
          <w:color w:val="000000"/>
        </w:rPr>
        <w:t>Knight, B.G. (2017)</w:t>
      </w:r>
      <w:r>
        <w:rPr>
          <w:rStyle w:val="apple-converted-space"/>
          <w:rFonts w:eastAsiaTheme="majorEastAsia"/>
          <w:color w:val="000000"/>
        </w:rPr>
        <w:t> </w:t>
      </w:r>
      <w:r>
        <w:rPr>
          <w:rStyle w:val="Emphasis"/>
          <w:rFonts w:eastAsiaTheme="majorEastAsia"/>
          <w:color w:val="000000"/>
        </w:rPr>
        <w:t>Psychotherapy with older adults</w:t>
      </w:r>
      <w:r>
        <w:rPr>
          <w:color w:val="000000"/>
        </w:rPr>
        <w:t xml:space="preserve">. 5th </w:t>
      </w:r>
      <w:proofErr w:type="spellStart"/>
      <w:r>
        <w:rPr>
          <w:color w:val="000000"/>
        </w:rPr>
        <w:t>edn</w:t>
      </w:r>
      <w:proofErr w:type="spellEnd"/>
      <w:r>
        <w:rPr>
          <w:color w:val="000000"/>
        </w:rPr>
        <w:t>. Thousand Oaks: Sage.</w:t>
      </w:r>
    </w:p>
    <w:p w14:paraId="03889C43" w14:textId="77777777" w:rsidR="009758A2" w:rsidRDefault="009758A2" w:rsidP="009758A2">
      <w:pPr>
        <w:pStyle w:val="NormalWeb"/>
        <w:rPr>
          <w:color w:val="000000"/>
        </w:rPr>
      </w:pPr>
      <w:r>
        <w:rPr>
          <w:color w:val="000000"/>
        </w:rPr>
        <w:t>Livingston, G. et al. (2017) ‘Dementia prevention, intervention, and care’,</w:t>
      </w:r>
      <w:r>
        <w:rPr>
          <w:rStyle w:val="apple-converted-space"/>
          <w:rFonts w:eastAsiaTheme="majorEastAsia"/>
          <w:color w:val="000000"/>
        </w:rPr>
        <w:t> </w:t>
      </w:r>
      <w:r>
        <w:rPr>
          <w:rStyle w:val="Emphasis"/>
          <w:rFonts w:eastAsiaTheme="majorEastAsia"/>
          <w:color w:val="000000"/>
        </w:rPr>
        <w:t>The Lancet</w:t>
      </w:r>
      <w:r>
        <w:rPr>
          <w:color w:val="000000"/>
        </w:rPr>
        <w:t>, 390(10113), pp. 2673–2734.</w:t>
      </w:r>
    </w:p>
    <w:p w14:paraId="2ADF6565" w14:textId="77777777" w:rsidR="009758A2" w:rsidRDefault="009758A2" w:rsidP="009758A2">
      <w:pPr>
        <w:pStyle w:val="NormalWeb"/>
        <w:rPr>
          <w:color w:val="000000"/>
        </w:rPr>
      </w:pPr>
      <w:r>
        <w:rPr>
          <w:color w:val="000000"/>
        </w:rPr>
        <w:t>Spector, A. et al. (2015) ‘Cognitive behavioural therapy for depression in dementia’,</w:t>
      </w:r>
      <w:r>
        <w:rPr>
          <w:rStyle w:val="apple-converted-space"/>
          <w:rFonts w:eastAsiaTheme="majorEastAsia"/>
          <w:color w:val="000000"/>
        </w:rPr>
        <w:t> </w:t>
      </w:r>
      <w:r>
        <w:rPr>
          <w:rStyle w:val="Emphasis"/>
          <w:rFonts w:eastAsiaTheme="majorEastAsia"/>
          <w:color w:val="000000"/>
        </w:rPr>
        <w:t>British Journal of Psychiatry</w:t>
      </w:r>
      <w:r>
        <w:rPr>
          <w:color w:val="000000"/>
        </w:rPr>
        <w:t>, 206(5), pp. 400–406.</w:t>
      </w:r>
    </w:p>
    <w:p w14:paraId="5741B03A" w14:textId="77777777" w:rsidR="009758A2" w:rsidRDefault="009758A2" w:rsidP="009758A2">
      <w:pPr>
        <w:pStyle w:val="NormalWeb"/>
        <w:rPr>
          <w:color w:val="000000"/>
        </w:rPr>
      </w:pPr>
      <w:r>
        <w:rPr>
          <w:color w:val="000000"/>
        </w:rPr>
        <w:t>Woods, B. et al. (2018) ‘Reminiscence therapy for dementia’,</w:t>
      </w:r>
      <w:r>
        <w:rPr>
          <w:rStyle w:val="apple-converted-space"/>
          <w:rFonts w:eastAsiaTheme="majorEastAsia"/>
          <w:color w:val="000000"/>
        </w:rPr>
        <w:t> </w:t>
      </w:r>
      <w:r>
        <w:rPr>
          <w:rStyle w:val="Emphasis"/>
          <w:rFonts w:eastAsiaTheme="majorEastAsia"/>
          <w:color w:val="000000"/>
        </w:rPr>
        <w:t>Cochrane Database of Systematic Reviews</w:t>
      </w:r>
      <w:r>
        <w:rPr>
          <w:color w:val="000000"/>
        </w:rPr>
        <w:t>, 3, CD001120.</w:t>
      </w:r>
    </w:p>
    <w:p w14:paraId="6354C222" w14:textId="77777777" w:rsidR="009758A2" w:rsidRPr="009758A2" w:rsidRDefault="009758A2">
      <w:pPr>
        <w:rPr>
          <w:rFonts w:ascii="Arial" w:hAnsi="Arial" w:cs="Arial"/>
        </w:rPr>
      </w:pPr>
    </w:p>
    <w:sectPr w:rsidR="009758A2" w:rsidRPr="009758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E3E42"/>
    <w:multiLevelType w:val="hybridMultilevel"/>
    <w:tmpl w:val="BE4A9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501AD"/>
    <w:multiLevelType w:val="hybridMultilevel"/>
    <w:tmpl w:val="E2242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E10621"/>
    <w:multiLevelType w:val="multilevel"/>
    <w:tmpl w:val="C4CAF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F80757"/>
    <w:multiLevelType w:val="hybridMultilevel"/>
    <w:tmpl w:val="9FC84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FA1FA7"/>
    <w:multiLevelType w:val="hybridMultilevel"/>
    <w:tmpl w:val="C7163B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8114424"/>
    <w:multiLevelType w:val="multilevel"/>
    <w:tmpl w:val="D02A7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5A51A7"/>
    <w:multiLevelType w:val="hybridMultilevel"/>
    <w:tmpl w:val="87B6EB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48D3473"/>
    <w:multiLevelType w:val="hybridMultilevel"/>
    <w:tmpl w:val="A6D85A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5AE12D3"/>
    <w:multiLevelType w:val="hybridMultilevel"/>
    <w:tmpl w:val="B9663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7612AF"/>
    <w:multiLevelType w:val="hybridMultilevel"/>
    <w:tmpl w:val="FF1EE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845503">
    <w:abstractNumId w:val="9"/>
  </w:num>
  <w:num w:numId="2" w16cid:durableId="814030379">
    <w:abstractNumId w:val="0"/>
  </w:num>
  <w:num w:numId="3" w16cid:durableId="2009281848">
    <w:abstractNumId w:val="8"/>
  </w:num>
  <w:num w:numId="4" w16cid:durableId="1656252891">
    <w:abstractNumId w:val="5"/>
  </w:num>
  <w:num w:numId="5" w16cid:durableId="1853377458">
    <w:abstractNumId w:val="3"/>
  </w:num>
  <w:num w:numId="6" w16cid:durableId="38748919">
    <w:abstractNumId w:val="6"/>
  </w:num>
  <w:num w:numId="7" w16cid:durableId="134376985">
    <w:abstractNumId w:val="1"/>
  </w:num>
  <w:num w:numId="8" w16cid:durableId="1649554208">
    <w:abstractNumId w:val="4"/>
  </w:num>
  <w:num w:numId="9" w16cid:durableId="367730308">
    <w:abstractNumId w:val="7"/>
  </w:num>
  <w:num w:numId="10" w16cid:durableId="1936144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8A2"/>
    <w:rsid w:val="005E6D37"/>
    <w:rsid w:val="00975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93AA42"/>
  <w15:chartTrackingRefBased/>
  <w15:docId w15:val="{027BABA3-24B7-6344-9B58-361569BED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58A2"/>
  </w:style>
  <w:style w:type="paragraph" w:styleId="Heading1">
    <w:name w:val="heading 1"/>
    <w:basedOn w:val="Normal"/>
    <w:next w:val="Normal"/>
    <w:link w:val="Heading1Char"/>
    <w:uiPriority w:val="9"/>
    <w:qFormat/>
    <w:rsid w:val="009758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758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758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58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58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58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58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58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58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58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758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758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58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58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58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58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58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58A2"/>
    <w:rPr>
      <w:rFonts w:eastAsiaTheme="majorEastAsia" w:cstheme="majorBidi"/>
      <w:color w:val="272727" w:themeColor="text1" w:themeTint="D8"/>
    </w:rPr>
  </w:style>
  <w:style w:type="paragraph" w:styleId="Title">
    <w:name w:val="Title"/>
    <w:basedOn w:val="Normal"/>
    <w:next w:val="Normal"/>
    <w:link w:val="TitleChar"/>
    <w:uiPriority w:val="10"/>
    <w:qFormat/>
    <w:rsid w:val="009758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58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58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58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58A2"/>
    <w:pPr>
      <w:spacing w:before="160"/>
      <w:jc w:val="center"/>
    </w:pPr>
    <w:rPr>
      <w:i/>
      <w:iCs/>
      <w:color w:val="404040" w:themeColor="text1" w:themeTint="BF"/>
    </w:rPr>
  </w:style>
  <w:style w:type="character" w:customStyle="1" w:styleId="QuoteChar">
    <w:name w:val="Quote Char"/>
    <w:basedOn w:val="DefaultParagraphFont"/>
    <w:link w:val="Quote"/>
    <w:uiPriority w:val="29"/>
    <w:rsid w:val="009758A2"/>
    <w:rPr>
      <w:i/>
      <w:iCs/>
      <w:color w:val="404040" w:themeColor="text1" w:themeTint="BF"/>
    </w:rPr>
  </w:style>
  <w:style w:type="paragraph" w:styleId="ListParagraph">
    <w:name w:val="List Paragraph"/>
    <w:basedOn w:val="Normal"/>
    <w:uiPriority w:val="34"/>
    <w:qFormat/>
    <w:rsid w:val="009758A2"/>
    <w:pPr>
      <w:ind w:left="720"/>
      <w:contextualSpacing/>
    </w:pPr>
  </w:style>
  <w:style w:type="character" w:styleId="IntenseEmphasis">
    <w:name w:val="Intense Emphasis"/>
    <w:basedOn w:val="DefaultParagraphFont"/>
    <w:uiPriority w:val="21"/>
    <w:qFormat/>
    <w:rsid w:val="009758A2"/>
    <w:rPr>
      <w:i/>
      <w:iCs/>
      <w:color w:val="0F4761" w:themeColor="accent1" w:themeShade="BF"/>
    </w:rPr>
  </w:style>
  <w:style w:type="paragraph" w:styleId="IntenseQuote">
    <w:name w:val="Intense Quote"/>
    <w:basedOn w:val="Normal"/>
    <w:next w:val="Normal"/>
    <w:link w:val="IntenseQuoteChar"/>
    <w:uiPriority w:val="30"/>
    <w:qFormat/>
    <w:rsid w:val="009758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58A2"/>
    <w:rPr>
      <w:i/>
      <w:iCs/>
      <w:color w:val="0F4761" w:themeColor="accent1" w:themeShade="BF"/>
    </w:rPr>
  </w:style>
  <w:style w:type="character" w:styleId="IntenseReference">
    <w:name w:val="Intense Reference"/>
    <w:basedOn w:val="DefaultParagraphFont"/>
    <w:uiPriority w:val="32"/>
    <w:qFormat/>
    <w:rsid w:val="009758A2"/>
    <w:rPr>
      <w:b/>
      <w:bCs/>
      <w:smallCaps/>
      <w:color w:val="0F4761" w:themeColor="accent1" w:themeShade="BF"/>
      <w:spacing w:val="5"/>
    </w:rPr>
  </w:style>
  <w:style w:type="paragraph" w:customStyle="1" w:styleId="p1">
    <w:name w:val="p1"/>
    <w:basedOn w:val="Normal"/>
    <w:rsid w:val="009758A2"/>
    <w:pPr>
      <w:spacing w:after="0" w:line="240" w:lineRule="auto"/>
    </w:pPr>
    <w:rPr>
      <w:rFonts w:ascii="Arial" w:eastAsia="Times New Roman" w:hAnsi="Arial" w:cs="Arial"/>
      <w:color w:val="000000"/>
      <w:kern w:val="0"/>
      <w:sz w:val="17"/>
      <w:szCs w:val="17"/>
      <w:lang w:eastAsia="en-GB"/>
      <w14:ligatures w14:val="none"/>
    </w:rPr>
  </w:style>
  <w:style w:type="character" w:customStyle="1" w:styleId="apple-converted-space">
    <w:name w:val="apple-converted-space"/>
    <w:basedOn w:val="DefaultParagraphFont"/>
    <w:rsid w:val="009758A2"/>
  </w:style>
  <w:style w:type="paragraph" w:styleId="NormalWeb">
    <w:name w:val="Normal (Web)"/>
    <w:basedOn w:val="Normal"/>
    <w:uiPriority w:val="99"/>
    <w:semiHidden/>
    <w:unhideWhenUsed/>
    <w:rsid w:val="009758A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758A2"/>
    <w:rPr>
      <w:b/>
      <w:bCs/>
    </w:rPr>
  </w:style>
  <w:style w:type="character" w:styleId="Emphasis">
    <w:name w:val="Emphasis"/>
    <w:basedOn w:val="DefaultParagraphFont"/>
    <w:uiPriority w:val="20"/>
    <w:qFormat/>
    <w:rsid w:val="009758A2"/>
    <w:rPr>
      <w:i/>
      <w:iCs/>
    </w:rPr>
  </w:style>
  <w:style w:type="character" w:styleId="Hyperlink">
    <w:name w:val="Hyperlink"/>
    <w:basedOn w:val="DefaultParagraphFont"/>
    <w:uiPriority w:val="99"/>
    <w:semiHidden/>
    <w:unhideWhenUsed/>
    <w:rsid w:val="009758A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7299">
      <w:bodyDiv w:val="1"/>
      <w:marLeft w:val="0"/>
      <w:marRight w:val="0"/>
      <w:marTop w:val="0"/>
      <w:marBottom w:val="0"/>
      <w:divBdr>
        <w:top w:val="none" w:sz="0" w:space="0" w:color="auto"/>
        <w:left w:val="none" w:sz="0" w:space="0" w:color="auto"/>
        <w:bottom w:val="none" w:sz="0" w:space="0" w:color="auto"/>
        <w:right w:val="none" w:sz="0" w:space="0" w:color="auto"/>
      </w:divBdr>
    </w:div>
    <w:div w:id="169830275">
      <w:bodyDiv w:val="1"/>
      <w:marLeft w:val="0"/>
      <w:marRight w:val="0"/>
      <w:marTop w:val="0"/>
      <w:marBottom w:val="0"/>
      <w:divBdr>
        <w:top w:val="none" w:sz="0" w:space="0" w:color="auto"/>
        <w:left w:val="none" w:sz="0" w:space="0" w:color="auto"/>
        <w:bottom w:val="none" w:sz="0" w:space="0" w:color="auto"/>
        <w:right w:val="none" w:sz="0" w:space="0" w:color="auto"/>
      </w:divBdr>
    </w:div>
    <w:div w:id="233316470">
      <w:bodyDiv w:val="1"/>
      <w:marLeft w:val="0"/>
      <w:marRight w:val="0"/>
      <w:marTop w:val="0"/>
      <w:marBottom w:val="0"/>
      <w:divBdr>
        <w:top w:val="none" w:sz="0" w:space="0" w:color="auto"/>
        <w:left w:val="none" w:sz="0" w:space="0" w:color="auto"/>
        <w:bottom w:val="none" w:sz="0" w:space="0" w:color="auto"/>
        <w:right w:val="none" w:sz="0" w:space="0" w:color="auto"/>
      </w:divBdr>
    </w:div>
    <w:div w:id="273558743">
      <w:bodyDiv w:val="1"/>
      <w:marLeft w:val="0"/>
      <w:marRight w:val="0"/>
      <w:marTop w:val="0"/>
      <w:marBottom w:val="0"/>
      <w:divBdr>
        <w:top w:val="none" w:sz="0" w:space="0" w:color="auto"/>
        <w:left w:val="none" w:sz="0" w:space="0" w:color="auto"/>
        <w:bottom w:val="none" w:sz="0" w:space="0" w:color="auto"/>
        <w:right w:val="none" w:sz="0" w:space="0" w:color="auto"/>
      </w:divBdr>
    </w:div>
    <w:div w:id="293217249">
      <w:bodyDiv w:val="1"/>
      <w:marLeft w:val="0"/>
      <w:marRight w:val="0"/>
      <w:marTop w:val="0"/>
      <w:marBottom w:val="0"/>
      <w:divBdr>
        <w:top w:val="none" w:sz="0" w:space="0" w:color="auto"/>
        <w:left w:val="none" w:sz="0" w:space="0" w:color="auto"/>
        <w:bottom w:val="none" w:sz="0" w:space="0" w:color="auto"/>
        <w:right w:val="none" w:sz="0" w:space="0" w:color="auto"/>
      </w:divBdr>
    </w:div>
    <w:div w:id="672342726">
      <w:bodyDiv w:val="1"/>
      <w:marLeft w:val="0"/>
      <w:marRight w:val="0"/>
      <w:marTop w:val="0"/>
      <w:marBottom w:val="0"/>
      <w:divBdr>
        <w:top w:val="none" w:sz="0" w:space="0" w:color="auto"/>
        <w:left w:val="none" w:sz="0" w:space="0" w:color="auto"/>
        <w:bottom w:val="none" w:sz="0" w:space="0" w:color="auto"/>
        <w:right w:val="none" w:sz="0" w:space="0" w:color="auto"/>
      </w:divBdr>
    </w:div>
    <w:div w:id="994187556">
      <w:bodyDiv w:val="1"/>
      <w:marLeft w:val="0"/>
      <w:marRight w:val="0"/>
      <w:marTop w:val="0"/>
      <w:marBottom w:val="0"/>
      <w:divBdr>
        <w:top w:val="none" w:sz="0" w:space="0" w:color="auto"/>
        <w:left w:val="none" w:sz="0" w:space="0" w:color="auto"/>
        <w:bottom w:val="none" w:sz="0" w:space="0" w:color="auto"/>
        <w:right w:val="none" w:sz="0" w:space="0" w:color="auto"/>
      </w:divBdr>
    </w:div>
    <w:div w:id="1094520258">
      <w:bodyDiv w:val="1"/>
      <w:marLeft w:val="0"/>
      <w:marRight w:val="0"/>
      <w:marTop w:val="0"/>
      <w:marBottom w:val="0"/>
      <w:divBdr>
        <w:top w:val="none" w:sz="0" w:space="0" w:color="auto"/>
        <w:left w:val="none" w:sz="0" w:space="0" w:color="auto"/>
        <w:bottom w:val="none" w:sz="0" w:space="0" w:color="auto"/>
        <w:right w:val="none" w:sz="0" w:space="0" w:color="auto"/>
      </w:divBdr>
    </w:div>
    <w:div w:id="1204364229">
      <w:bodyDiv w:val="1"/>
      <w:marLeft w:val="0"/>
      <w:marRight w:val="0"/>
      <w:marTop w:val="0"/>
      <w:marBottom w:val="0"/>
      <w:divBdr>
        <w:top w:val="none" w:sz="0" w:space="0" w:color="auto"/>
        <w:left w:val="none" w:sz="0" w:space="0" w:color="auto"/>
        <w:bottom w:val="none" w:sz="0" w:space="0" w:color="auto"/>
        <w:right w:val="none" w:sz="0" w:space="0" w:color="auto"/>
      </w:divBdr>
    </w:div>
    <w:div w:id="1518428873">
      <w:bodyDiv w:val="1"/>
      <w:marLeft w:val="0"/>
      <w:marRight w:val="0"/>
      <w:marTop w:val="0"/>
      <w:marBottom w:val="0"/>
      <w:divBdr>
        <w:top w:val="none" w:sz="0" w:space="0" w:color="auto"/>
        <w:left w:val="none" w:sz="0" w:space="0" w:color="auto"/>
        <w:bottom w:val="none" w:sz="0" w:space="0" w:color="auto"/>
        <w:right w:val="none" w:sz="0" w:space="0" w:color="auto"/>
      </w:divBdr>
    </w:div>
    <w:div w:id="1677804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geuk.org.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23</TotalTime>
  <Pages>6</Pages>
  <Words>1591</Words>
  <Characters>9074</Characters>
  <Application>Microsoft Office Word</Application>
  <DocSecurity>0</DocSecurity>
  <Lines>75</Lines>
  <Paragraphs>21</Paragraphs>
  <ScaleCrop>false</ScaleCrop>
  <Company/>
  <LinksUpToDate>false</LinksUpToDate>
  <CharactersWithSpaces>10644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Jussara Maria Sa Si Vieira (2431198)</dc:creator>
  <cp:keywords/>
  <dc:description/>
  <cp:lastModifiedBy>Jussara Maria Sa Si Vieira (2431198)</cp:lastModifiedBy>
  <cp:revision>1</cp:revision>
  <dcterms:created xsi:type="dcterms:W3CDTF">2025-12-17T21:37:00Z</dcterms:created>
  <dcterms:modified xsi:type="dcterms:W3CDTF">2025-12-17T22:52:00Z</dcterms:modified>
</cp:coreProperties>
</file>