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D7E5C" w14:textId="77777777" w:rsidR="003257DF" w:rsidRDefault="003257DF" w:rsidP="003257D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457F96" w14:textId="77777777" w:rsidR="003257DF" w:rsidRPr="00230F35" w:rsidRDefault="003257DF" w:rsidP="003257D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13C9A8D" w14:textId="77777777" w:rsidR="003257DF" w:rsidRPr="00230F35" w:rsidRDefault="003257DF" w:rsidP="003257DF">
      <w:pPr>
        <w:rPr>
          <w:rFonts w:ascii="Arial" w:hAnsi="Arial" w:cs="Arial"/>
          <w:sz w:val="28"/>
          <w:szCs w:val="28"/>
          <w:lang w:val="cy-GB"/>
        </w:rPr>
      </w:pPr>
    </w:p>
    <w:p w14:paraId="5D01CCD7" w14:textId="77777777" w:rsidR="003257DF" w:rsidRDefault="003257DF" w:rsidP="003257DF">
      <w:pPr>
        <w:pStyle w:val="Heading3"/>
        <w:jc w:val="center"/>
        <w:rPr>
          <w:lang w:val="cy-GB"/>
        </w:rPr>
      </w:pPr>
      <w:r>
        <w:rPr>
          <w:lang w:val="cy-GB"/>
        </w:rPr>
        <w:t>THIS SHEET MUST BE THE FIRST PAGE OF THE ASSIGNMENT YOU ARE SUBMITTING  (DO NOT SEND AS A SEPARATE FILE)</w:t>
      </w:r>
    </w:p>
    <w:p w14:paraId="291C4819" w14:textId="77777777" w:rsidR="003257DF" w:rsidRDefault="003257DF" w:rsidP="003257D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257DF" w:rsidRPr="00230F35" w14:paraId="426CA5B9" w14:textId="77777777" w:rsidTr="00597E62">
        <w:trPr>
          <w:trHeight w:val="614"/>
        </w:trPr>
        <w:tc>
          <w:tcPr>
            <w:tcW w:w="8856" w:type="dxa"/>
            <w:gridSpan w:val="5"/>
          </w:tcPr>
          <w:p w14:paraId="3D06A174" w14:textId="77777777" w:rsidR="003257DF" w:rsidRPr="00230F35"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257DF" w:rsidRPr="00230F35" w14:paraId="16EC1ADD" w14:textId="77777777" w:rsidTr="00597E62">
        <w:trPr>
          <w:trHeight w:val="718"/>
        </w:trPr>
        <w:tc>
          <w:tcPr>
            <w:tcW w:w="8856" w:type="dxa"/>
            <w:gridSpan w:val="5"/>
          </w:tcPr>
          <w:p w14:paraId="5D1E8817" w14:textId="77777777" w:rsidR="003257DF"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John Ockels</w:t>
            </w:r>
          </w:p>
          <w:p w14:paraId="7757CB0B" w14:textId="77777777" w:rsidR="003257DF" w:rsidRPr="00230F35" w:rsidRDefault="003257DF" w:rsidP="00597E62">
            <w:pPr>
              <w:pStyle w:val="NormalWeb"/>
              <w:spacing w:before="0" w:beforeAutospacing="0" w:after="0" w:afterAutospacing="0"/>
              <w:ind w:right="34"/>
              <w:rPr>
                <w:rFonts w:ascii="Arial" w:hAnsi="Arial" w:cs="Arial"/>
                <w:sz w:val="22"/>
                <w:szCs w:val="22"/>
              </w:rPr>
            </w:pPr>
          </w:p>
          <w:p w14:paraId="7E156C63" w14:textId="77777777" w:rsidR="003257DF" w:rsidRPr="00230F35"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4143FC">
              <w:rPr>
                <w:rFonts w:ascii="Arial" w:hAnsi="Arial" w:cs="Arial"/>
                <w:sz w:val="22"/>
                <w:szCs w:val="22"/>
              </w:rPr>
              <w:t>2318050@student.uwtsd.ac.uk</w:t>
            </w:r>
          </w:p>
        </w:tc>
      </w:tr>
      <w:tr w:rsidR="003257DF" w:rsidRPr="00230F35" w14:paraId="14B6101F" w14:textId="77777777" w:rsidTr="00597E62">
        <w:trPr>
          <w:trHeight w:val="849"/>
        </w:trPr>
        <w:tc>
          <w:tcPr>
            <w:tcW w:w="4788" w:type="dxa"/>
          </w:tcPr>
          <w:p w14:paraId="7ACF3E5D" w14:textId="77777777" w:rsidR="003257DF"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7027</w:t>
            </w:r>
          </w:p>
          <w:p w14:paraId="7B986AD2" w14:textId="77777777" w:rsidR="003257DF" w:rsidRPr="00230F35" w:rsidRDefault="003257DF" w:rsidP="00597E62">
            <w:pPr>
              <w:pStyle w:val="NormalWeb"/>
              <w:spacing w:before="0" w:beforeAutospacing="0" w:after="0" w:afterAutospacing="0"/>
              <w:ind w:right="34"/>
              <w:rPr>
                <w:rFonts w:ascii="Arial" w:hAnsi="Arial" w:cs="Arial"/>
                <w:sz w:val="22"/>
                <w:szCs w:val="22"/>
              </w:rPr>
            </w:pPr>
          </w:p>
          <w:p w14:paraId="2146EFDB" w14:textId="77777777" w:rsidR="003257DF"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396C57E3" w14:textId="77777777" w:rsidR="003257DF" w:rsidRDefault="003257DF" w:rsidP="00597E6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Cosmology, Magic and Divination</w:t>
            </w:r>
          </w:p>
          <w:p w14:paraId="0C746334" w14:textId="77777777" w:rsidR="003257DF" w:rsidRPr="00230F35" w:rsidRDefault="003257DF" w:rsidP="00597E62">
            <w:pPr>
              <w:pStyle w:val="NormalWeb"/>
              <w:spacing w:before="0" w:beforeAutospacing="0" w:after="0" w:afterAutospacing="0"/>
              <w:ind w:right="34"/>
              <w:rPr>
                <w:rFonts w:ascii="Arial" w:hAnsi="Arial" w:cs="Arial"/>
                <w:sz w:val="22"/>
                <w:szCs w:val="22"/>
              </w:rPr>
            </w:pPr>
          </w:p>
        </w:tc>
        <w:tc>
          <w:tcPr>
            <w:tcW w:w="2266" w:type="dxa"/>
            <w:gridSpan w:val="3"/>
          </w:tcPr>
          <w:p w14:paraId="680E7D28" w14:textId="77777777" w:rsidR="003257DF"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0EE45B60" w14:textId="77777777" w:rsidR="003257DF" w:rsidRDefault="003257DF" w:rsidP="00597E62">
            <w:pPr>
              <w:pStyle w:val="NormalWeb"/>
              <w:spacing w:before="0" w:beforeAutospacing="0" w:after="0" w:afterAutospacing="0"/>
              <w:ind w:right="34"/>
              <w:rPr>
                <w:rFonts w:ascii="Arial" w:hAnsi="Arial" w:cs="Arial"/>
                <w:sz w:val="22"/>
                <w:szCs w:val="22"/>
              </w:rPr>
            </w:pPr>
          </w:p>
          <w:p w14:paraId="69921E4E" w14:textId="77777777" w:rsidR="003257DF" w:rsidRPr="00230F35" w:rsidRDefault="003257DF" w:rsidP="00597E62">
            <w:pPr>
              <w:pStyle w:val="NormalWeb"/>
              <w:spacing w:before="0" w:beforeAutospacing="0" w:after="0" w:afterAutospacing="0"/>
              <w:ind w:right="34"/>
              <w:rPr>
                <w:rFonts w:ascii="Arial" w:hAnsi="Arial" w:cs="Arial"/>
                <w:sz w:val="22"/>
                <w:szCs w:val="22"/>
              </w:rPr>
            </w:pPr>
            <w:r>
              <w:rPr>
                <w:rFonts w:ascii="Arial" w:hAnsi="Arial" w:cs="Arial"/>
                <w:sz w:val="22"/>
                <w:szCs w:val="22"/>
              </w:rPr>
              <w:t>2318050</w:t>
            </w:r>
          </w:p>
        </w:tc>
        <w:tc>
          <w:tcPr>
            <w:tcW w:w="1802" w:type="dxa"/>
          </w:tcPr>
          <w:p w14:paraId="25A18B87" w14:textId="77777777" w:rsidR="003257DF"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17270D1" w14:textId="77777777" w:rsidR="003257DF" w:rsidRDefault="003257DF" w:rsidP="00597E62">
            <w:pPr>
              <w:pStyle w:val="NormalWeb"/>
              <w:spacing w:before="0" w:beforeAutospacing="0" w:after="0" w:afterAutospacing="0"/>
              <w:ind w:right="34"/>
              <w:rPr>
                <w:rFonts w:ascii="Arial" w:hAnsi="Arial" w:cs="Arial"/>
                <w:sz w:val="22"/>
                <w:szCs w:val="22"/>
              </w:rPr>
            </w:pPr>
          </w:p>
          <w:p w14:paraId="5E5ED34C" w14:textId="77777777" w:rsidR="003257DF" w:rsidRPr="00230F35" w:rsidRDefault="003257DF" w:rsidP="00597E62">
            <w:pPr>
              <w:pStyle w:val="NormalWeb"/>
              <w:spacing w:before="0" w:beforeAutospacing="0" w:after="0" w:afterAutospacing="0"/>
              <w:ind w:right="34"/>
              <w:rPr>
                <w:rFonts w:ascii="Arial" w:hAnsi="Arial" w:cs="Arial"/>
                <w:sz w:val="22"/>
                <w:szCs w:val="22"/>
              </w:rPr>
            </w:pPr>
            <w:r>
              <w:rPr>
                <w:rFonts w:ascii="Arial" w:hAnsi="Arial" w:cs="Arial"/>
                <w:sz w:val="22"/>
                <w:szCs w:val="22"/>
              </w:rPr>
              <w:t>None</w:t>
            </w:r>
          </w:p>
          <w:p w14:paraId="76DCEE7C" w14:textId="77777777" w:rsidR="003257DF" w:rsidRPr="00230F35" w:rsidRDefault="003257DF" w:rsidP="00597E62">
            <w:pPr>
              <w:pStyle w:val="NormalWeb"/>
              <w:spacing w:before="0" w:beforeAutospacing="0" w:after="0" w:afterAutospacing="0"/>
              <w:ind w:right="34"/>
              <w:rPr>
                <w:rFonts w:ascii="Arial" w:hAnsi="Arial" w:cs="Arial"/>
                <w:sz w:val="22"/>
                <w:szCs w:val="22"/>
              </w:rPr>
            </w:pPr>
          </w:p>
        </w:tc>
      </w:tr>
      <w:tr w:rsidR="003257DF" w:rsidRPr="00230F35" w14:paraId="7E50ECEE" w14:textId="77777777" w:rsidTr="00597E62">
        <w:trPr>
          <w:trHeight w:val="1139"/>
        </w:trPr>
        <w:tc>
          <w:tcPr>
            <w:tcW w:w="8856" w:type="dxa"/>
            <w:gridSpan w:val="5"/>
          </w:tcPr>
          <w:p w14:paraId="27953F84" w14:textId="77777777" w:rsidR="003257DF" w:rsidRPr="00230F35"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Second Class Paper, First Revision</w:t>
            </w:r>
          </w:p>
          <w:p w14:paraId="23B28505" w14:textId="77777777" w:rsidR="003257DF" w:rsidRDefault="003257DF" w:rsidP="00597E62">
            <w:pPr>
              <w:pStyle w:val="NormalWeb"/>
              <w:spacing w:before="0" w:beforeAutospacing="0" w:after="0" w:afterAutospacing="0"/>
              <w:ind w:right="34"/>
              <w:rPr>
                <w:rFonts w:ascii="Arial" w:hAnsi="Arial" w:cs="Arial"/>
                <w:sz w:val="22"/>
                <w:szCs w:val="22"/>
              </w:rPr>
            </w:pPr>
          </w:p>
          <w:p w14:paraId="12A5D108" w14:textId="77777777" w:rsidR="003257DF" w:rsidRPr="00230F35" w:rsidRDefault="003257DF" w:rsidP="00597E6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24/07/2024</w:t>
            </w:r>
          </w:p>
        </w:tc>
      </w:tr>
      <w:tr w:rsidR="003257DF" w:rsidRPr="00230F35" w14:paraId="3342EB9C" w14:textId="77777777" w:rsidTr="00597E62">
        <w:trPr>
          <w:trHeight w:val="978"/>
        </w:trPr>
        <w:tc>
          <w:tcPr>
            <w:tcW w:w="8856" w:type="dxa"/>
            <w:gridSpan w:val="5"/>
            <w:tcBorders>
              <w:bottom w:val="single" w:sz="4" w:space="0" w:color="000000"/>
            </w:tcBorders>
          </w:tcPr>
          <w:p w14:paraId="019E5C2D" w14:textId="77777777" w:rsidR="003257DF" w:rsidRPr="00230F35" w:rsidRDefault="003257DF" w:rsidP="00597E6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257DF" w:rsidRPr="00230F35" w14:paraId="3A101762" w14:textId="77777777" w:rsidTr="00597E62">
        <w:trPr>
          <w:trHeight w:val="978"/>
        </w:trPr>
        <w:tc>
          <w:tcPr>
            <w:tcW w:w="8856" w:type="dxa"/>
            <w:gridSpan w:val="5"/>
            <w:shd w:val="clear" w:color="auto" w:fill="D9D9D9"/>
          </w:tcPr>
          <w:p w14:paraId="2955A188" w14:textId="77777777" w:rsidR="003257DF" w:rsidRPr="00B728EA" w:rsidRDefault="003257DF" w:rsidP="00597E62">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5522A5ED" w14:textId="77777777" w:rsidR="003257DF" w:rsidRPr="00B728EA" w:rsidRDefault="003257DF" w:rsidP="00597E62">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2D444A2E" w14:textId="77777777" w:rsidR="003257DF" w:rsidRPr="00B728EA" w:rsidRDefault="003257DF" w:rsidP="00597E62">
            <w:pPr>
              <w:pStyle w:val="NormalWeb"/>
              <w:spacing w:before="0" w:beforeAutospacing="0" w:after="0" w:afterAutospacing="0"/>
              <w:ind w:right="34"/>
              <w:rPr>
                <w:rFonts w:ascii="Arial" w:hAnsi="Arial" w:cs="Arial"/>
                <w:sz w:val="22"/>
                <w:szCs w:val="22"/>
              </w:rPr>
            </w:pPr>
          </w:p>
          <w:p w14:paraId="2FDE971C" w14:textId="77777777" w:rsidR="003257DF" w:rsidRPr="00B728EA" w:rsidRDefault="003257DF" w:rsidP="00597E62">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0957E331" w14:textId="77777777" w:rsidR="003257DF" w:rsidRPr="00B728EA" w:rsidRDefault="003257DF" w:rsidP="00597E62">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0BB3965C" w14:textId="77777777" w:rsidR="003257DF" w:rsidRPr="00B728EA" w:rsidRDefault="003257DF" w:rsidP="00597E62">
            <w:pPr>
              <w:pStyle w:val="NormalWeb"/>
              <w:spacing w:before="0" w:beforeAutospacing="0" w:after="0" w:afterAutospacing="0"/>
              <w:ind w:right="34"/>
              <w:rPr>
                <w:rFonts w:ascii="Arial" w:hAnsi="Arial" w:cs="Arial"/>
                <w:color w:val="000000" w:themeColor="text1"/>
                <w:sz w:val="22"/>
                <w:szCs w:val="22"/>
              </w:rPr>
            </w:pPr>
          </w:p>
          <w:p w14:paraId="039C0CCF" w14:textId="77777777" w:rsidR="003257DF" w:rsidRPr="00B728EA" w:rsidRDefault="003257DF" w:rsidP="00597E62">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14A41C52" w14:textId="77777777" w:rsidR="003257DF" w:rsidRPr="00B728EA" w:rsidRDefault="003257DF" w:rsidP="00597E62">
            <w:pPr>
              <w:pStyle w:val="NormalWeb"/>
              <w:spacing w:before="0" w:beforeAutospacing="0" w:after="0" w:afterAutospacing="0"/>
              <w:ind w:right="34"/>
              <w:rPr>
                <w:rFonts w:ascii="Arial" w:hAnsi="Arial" w:cs="Arial"/>
                <w:sz w:val="22"/>
                <w:szCs w:val="22"/>
              </w:rPr>
            </w:pPr>
          </w:p>
          <w:p w14:paraId="76DF3553" w14:textId="77777777" w:rsidR="003257DF" w:rsidRPr="00B728EA" w:rsidRDefault="003257DF" w:rsidP="00597E62">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6C0DB28D" w14:textId="77777777" w:rsidR="003257DF" w:rsidRPr="00B728EA" w:rsidRDefault="003257DF" w:rsidP="00597E62">
            <w:pPr>
              <w:pStyle w:val="NormalWeb"/>
              <w:spacing w:before="0" w:beforeAutospacing="0" w:after="0" w:afterAutospacing="0"/>
              <w:ind w:right="34"/>
              <w:rPr>
                <w:rFonts w:ascii="Arial" w:hAnsi="Arial" w:cs="Arial"/>
                <w:sz w:val="22"/>
                <w:szCs w:val="22"/>
              </w:rPr>
            </w:pPr>
          </w:p>
          <w:p w14:paraId="6487BFBC" w14:textId="77777777" w:rsidR="003257DF" w:rsidRDefault="003257DF" w:rsidP="00597E62">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/John H. Ockels /</w:t>
            </w:r>
          </w:p>
          <w:p w14:paraId="46D37A85" w14:textId="77777777" w:rsidR="003257DF" w:rsidRPr="00230F35" w:rsidRDefault="003257DF" w:rsidP="00597E62">
            <w:pPr>
              <w:pStyle w:val="NormalWeb"/>
              <w:spacing w:before="0" w:beforeAutospacing="0" w:after="0" w:afterAutospacing="0"/>
              <w:ind w:right="34"/>
              <w:rPr>
                <w:rFonts w:ascii="Arial" w:hAnsi="Arial" w:cs="Arial"/>
                <w:sz w:val="22"/>
                <w:szCs w:val="22"/>
              </w:rPr>
            </w:pPr>
          </w:p>
        </w:tc>
      </w:tr>
      <w:tr w:rsidR="003257DF" w:rsidRPr="00230F35" w14:paraId="64C087B1" w14:textId="77777777" w:rsidTr="00597E62">
        <w:trPr>
          <w:trHeight w:val="3972"/>
        </w:trPr>
        <w:tc>
          <w:tcPr>
            <w:tcW w:w="8856" w:type="dxa"/>
            <w:gridSpan w:val="5"/>
          </w:tcPr>
          <w:p w14:paraId="165DE6FE" w14:textId="77777777" w:rsidR="003257DF" w:rsidRDefault="003257DF" w:rsidP="00597E62">
            <w:pPr>
              <w:rPr>
                <w:rFonts w:ascii="Arial" w:hAnsi="Arial"/>
                <w:b/>
              </w:rPr>
            </w:pPr>
          </w:p>
          <w:p w14:paraId="2B735054" w14:textId="77777777" w:rsidR="003257DF" w:rsidRPr="00116CE6" w:rsidRDefault="003257DF" w:rsidP="00597E6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257DF" w:rsidRPr="00116CE6" w14:paraId="196E6771" w14:textId="77777777" w:rsidTr="00597E62">
              <w:tc>
                <w:tcPr>
                  <w:tcW w:w="6970" w:type="dxa"/>
                </w:tcPr>
                <w:p w14:paraId="01DD66E2" w14:textId="77777777" w:rsidR="003257DF" w:rsidRPr="00116CE6" w:rsidRDefault="003257DF" w:rsidP="00597E62">
                  <w:pPr>
                    <w:rPr>
                      <w:rFonts w:ascii="Arial" w:hAnsi="Arial"/>
                      <w:sz w:val="20"/>
                      <w:szCs w:val="20"/>
                    </w:rPr>
                  </w:pPr>
                </w:p>
                <w:p w14:paraId="25C0A0B4" w14:textId="77777777" w:rsidR="003257DF" w:rsidRPr="00116CE6" w:rsidRDefault="003257DF" w:rsidP="00597E6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9E1E07F" w14:textId="77777777" w:rsidR="003257DF" w:rsidRPr="00116CE6" w:rsidRDefault="003257DF" w:rsidP="00597E62">
                  <w:pPr>
                    <w:rPr>
                      <w:rFonts w:ascii="Arial" w:hAnsi="Arial"/>
                      <w:sz w:val="20"/>
                      <w:szCs w:val="20"/>
                    </w:rPr>
                  </w:pPr>
                </w:p>
              </w:tc>
            </w:tr>
            <w:tr w:rsidR="003257DF" w:rsidRPr="00116CE6" w14:paraId="5E48664C" w14:textId="77777777" w:rsidTr="00597E62">
              <w:tc>
                <w:tcPr>
                  <w:tcW w:w="6970" w:type="dxa"/>
                </w:tcPr>
                <w:p w14:paraId="3B8324D4" w14:textId="77777777" w:rsidR="003257DF" w:rsidRPr="00116CE6" w:rsidRDefault="003257DF" w:rsidP="00597E62">
                  <w:pPr>
                    <w:rPr>
                      <w:rFonts w:ascii="Arial" w:hAnsi="Arial"/>
                      <w:sz w:val="20"/>
                      <w:szCs w:val="20"/>
                    </w:rPr>
                  </w:pPr>
                </w:p>
                <w:p w14:paraId="3128BD7F" w14:textId="77777777" w:rsidR="003257DF" w:rsidRPr="00116CE6" w:rsidRDefault="003257DF" w:rsidP="00597E6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2FA7ADF" w14:textId="77777777" w:rsidR="003257DF" w:rsidRPr="00116CE6" w:rsidRDefault="003257DF" w:rsidP="00597E62">
                  <w:pPr>
                    <w:rPr>
                      <w:rFonts w:ascii="Arial" w:hAnsi="Arial"/>
                      <w:sz w:val="20"/>
                      <w:szCs w:val="20"/>
                    </w:rPr>
                  </w:pPr>
                </w:p>
              </w:tc>
            </w:tr>
            <w:tr w:rsidR="003257DF" w:rsidRPr="00116CE6" w14:paraId="7DD901FF" w14:textId="77777777" w:rsidTr="00597E62">
              <w:tc>
                <w:tcPr>
                  <w:tcW w:w="6970" w:type="dxa"/>
                </w:tcPr>
                <w:p w14:paraId="1A894EAD" w14:textId="77777777" w:rsidR="003257DF" w:rsidRPr="00116CE6" w:rsidRDefault="003257DF" w:rsidP="00597E62">
                  <w:pPr>
                    <w:rPr>
                      <w:rFonts w:ascii="Arial" w:hAnsi="Arial"/>
                      <w:sz w:val="20"/>
                      <w:szCs w:val="20"/>
                    </w:rPr>
                  </w:pPr>
                </w:p>
                <w:p w14:paraId="209BFDE5" w14:textId="77777777" w:rsidR="003257DF" w:rsidRPr="00116CE6" w:rsidRDefault="003257DF" w:rsidP="00597E6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B67F2C4" w14:textId="77777777" w:rsidR="003257DF" w:rsidRPr="00116CE6" w:rsidRDefault="003257DF" w:rsidP="00597E62">
                  <w:pPr>
                    <w:rPr>
                      <w:rFonts w:ascii="Arial" w:hAnsi="Arial"/>
                      <w:sz w:val="20"/>
                      <w:szCs w:val="20"/>
                    </w:rPr>
                  </w:pPr>
                </w:p>
              </w:tc>
            </w:tr>
            <w:tr w:rsidR="003257DF" w:rsidRPr="00116CE6" w14:paraId="3CBA88A7" w14:textId="77777777" w:rsidTr="00597E62">
              <w:tc>
                <w:tcPr>
                  <w:tcW w:w="6970" w:type="dxa"/>
                </w:tcPr>
                <w:p w14:paraId="092E87B4" w14:textId="77777777" w:rsidR="003257DF" w:rsidRDefault="003257DF" w:rsidP="00597E62">
                  <w:pPr>
                    <w:rPr>
                      <w:rFonts w:ascii="Arial" w:hAnsi="Arial"/>
                      <w:sz w:val="20"/>
                      <w:szCs w:val="20"/>
                    </w:rPr>
                  </w:pPr>
                </w:p>
                <w:p w14:paraId="5918C5CD" w14:textId="77777777" w:rsidR="003257DF" w:rsidRPr="00022345" w:rsidRDefault="003257DF" w:rsidP="00597E62">
                  <w:pPr>
                    <w:rPr>
                      <w:rFonts w:ascii="Arial" w:hAnsi="Arial"/>
                      <w:b/>
                      <w:sz w:val="20"/>
                      <w:szCs w:val="20"/>
                    </w:rPr>
                  </w:pPr>
                  <w:r w:rsidRPr="00022345">
                    <w:rPr>
                      <w:rFonts w:ascii="Arial" w:hAnsi="Arial"/>
                      <w:b/>
                      <w:sz w:val="20"/>
                      <w:szCs w:val="20"/>
                    </w:rPr>
                    <w:t>Final Mark</w:t>
                  </w:r>
                </w:p>
                <w:p w14:paraId="26693944" w14:textId="77777777" w:rsidR="003257DF" w:rsidRPr="00116CE6" w:rsidRDefault="003257DF" w:rsidP="00597E62">
                  <w:pPr>
                    <w:rPr>
                      <w:rFonts w:ascii="Arial" w:hAnsi="Arial"/>
                      <w:sz w:val="20"/>
                      <w:szCs w:val="20"/>
                    </w:rPr>
                  </w:pPr>
                </w:p>
              </w:tc>
              <w:tc>
                <w:tcPr>
                  <w:tcW w:w="1660" w:type="dxa"/>
                </w:tcPr>
                <w:p w14:paraId="2DC6BFD8" w14:textId="77777777" w:rsidR="003257DF" w:rsidRPr="00116CE6" w:rsidRDefault="003257DF" w:rsidP="00597E62">
                  <w:pPr>
                    <w:rPr>
                      <w:rFonts w:ascii="Arial" w:hAnsi="Arial"/>
                      <w:sz w:val="20"/>
                      <w:szCs w:val="20"/>
                    </w:rPr>
                  </w:pPr>
                </w:p>
              </w:tc>
            </w:tr>
          </w:tbl>
          <w:p w14:paraId="5B193792" w14:textId="77777777" w:rsidR="003257DF" w:rsidRDefault="003257DF" w:rsidP="00597E62">
            <w:pPr>
              <w:pStyle w:val="NormalWeb"/>
              <w:spacing w:before="0" w:beforeAutospacing="0" w:after="0" w:afterAutospacing="0"/>
              <w:ind w:left="142" w:right="34"/>
              <w:rPr>
                <w:rFonts w:ascii="Arial" w:hAnsi="Arial" w:cs="Arial"/>
                <w:b/>
                <w:sz w:val="22"/>
                <w:szCs w:val="22"/>
              </w:rPr>
            </w:pPr>
          </w:p>
          <w:p w14:paraId="7175D220" w14:textId="77777777" w:rsidR="003257DF" w:rsidRPr="00230F35" w:rsidRDefault="003257DF" w:rsidP="00597E6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00AF9A7" w14:textId="77777777" w:rsidR="003257DF" w:rsidRDefault="003257DF" w:rsidP="00597E62">
            <w:pPr>
              <w:pStyle w:val="NormalWeb"/>
              <w:spacing w:before="0" w:beforeAutospacing="0" w:after="0" w:afterAutospacing="0"/>
              <w:rPr>
                <w:rFonts w:ascii="Arial" w:hAnsi="Arial" w:cs="Arial"/>
                <w:b/>
                <w:sz w:val="22"/>
                <w:szCs w:val="22"/>
              </w:rPr>
            </w:pPr>
          </w:p>
          <w:p w14:paraId="50186863" w14:textId="77777777" w:rsidR="003257DF" w:rsidRDefault="003257DF" w:rsidP="00597E62">
            <w:pPr>
              <w:pStyle w:val="NormalWeb"/>
              <w:spacing w:before="0" w:beforeAutospacing="0" w:after="0" w:afterAutospacing="0"/>
              <w:rPr>
                <w:rFonts w:ascii="Arial" w:hAnsi="Arial" w:cs="Arial"/>
                <w:b/>
                <w:sz w:val="22"/>
                <w:szCs w:val="22"/>
              </w:rPr>
            </w:pPr>
          </w:p>
          <w:p w14:paraId="53698D4F" w14:textId="77777777" w:rsidR="003257DF" w:rsidRDefault="003257DF" w:rsidP="00597E62">
            <w:pPr>
              <w:pStyle w:val="NormalWeb"/>
              <w:spacing w:before="0" w:beforeAutospacing="0" w:after="0" w:afterAutospacing="0"/>
              <w:rPr>
                <w:rFonts w:ascii="Arial" w:hAnsi="Arial" w:cs="Arial"/>
                <w:b/>
                <w:sz w:val="22"/>
                <w:szCs w:val="22"/>
              </w:rPr>
            </w:pPr>
          </w:p>
          <w:p w14:paraId="135EE665" w14:textId="77777777" w:rsidR="003257DF" w:rsidRDefault="003257DF" w:rsidP="00597E62">
            <w:pPr>
              <w:pStyle w:val="NormalWeb"/>
              <w:spacing w:before="0" w:beforeAutospacing="0" w:after="0" w:afterAutospacing="0"/>
              <w:rPr>
                <w:rFonts w:ascii="Arial" w:hAnsi="Arial" w:cs="Arial"/>
                <w:b/>
                <w:sz w:val="22"/>
                <w:szCs w:val="22"/>
              </w:rPr>
            </w:pPr>
          </w:p>
          <w:p w14:paraId="3AB96A3D" w14:textId="77777777" w:rsidR="003257DF" w:rsidRDefault="003257DF" w:rsidP="00597E62">
            <w:pPr>
              <w:pStyle w:val="NormalWeb"/>
              <w:spacing w:before="0" w:beforeAutospacing="0" w:after="0" w:afterAutospacing="0"/>
              <w:rPr>
                <w:rFonts w:ascii="Arial" w:hAnsi="Arial" w:cs="Arial"/>
                <w:b/>
                <w:sz w:val="22"/>
                <w:szCs w:val="22"/>
              </w:rPr>
            </w:pPr>
          </w:p>
          <w:p w14:paraId="762D6CD1" w14:textId="77777777" w:rsidR="003257DF" w:rsidRPr="00230F35" w:rsidRDefault="003257DF" w:rsidP="00597E6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7B472C7" w14:textId="77777777" w:rsidR="003257DF" w:rsidRDefault="003257DF" w:rsidP="00597E6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0A428DD" w14:textId="77777777" w:rsidR="003257DF" w:rsidRPr="00001C3B" w:rsidRDefault="003257DF" w:rsidP="00597E62">
            <w:pPr>
              <w:pStyle w:val="NormalWeb"/>
              <w:rPr>
                <w:rFonts w:ascii="Arial" w:hAnsi="Arial" w:cs="Arial"/>
                <w:sz w:val="22"/>
                <w:szCs w:val="22"/>
              </w:rPr>
            </w:pPr>
          </w:p>
        </w:tc>
      </w:tr>
      <w:tr w:rsidR="003257DF" w:rsidRPr="00230F35" w14:paraId="198460B5" w14:textId="77777777" w:rsidTr="00597E62">
        <w:trPr>
          <w:trHeight w:val="492"/>
        </w:trPr>
        <w:tc>
          <w:tcPr>
            <w:tcW w:w="6768" w:type="dxa"/>
            <w:gridSpan w:val="3"/>
          </w:tcPr>
          <w:p w14:paraId="4922703C" w14:textId="77777777" w:rsidR="003257DF" w:rsidRPr="00230F35" w:rsidRDefault="003257DF" w:rsidP="00597E6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9388CF5" w14:textId="77777777" w:rsidR="003257DF" w:rsidRPr="00230F35" w:rsidRDefault="003257DF" w:rsidP="00597E62">
            <w:pPr>
              <w:pStyle w:val="NormalWeb"/>
              <w:spacing w:after="0"/>
              <w:ind w:left="142" w:right="34"/>
              <w:rPr>
                <w:rFonts w:ascii="Arial" w:hAnsi="Arial" w:cs="Arial"/>
                <w:sz w:val="22"/>
                <w:szCs w:val="22"/>
              </w:rPr>
            </w:pPr>
            <w:r w:rsidRPr="00230F35">
              <w:rPr>
                <w:rFonts w:ascii="Arial" w:hAnsi="Arial" w:cs="Arial"/>
                <w:sz w:val="22"/>
                <w:szCs w:val="22"/>
              </w:rPr>
              <w:t>Date:</w:t>
            </w:r>
          </w:p>
        </w:tc>
      </w:tr>
      <w:tr w:rsidR="003257DF" w:rsidRPr="002F467C" w14:paraId="410ADF90" w14:textId="77777777" w:rsidTr="00597E62">
        <w:tc>
          <w:tcPr>
            <w:tcW w:w="8856" w:type="dxa"/>
            <w:gridSpan w:val="5"/>
          </w:tcPr>
          <w:p w14:paraId="067EC118" w14:textId="77777777" w:rsidR="003257DF" w:rsidRPr="00230F35" w:rsidRDefault="003257DF" w:rsidP="00597E62">
            <w:pPr>
              <w:pStyle w:val="NormalWeb"/>
              <w:spacing w:before="0" w:beforeAutospacing="0" w:after="0" w:afterAutospacing="0"/>
              <w:ind w:right="-334"/>
              <w:rPr>
                <w:rFonts w:ascii="Arial" w:hAnsi="Arial" w:cs="Arial"/>
                <w:bCs/>
                <w:i/>
                <w:sz w:val="22"/>
                <w:szCs w:val="22"/>
              </w:rPr>
            </w:pPr>
          </w:p>
          <w:p w14:paraId="47C2782E" w14:textId="77777777" w:rsidR="003257DF" w:rsidRPr="00230F35" w:rsidRDefault="003257DF" w:rsidP="00597E6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A895AF9" w14:textId="77777777" w:rsidR="003257DF" w:rsidRPr="00230F35" w:rsidRDefault="003257DF" w:rsidP="00597E62">
            <w:pPr>
              <w:pStyle w:val="NormalWeb"/>
              <w:spacing w:before="0" w:beforeAutospacing="0" w:after="0" w:afterAutospacing="0"/>
              <w:ind w:right="-334"/>
              <w:rPr>
                <w:rFonts w:ascii="Arial" w:hAnsi="Arial" w:cs="Arial"/>
                <w:b/>
                <w:bCs/>
                <w:sz w:val="22"/>
                <w:szCs w:val="22"/>
              </w:rPr>
            </w:pPr>
          </w:p>
          <w:p w14:paraId="5273C943"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FD0221"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0B479052"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53785595"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4A780D05"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7A985520"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4106A470"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36DF213F"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290B4F72"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31F38EEC" w14:textId="77777777" w:rsidR="003257DF" w:rsidRDefault="003257DF" w:rsidP="00597E62">
            <w:pPr>
              <w:pStyle w:val="NormalWeb"/>
              <w:spacing w:before="0" w:beforeAutospacing="0" w:after="0" w:afterAutospacing="0"/>
              <w:ind w:right="-334"/>
              <w:rPr>
                <w:rFonts w:ascii="Arial" w:hAnsi="Arial" w:cs="Arial"/>
                <w:bCs/>
                <w:sz w:val="22"/>
                <w:szCs w:val="22"/>
              </w:rPr>
            </w:pPr>
          </w:p>
          <w:p w14:paraId="67BECAA6"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1D71371F"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1B5C5A8F"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tc>
      </w:tr>
      <w:tr w:rsidR="003257DF" w:rsidRPr="002F467C" w14:paraId="05B24595" w14:textId="77777777" w:rsidTr="00597E62">
        <w:trPr>
          <w:trHeight w:val="720"/>
        </w:trPr>
        <w:tc>
          <w:tcPr>
            <w:tcW w:w="5211" w:type="dxa"/>
            <w:gridSpan w:val="2"/>
          </w:tcPr>
          <w:p w14:paraId="592F7951"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D4E08BF"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257DF" w:rsidRPr="002F467C" w14:paraId="7EFACD42" w14:textId="77777777" w:rsidTr="00597E62">
        <w:trPr>
          <w:trHeight w:val="720"/>
        </w:trPr>
        <w:tc>
          <w:tcPr>
            <w:tcW w:w="8856" w:type="dxa"/>
            <w:gridSpan w:val="5"/>
          </w:tcPr>
          <w:p w14:paraId="23240F77" w14:textId="77777777" w:rsidR="003257DF" w:rsidRPr="00B34964" w:rsidRDefault="003257DF" w:rsidP="00597E62">
            <w:pPr>
              <w:rPr>
                <w:rFonts w:ascii="Arial" w:hAnsi="Arial" w:cs="Arial"/>
                <w:b/>
              </w:rPr>
            </w:pPr>
            <w:r w:rsidRPr="00B34964">
              <w:rPr>
                <w:rFonts w:ascii="Arial" w:hAnsi="Arial" w:cs="Arial"/>
                <w:b/>
              </w:rPr>
              <w:t>External Examiner’s comments (if relevant)</w:t>
            </w:r>
          </w:p>
          <w:p w14:paraId="397213C2"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686CD6E9"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327D95E4"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16EC1F3A"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7B76ADE9"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12FACC8B"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3A859E94"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33216271"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22CA5841" w14:textId="77777777" w:rsidR="003257DF" w:rsidRDefault="003257DF" w:rsidP="00597E62">
            <w:pPr>
              <w:pStyle w:val="NormalWeb"/>
              <w:spacing w:before="0" w:beforeAutospacing="0" w:after="0" w:afterAutospacing="0"/>
              <w:ind w:right="-334"/>
              <w:rPr>
                <w:rFonts w:ascii="Arial" w:hAnsi="Arial" w:cs="Arial"/>
                <w:bCs/>
                <w:sz w:val="22"/>
                <w:szCs w:val="22"/>
              </w:rPr>
            </w:pPr>
          </w:p>
          <w:p w14:paraId="47A868DD"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p w14:paraId="22CBC96B" w14:textId="77777777" w:rsidR="003257DF" w:rsidRPr="00230F35" w:rsidRDefault="003257DF" w:rsidP="00597E62">
            <w:pPr>
              <w:pStyle w:val="NormalWeb"/>
              <w:spacing w:before="0" w:beforeAutospacing="0" w:after="0" w:afterAutospacing="0"/>
              <w:ind w:right="-334"/>
              <w:rPr>
                <w:rFonts w:ascii="Arial" w:hAnsi="Arial" w:cs="Arial"/>
                <w:bCs/>
                <w:sz w:val="22"/>
                <w:szCs w:val="22"/>
              </w:rPr>
            </w:pPr>
          </w:p>
        </w:tc>
      </w:tr>
      <w:tr w:rsidR="003257DF" w:rsidRPr="002F467C" w14:paraId="4CE43A86" w14:textId="77777777" w:rsidTr="00597E62">
        <w:trPr>
          <w:trHeight w:val="720"/>
        </w:trPr>
        <w:tc>
          <w:tcPr>
            <w:tcW w:w="5211" w:type="dxa"/>
            <w:gridSpan w:val="2"/>
          </w:tcPr>
          <w:p w14:paraId="76A15070" w14:textId="77777777" w:rsidR="003257DF" w:rsidRPr="00230F35" w:rsidRDefault="003257DF" w:rsidP="00597E62">
            <w:pPr>
              <w:rPr>
                <w:rFonts w:ascii="Arial" w:hAnsi="Arial" w:cs="Arial"/>
              </w:rPr>
            </w:pPr>
            <w:r w:rsidRPr="00230F35">
              <w:rPr>
                <w:rFonts w:ascii="Arial" w:hAnsi="Arial" w:cs="Arial"/>
              </w:rPr>
              <w:t>External Examiner’s Signature:</w:t>
            </w:r>
          </w:p>
        </w:tc>
        <w:tc>
          <w:tcPr>
            <w:tcW w:w="3645" w:type="dxa"/>
            <w:gridSpan w:val="3"/>
          </w:tcPr>
          <w:p w14:paraId="2597D572" w14:textId="77777777" w:rsidR="003257DF" w:rsidRPr="00230F35" w:rsidRDefault="003257DF" w:rsidP="00597E62">
            <w:pPr>
              <w:rPr>
                <w:rFonts w:ascii="Arial" w:hAnsi="Arial" w:cs="Arial"/>
              </w:rPr>
            </w:pPr>
            <w:r w:rsidRPr="00230F35">
              <w:rPr>
                <w:rFonts w:ascii="Arial" w:hAnsi="Arial" w:cs="Arial"/>
              </w:rPr>
              <w:t>Date:</w:t>
            </w:r>
          </w:p>
        </w:tc>
      </w:tr>
    </w:tbl>
    <w:p w14:paraId="74B138F6" w14:textId="77777777" w:rsidR="003257DF" w:rsidRDefault="003257DF">
      <w:pPr>
        <w:rPr>
          <w:rFonts w:ascii="Helvetica" w:hAnsi="Helvetica" w:cs="Calibri"/>
        </w:rPr>
      </w:pPr>
    </w:p>
    <w:p w14:paraId="1DF011CB" w14:textId="77777777" w:rsidR="003257DF" w:rsidRDefault="003257DF">
      <w:pPr>
        <w:rPr>
          <w:rFonts w:ascii="Helvetica" w:hAnsi="Helvetica" w:cs="Calibri"/>
        </w:rPr>
      </w:pPr>
      <w:r>
        <w:rPr>
          <w:rFonts w:ascii="Helvetica" w:hAnsi="Helvetica" w:cs="Calibri"/>
        </w:rPr>
        <w:br w:type="page"/>
      </w:r>
    </w:p>
    <w:p w14:paraId="5E475039" w14:textId="4DE32430" w:rsidR="003257DF" w:rsidRDefault="003257DF">
      <w:pPr>
        <w:rPr>
          <w:rFonts w:ascii="Helvetica" w:hAnsi="Helvetica" w:cs="Calibri"/>
        </w:rPr>
      </w:pPr>
      <w:r>
        <w:rPr>
          <w:rFonts w:ascii="Helvetica" w:hAnsi="Helvetica" w:cs="Calibri"/>
        </w:rPr>
        <w:br w:type="page"/>
      </w:r>
    </w:p>
    <w:p w14:paraId="70EE868D" w14:textId="1899C5D6" w:rsidR="0076233B" w:rsidRPr="0076233B" w:rsidRDefault="0076233B" w:rsidP="009E2463">
      <w:pPr>
        <w:spacing w:line="276" w:lineRule="auto"/>
        <w:rPr>
          <w:rFonts w:ascii="Helvetica" w:hAnsi="Helvetica" w:cs="Calibri"/>
        </w:rPr>
      </w:pPr>
      <w:r w:rsidRPr="0076233B">
        <w:rPr>
          <w:rFonts w:ascii="Helvetica" w:hAnsi="Helvetica" w:cs="Calibri"/>
        </w:rPr>
        <w:t>John Ockels</w:t>
      </w:r>
      <w:r>
        <w:rPr>
          <w:rFonts w:ascii="Helvetica" w:hAnsi="Helvetica" w:cs="Calibri"/>
        </w:rPr>
        <w:t xml:space="preserve">; Revision #1; </w:t>
      </w:r>
      <w:r w:rsidR="00B730E0">
        <w:rPr>
          <w:rFonts w:ascii="Arial" w:hAnsi="Arial" w:cs="Arial"/>
          <w:sz w:val="22"/>
          <w:szCs w:val="22"/>
        </w:rPr>
        <w:t>HPCA 7027; July 24, 2025</w:t>
      </w:r>
    </w:p>
    <w:p w14:paraId="4561FCFC" w14:textId="77777777" w:rsidR="0076233B" w:rsidRDefault="0076233B" w:rsidP="009E2463">
      <w:pPr>
        <w:spacing w:line="276" w:lineRule="auto"/>
        <w:rPr>
          <w:rFonts w:ascii="Helvetica" w:hAnsi="Helvetica" w:cs="Calibri"/>
          <w:b/>
          <w:bCs/>
        </w:rPr>
      </w:pPr>
    </w:p>
    <w:p w14:paraId="5064C9D3" w14:textId="09ACCDDB" w:rsidR="009E2463" w:rsidRDefault="009E2463" w:rsidP="009E2463">
      <w:pPr>
        <w:spacing w:line="276" w:lineRule="auto"/>
        <w:rPr>
          <w:rFonts w:ascii="Helvetica" w:hAnsi="Helvetica" w:cs="Calibri"/>
          <w:b/>
          <w:bCs/>
        </w:rPr>
      </w:pPr>
      <w:r w:rsidRPr="008D771F">
        <w:rPr>
          <w:rFonts w:ascii="Helvetica" w:hAnsi="Helvetica" w:cs="Calibri"/>
          <w:b/>
          <w:bCs/>
        </w:rPr>
        <w:t>How the insights regarding science and knowledge gained by Evans-Pritchard in his anthropological fieldwork among the Azande can assist us in our study of divination and religion in the ancient Greco-Roman world</w:t>
      </w:r>
    </w:p>
    <w:p w14:paraId="46590329" w14:textId="71D5637C" w:rsidR="00B951A0" w:rsidRDefault="00B951A0" w:rsidP="00980FE7">
      <w:pPr>
        <w:spacing w:line="276" w:lineRule="auto"/>
        <w:ind w:firstLine="720"/>
        <w:rPr>
          <w:rFonts w:ascii="Helvetica" w:hAnsi="Helvetica" w:cs="Calibri"/>
        </w:rPr>
      </w:pPr>
      <w:r w:rsidRPr="00B951A0">
        <w:t xml:space="preserve">Exploring the topic of </w:t>
      </w:r>
      <w:r>
        <w:rPr>
          <w:rFonts w:ascii="Helvetica" w:hAnsi="Helvetica" w:cs="Calibri"/>
        </w:rPr>
        <w:t>h</w:t>
      </w:r>
      <w:r w:rsidRPr="00B951A0">
        <w:rPr>
          <w:rFonts w:ascii="Helvetica" w:hAnsi="Helvetica" w:cs="Calibri"/>
        </w:rPr>
        <w:t>ow the insights regarding science and knowledge gained by Evans-Pritchard in his anthropological fieldwork among the Azande can assist us in our study of divination and religion in the ancient Greco-Roman world is a formidable task</w:t>
      </w:r>
      <w:r>
        <w:rPr>
          <w:rFonts w:ascii="Helvetica" w:hAnsi="Helvetica" w:cs="Calibri"/>
          <w:b/>
          <w:bCs/>
        </w:rPr>
        <w:t xml:space="preserve">. </w:t>
      </w:r>
      <w:r>
        <w:rPr>
          <w:rFonts w:ascii="Helvetica" w:hAnsi="Helvetica" w:cs="Calibri"/>
        </w:rPr>
        <w:t xml:space="preserve">Our vision of other knowledge structures and times is always impaired by our own epistemological and ontological assumptions, which we must make a serious attempt to bracket … </w:t>
      </w:r>
      <w:r w:rsidR="00152B6F">
        <w:rPr>
          <w:rFonts w:ascii="Helvetica" w:hAnsi="Helvetica" w:cs="Calibri"/>
        </w:rPr>
        <w:t xml:space="preserve">temporarily </w:t>
      </w:r>
      <w:r>
        <w:rPr>
          <w:rFonts w:ascii="Helvetica" w:hAnsi="Helvetica" w:cs="Calibri"/>
        </w:rPr>
        <w:t xml:space="preserve">set aside ... in our attempt to take other times and cultures as they present themselves. Considering “religion” as a part of culture that can be neatly pried apart from the lives of people and examined as a separate entity is a </w:t>
      </w:r>
      <w:r w:rsidR="00BB0AFB">
        <w:rPr>
          <w:rFonts w:ascii="Helvetica" w:hAnsi="Helvetica" w:cs="Calibri"/>
        </w:rPr>
        <w:t>new</w:t>
      </w:r>
      <w:r>
        <w:rPr>
          <w:rFonts w:ascii="Helvetica" w:hAnsi="Helvetica" w:cs="Calibri"/>
        </w:rPr>
        <w:t xml:space="preserve"> </w:t>
      </w:r>
      <w:r w:rsidR="00BB0AFB">
        <w:rPr>
          <w:rFonts w:ascii="Helvetica" w:hAnsi="Helvetica" w:cs="Calibri"/>
        </w:rPr>
        <w:t>concept, just a few centuries old</w:t>
      </w:r>
      <w:r>
        <w:rPr>
          <w:rFonts w:ascii="Helvetica" w:hAnsi="Helvetica" w:cs="Calibri"/>
        </w:rPr>
        <w:t>, and believing that gods are hallucinations</w:t>
      </w:r>
      <w:r w:rsidR="00BB0AFB">
        <w:rPr>
          <w:rFonts w:ascii="Helvetica" w:hAnsi="Helvetica" w:cs="Calibri"/>
        </w:rPr>
        <w:t xml:space="preserve">, while a common view in </w:t>
      </w:r>
      <w:r w:rsidR="00152B6F">
        <w:rPr>
          <w:rFonts w:ascii="Helvetica" w:hAnsi="Helvetica" w:cs="Calibri"/>
        </w:rPr>
        <w:t xml:space="preserve">western academic </w:t>
      </w:r>
      <w:r w:rsidR="00BB0AFB">
        <w:rPr>
          <w:rFonts w:ascii="Helvetica" w:hAnsi="Helvetica" w:cs="Calibri"/>
        </w:rPr>
        <w:t>culture, wasn’t the prevalent understanding among the Azande nor those living in ancient Greece or Rome. This paper will examine whether the process of divination, the ever-present desire for more information to inform important decisions, has enjoyed universal approbation among all people, and will examine the possible sources of divinatory wisdom.</w:t>
      </w:r>
    </w:p>
    <w:p w14:paraId="24A7452E" w14:textId="77777777" w:rsidR="00980FE7" w:rsidRDefault="009E2463" w:rsidP="00980FE7">
      <w:pPr>
        <w:spacing w:after="0" w:line="276" w:lineRule="auto"/>
        <w:rPr>
          <w:rFonts w:ascii="Helvetica" w:hAnsi="Helvetica" w:cs="Calibri"/>
          <w:b/>
          <w:bCs/>
        </w:rPr>
      </w:pPr>
      <w:r w:rsidRPr="009E2463">
        <w:rPr>
          <w:rFonts w:ascii="Helvetica" w:hAnsi="Helvetica" w:cs="Calibri"/>
          <w:b/>
          <w:bCs/>
        </w:rPr>
        <w:t>Bracketing Our Assumptions</w:t>
      </w:r>
    </w:p>
    <w:p w14:paraId="5ABA194D" w14:textId="36B9EDE9" w:rsidR="009E2463" w:rsidRPr="00980FE7" w:rsidRDefault="00980FE7" w:rsidP="00980FE7">
      <w:pPr>
        <w:spacing w:line="276" w:lineRule="auto"/>
        <w:ind w:firstLine="720"/>
        <w:rPr>
          <w:rFonts w:ascii="Helvetica" w:hAnsi="Helvetica" w:cs="Calibri"/>
          <w:b/>
          <w:bCs/>
        </w:rPr>
      </w:pPr>
      <w:r>
        <w:rPr>
          <w:rFonts w:ascii="Helvetica" w:hAnsi="Helvetica" w:cs="Calibri"/>
        </w:rPr>
        <w:t xml:space="preserve">To look across cultures and time, we need to </w:t>
      </w:r>
      <w:r w:rsidR="00DF7C77">
        <w:rPr>
          <w:rFonts w:ascii="Helvetica" w:hAnsi="Helvetica" w:cs="Calibri"/>
        </w:rPr>
        <w:t>get ready for the journey</w:t>
      </w:r>
      <w:r>
        <w:rPr>
          <w:rFonts w:ascii="Helvetica" w:hAnsi="Helvetica" w:cs="Calibri"/>
        </w:rPr>
        <w:t xml:space="preserve">. Edmund Husserl described the psychological process that one would have to undertake </w:t>
      </w:r>
      <w:r w:rsidR="00D253DD">
        <w:rPr>
          <w:rFonts w:ascii="Helvetica" w:hAnsi="Helvetica" w:cs="Calibri"/>
        </w:rPr>
        <w:t>to</w:t>
      </w:r>
      <w:r>
        <w:rPr>
          <w:rFonts w:ascii="Helvetica" w:hAnsi="Helvetica" w:cs="Calibri"/>
        </w:rPr>
        <w:t xml:space="preserve"> prepare herself to clearly see any phenomenon as </w:t>
      </w:r>
      <w:r w:rsidR="006A420B">
        <w:rPr>
          <w:rFonts w:ascii="Helvetica" w:hAnsi="Helvetica" w:cs="Calibri"/>
        </w:rPr>
        <w:t>‘</w:t>
      </w:r>
      <w:r>
        <w:rPr>
          <w:rFonts w:ascii="Helvetica" w:hAnsi="Helvetica" w:cs="Calibri"/>
        </w:rPr>
        <w:t>bracketing.</w:t>
      </w:r>
      <w:r>
        <w:rPr>
          <w:rStyle w:val="FootnoteReference"/>
          <w:rFonts w:ascii="Helvetica" w:hAnsi="Helvetica" w:cs="Calibri"/>
        </w:rPr>
        <w:footnoteReference w:id="1"/>
      </w:r>
      <w:r w:rsidR="00D253DD">
        <w:rPr>
          <w:rFonts w:ascii="Helvetica" w:hAnsi="Helvetica" w:cs="Calibri"/>
        </w:rPr>
        <w:t xml:space="preserve"> In order to see any phenomenon</w:t>
      </w:r>
      <w:r w:rsidR="00DF7C77">
        <w:rPr>
          <w:rFonts w:ascii="Helvetica" w:hAnsi="Helvetica" w:cs="Calibri"/>
        </w:rPr>
        <w:t xml:space="preserve"> as it </w:t>
      </w:r>
      <w:proofErr w:type="gramStart"/>
      <w:r w:rsidR="00DF7C77">
        <w:rPr>
          <w:rFonts w:ascii="Helvetica" w:hAnsi="Helvetica" w:cs="Calibri"/>
        </w:rPr>
        <w:t>is in itself</w:t>
      </w:r>
      <w:r w:rsidR="00D253DD">
        <w:rPr>
          <w:rFonts w:ascii="Helvetica" w:hAnsi="Helvetica" w:cs="Calibri"/>
        </w:rPr>
        <w:t>, our</w:t>
      </w:r>
      <w:proofErr w:type="gramEnd"/>
      <w:r w:rsidR="00D253DD">
        <w:rPr>
          <w:rFonts w:ascii="Helvetica" w:hAnsi="Helvetica" w:cs="Calibri"/>
        </w:rPr>
        <w:t xml:space="preserve"> natural view must be set aside for the moment:</w:t>
      </w:r>
    </w:p>
    <w:p w14:paraId="590DC33B" w14:textId="2632B39B" w:rsidR="00D253DD" w:rsidRDefault="00D253DD" w:rsidP="00D253DD">
      <w:pPr>
        <w:spacing w:line="276" w:lineRule="auto"/>
        <w:ind w:left="720"/>
        <w:rPr>
          <w:rFonts w:ascii="Helvetica" w:hAnsi="Helvetica" w:cs="Calibri"/>
        </w:rPr>
      </w:pPr>
      <w:r w:rsidRPr="00D253DD">
        <w:rPr>
          <w:rFonts w:ascii="Helvetica" w:hAnsi="Helvetica" w:cs="Calibri"/>
        </w:rPr>
        <w:t xml:space="preserve">The whole world as placed within the nature-setting and presented in experience as real, taken completely “free from all theory”, just as it is </w:t>
      </w:r>
      <w:proofErr w:type="gramStart"/>
      <w:r w:rsidRPr="00D253DD">
        <w:rPr>
          <w:rFonts w:ascii="Helvetica" w:hAnsi="Helvetica" w:cs="Calibri"/>
        </w:rPr>
        <w:t>in reality experienced</w:t>
      </w:r>
      <w:proofErr w:type="gramEnd"/>
      <w:r w:rsidRPr="00D253DD">
        <w:rPr>
          <w:rFonts w:ascii="Helvetica" w:hAnsi="Helvetica" w:cs="Calibri"/>
        </w:rPr>
        <w:t xml:space="preserve">, and made clearly manifest in and through the </w:t>
      </w:r>
      <w:proofErr w:type="spellStart"/>
      <w:r w:rsidRPr="00D253DD">
        <w:rPr>
          <w:rFonts w:ascii="Helvetica" w:hAnsi="Helvetica" w:cs="Calibri"/>
        </w:rPr>
        <w:t>linkings</w:t>
      </w:r>
      <w:proofErr w:type="spellEnd"/>
      <w:r w:rsidRPr="00D253DD">
        <w:rPr>
          <w:rFonts w:ascii="Helvetica" w:hAnsi="Helvetica" w:cs="Calibri"/>
        </w:rPr>
        <w:t xml:space="preserve"> of our experiences, has now no validity for us, it must be set in brackets, untested indeed but also uncontested.</w:t>
      </w:r>
      <w:r>
        <w:rPr>
          <w:rStyle w:val="FootnoteReference"/>
          <w:rFonts w:ascii="Helvetica" w:hAnsi="Helvetica" w:cs="Calibri"/>
        </w:rPr>
        <w:footnoteReference w:id="2"/>
      </w:r>
    </w:p>
    <w:p w14:paraId="52BC8586" w14:textId="581C092C" w:rsidR="00D253DD" w:rsidRDefault="0069614B" w:rsidP="00D253DD">
      <w:pPr>
        <w:spacing w:line="276" w:lineRule="auto"/>
        <w:ind w:firstLine="720"/>
        <w:rPr>
          <w:rFonts w:ascii="Helvetica" w:hAnsi="Helvetica" w:cs="Calibri"/>
        </w:rPr>
      </w:pPr>
      <w:r w:rsidRPr="0069614B">
        <w:rPr>
          <w:rFonts w:ascii="Helvetica" w:hAnsi="Helvetica" w:cs="Calibri"/>
        </w:rPr>
        <w:t>Jeanne LeVasseur</w:t>
      </w:r>
      <w:r>
        <w:rPr>
          <w:rFonts w:ascii="Helvetica" w:hAnsi="Helvetica" w:cs="Calibri"/>
        </w:rPr>
        <w:t xml:space="preserve"> argues that the process described by Husserl </w:t>
      </w:r>
      <w:r w:rsidR="00385E1B">
        <w:rPr>
          <w:rFonts w:ascii="Helvetica" w:hAnsi="Helvetica" w:cs="Calibri"/>
        </w:rPr>
        <w:t xml:space="preserve">supports her understanding of the working of the never-ending </w:t>
      </w:r>
      <w:r w:rsidR="00385E1B" w:rsidRPr="00385E1B">
        <w:rPr>
          <w:rFonts w:ascii="Helvetica" w:hAnsi="Helvetica" w:cs="Calibri"/>
        </w:rPr>
        <w:t>hermeneutical circle</w:t>
      </w:r>
      <w:r w:rsidR="00385E1B">
        <w:rPr>
          <w:rFonts w:ascii="Helvetica" w:hAnsi="Helvetica" w:cs="Calibri"/>
        </w:rPr>
        <w:t>, in which ‘</w:t>
      </w:r>
      <w:r w:rsidR="00385E1B" w:rsidRPr="00385E1B">
        <w:rPr>
          <w:rFonts w:ascii="Helvetica" w:hAnsi="Helvetica" w:cs="Calibri"/>
        </w:rPr>
        <w:t>we make progress toward sense and meaning by questioning prior knowledge, thus expanding into new horizons of meaning</w:t>
      </w:r>
      <w:r w:rsidR="00385E1B">
        <w:rPr>
          <w:rFonts w:ascii="Helvetica" w:hAnsi="Helvetica" w:cs="Calibri"/>
        </w:rPr>
        <w:t>’.</w:t>
      </w:r>
      <w:r w:rsidR="00385E1B">
        <w:rPr>
          <w:rStyle w:val="FootnoteReference"/>
          <w:rFonts w:ascii="Helvetica" w:hAnsi="Helvetica" w:cs="Calibri"/>
        </w:rPr>
        <w:footnoteReference w:id="3"/>
      </w:r>
    </w:p>
    <w:p w14:paraId="0D057019" w14:textId="32F4F26B" w:rsidR="009E2463" w:rsidRDefault="00E62ED7" w:rsidP="00DF7C77">
      <w:pPr>
        <w:spacing w:after="0" w:line="276" w:lineRule="auto"/>
        <w:rPr>
          <w:rFonts w:ascii="Helvetica" w:hAnsi="Helvetica" w:cs="Calibri"/>
          <w:u w:val="single"/>
        </w:rPr>
      </w:pPr>
      <w:r>
        <w:rPr>
          <w:rFonts w:ascii="Helvetica" w:hAnsi="Helvetica" w:cs="Calibri"/>
          <w:u w:val="single"/>
        </w:rPr>
        <w:t xml:space="preserve">Getting to the ineffable </w:t>
      </w:r>
      <w:r w:rsidR="00D62489">
        <w:rPr>
          <w:rFonts w:ascii="Helvetica" w:hAnsi="Helvetica" w:cs="Calibri"/>
          <w:u w:val="single"/>
        </w:rPr>
        <w:t>underneath</w:t>
      </w:r>
      <w:r>
        <w:rPr>
          <w:rFonts w:ascii="Helvetica" w:hAnsi="Helvetica" w:cs="Calibri"/>
          <w:u w:val="single"/>
        </w:rPr>
        <w:t xml:space="preserve"> ‘religion’</w:t>
      </w:r>
    </w:p>
    <w:p w14:paraId="6EA05B8C" w14:textId="28EF1FC2" w:rsidR="00DF7C77" w:rsidRDefault="00DF7C77" w:rsidP="00EA4C3F">
      <w:pPr>
        <w:spacing w:after="0" w:line="276" w:lineRule="auto"/>
        <w:ind w:firstLine="720"/>
        <w:rPr>
          <w:rFonts w:ascii="Helvetica" w:hAnsi="Helvetica" w:cs="Calibri"/>
        </w:rPr>
      </w:pPr>
      <w:r w:rsidRPr="00DF7C77">
        <w:rPr>
          <w:rFonts w:ascii="Helvetica" w:hAnsi="Helvetica" w:cs="Calibri"/>
        </w:rPr>
        <w:t xml:space="preserve">One of the </w:t>
      </w:r>
      <w:r>
        <w:rPr>
          <w:rFonts w:ascii="Helvetica" w:hAnsi="Helvetica" w:cs="Calibri"/>
        </w:rPr>
        <w:t>concepts to temporarily suspend i</w:t>
      </w:r>
      <w:r w:rsidR="00DC6B88">
        <w:rPr>
          <w:rFonts w:ascii="Helvetica" w:hAnsi="Helvetica" w:cs="Calibri"/>
        </w:rPr>
        <w:t>s</w:t>
      </w:r>
      <w:r>
        <w:rPr>
          <w:rFonts w:ascii="Helvetica" w:hAnsi="Helvetica" w:cs="Calibri"/>
        </w:rPr>
        <w:t xml:space="preserve"> that of </w:t>
      </w:r>
      <w:r w:rsidR="00E62ED7">
        <w:rPr>
          <w:rFonts w:ascii="Helvetica" w:hAnsi="Helvetica" w:cs="Calibri"/>
        </w:rPr>
        <w:t>‘</w:t>
      </w:r>
      <w:r>
        <w:rPr>
          <w:rFonts w:ascii="Helvetica" w:hAnsi="Helvetica" w:cs="Calibri"/>
        </w:rPr>
        <w:t>religion</w:t>
      </w:r>
      <w:r w:rsidR="00E62ED7">
        <w:rPr>
          <w:rFonts w:ascii="Helvetica" w:hAnsi="Helvetica" w:cs="Calibri"/>
        </w:rPr>
        <w:t>’</w:t>
      </w:r>
      <w:r>
        <w:rPr>
          <w:rFonts w:ascii="Helvetica" w:hAnsi="Helvetica" w:cs="Calibri"/>
        </w:rPr>
        <w:t xml:space="preserve"> as a separate, identifiable social process that exists among all people. </w:t>
      </w:r>
      <w:r w:rsidR="00EA4C3F">
        <w:rPr>
          <w:rFonts w:ascii="Helvetica" w:hAnsi="Helvetica" w:cs="Calibri"/>
        </w:rPr>
        <w:t>William Cantwell Smith argues that ‘i</w:t>
      </w:r>
      <w:r w:rsidR="00EA4C3F" w:rsidRPr="00EA4C3F">
        <w:rPr>
          <w:rFonts w:ascii="Helvetica" w:hAnsi="Helvetica" w:cs="Calibri"/>
        </w:rPr>
        <w:t>t is perhaps not presumptuous to hold that no definition of religion so far proposed has proven compelling, no generalization has come anywhere near to adequacy.</w:t>
      </w:r>
      <w:r w:rsidR="00EA4C3F">
        <w:rPr>
          <w:rFonts w:ascii="Helvetica" w:hAnsi="Helvetica" w:cs="Calibri"/>
        </w:rPr>
        <w:t>’</w:t>
      </w:r>
      <w:r w:rsidR="00EA4C3F">
        <w:rPr>
          <w:rStyle w:val="FootnoteReference"/>
          <w:rFonts w:ascii="Helvetica" w:hAnsi="Helvetica" w:cs="Calibri"/>
        </w:rPr>
        <w:footnoteReference w:id="4"/>
      </w:r>
      <w:r w:rsidR="00F752AF">
        <w:rPr>
          <w:rFonts w:ascii="Helvetica" w:hAnsi="Helvetica" w:cs="Calibri"/>
        </w:rPr>
        <w:t xml:space="preserve"> </w:t>
      </w:r>
      <w:r w:rsidR="00687F66">
        <w:rPr>
          <w:rFonts w:ascii="Helvetica" w:hAnsi="Helvetica" w:cs="Calibri"/>
        </w:rPr>
        <w:t>Consequently,</w:t>
      </w:r>
    </w:p>
    <w:p w14:paraId="4A43AF6B" w14:textId="77777777" w:rsidR="00687F66" w:rsidRDefault="00687F66" w:rsidP="00EA4C3F">
      <w:pPr>
        <w:spacing w:after="0" w:line="276" w:lineRule="auto"/>
        <w:ind w:firstLine="720"/>
        <w:rPr>
          <w:rFonts w:ascii="Helvetica" w:hAnsi="Helvetica" w:cs="Calibri"/>
        </w:rPr>
      </w:pPr>
    </w:p>
    <w:p w14:paraId="0444AF57" w14:textId="21192BCF" w:rsidR="00687F66" w:rsidRDefault="00687F66" w:rsidP="00687F66">
      <w:pPr>
        <w:spacing w:after="0" w:line="276" w:lineRule="auto"/>
        <w:ind w:left="720"/>
        <w:rPr>
          <w:rFonts w:ascii="Helvetica" w:hAnsi="Helvetica" w:cs="Calibri"/>
        </w:rPr>
      </w:pPr>
      <w:r w:rsidRPr="00687F66">
        <w:rPr>
          <w:rFonts w:ascii="Helvetica" w:hAnsi="Helvetica" w:cs="Calibri"/>
        </w:rPr>
        <w:t>Rather than addressing ourselves to the problem 'What is the nature of religion?', I suggest that an understanding of the variegated and evolving religious situation of mankind can proceed, and indeed perhaps can proceed only, if that question in that form be set aside or dropped, as inapt.</w:t>
      </w:r>
      <w:r>
        <w:rPr>
          <w:rStyle w:val="FootnoteReference"/>
          <w:rFonts w:ascii="Helvetica" w:hAnsi="Helvetica" w:cs="Calibri"/>
        </w:rPr>
        <w:footnoteReference w:id="5"/>
      </w:r>
    </w:p>
    <w:p w14:paraId="271945A9" w14:textId="77777777" w:rsidR="00687F66" w:rsidRDefault="00687F66" w:rsidP="00687F66">
      <w:pPr>
        <w:spacing w:after="0" w:line="276" w:lineRule="auto"/>
        <w:ind w:left="720"/>
        <w:rPr>
          <w:rFonts w:ascii="Helvetica" w:hAnsi="Helvetica" w:cs="Calibri"/>
        </w:rPr>
      </w:pPr>
    </w:p>
    <w:p w14:paraId="5E72388B" w14:textId="3AC964D9" w:rsidR="00C570F4" w:rsidRPr="00C570F4" w:rsidRDefault="00687F66" w:rsidP="00C570F4">
      <w:pPr>
        <w:spacing w:after="0" w:line="276" w:lineRule="auto"/>
        <w:ind w:firstLine="720"/>
        <w:rPr>
          <w:rFonts w:ascii="Helvetica" w:hAnsi="Helvetica" w:cs="Calibri"/>
        </w:rPr>
      </w:pPr>
      <w:r>
        <w:rPr>
          <w:rFonts w:ascii="Helvetica" w:hAnsi="Helvetica" w:cs="Calibri"/>
        </w:rPr>
        <w:t>Rather we must turn our attention to that which is</w:t>
      </w:r>
      <w:r w:rsidR="00E62ED7">
        <w:rPr>
          <w:rFonts w:ascii="Helvetica" w:hAnsi="Helvetica" w:cs="Calibri"/>
        </w:rPr>
        <w:t xml:space="preserve"> fundamental to </w:t>
      </w:r>
      <w:r>
        <w:rPr>
          <w:rFonts w:ascii="Helvetica" w:hAnsi="Helvetica" w:cs="Calibri"/>
        </w:rPr>
        <w:t xml:space="preserve">any of the religions commonly discussed and look at the </w:t>
      </w:r>
      <w:r w:rsidR="00E62ED7">
        <w:rPr>
          <w:rFonts w:ascii="Helvetica" w:hAnsi="Helvetica" w:cs="Calibri"/>
        </w:rPr>
        <w:t>‘</w:t>
      </w:r>
      <w:r>
        <w:rPr>
          <w:rFonts w:ascii="Helvetica" w:hAnsi="Helvetica" w:cs="Calibri"/>
        </w:rPr>
        <w:t>faith</w:t>
      </w:r>
      <w:r w:rsidR="00E62ED7">
        <w:rPr>
          <w:rFonts w:ascii="Helvetica" w:hAnsi="Helvetica" w:cs="Calibri"/>
        </w:rPr>
        <w:t>’</w:t>
      </w:r>
      <w:r>
        <w:rPr>
          <w:rFonts w:ascii="Helvetica" w:hAnsi="Helvetica" w:cs="Calibri"/>
        </w:rPr>
        <w:t xml:space="preserve"> of the individual. </w:t>
      </w:r>
      <w:r w:rsidRPr="00687F66">
        <w:rPr>
          <w:rFonts w:ascii="Helvetica" w:hAnsi="Helvetica" w:cs="Calibri"/>
        </w:rPr>
        <w:t>‘Scholarship must be satisfied with something less, but must make room for that out-reaching faith.</w:t>
      </w:r>
      <w:r>
        <w:rPr>
          <w:rFonts w:ascii="Helvetica" w:hAnsi="Helvetica" w:cs="Calibri"/>
        </w:rPr>
        <w:t>’</w:t>
      </w:r>
      <w:r>
        <w:rPr>
          <w:rStyle w:val="FootnoteReference"/>
          <w:rFonts w:ascii="Helvetica" w:hAnsi="Helvetica" w:cs="Calibri"/>
        </w:rPr>
        <w:footnoteReference w:id="6"/>
      </w:r>
      <w:r w:rsidR="006E5D02">
        <w:rPr>
          <w:rFonts w:ascii="Helvetica" w:hAnsi="Helvetica" w:cs="Calibri"/>
        </w:rPr>
        <w:t xml:space="preserve"> Smith argues that in the West there has arisen an historical conflict between ‘religion’ as the outwardly observable practices of people identifying themselves as adherents and the inner life of ‘faith’ which is never observable from the outside, and may </w:t>
      </w:r>
      <w:r w:rsidR="0079489A">
        <w:rPr>
          <w:rFonts w:ascii="Helvetica" w:hAnsi="Helvetica" w:cs="Calibri"/>
        </w:rPr>
        <w:t xml:space="preserve">even </w:t>
      </w:r>
      <w:r w:rsidR="006E5D02">
        <w:rPr>
          <w:rFonts w:ascii="Helvetica" w:hAnsi="Helvetica" w:cs="Calibri"/>
        </w:rPr>
        <w:t>lead a person to act in ways considered by observers as being contrary to a particular ‘religion’.</w:t>
      </w:r>
      <w:r w:rsidR="007D00D8">
        <w:rPr>
          <w:rFonts w:ascii="Helvetica" w:hAnsi="Helvetica" w:cs="Calibri"/>
        </w:rPr>
        <w:t xml:space="preserve"> In fact, ‘</w:t>
      </w:r>
      <w:r w:rsidR="007D00D8" w:rsidRPr="007D00D8">
        <w:rPr>
          <w:rFonts w:ascii="Helvetica" w:hAnsi="Helvetica" w:cs="Calibri"/>
        </w:rPr>
        <w:t>men's faith lies beyond that sector of their religious life that can be imparted to an outsider for his inspection</w:t>
      </w:r>
      <w:r w:rsidR="007D00D8">
        <w:rPr>
          <w:rFonts w:ascii="Helvetica" w:hAnsi="Helvetica" w:cs="Calibri"/>
        </w:rPr>
        <w:t>’.</w:t>
      </w:r>
      <w:r w:rsidR="007D00D8">
        <w:rPr>
          <w:rStyle w:val="FootnoteReference"/>
          <w:rFonts w:ascii="Helvetica" w:hAnsi="Helvetica" w:cs="Calibri"/>
        </w:rPr>
        <w:footnoteReference w:id="7"/>
      </w:r>
      <w:r w:rsidR="00C66DAB">
        <w:rPr>
          <w:rFonts w:ascii="Helvetica" w:hAnsi="Helvetica" w:cs="Calibri"/>
        </w:rPr>
        <w:t xml:space="preserve"> </w:t>
      </w:r>
      <w:r w:rsidR="00C570F4">
        <w:rPr>
          <w:rFonts w:ascii="Helvetica" w:hAnsi="Helvetica" w:cs="Calibri"/>
        </w:rPr>
        <w:t>The multitude of religious traditions held by humans ‘</w:t>
      </w:r>
      <w:r w:rsidR="00C570F4" w:rsidRPr="00C570F4">
        <w:rPr>
          <w:rFonts w:ascii="Helvetica" w:hAnsi="Helvetica" w:cs="Calibri"/>
        </w:rPr>
        <w:t>cannot be interpreted in human history if the fact of the transcendent element in men's</w:t>
      </w:r>
      <w:r w:rsidR="00C570F4">
        <w:rPr>
          <w:rFonts w:ascii="Helvetica" w:hAnsi="Helvetica" w:cs="Calibri"/>
        </w:rPr>
        <w:t xml:space="preserve"> </w:t>
      </w:r>
      <w:r w:rsidR="00C570F4" w:rsidRPr="00C570F4">
        <w:rPr>
          <w:rFonts w:ascii="Helvetica" w:hAnsi="Helvetica" w:cs="Calibri"/>
        </w:rPr>
        <w:t>participation in them is denied or neglected</w:t>
      </w:r>
      <w:r w:rsidR="00C570F4">
        <w:rPr>
          <w:rFonts w:ascii="Helvetica" w:hAnsi="Helvetica" w:cs="Calibri"/>
        </w:rPr>
        <w:t>’,</w:t>
      </w:r>
      <w:r w:rsidR="00C570F4">
        <w:rPr>
          <w:rStyle w:val="FootnoteReference"/>
          <w:rFonts w:ascii="Helvetica" w:hAnsi="Helvetica" w:cs="Calibri"/>
        </w:rPr>
        <w:footnoteReference w:id="8"/>
      </w:r>
      <w:r w:rsidR="00C570F4">
        <w:rPr>
          <w:rFonts w:ascii="Helvetica" w:hAnsi="Helvetica" w:cs="Calibri"/>
        </w:rPr>
        <w:t xml:space="preserve"> which Smith asserts is crucial for </w:t>
      </w:r>
      <w:r w:rsidR="00C570F4" w:rsidRPr="00C570F4">
        <w:rPr>
          <w:rFonts w:ascii="Helvetica" w:hAnsi="Helvetica" w:cs="Calibri"/>
        </w:rPr>
        <w:t>any just apprehension of human life.</w:t>
      </w:r>
      <w:r w:rsidR="00DC6B88">
        <w:rPr>
          <w:rFonts w:ascii="Helvetica" w:hAnsi="Helvetica" w:cs="Calibri"/>
        </w:rPr>
        <w:t xml:space="preserve"> </w:t>
      </w:r>
    </w:p>
    <w:p w14:paraId="5EF00A28" w14:textId="77777777" w:rsidR="00C570F4" w:rsidRPr="00C570F4" w:rsidRDefault="00C570F4" w:rsidP="00C570F4">
      <w:pPr>
        <w:spacing w:after="0" w:line="276" w:lineRule="auto"/>
        <w:ind w:firstLine="720"/>
        <w:rPr>
          <w:rFonts w:ascii="Helvetica" w:hAnsi="Helvetica" w:cs="Calibri"/>
        </w:rPr>
      </w:pPr>
    </w:p>
    <w:p w14:paraId="06B3BD3D" w14:textId="0CA0FCCE" w:rsidR="009E2463" w:rsidRDefault="009E2463" w:rsidP="00023584">
      <w:pPr>
        <w:spacing w:after="0" w:line="276" w:lineRule="auto"/>
        <w:rPr>
          <w:rFonts w:ascii="Helvetica" w:hAnsi="Helvetica" w:cs="Calibri"/>
          <w:u w:val="single"/>
        </w:rPr>
      </w:pPr>
      <w:r w:rsidRPr="009E2463">
        <w:rPr>
          <w:rFonts w:ascii="Helvetica" w:hAnsi="Helvetica" w:cs="Calibri"/>
          <w:u w:val="single"/>
        </w:rPr>
        <w:t>Are the gods hallucinations?</w:t>
      </w:r>
    </w:p>
    <w:p w14:paraId="3C80386A" w14:textId="11E3C3DB" w:rsidR="00C570F4" w:rsidRDefault="00C570F4" w:rsidP="00B502D7">
      <w:pPr>
        <w:spacing w:after="0" w:line="276" w:lineRule="auto"/>
        <w:ind w:firstLine="720"/>
        <w:rPr>
          <w:rFonts w:ascii="Helvetica" w:hAnsi="Helvetica" w:cs="Calibri"/>
        </w:rPr>
      </w:pPr>
      <w:r>
        <w:rPr>
          <w:rFonts w:ascii="Helvetica" w:hAnsi="Helvetica" w:cs="Calibri"/>
        </w:rPr>
        <w:t xml:space="preserve">Divination, </w:t>
      </w:r>
      <w:r w:rsidR="008202FF">
        <w:rPr>
          <w:rFonts w:ascii="Helvetica" w:hAnsi="Helvetica" w:cs="Calibri"/>
        </w:rPr>
        <w:t>as</w:t>
      </w:r>
      <w:r>
        <w:rPr>
          <w:rFonts w:ascii="Helvetica" w:hAnsi="Helvetica" w:cs="Calibri"/>
        </w:rPr>
        <w:t xml:space="preserve"> will be </w:t>
      </w:r>
      <w:r w:rsidR="008202FF">
        <w:rPr>
          <w:rFonts w:ascii="Helvetica" w:hAnsi="Helvetica" w:cs="Calibri"/>
        </w:rPr>
        <w:t xml:space="preserve">described </w:t>
      </w:r>
      <w:r>
        <w:rPr>
          <w:rFonts w:ascii="Helvetica" w:hAnsi="Helvetica" w:cs="Calibri"/>
        </w:rPr>
        <w:t xml:space="preserve">below, includes at least the </w:t>
      </w:r>
      <w:r w:rsidR="00023584">
        <w:rPr>
          <w:rFonts w:ascii="Helvetica" w:hAnsi="Helvetica" w:cs="Calibri"/>
        </w:rPr>
        <w:t>‘</w:t>
      </w:r>
      <w:r>
        <w:rPr>
          <w:rFonts w:ascii="Helvetica" w:hAnsi="Helvetica" w:cs="Calibri"/>
        </w:rPr>
        <w:t>augurer</w:t>
      </w:r>
      <w:r w:rsidR="00023584">
        <w:rPr>
          <w:rFonts w:ascii="Helvetica" w:hAnsi="Helvetica" w:cs="Calibri"/>
        </w:rPr>
        <w:t>’</w:t>
      </w:r>
      <w:r>
        <w:rPr>
          <w:rFonts w:ascii="Helvetica" w:hAnsi="Helvetica" w:cs="Calibri"/>
        </w:rPr>
        <w:t>, the term that will be used here to refer to that active practitioner of divination</w:t>
      </w:r>
      <w:r w:rsidR="00023584">
        <w:rPr>
          <w:rFonts w:ascii="Helvetica" w:hAnsi="Helvetica" w:cs="Calibri"/>
        </w:rPr>
        <w:t xml:space="preserve"> (‘inquirer’ will be the term used for the party with interest in the product of the argurer’s work) being in some supposed relationship, perhaps temporary, with the transcendent, the source of the additional information that the augurer is attempting to tap into and convey.</w:t>
      </w:r>
      <w:r w:rsidR="00B502D7">
        <w:rPr>
          <w:rFonts w:ascii="Helvetica" w:hAnsi="Helvetica" w:cs="Calibri"/>
        </w:rPr>
        <w:t xml:space="preserve"> Divination is more of an act of faith than a rite of religion.</w:t>
      </w:r>
    </w:p>
    <w:p w14:paraId="07675BE4" w14:textId="77777777" w:rsidR="0051184C" w:rsidRDefault="00023584" w:rsidP="0051184C">
      <w:pPr>
        <w:spacing w:line="276" w:lineRule="auto"/>
        <w:ind w:firstLine="720"/>
        <w:rPr>
          <w:rFonts w:ascii="Helvetica" w:hAnsi="Helvetica" w:cs="Calibri"/>
        </w:rPr>
      </w:pPr>
      <w:r>
        <w:rPr>
          <w:rFonts w:ascii="Helvetica" w:hAnsi="Helvetica" w:cs="Calibri"/>
        </w:rPr>
        <w:t xml:space="preserve">Julian Jaynes </w:t>
      </w:r>
      <w:r w:rsidR="00147D55">
        <w:rPr>
          <w:rFonts w:ascii="Helvetica" w:hAnsi="Helvetica" w:cs="Calibri"/>
        </w:rPr>
        <w:t xml:space="preserve">argues in his analysis of the language used in the </w:t>
      </w:r>
      <w:r w:rsidR="00147D55" w:rsidRPr="00147D55">
        <w:rPr>
          <w:rFonts w:ascii="Helvetica" w:hAnsi="Helvetica" w:cs="Calibri"/>
          <w:i/>
          <w:iCs/>
        </w:rPr>
        <w:t>Iliad</w:t>
      </w:r>
      <w:r w:rsidR="00147D55">
        <w:rPr>
          <w:rFonts w:ascii="Helvetica" w:hAnsi="Helvetica" w:cs="Calibri"/>
        </w:rPr>
        <w:t>, that he finds ‘</w:t>
      </w:r>
      <w:r w:rsidR="00147D55" w:rsidRPr="00147D55">
        <w:rPr>
          <w:rFonts w:ascii="Helvetica" w:hAnsi="Helvetica" w:cs="Calibri"/>
        </w:rPr>
        <w:t xml:space="preserve">no words for consciousness or mental acts. </w:t>
      </w:r>
      <w:r w:rsidR="0051184C">
        <w:rPr>
          <w:rFonts w:ascii="Helvetica" w:hAnsi="Helvetica" w:cs="Calibri"/>
        </w:rPr>
        <w:t>‘</w:t>
      </w:r>
      <w:r w:rsidR="00147D55" w:rsidRPr="00147D55">
        <w:rPr>
          <w:rFonts w:ascii="Helvetica" w:hAnsi="Helvetica" w:cs="Calibri"/>
        </w:rPr>
        <w:t>The words in the Iliad that in a later age come to mean mental things have different meanings, all of them more concrete.</w:t>
      </w:r>
      <w:r w:rsidR="00147D55">
        <w:rPr>
          <w:rFonts w:ascii="Helvetica" w:hAnsi="Helvetica" w:cs="Calibri"/>
        </w:rPr>
        <w:t>’</w:t>
      </w:r>
      <w:r w:rsidR="00147D55">
        <w:rPr>
          <w:rStyle w:val="FootnoteReference"/>
          <w:rFonts w:ascii="Helvetica" w:hAnsi="Helvetica" w:cs="Calibri"/>
        </w:rPr>
        <w:footnoteReference w:id="9"/>
      </w:r>
      <w:r w:rsidR="00147D55">
        <w:rPr>
          <w:rFonts w:ascii="Helvetica" w:hAnsi="Helvetica" w:cs="Calibri"/>
        </w:rPr>
        <w:t xml:space="preserve"> He interprets this to mean that rather than experience ‘consciousness’ as we do now, which is the product of the unification of our species’ original bicameral mind, early humans experienced being directed by inner voices that originated in the </w:t>
      </w:r>
      <w:r w:rsidR="0051184C">
        <w:rPr>
          <w:rFonts w:ascii="Helvetica" w:hAnsi="Helvetica" w:cs="Calibri"/>
        </w:rPr>
        <w:t>right hemisphere of the brain. These our predecessors experienced as the gods directing them in their every action. There’s no pondering of thoughts involved.</w:t>
      </w:r>
      <w:r w:rsidR="0051184C">
        <w:rPr>
          <w:rStyle w:val="FootnoteReference"/>
          <w:rFonts w:ascii="Helvetica" w:hAnsi="Helvetica" w:cs="Calibri"/>
        </w:rPr>
        <w:footnoteReference w:id="10"/>
      </w:r>
      <w:r w:rsidR="0051184C">
        <w:rPr>
          <w:rFonts w:ascii="Helvetica" w:hAnsi="Helvetica" w:cs="Calibri"/>
        </w:rPr>
        <w:t xml:space="preserve"> </w:t>
      </w:r>
    </w:p>
    <w:p w14:paraId="4B765443" w14:textId="233CF88C" w:rsidR="0051184C" w:rsidRPr="0051184C" w:rsidRDefault="0051184C" w:rsidP="0051184C">
      <w:pPr>
        <w:spacing w:line="276" w:lineRule="auto"/>
        <w:ind w:left="720"/>
        <w:rPr>
          <w:rFonts w:ascii="Helvetica" w:hAnsi="Helvetica" w:cs="Calibri"/>
        </w:rPr>
      </w:pPr>
      <w:r w:rsidRPr="0051184C">
        <w:rPr>
          <w:rFonts w:ascii="Helvetica" w:hAnsi="Helvetica" w:cs="Calibri"/>
        </w:rPr>
        <w:t>Thus, Iliadic men have no will of their own and certainly no notion of free will. Indeed, the whole problem of volition, so troubling, I think, to modern psychological theory, may have had its difficulties because the words for such phenomena were invented so late.</w:t>
      </w:r>
      <w:r>
        <w:rPr>
          <w:rStyle w:val="FootnoteReference"/>
          <w:rFonts w:ascii="Helvetica" w:hAnsi="Helvetica" w:cs="Calibri"/>
        </w:rPr>
        <w:footnoteReference w:id="11"/>
      </w:r>
    </w:p>
    <w:p w14:paraId="36726E9D" w14:textId="7AF635F0" w:rsidR="004B330B" w:rsidRDefault="0051184C" w:rsidP="004B330B">
      <w:pPr>
        <w:spacing w:after="0" w:line="276" w:lineRule="auto"/>
        <w:ind w:firstLine="720"/>
        <w:rPr>
          <w:rFonts w:ascii="Helvetica" w:hAnsi="Helvetica" w:cs="Calibri"/>
        </w:rPr>
      </w:pPr>
      <w:r>
        <w:rPr>
          <w:rFonts w:ascii="Helvetica" w:hAnsi="Helvetica" w:cs="Calibri"/>
        </w:rPr>
        <w:t xml:space="preserve">There was no question of </w:t>
      </w:r>
      <w:r w:rsidR="004B330B">
        <w:rPr>
          <w:rFonts w:ascii="Helvetica" w:hAnsi="Helvetica" w:cs="Calibri"/>
        </w:rPr>
        <w:t xml:space="preserve">humans </w:t>
      </w:r>
      <w:r>
        <w:rPr>
          <w:rFonts w:ascii="Helvetica" w:hAnsi="Helvetica" w:cs="Calibri"/>
        </w:rPr>
        <w:t xml:space="preserve">being in relation with the gods nor of the gods’ existence. This was validated in every </w:t>
      </w:r>
      <w:r w:rsidR="004B330B">
        <w:rPr>
          <w:rFonts w:ascii="Helvetica" w:hAnsi="Helvetica" w:cs="Calibri"/>
        </w:rPr>
        <w:t xml:space="preserve">(god-directed) </w:t>
      </w:r>
      <w:r>
        <w:rPr>
          <w:rFonts w:ascii="Helvetica" w:hAnsi="Helvetica" w:cs="Calibri"/>
        </w:rPr>
        <w:t>act. Jaynes refers to this phenomenon throu</w:t>
      </w:r>
      <w:r w:rsidR="008C6813">
        <w:rPr>
          <w:rFonts w:ascii="Helvetica" w:hAnsi="Helvetica" w:cs="Calibri"/>
        </w:rPr>
        <w:t xml:space="preserve">ghout this book </w:t>
      </w:r>
      <w:r>
        <w:rPr>
          <w:rFonts w:ascii="Helvetica" w:hAnsi="Helvetica" w:cs="Calibri"/>
        </w:rPr>
        <w:t>as ‘</w:t>
      </w:r>
      <w:r w:rsidR="00227F53">
        <w:rPr>
          <w:rFonts w:ascii="Helvetica" w:hAnsi="Helvetica" w:cs="Calibri"/>
        </w:rPr>
        <w:t xml:space="preserve">auditory </w:t>
      </w:r>
      <w:r>
        <w:rPr>
          <w:rFonts w:ascii="Helvetica" w:hAnsi="Helvetica" w:cs="Calibri"/>
        </w:rPr>
        <w:t>hallucination’</w:t>
      </w:r>
      <w:r w:rsidR="004B330B">
        <w:rPr>
          <w:rFonts w:ascii="Helvetica" w:hAnsi="Helvetica" w:cs="Calibri"/>
        </w:rPr>
        <w:t xml:space="preserve">, which he identifies as </w:t>
      </w:r>
      <w:r>
        <w:rPr>
          <w:rFonts w:ascii="Helvetica" w:hAnsi="Helvetica" w:cs="Calibri"/>
        </w:rPr>
        <w:t>the origin of the gods</w:t>
      </w:r>
      <w:r w:rsidR="008C6813">
        <w:rPr>
          <w:rFonts w:ascii="Helvetica" w:hAnsi="Helvetica" w:cs="Calibri"/>
        </w:rPr>
        <w:t>.</w:t>
      </w:r>
      <w:r w:rsidR="008C6813">
        <w:rPr>
          <w:rStyle w:val="FootnoteReference"/>
          <w:rFonts w:ascii="Helvetica" w:hAnsi="Helvetica" w:cs="Calibri"/>
        </w:rPr>
        <w:footnoteReference w:id="12"/>
      </w:r>
      <w:r w:rsidR="008C6813">
        <w:rPr>
          <w:rFonts w:ascii="Helvetica" w:hAnsi="Helvetica" w:cs="Calibri"/>
        </w:rPr>
        <w:t xml:space="preserve"> H</w:t>
      </w:r>
      <w:r>
        <w:rPr>
          <w:rFonts w:ascii="Helvetica" w:hAnsi="Helvetica" w:cs="Calibri"/>
        </w:rPr>
        <w:t xml:space="preserve">abitual vestiges of </w:t>
      </w:r>
      <w:r w:rsidR="008C6813">
        <w:rPr>
          <w:rFonts w:ascii="Helvetica" w:hAnsi="Helvetica" w:cs="Calibri"/>
        </w:rPr>
        <w:t xml:space="preserve">bicameral thought </w:t>
      </w:r>
      <w:r>
        <w:rPr>
          <w:rFonts w:ascii="Helvetica" w:hAnsi="Helvetica" w:cs="Calibri"/>
        </w:rPr>
        <w:t>remain in our time.</w:t>
      </w:r>
      <w:r w:rsidR="008C6813">
        <w:rPr>
          <w:rFonts w:ascii="Helvetica" w:hAnsi="Helvetica" w:cs="Calibri"/>
        </w:rPr>
        <w:t xml:space="preserve"> ‘</w:t>
      </w:r>
      <w:r w:rsidR="008C6813" w:rsidRPr="008C6813">
        <w:rPr>
          <w:rFonts w:ascii="Helvetica" w:hAnsi="Helvetica" w:cs="Calibri"/>
        </w:rPr>
        <w:t>We, at the end of the second millennium A.D., are still in a sense deep in this transition to a new mentality. And all about us lie the remnants of our recent bicameral past.</w:t>
      </w:r>
      <w:r w:rsidR="008C6813">
        <w:rPr>
          <w:rFonts w:ascii="Helvetica" w:hAnsi="Helvetica" w:cs="Calibri"/>
        </w:rPr>
        <w:t>’</w:t>
      </w:r>
      <w:r w:rsidR="008C6813">
        <w:rPr>
          <w:rStyle w:val="FootnoteReference"/>
          <w:rFonts w:ascii="Helvetica" w:hAnsi="Helvetica" w:cs="Calibri"/>
        </w:rPr>
        <w:footnoteReference w:id="13"/>
      </w:r>
    </w:p>
    <w:p w14:paraId="6FD9F281" w14:textId="5CB1280A" w:rsidR="00DE252A" w:rsidRDefault="004B330B" w:rsidP="00DE252A">
      <w:pPr>
        <w:spacing w:after="0" w:line="276" w:lineRule="auto"/>
        <w:ind w:firstLine="720"/>
        <w:rPr>
          <w:rFonts w:ascii="Helvetica" w:hAnsi="Helvetica"/>
        </w:rPr>
      </w:pPr>
      <w:r>
        <w:rPr>
          <w:rFonts w:ascii="Helvetica" w:hAnsi="Helvetica" w:cs="Calibri"/>
        </w:rPr>
        <w:t xml:space="preserve">Insightful as this explanation </w:t>
      </w:r>
      <w:r w:rsidR="0060732C">
        <w:rPr>
          <w:rFonts w:ascii="Helvetica" w:hAnsi="Helvetica" w:cs="Calibri"/>
        </w:rPr>
        <w:t>may be</w:t>
      </w:r>
      <w:r>
        <w:rPr>
          <w:rFonts w:ascii="Helvetica" w:hAnsi="Helvetica" w:cs="Calibri"/>
        </w:rPr>
        <w:t xml:space="preserve">, however, the issue of humans encountering the transcendent has not been </w:t>
      </w:r>
      <w:r w:rsidR="00DE252A">
        <w:rPr>
          <w:rFonts w:ascii="Helvetica" w:hAnsi="Helvetica" w:cs="Calibri"/>
        </w:rPr>
        <w:t xml:space="preserve">universally </w:t>
      </w:r>
      <w:r>
        <w:rPr>
          <w:rFonts w:ascii="Helvetica" w:hAnsi="Helvetica" w:cs="Calibri"/>
        </w:rPr>
        <w:t xml:space="preserve">dismissed as </w:t>
      </w:r>
      <w:r w:rsidR="00117E26">
        <w:rPr>
          <w:rFonts w:ascii="Helvetica" w:hAnsi="Helvetica" w:cs="Calibri"/>
        </w:rPr>
        <w:t xml:space="preserve">a matter of </w:t>
      </w:r>
      <w:r>
        <w:rPr>
          <w:rFonts w:ascii="Helvetica" w:hAnsi="Helvetica" w:cs="Calibri"/>
        </w:rPr>
        <w:t xml:space="preserve">hearing one side of our brain give instructions to the other. </w:t>
      </w:r>
      <w:r w:rsidR="00DE252A" w:rsidRPr="00404EC3">
        <w:rPr>
          <w:rFonts w:ascii="Helvetica" w:hAnsi="Helvetica"/>
        </w:rPr>
        <w:t xml:space="preserve">Jack Hunter, in his </w:t>
      </w:r>
      <w:r w:rsidR="00DE252A" w:rsidRPr="00404EC3">
        <w:rPr>
          <w:rFonts w:ascii="Helvetica" w:hAnsi="Helvetica"/>
          <w:i/>
          <w:iCs/>
        </w:rPr>
        <w:t>‘Engaging the anomalous: reflections from the anthropology of the paranormal</w:t>
      </w:r>
      <w:r w:rsidR="00DE252A">
        <w:rPr>
          <w:rFonts w:ascii="Helvetica" w:hAnsi="Helvetica"/>
          <w:i/>
          <w:iCs/>
        </w:rPr>
        <w:t xml:space="preserve">,’ </w:t>
      </w:r>
      <w:r w:rsidR="00DE252A" w:rsidRPr="00404EC3">
        <w:rPr>
          <w:rFonts w:ascii="Helvetica" w:hAnsi="Helvetica"/>
        </w:rPr>
        <w:t>discusses the question of anthropologists</w:t>
      </w:r>
      <w:r w:rsidR="00DE252A">
        <w:rPr>
          <w:rFonts w:ascii="Helvetica" w:hAnsi="Helvetica"/>
        </w:rPr>
        <w:t>’</w:t>
      </w:r>
      <w:r w:rsidR="00DE252A" w:rsidRPr="00404EC3">
        <w:rPr>
          <w:rFonts w:ascii="Helvetica" w:hAnsi="Helvetica"/>
        </w:rPr>
        <w:t xml:space="preserve"> reactions when encountering the paranormal among their informants. Historically the approach was to dismiss these reported experiences as </w:t>
      </w:r>
      <w:r w:rsidR="00DE252A">
        <w:rPr>
          <w:rFonts w:ascii="Helvetica" w:hAnsi="Helvetica"/>
        </w:rPr>
        <w:t xml:space="preserve">simply being </w:t>
      </w:r>
      <w:r w:rsidR="00DE252A" w:rsidRPr="00404EC3">
        <w:rPr>
          <w:rFonts w:ascii="Helvetica" w:hAnsi="Helvetica"/>
        </w:rPr>
        <w:t xml:space="preserve">primitive expressions of lesser cultures </w:t>
      </w:r>
      <w:r w:rsidR="00DE252A">
        <w:rPr>
          <w:rFonts w:ascii="Helvetica" w:hAnsi="Helvetica"/>
        </w:rPr>
        <w:t>inferior to</w:t>
      </w:r>
      <w:r w:rsidR="00DE252A" w:rsidRPr="00404EC3">
        <w:rPr>
          <w:rFonts w:ascii="Helvetica" w:hAnsi="Helvetica"/>
        </w:rPr>
        <w:t xml:space="preserve"> that of the anthropologist. Discussing the position of Sir E.B. Tylor (1832–1917), a founder of the discipline of anthropology, Hunter writes:</w:t>
      </w:r>
    </w:p>
    <w:p w14:paraId="666D740F" w14:textId="77777777" w:rsidR="00DE252A" w:rsidRPr="00DE252A" w:rsidRDefault="00DE252A" w:rsidP="00DE252A">
      <w:pPr>
        <w:spacing w:after="0" w:line="276" w:lineRule="auto"/>
        <w:ind w:firstLine="720"/>
        <w:rPr>
          <w:rFonts w:ascii="Helvetica" w:hAnsi="Helvetica" w:cs="Calibri"/>
        </w:rPr>
      </w:pPr>
    </w:p>
    <w:p w14:paraId="17392A03" w14:textId="448303B6" w:rsidR="00DE252A" w:rsidRDefault="00DE252A" w:rsidP="00765450">
      <w:pPr>
        <w:spacing w:after="0" w:line="276" w:lineRule="auto"/>
        <w:ind w:left="720"/>
        <w:rPr>
          <w:rFonts w:ascii="Helvetica" w:hAnsi="Helvetica"/>
        </w:rPr>
      </w:pPr>
      <w:r w:rsidRPr="00404EC3">
        <w:rPr>
          <w:rFonts w:ascii="Helvetica" w:hAnsi="Helvetica"/>
        </w:rPr>
        <w:t>According to Tylor, who operated within a broadly evolutionist framework, so-called ‘primitive’ people developed the notion of spirits through failing to understand that the people they encountered in their dreams were not real, and from this misunderstanding went on to infer the existence of a non-physical part of the human that could leave the physical body under certain conditions, such as in trance, or in death.</w:t>
      </w:r>
      <w:r>
        <w:rPr>
          <w:rStyle w:val="FootnoteReference"/>
          <w:rFonts w:ascii="Helvetica" w:hAnsi="Helvetica"/>
        </w:rPr>
        <w:footnoteReference w:id="14"/>
      </w:r>
    </w:p>
    <w:p w14:paraId="47EE9892" w14:textId="77777777" w:rsidR="00765450" w:rsidRPr="00404EC3" w:rsidRDefault="00765450" w:rsidP="00765450">
      <w:pPr>
        <w:spacing w:after="0" w:line="276" w:lineRule="auto"/>
        <w:ind w:left="720"/>
        <w:rPr>
          <w:rFonts w:ascii="Helvetica" w:hAnsi="Helvetica"/>
        </w:rPr>
      </w:pPr>
    </w:p>
    <w:p w14:paraId="070D8531" w14:textId="0FD04EF6" w:rsidR="00DE252A" w:rsidRDefault="00DE252A" w:rsidP="00765450">
      <w:pPr>
        <w:spacing w:after="0" w:line="276" w:lineRule="auto"/>
        <w:ind w:firstLine="720"/>
        <w:rPr>
          <w:rFonts w:ascii="Helvetica" w:hAnsi="Helvetica"/>
        </w:rPr>
      </w:pPr>
      <w:r w:rsidRPr="00404EC3">
        <w:rPr>
          <w:rFonts w:ascii="Helvetica" w:hAnsi="Helvetica"/>
        </w:rPr>
        <w:t xml:space="preserve">Hunter writes that this view itself reflected a view on the paranormal held by European society at the time Tylor was active: belief in spirits was neither acceptable socially nor academically. </w:t>
      </w:r>
      <w:r>
        <w:rPr>
          <w:rFonts w:ascii="Helvetica" w:hAnsi="Helvetica"/>
        </w:rPr>
        <w:t xml:space="preserve">However, in his private life among mediums, Tylor was having </w:t>
      </w:r>
      <w:r w:rsidRPr="00404EC3">
        <w:rPr>
          <w:rFonts w:ascii="Helvetica" w:hAnsi="Helvetica"/>
        </w:rPr>
        <w:t xml:space="preserve">paranormal experiences </w:t>
      </w:r>
      <w:r>
        <w:rPr>
          <w:rFonts w:ascii="Helvetica" w:hAnsi="Helvetica"/>
        </w:rPr>
        <w:t>of his own, which he did not discuss in his work</w:t>
      </w:r>
      <w:r w:rsidRPr="00404EC3">
        <w:rPr>
          <w:rFonts w:ascii="Helvetica" w:hAnsi="Helvetica"/>
        </w:rPr>
        <w:t xml:space="preserve">. Hunter </w:t>
      </w:r>
      <w:r w:rsidR="003A74F8">
        <w:rPr>
          <w:rFonts w:ascii="Helvetica" w:hAnsi="Helvetica"/>
        </w:rPr>
        <w:t>writes</w:t>
      </w:r>
      <w:r w:rsidRPr="00404EC3">
        <w:rPr>
          <w:rFonts w:ascii="Helvetica" w:hAnsi="Helvetica"/>
        </w:rPr>
        <w:t xml:space="preserve"> that Tylor’s experiences illustrate two issues concerning the paranormal: (1) these experiences are not limited to </w:t>
      </w:r>
      <w:r>
        <w:rPr>
          <w:rFonts w:ascii="Helvetica" w:hAnsi="Helvetica"/>
        </w:rPr>
        <w:t>‘</w:t>
      </w:r>
      <w:r w:rsidRPr="00404EC3">
        <w:rPr>
          <w:rFonts w:ascii="Helvetica" w:hAnsi="Helvetica"/>
        </w:rPr>
        <w:t>primitive</w:t>
      </w:r>
      <w:r>
        <w:rPr>
          <w:rFonts w:ascii="Helvetica" w:hAnsi="Helvetica"/>
        </w:rPr>
        <w:t>’</w:t>
      </w:r>
      <w:r w:rsidRPr="00404EC3">
        <w:rPr>
          <w:rFonts w:ascii="Helvetica" w:hAnsi="Helvetica"/>
        </w:rPr>
        <w:t xml:space="preserve"> people but are rather present among moderns and (2) they remain academically taboo and ineligible for serious scrutiny. Evans-Pritchard’s own experience </w:t>
      </w:r>
      <w:r>
        <w:rPr>
          <w:rFonts w:ascii="Helvetica" w:hAnsi="Helvetica"/>
        </w:rPr>
        <w:t xml:space="preserve">of </w:t>
      </w:r>
      <w:r w:rsidRPr="00404EC3">
        <w:rPr>
          <w:rFonts w:ascii="Helvetica" w:hAnsi="Helvetica"/>
        </w:rPr>
        <w:t>what was explained to him as</w:t>
      </w:r>
      <w:r>
        <w:rPr>
          <w:rFonts w:ascii="Helvetica" w:hAnsi="Helvetica"/>
        </w:rPr>
        <w:t xml:space="preserve"> being</w:t>
      </w:r>
      <w:r w:rsidRPr="00404EC3">
        <w:rPr>
          <w:rFonts w:ascii="Helvetica" w:hAnsi="Helvetica"/>
        </w:rPr>
        <w:t xml:space="preserve"> </w:t>
      </w:r>
      <w:r>
        <w:rPr>
          <w:rFonts w:ascii="Helvetica" w:hAnsi="Helvetica"/>
        </w:rPr>
        <w:t>‘</w:t>
      </w:r>
      <w:r w:rsidRPr="00404EC3">
        <w:rPr>
          <w:rFonts w:ascii="Helvetica" w:hAnsi="Helvetica"/>
        </w:rPr>
        <w:t>witchcraft substance</w:t>
      </w:r>
      <w:r>
        <w:rPr>
          <w:rFonts w:ascii="Helvetica" w:hAnsi="Helvetica"/>
        </w:rPr>
        <w:t>’</w:t>
      </w:r>
      <w:r w:rsidRPr="00404EC3">
        <w:rPr>
          <w:rFonts w:ascii="Helvetica" w:hAnsi="Helvetica"/>
        </w:rPr>
        <w:t xml:space="preserve"> one night as he was walking, put him in the same position as Tylor. </w:t>
      </w:r>
      <w:r>
        <w:rPr>
          <w:rFonts w:ascii="Helvetica" w:hAnsi="Helvetica"/>
        </w:rPr>
        <w:t>T</w:t>
      </w:r>
      <w:r w:rsidRPr="00404EC3">
        <w:rPr>
          <w:rFonts w:ascii="Helvetica" w:hAnsi="Helvetica"/>
        </w:rPr>
        <w:t>his personal experience</w:t>
      </w:r>
      <w:r>
        <w:rPr>
          <w:rFonts w:ascii="Helvetica" w:hAnsi="Helvetica"/>
        </w:rPr>
        <w:t>, which</w:t>
      </w:r>
      <w:r w:rsidRPr="00404EC3">
        <w:rPr>
          <w:rFonts w:ascii="Helvetica" w:hAnsi="Helvetica"/>
        </w:rPr>
        <w:t xml:space="preserve"> was included in Evans-Pritchard’s 1937 and 1976 books</w:t>
      </w:r>
      <w:r>
        <w:rPr>
          <w:rFonts w:ascii="Helvetica" w:hAnsi="Helvetica"/>
        </w:rPr>
        <w:t>,</w:t>
      </w:r>
      <w:r w:rsidRPr="00404EC3">
        <w:rPr>
          <w:rFonts w:ascii="Helvetica" w:hAnsi="Helvetica"/>
        </w:rPr>
        <w:t xml:space="preserve"> was </w:t>
      </w:r>
      <w:r>
        <w:rPr>
          <w:rFonts w:ascii="Helvetica" w:hAnsi="Helvetica"/>
        </w:rPr>
        <w:t xml:space="preserve">understandably </w:t>
      </w:r>
      <w:r w:rsidRPr="00404EC3">
        <w:rPr>
          <w:rFonts w:ascii="Helvetica" w:hAnsi="Helvetica"/>
        </w:rPr>
        <w:t xml:space="preserve">not discussed in his 1928 dissertation. Hunter writes that Evans-Pritchard, in </w:t>
      </w:r>
      <w:r w:rsidRPr="006F080E">
        <w:rPr>
          <w:rFonts w:ascii="Helvetica" w:hAnsi="Helvetica"/>
          <w:u w:val="single"/>
        </w:rPr>
        <w:t>Theories of Primitive Religion</w:t>
      </w:r>
      <w:r w:rsidRPr="00404EC3">
        <w:rPr>
          <w:rFonts w:ascii="Helvetica" w:hAnsi="Helvetica"/>
        </w:rPr>
        <w:t xml:space="preserve"> (1965) showed what has become the standard way of bracketing the paranormal when encountered in fieldwork:</w:t>
      </w:r>
    </w:p>
    <w:p w14:paraId="33E1095B" w14:textId="77777777" w:rsidR="0026065F" w:rsidRPr="00404EC3" w:rsidRDefault="0026065F" w:rsidP="00765450">
      <w:pPr>
        <w:spacing w:after="0" w:line="276" w:lineRule="auto"/>
        <w:ind w:firstLine="720"/>
        <w:rPr>
          <w:rFonts w:ascii="Helvetica" w:hAnsi="Helvetica"/>
        </w:rPr>
      </w:pPr>
    </w:p>
    <w:p w14:paraId="2CBB62F2" w14:textId="2F068967" w:rsidR="00DE252A" w:rsidRDefault="00DE252A" w:rsidP="00765450">
      <w:pPr>
        <w:spacing w:after="0" w:line="276" w:lineRule="auto"/>
        <w:ind w:left="720"/>
        <w:rPr>
          <w:rFonts w:ascii="Helvetica" w:hAnsi="Helvetica"/>
        </w:rPr>
      </w:pPr>
      <w:r w:rsidRPr="00404EC3">
        <w:rPr>
          <w:rFonts w:ascii="Helvetica" w:hAnsi="Helvetica"/>
        </w:rPr>
        <w:t>As I understand the matter, there is no possibility of knowing whether the spiritual beings of primitive religions or of any others have any existence or not, and since that is the case [the anthropologist] cannot take the question into consideration (Evans-Pritchard, 1965, p. 17)</w:t>
      </w:r>
      <w:r w:rsidR="0026065F">
        <w:rPr>
          <w:rStyle w:val="FootnoteReference"/>
          <w:rFonts w:ascii="Helvetica" w:hAnsi="Helvetica"/>
        </w:rPr>
        <w:footnoteReference w:id="15"/>
      </w:r>
    </w:p>
    <w:p w14:paraId="755DEAD3" w14:textId="77777777" w:rsidR="0026065F" w:rsidRPr="00404EC3" w:rsidRDefault="0026065F" w:rsidP="00765450">
      <w:pPr>
        <w:spacing w:after="0" w:line="276" w:lineRule="auto"/>
        <w:ind w:left="720" w:right="-1584"/>
        <w:rPr>
          <w:rFonts w:ascii="Helvetica" w:hAnsi="Helvetica"/>
        </w:rPr>
      </w:pPr>
    </w:p>
    <w:p w14:paraId="42077D24" w14:textId="691E2654" w:rsidR="0026065F" w:rsidRDefault="00DE252A" w:rsidP="00777B00">
      <w:pPr>
        <w:spacing w:after="0" w:line="276" w:lineRule="auto"/>
        <w:ind w:firstLine="720"/>
        <w:rPr>
          <w:rFonts w:ascii="Helvetica" w:hAnsi="Helvetica"/>
        </w:rPr>
      </w:pPr>
      <w:r w:rsidRPr="00404EC3">
        <w:rPr>
          <w:rFonts w:ascii="Helvetica" w:hAnsi="Helvetica"/>
        </w:rPr>
        <w:t xml:space="preserve">This is a matter of being dominated by the empirical, even, in both Tylor and Evans-Pritchard’s cases, </w:t>
      </w:r>
      <w:r w:rsidR="00E96627">
        <w:rPr>
          <w:rFonts w:ascii="Helvetica" w:hAnsi="Helvetica"/>
        </w:rPr>
        <w:t xml:space="preserve">possibly </w:t>
      </w:r>
      <w:r w:rsidRPr="00404EC3">
        <w:rPr>
          <w:rFonts w:ascii="Helvetica" w:hAnsi="Helvetica"/>
        </w:rPr>
        <w:t xml:space="preserve">at the expense of one’s own experiences. Some experiences are simply not yet academically and culturally </w:t>
      </w:r>
      <w:r>
        <w:rPr>
          <w:rFonts w:ascii="Helvetica" w:hAnsi="Helvetica"/>
        </w:rPr>
        <w:t>‘</w:t>
      </w:r>
      <w:r w:rsidRPr="00404EC3">
        <w:rPr>
          <w:rFonts w:ascii="Helvetica" w:hAnsi="Helvetica"/>
        </w:rPr>
        <w:t>authorized</w:t>
      </w:r>
      <w:r>
        <w:rPr>
          <w:rFonts w:ascii="Helvetica" w:hAnsi="Helvetica"/>
        </w:rPr>
        <w:t>’ to be had.</w:t>
      </w:r>
      <w:r w:rsidR="00777B00">
        <w:rPr>
          <w:rFonts w:ascii="Helvetica" w:hAnsi="Helvetica"/>
        </w:rPr>
        <w:t xml:space="preserve"> </w:t>
      </w:r>
      <w:r w:rsidR="009F3778">
        <w:rPr>
          <w:rFonts w:ascii="Helvetica" w:hAnsi="Helvetica"/>
        </w:rPr>
        <w:t>Yet</w:t>
      </w:r>
      <w:r w:rsidR="0026065F">
        <w:rPr>
          <w:rFonts w:ascii="Helvetica" w:hAnsi="Helvetica"/>
        </w:rPr>
        <w:t xml:space="preserve"> these experiences continue to be reported </w:t>
      </w:r>
      <w:r w:rsidR="00EE2DA1">
        <w:rPr>
          <w:rFonts w:ascii="Helvetica" w:hAnsi="Helvetica"/>
        </w:rPr>
        <w:t>by</w:t>
      </w:r>
      <w:r w:rsidR="0026065F">
        <w:rPr>
          <w:rFonts w:ascii="Helvetica" w:hAnsi="Helvetica"/>
        </w:rPr>
        <w:t xml:space="preserve"> observers. </w:t>
      </w:r>
    </w:p>
    <w:p w14:paraId="0BC743B0" w14:textId="1ECDEF3D" w:rsidR="004B330B" w:rsidRDefault="00777B00" w:rsidP="00EE2DA1">
      <w:pPr>
        <w:spacing w:after="0" w:line="276" w:lineRule="auto"/>
        <w:ind w:firstLine="720"/>
        <w:rPr>
          <w:rFonts w:ascii="Helvetica" w:hAnsi="Helvetica"/>
        </w:rPr>
      </w:pPr>
      <w:r>
        <w:rPr>
          <w:rFonts w:ascii="Helvetica" w:hAnsi="Helvetica"/>
        </w:rPr>
        <w:t xml:space="preserve">In a new book, </w:t>
      </w:r>
      <w:r w:rsidRPr="00777B00">
        <w:rPr>
          <w:rFonts w:ascii="Helvetica" w:hAnsi="Helvetica"/>
          <w:i/>
          <w:iCs/>
        </w:rPr>
        <w:t>A Phenomenology of the Alien Encounters with the Weird and Inscrutable Other</w:t>
      </w:r>
      <w:r>
        <w:rPr>
          <w:rFonts w:ascii="Helvetica" w:hAnsi="Helvetica"/>
        </w:rPr>
        <w:t xml:space="preserve">, </w:t>
      </w:r>
      <w:r w:rsidR="00EE2DA1" w:rsidRPr="00EE2DA1">
        <w:rPr>
          <w:rFonts w:ascii="Helvetica" w:hAnsi="Helvetica"/>
        </w:rPr>
        <w:t>Emily McAvan</w:t>
      </w:r>
      <w:r w:rsidR="00EE2DA1">
        <w:rPr>
          <w:rStyle w:val="FootnoteReference"/>
          <w:rFonts w:ascii="Helvetica" w:hAnsi="Helvetica"/>
        </w:rPr>
        <w:footnoteReference w:id="16"/>
      </w:r>
      <w:r w:rsidR="00EE2DA1">
        <w:rPr>
          <w:rFonts w:ascii="Helvetica" w:hAnsi="Helvetica"/>
        </w:rPr>
        <w:t xml:space="preserve"> cites the interest Americans </w:t>
      </w:r>
      <w:r w:rsidR="00160E6A">
        <w:rPr>
          <w:rFonts w:ascii="Helvetica" w:hAnsi="Helvetica"/>
        </w:rPr>
        <w:t xml:space="preserve">continue to </w:t>
      </w:r>
      <w:r w:rsidR="00EE2DA1">
        <w:rPr>
          <w:rFonts w:ascii="Helvetica" w:hAnsi="Helvetica"/>
        </w:rPr>
        <w:t>show in the paranormal</w:t>
      </w:r>
      <w:r w:rsidR="00E501B1">
        <w:rPr>
          <w:rFonts w:ascii="Helvetica" w:hAnsi="Helvetica"/>
        </w:rPr>
        <w:t xml:space="preserve"> as surveyed by Pew</w:t>
      </w:r>
      <w:r w:rsidR="00020159">
        <w:rPr>
          <w:rFonts w:ascii="Helvetica" w:hAnsi="Helvetica"/>
        </w:rPr>
        <w:t xml:space="preserve"> Research Center:</w:t>
      </w:r>
    </w:p>
    <w:p w14:paraId="7BE966A0" w14:textId="77777777" w:rsidR="00020159" w:rsidRDefault="00020159" w:rsidP="00EE2DA1">
      <w:pPr>
        <w:spacing w:after="0" w:line="276" w:lineRule="auto"/>
        <w:ind w:firstLine="720"/>
        <w:rPr>
          <w:rFonts w:ascii="Helvetica" w:hAnsi="Helvetica"/>
        </w:rPr>
      </w:pPr>
    </w:p>
    <w:p w14:paraId="548D159F" w14:textId="44130C39" w:rsidR="00020159" w:rsidRPr="002740B8" w:rsidRDefault="00020159" w:rsidP="00020159">
      <w:pPr>
        <w:spacing w:after="0" w:line="276" w:lineRule="auto"/>
        <w:ind w:left="720"/>
        <w:rPr>
          <w:rFonts w:ascii="Helvetica" w:hAnsi="Helvetica"/>
        </w:rPr>
      </w:pPr>
      <w:r w:rsidRPr="00020159">
        <w:rPr>
          <w:rFonts w:ascii="Helvetica" w:hAnsi="Helvetica"/>
        </w:rPr>
        <w:t>Roughly eight-in-ten Americans believe “there is something spiritual beyond the natural world, even if we cannot see it.” Similar or slightly larger numbers say they believe that God or a universal spirit exists (83%), and that humans have a soul or spirit in addition to a physical body (86%).</w:t>
      </w:r>
      <w:r>
        <w:rPr>
          <w:rStyle w:val="FootnoteReference"/>
          <w:rFonts w:ascii="Helvetica" w:hAnsi="Helvetica"/>
        </w:rPr>
        <w:footnoteReference w:id="17"/>
      </w:r>
    </w:p>
    <w:p w14:paraId="11A8DA65" w14:textId="77777777" w:rsidR="00BF5E18" w:rsidRPr="002740B8" w:rsidRDefault="00BF5E18" w:rsidP="00020159">
      <w:pPr>
        <w:spacing w:after="0" w:line="276" w:lineRule="auto"/>
        <w:ind w:left="720"/>
        <w:rPr>
          <w:rFonts w:ascii="Helvetica" w:hAnsi="Helvetica"/>
        </w:rPr>
      </w:pPr>
    </w:p>
    <w:p w14:paraId="79E77DB4" w14:textId="6BE2C92F" w:rsidR="00F752AF" w:rsidRDefault="00160E6A" w:rsidP="00E47E23">
      <w:pPr>
        <w:spacing w:line="276" w:lineRule="auto"/>
        <w:ind w:firstLine="720"/>
        <w:rPr>
          <w:rFonts w:ascii="Helvetica" w:hAnsi="Helvetica"/>
        </w:rPr>
      </w:pPr>
      <w:r>
        <w:rPr>
          <w:rFonts w:ascii="Helvetica" w:hAnsi="Helvetica"/>
        </w:rPr>
        <w:t xml:space="preserve">Being allured by what one </w:t>
      </w:r>
      <w:r w:rsidR="00342D42">
        <w:rPr>
          <w:rFonts w:ascii="Helvetica" w:hAnsi="Helvetica"/>
        </w:rPr>
        <w:t xml:space="preserve">‘knows’ </w:t>
      </w:r>
      <w:r>
        <w:rPr>
          <w:rFonts w:ascii="Helvetica" w:hAnsi="Helvetica"/>
        </w:rPr>
        <w:t xml:space="preserve">is beyond the ‘auditory hallucinations’ of James is </w:t>
      </w:r>
      <w:r w:rsidR="0005282B">
        <w:rPr>
          <w:rFonts w:ascii="Helvetica" w:hAnsi="Helvetica"/>
        </w:rPr>
        <w:t>a constant call for many</w:t>
      </w:r>
      <w:r>
        <w:rPr>
          <w:rFonts w:ascii="Helvetica" w:hAnsi="Helvetica"/>
        </w:rPr>
        <w:t>, both as a belief and as an experience (</w:t>
      </w:r>
      <w:r w:rsidR="00B07D93">
        <w:rPr>
          <w:rFonts w:ascii="Helvetica" w:hAnsi="Helvetica"/>
        </w:rPr>
        <w:t xml:space="preserve">i.e., </w:t>
      </w:r>
      <w:r>
        <w:rPr>
          <w:rFonts w:ascii="Helvetica" w:hAnsi="Helvetica"/>
        </w:rPr>
        <w:t>that one has had or anticipates</w:t>
      </w:r>
      <w:r w:rsidR="00342D42">
        <w:rPr>
          <w:rFonts w:ascii="Helvetica" w:hAnsi="Helvetica"/>
        </w:rPr>
        <w:t xml:space="preserve"> having</w:t>
      </w:r>
      <w:r>
        <w:rPr>
          <w:rFonts w:ascii="Helvetica" w:hAnsi="Helvetica"/>
        </w:rPr>
        <w:t xml:space="preserve">). </w:t>
      </w:r>
      <w:r w:rsidR="002740B8">
        <w:rPr>
          <w:rFonts w:ascii="Helvetica" w:hAnsi="Helvetica"/>
        </w:rPr>
        <w:t>Truly s</w:t>
      </w:r>
      <w:r w:rsidR="00E47E23" w:rsidRPr="002740B8">
        <w:rPr>
          <w:rFonts w:ascii="Helvetica" w:hAnsi="Helvetica"/>
        </w:rPr>
        <w:t xml:space="preserve">uspending such belief in </w:t>
      </w:r>
      <w:r>
        <w:rPr>
          <w:rFonts w:ascii="Helvetica" w:hAnsi="Helvetica"/>
        </w:rPr>
        <w:t xml:space="preserve">gods in </w:t>
      </w:r>
      <w:r w:rsidR="00E47E23" w:rsidRPr="002740B8">
        <w:rPr>
          <w:rFonts w:ascii="Helvetica" w:hAnsi="Helvetica"/>
        </w:rPr>
        <w:t xml:space="preserve">an academic exercise is probably easier said than done. However, what </w:t>
      </w:r>
      <w:r w:rsidR="002740B8" w:rsidRPr="002740B8">
        <w:rPr>
          <w:rFonts w:ascii="Helvetica" w:hAnsi="Helvetica"/>
        </w:rPr>
        <w:t xml:space="preserve">the researcher aims to suspend in this case is belief in the </w:t>
      </w:r>
      <w:r w:rsidR="002740B8">
        <w:rPr>
          <w:rFonts w:ascii="Helvetica" w:hAnsi="Helvetica"/>
        </w:rPr>
        <w:t xml:space="preserve">reality of any </w:t>
      </w:r>
      <w:proofErr w:type="gramStart"/>
      <w:r w:rsidR="002740B8">
        <w:rPr>
          <w:rFonts w:ascii="Helvetica" w:hAnsi="Helvetica"/>
        </w:rPr>
        <w:t>particular form</w:t>
      </w:r>
      <w:proofErr w:type="gramEnd"/>
      <w:r w:rsidR="002740B8">
        <w:rPr>
          <w:rFonts w:ascii="Helvetica" w:hAnsi="Helvetica"/>
        </w:rPr>
        <w:t xml:space="preserve"> of the manifestation of spirit. While one may not believe in witches, the gods who send messages to an augurer in the shape of the liver of a sacrificed animal, in the pattern </w:t>
      </w:r>
      <w:r w:rsidR="00863CCD">
        <w:rPr>
          <w:rFonts w:ascii="Helvetica" w:hAnsi="Helvetica"/>
        </w:rPr>
        <w:t xml:space="preserve">of </w:t>
      </w:r>
      <w:r w:rsidR="002740B8">
        <w:rPr>
          <w:rFonts w:ascii="Helvetica" w:hAnsi="Helvetica"/>
        </w:rPr>
        <w:t>chickens feed</w:t>
      </w:r>
      <w:r w:rsidR="00863CCD">
        <w:rPr>
          <w:rFonts w:ascii="Helvetica" w:hAnsi="Helvetica"/>
        </w:rPr>
        <w:t>ing</w:t>
      </w:r>
      <w:r w:rsidR="002740B8">
        <w:rPr>
          <w:rFonts w:ascii="Helvetica" w:hAnsi="Helvetica"/>
        </w:rPr>
        <w:t xml:space="preserve"> or in the flight of birds, or in the god Apollo who for a thousand years whispered in the ears of his Pythias, one can still empathize with the lived faith behind these actions. </w:t>
      </w:r>
    </w:p>
    <w:p w14:paraId="56931516" w14:textId="5201AE9C" w:rsidR="000C38FB" w:rsidRDefault="000C38FB" w:rsidP="000C38FB">
      <w:pPr>
        <w:spacing w:after="0" w:line="276" w:lineRule="auto"/>
        <w:rPr>
          <w:rFonts w:ascii="Helvetica" w:hAnsi="Helvetica"/>
          <w:b/>
          <w:bCs/>
        </w:rPr>
      </w:pPr>
      <w:r w:rsidRPr="000C38FB">
        <w:rPr>
          <w:rFonts w:ascii="Helvetica" w:hAnsi="Helvetica"/>
          <w:b/>
          <w:bCs/>
        </w:rPr>
        <w:t>Ubiquity of Divination</w:t>
      </w:r>
    </w:p>
    <w:p w14:paraId="33876E4D" w14:textId="4CA09D03" w:rsidR="00A1239E" w:rsidRDefault="008647EC" w:rsidP="008647EC">
      <w:pPr>
        <w:spacing w:after="0" w:line="276" w:lineRule="auto"/>
        <w:ind w:firstLine="720"/>
        <w:rPr>
          <w:rFonts w:ascii="Helvetica" w:hAnsi="Helvetica"/>
        </w:rPr>
      </w:pPr>
      <w:r w:rsidRPr="008647EC">
        <w:rPr>
          <w:rFonts w:ascii="Helvetica" w:hAnsi="Helvetica"/>
        </w:rPr>
        <w:t xml:space="preserve">People </w:t>
      </w:r>
      <w:proofErr w:type="gramStart"/>
      <w:r w:rsidRPr="008647EC">
        <w:rPr>
          <w:rFonts w:ascii="Helvetica" w:hAnsi="Helvetica"/>
        </w:rPr>
        <w:t>at all times</w:t>
      </w:r>
      <w:proofErr w:type="gramEnd"/>
      <w:r w:rsidRPr="008647EC">
        <w:rPr>
          <w:rFonts w:ascii="Helvetica" w:hAnsi="Helvetica"/>
        </w:rPr>
        <w:t xml:space="preserve"> have found themselves in need of more information about their situation than what is provided by their own senses. This is a universal condition, noted by many authors, ancient and modern</w:t>
      </w:r>
      <w:r w:rsidR="00A53DC0">
        <w:rPr>
          <w:rFonts w:ascii="Helvetica" w:hAnsi="Helvetica"/>
        </w:rPr>
        <w:t xml:space="preserve">. </w:t>
      </w:r>
    </w:p>
    <w:p w14:paraId="6F4AD86B" w14:textId="77777777" w:rsidR="00A1239E" w:rsidRDefault="00A1239E" w:rsidP="008647EC">
      <w:pPr>
        <w:spacing w:after="0" w:line="276" w:lineRule="auto"/>
        <w:ind w:firstLine="720"/>
        <w:rPr>
          <w:rFonts w:ascii="Helvetica" w:hAnsi="Helvetica"/>
        </w:rPr>
      </w:pPr>
    </w:p>
    <w:p w14:paraId="6CB1E881" w14:textId="380CFDEC" w:rsidR="00A1239E" w:rsidRPr="00A1239E" w:rsidRDefault="00A1239E" w:rsidP="00A1239E">
      <w:pPr>
        <w:spacing w:after="0" w:line="276" w:lineRule="auto"/>
        <w:ind w:left="720"/>
        <w:rPr>
          <w:rFonts w:ascii="Helvetica" w:hAnsi="Helvetica"/>
        </w:rPr>
      </w:pPr>
      <w:r w:rsidRPr="00A1239E">
        <w:rPr>
          <w:rFonts w:ascii="Helvetica" w:hAnsi="Helvetica"/>
        </w:rPr>
        <w:t>Now I am aware of no people, however refined and learned or however savage and ignorant, which does not think that signs are given of future events, and that certain persons can recognize those signs and foretell events before they occur.</w:t>
      </w:r>
      <w:r>
        <w:rPr>
          <w:rStyle w:val="FootnoteReference"/>
          <w:rFonts w:ascii="Helvetica" w:hAnsi="Helvetica"/>
        </w:rPr>
        <w:footnoteReference w:id="18"/>
      </w:r>
    </w:p>
    <w:p w14:paraId="18A9CF08" w14:textId="77777777" w:rsidR="00A1239E" w:rsidRDefault="00A1239E" w:rsidP="00E85EE4">
      <w:pPr>
        <w:spacing w:after="0" w:line="276" w:lineRule="auto"/>
        <w:rPr>
          <w:rFonts w:ascii="Helvetica" w:hAnsi="Helvetica"/>
        </w:rPr>
      </w:pPr>
    </w:p>
    <w:p w14:paraId="12629379" w14:textId="65AE74B3" w:rsidR="00A1239E" w:rsidRDefault="00E85EE4" w:rsidP="00E85EE4">
      <w:pPr>
        <w:spacing w:after="0" w:line="276" w:lineRule="auto"/>
        <w:ind w:left="720"/>
        <w:rPr>
          <w:rFonts w:ascii="Helvetica" w:hAnsi="Helvetica"/>
        </w:rPr>
      </w:pPr>
      <w:r>
        <w:rPr>
          <w:rFonts w:ascii="Helvetica" w:hAnsi="Helvetica"/>
        </w:rPr>
        <w:t>Every human community</w:t>
      </w:r>
      <w:r w:rsidR="00D16AB6">
        <w:rPr>
          <w:rFonts w:ascii="Helvetica" w:hAnsi="Helvetica"/>
        </w:rPr>
        <w:t xml:space="preserve"> </w:t>
      </w:r>
      <w:r>
        <w:rPr>
          <w:rFonts w:ascii="Helvetica" w:hAnsi="Helvetica"/>
        </w:rPr>
        <w:t>recognizes a need for special knowledge</w:t>
      </w:r>
      <w:r w:rsidR="00D16AB6">
        <w:rPr>
          <w:rFonts w:ascii="Helvetica" w:hAnsi="Helvetica"/>
        </w:rPr>
        <w:t xml:space="preserve"> gained through divination. While this need is hardly of the same order as the need for food or shelter, it is nonetheless universal.</w:t>
      </w:r>
      <w:r w:rsidR="00D16AB6">
        <w:rPr>
          <w:rStyle w:val="FootnoteReference"/>
          <w:rFonts w:ascii="Helvetica" w:hAnsi="Helvetica"/>
        </w:rPr>
        <w:t xml:space="preserve"> </w:t>
      </w:r>
      <w:r w:rsidR="00D16AB6">
        <w:rPr>
          <w:rFonts w:ascii="Helvetica" w:hAnsi="Helvetica"/>
        </w:rPr>
        <w:t>[…] With our emphasis on divination as a system of knowledge in action, we are reminded that our scientific tradition is but one way of knowing and that we can g</w:t>
      </w:r>
      <w:r w:rsidR="00132FF7">
        <w:rPr>
          <w:rFonts w:ascii="Helvetica" w:hAnsi="Helvetica"/>
        </w:rPr>
        <w:t>a</w:t>
      </w:r>
      <w:r w:rsidR="00D16AB6">
        <w:rPr>
          <w:rFonts w:ascii="Helvetica" w:hAnsi="Helvetica"/>
        </w:rPr>
        <w:t>in much from other systems proven effective over the centuries.</w:t>
      </w:r>
      <w:r w:rsidR="00D16AB6">
        <w:rPr>
          <w:rStyle w:val="FootnoteReference"/>
          <w:rFonts w:ascii="Helvetica" w:hAnsi="Helvetica"/>
        </w:rPr>
        <w:footnoteReference w:id="19"/>
      </w:r>
    </w:p>
    <w:p w14:paraId="70551E4B" w14:textId="77777777" w:rsidR="00FD5F04" w:rsidRDefault="00FD5F04" w:rsidP="00E85EE4">
      <w:pPr>
        <w:spacing w:after="0" w:line="276" w:lineRule="auto"/>
        <w:ind w:left="720"/>
        <w:rPr>
          <w:rFonts w:ascii="Helvetica" w:hAnsi="Helvetica"/>
        </w:rPr>
      </w:pPr>
    </w:p>
    <w:p w14:paraId="393B799C" w14:textId="39FB03CC" w:rsidR="00FD5F04" w:rsidRPr="00FD5F04" w:rsidRDefault="00FD5F04" w:rsidP="00FD5F04">
      <w:pPr>
        <w:spacing w:after="0" w:line="276" w:lineRule="auto"/>
        <w:ind w:left="720"/>
        <w:rPr>
          <w:rFonts w:ascii="Helvetica" w:hAnsi="Helvetica"/>
        </w:rPr>
      </w:pPr>
      <w:r w:rsidRPr="00FD5F04">
        <w:rPr>
          <w:rFonts w:ascii="Helvetica" w:hAnsi="Helvetica"/>
        </w:rPr>
        <w:t>For many millennia and across the whole Old World, from Eastern to Western Eurasia, and from the tip of southern Africa to the highlands of Britannia, people were in the habit of practicing divination, or the art of translating information from their gods into the realm of the human. On a scale whose breadth we have yet to fully appreciate, they assumed that clandestine signs were buried in the world around them.</w:t>
      </w:r>
      <w:r>
        <w:rPr>
          <w:rStyle w:val="FootnoteReference"/>
          <w:rFonts w:ascii="Helvetica" w:hAnsi="Helvetica"/>
        </w:rPr>
        <w:footnoteReference w:id="20"/>
      </w:r>
    </w:p>
    <w:p w14:paraId="1C2A0CE9" w14:textId="77777777" w:rsidR="00A53DC0" w:rsidRDefault="00A53DC0" w:rsidP="00FD5F04">
      <w:pPr>
        <w:spacing w:after="0" w:line="276" w:lineRule="auto"/>
        <w:rPr>
          <w:rFonts w:ascii="Helvetica" w:hAnsi="Helvetica"/>
        </w:rPr>
      </w:pPr>
    </w:p>
    <w:p w14:paraId="54C8B31F" w14:textId="239702F0" w:rsidR="008647EC" w:rsidRDefault="00FD5F04" w:rsidP="00FD2569">
      <w:pPr>
        <w:spacing w:after="0" w:line="276" w:lineRule="auto"/>
        <w:ind w:firstLine="720"/>
        <w:rPr>
          <w:rFonts w:ascii="Helvetica" w:hAnsi="Helvetica"/>
        </w:rPr>
      </w:pPr>
      <w:r>
        <w:rPr>
          <w:rFonts w:ascii="Helvetica" w:hAnsi="Helvetica"/>
        </w:rPr>
        <w:t>Seeking more knowledge … clandestine signs</w:t>
      </w:r>
      <w:r w:rsidR="00342D42">
        <w:rPr>
          <w:rFonts w:ascii="Helvetica" w:hAnsi="Helvetica"/>
        </w:rPr>
        <w:t xml:space="preserve"> hidden in the surrounding world</w:t>
      </w:r>
      <w:r>
        <w:rPr>
          <w:rFonts w:ascii="Helvetica" w:hAnsi="Helvetica"/>
        </w:rPr>
        <w:t xml:space="preserve"> … in important times is</w:t>
      </w:r>
      <w:r w:rsidR="008647EC" w:rsidRPr="008647EC">
        <w:rPr>
          <w:rFonts w:ascii="Helvetica" w:hAnsi="Helvetica"/>
        </w:rPr>
        <w:t xml:space="preserve"> part </w:t>
      </w:r>
      <w:r w:rsidR="008647EC">
        <w:rPr>
          <w:rFonts w:ascii="Helvetica" w:hAnsi="Helvetica"/>
        </w:rPr>
        <w:t xml:space="preserve">of being </w:t>
      </w:r>
      <w:r w:rsidR="008647EC" w:rsidRPr="008647EC">
        <w:rPr>
          <w:rFonts w:ascii="Helvetica" w:hAnsi="Helvetica"/>
        </w:rPr>
        <w:t xml:space="preserve">human. The need to better understand the events of one’s past, what factors are at work in one’s present, and the prospects that envisioned actions will mesh with the reality that is unfolding is a deep human need. If there is knowledge that is ‘surplus’ to what we can experience for ourselves, we often feel the need to access at least some it and out it to practical use. </w:t>
      </w:r>
    </w:p>
    <w:p w14:paraId="0D53D486" w14:textId="77D13C76" w:rsidR="00FD5F04" w:rsidRDefault="00F52123" w:rsidP="005B52DA">
      <w:pPr>
        <w:spacing w:after="0" w:line="276" w:lineRule="auto"/>
        <w:ind w:firstLine="720"/>
        <w:rPr>
          <w:rFonts w:ascii="Helvetica" w:hAnsi="Helvetica"/>
        </w:rPr>
      </w:pPr>
      <w:r>
        <w:rPr>
          <w:rFonts w:ascii="Helvetica" w:hAnsi="Helvetica"/>
        </w:rPr>
        <w:t>Struck names the ‘central axiom’ in the examination of divination as ‘</w:t>
      </w:r>
      <w:r w:rsidRPr="00F52123">
        <w:rPr>
          <w:rFonts w:ascii="Helvetica" w:hAnsi="Helvetica"/>
        </w:rPr>
        <w:t>Our ability to know exceeds our capacity to understand that ability</w:t>
      </w:r>
      <w:r w:rsidR="005B52DA">
        <w:rPr>
          <w:rFonts w:ascii="Helvetica" w:hAnsi="Helvetica"/>
        </w:rPr>
        <w:t>’</w:t>
      </w:r>
      <w:r w:rsidRPr="00F52123">
        <w:rPr>
          <w:rFonts w:ascii="Helvetica" w:hAnsi="Helvetica"/>
        </w:rPr>
        <w:t>.</w:t>
      </w:r>
      <w:r>
        <w:rPr>
          <w:rStyle w:val="FootnoteReference"/>
          <w:rFonts w:ascii="Helvetica" w:hAnsi="Helvetica"/>
        </w:rPr>
        <w:footnoteReference w:id="21"/>
      </w:r>
      <w:r w:rsidR="005B52DA">
        <w:rPr>
          <w:rFonts w:ascii="Helvetica" w:hAnsi="Helvetica"/>
        </w:rPr>
        <w:t xml:space="preserve"> </w:t>
      </w:r>
      <w:r w:rsidR="008647EC" w:rsidRPr="008647EC">
        <w:rPr>
          <w:rFonts w:ascii="Helvetica" w:hAnsi="Helvetica"/>
        </w:rPr>
        <w:t>The process of accessing such surplus knowledge, either directly oneself, or with the assistance of others, is the process of divination</w:t>
      </w:r>
      <w:r w:rsidR="005B52DA">
        <w:rPr>
          <w:rFonts w:ascii="Helvetica" w:hAnsi="Helvetica"/>
        </w:rPr>
        <w:t>, with</w:t>
      </w:r>
      <w:r w:rsidR="008647EC" w:rsidRPr="008647EC">
        <w:rPr>
          <w:rFonts w:ascii="Helvetica" w:hAnsi="Helvetica"/>
        </w:rPr>
        <w:t xml:space="preserve"> </w:t>
      </w:r>
      <w:r w:rsidR="005B52DA">
        <w:rPr>
          <w:rFonts w:ascii="Helvetica" w:hAnsi="Helvetica"/>
        </w:rPr>
        <w:t>t</w:t>
      </w:r>
      <w:r w:rsidR="008647EC" w:rsidRPr="008647EC">
        <w:rPr>
          <w:rFonts w:ascii="Helvetica" w:hAnsi="Helvetica"/>
        </w:rPr>
        <w:t xml:space="preserve">wo sources of knowledge acquired through divination </w:t>
      </w:r>
      <w:r w:rsidR="005B52DA">
        <w:rPr>
          <w:rFonts w:ascii="Helvetica" w:hAnsi="Helvetica"/>
        </w:rPr>
        <w:t xml:space="preserve">being </w:t>
      </w:r>
      <w:r w:rsidR="008647EC" w:rsidRPr="008647EC">
        <w:rPr>
          <w:rFonts w:ascii="Helvetica" w:hAnsi="Helvetica"/>
        </w:rPr>
        <w:t xml:space="preserve">commonly identified: (1) ‘inductive’ knowledge, which is that that gained through the extrapolation and closer interpretation of the world and items in it and (2) ‘inspired’ knowledge, gained through the process of being ‘possessed’ by a deity or other power, perhaps in a dream or vision, but by a means not related to waking analysis of one’s surroundings. </w:t>
      </w:r>
      <w:r w:rsidR="005B52DA" w:rsidRPr="008647EC">
        <w:rPr>
          <w:rFonts w:ascii="Helvetica" w:hAnsi="Helvetica"/>
        </w:rPr>
        <w:t>Dat</w:t>
      </w:r>
      <w:r w:rsidR="005B52DA">
        <w:rPr>
          <w:rFonts w:ascii="Helvetica" w:hAnsi="Helvetica"/>
        </w:rPr>
        <w:t>a</w:t>
      </w:r>
      <w:r w:rsidR="005B52DA" w:rsidRPr="008647EC">
        <w:rPr>
          <w:rFonts w:ascii="Helvetica" w:hAnsi="Helvetica"/>
        </w:rPr>
        <w:t xml:space="preserve"> from both sources are subject to interpretation by a range of oracles, from the most official and professional </w:t>
      </w:r>
      <w:r w:rsidR="005B52DA">
        <w:rPr>
          <w:rFonts w:ascii="Helvetica" w:hAnsi="Helvetica"/>
        </w:rPr>
        <w:t>seers</w:t>
      </w:r>
      <w:r w:rsidR="005B52DA" w:rsidRPr="008647EC">
        <w:rPr>
          <w:rFonts w:ascii="Helvetica" w:hAnsi="Helvetica"/>
        </w:rPr>
        <w:t xml:space="preserve"> </w:t>
      </w:r>
      <w:r w:rsidR="005B52DA">
        <w:rPr>
          <w:rFonts w:ascii="Helvetica" w:hAnsi="Helvetica"/>
        </w:rPr>
        <w:t xml:space="preserve">doing such things in ancient Rome as </w:t>
      </w:r>
      <w:r w:rsidR="005B52DA" w:rsidRPr="008647EC">
        <w:rPr>
          <w:rFonts w:ascii="Helvetica" w:hAnsi="Helvetica"/>
        </w:rPr>
        <w:t xml:space="preserve">making formal examination of a sheep’s viscera before the opening of a state function on the one extreme to street charlatans and ‘vision hustlers’ on the other, with most interpreters falling between these poles. </w:t>
      </w:r>
      <w:r w:rsidR="005B52DA">
        <w:rPr>
          <w:rFonts w:ascii="Helvetica" w:hAnsi="Helvetica"/>
        </w:rPr>
        <w:t>All had the same aim of satisfying an inquirer’s hope to obtain additional useful information.</w:t>
      </w:r>
    </w:p>
    <w:p w14:paraId="2A094D7C" w14:textId="04E3A4C6" w:rsidR="00CA5DEE" w:rsidRDefault="00FD5F04" w:rsidP="00CA5DEE">
      <w:pPr>
        <w:spacing w:after="0" w:line="276" w:lineRule="auto"/>
        <w:ind w:firstLine="720"/>
        <w:rPr>
          <w:rFonts w:ascii="Helvetica" w:hAnsi="Helvetica"/>
        </w:rPr>
      </w:pPr>
      <w:r>
        <w:rPr>
          <w:rFonts w:ascii="Helvetica" w:hAnsi="Helvetica"/>
        </w:rPr>
        <w:t xml:space="preserve">Struck points out that </w:t>
      </w:r>
      <w:r w:rsidR="009D4E77">
        <w:rPr>
          <w:rFonts w:ascii="Helvetica" w:hAnsi="Helvetica"/>
        </w:rPr>
        <w:t>modern scholarship, facing the question of ‘</w:t>
      </w:r>
      <w:r w:rsidR="009D4E77" w:rsidRPr="009D4E77">
        <w:rPr>
          <w:rFonts w:ascii="Helvetica" w:hAnsi="Helvetica"/>
        </w:rPr>
        <w:t>Why did it made sense to most Greeks and Romans to think that their gods were sending them messages through the natural world and its creatures, including their own bodies, asleep or awake?</w:t>
      </w:r>
      <w:r w:rsidR="009D4E77">
        <w:rPr>
          <w:rFonts w:ascii="Helvetica" w:hAnsi="Helvetica"/>
        </w:rPr>
        <w:t>’ immediately turn to ‘explanations’ such as the need for social control or superstition.</w:t>
      </w:r>
      <w:r w:rsidR="009D4E77">
        <w:rPr>
          <w:rStyle w:val="FootnoteReference"/>
          <w:rFonts w:ascii="Helvetica" w:hAnsi="Helvetica"/>
        </w:rPr>
        <w:footnoteReference w:id="22"/>
      </w:r>
      <w:r w:rsidR="009D4E77">
        <w:rPr>
          <w:rFonts w:ascii="Helvetica" w:hAnsi="Helvetica"/>
        </w:rPr>
        <w:t xml:space="preserve"> This he finds unsatisfying and points out that most ancient intellectuals, including Democritus, Plato, and Aristotle, </w:t>
      </w:r>
      <w:r w:rsidR="00CA5DEE">
        <w:rPr>
          <w:rFonts w:ascii="Helvetica" w:hAnsi="Helvetica"/>
        </w:rPr>
        <w:t xml:space="preserve">but not Epicurus, </w:t>
      </w:r>
      <w:r w:rsidR="009D4E77">
        <w:rPr>
          <w:rFonts w:ascii="Helvetica" w:hAnsi="Helvetica"/>
        </w:rPr>
        <w:t>‘took divination more or less seriously’</w:t>
      </w:r>
      <w:r w:rsidR="00CA5DEE">
        <w:rPr>
          <w:rFonts w:ascii="Helvetica" w:hAnsi="Helvetica"/>
        </w:rPr>
        <w:t>.</w:t>
      </w:r>
      <w:r w:rsidR="009D4E77">
        <w:rPr>
          <w:rFonts w:ascii="Helvetica" w:hAnsi="Helvetica"/>
        </w:rPr>
        <w:t xml:space="preserve"> </w:t>
      </w:r>
      <w:r w:rsidR="00CA5DEE">
        <w:rPr>
          <w:rFonts w:ascii="Helvetica" w:hAnsi="Helvetica"/>
        </w:rPr>
        <w:t>Struck</w:t>
      </w:r>
      <w:r w:rsidR="009D4E77">
        <w:rPr>
          <w:rFonts w:ascii="Helvetica" w:hAnsi="Helvetica"/>
        </w:rPr>
        <w:t xml:space="preserve"> </w:t>
      </w:r>
      <w:r w:rsidR="005B52DA">
        <w:rPr>
          <w:rFonts w:ascii="Helvetica" w:hAnsi="Helvetica"/>
        </w:rPr>
        <w:t>notes</w:t>
      </w:r>
      <w:r w:rsidR="009D4E77">
        <w:rPr>
          <w:rFonts w:ascii="Helvetica" w:hAnsi="Helvetica"/>
        </w:rPr>
        <w:t xml:space="preserve"> that Cicero’s opposition to divination in </w:t>
      </w:r>
      <w:r w:rsidR="00CA5DEE">
        <w:rPr>
          <w:rFonts w:ascii="Helvetica" w:hAnsi="Helvetica"/>
        </w:rPr>
        <w:t xml:space="preserve">book 2 of </w:t>
      </w:r>
      <w:r w:rsidR="00CA5DEE" w:rsidRPr="00CA5DEE">
        <w:rPr>
          <w:rFonts w:ascii="Helvetica" w:hAnsi="Helvetica"/>
          <w:i/>
          <w:iCs/>
        </w:rPr>
        <w:t xml:space="preserve">De </w:t>
      </w:r>
      <w:proofErr w:type="spellStart"/>
      <w:r w:rsidR="00CA5DEE" w:rsidRPr="00CA5DEE">
        <w:rPr>
          <w:rFonts w:ascii="Helvetica" w:hAnsi="Helvetica"/>
          <w:i/>
          <w:iCs/>
        </w:rPr>
        <w:t>divinatione</w:t>
      </w:r>
      <w:proofErr w:type="spellEnd"/>
      <w:r w:rsidR="00CA5DEE">
        <w:rPr>
          <w:rFonts w:ascii="Helvetica" w:hAnsi="Helvetica"/>
          <w:i/>
          <w:iCs/>
        </w:rPr>
        <w:t xml:space="preserve"> </w:t>
      </w:r>
      <w:r w:rsidR="00CA5DEE">
        <w:rPr>
          <w:rFonts w:ascii="Helvetica" w:hAnsi="Helvetica"/>
        </w:rPr>
        <w:t xml:space="preserve"> is something of an outlier. Giving too much attention to this ‘</w:t>
      </w:r>
      <w:r w:rsidR="00CA5DEE" w:rsidRPr="00CA5DEE">
        <w:rPr>
          <w:rFonts w:ascii="Helvetica" w:hAnsi="Helvetica"/>
        </w:rPr>
        <w:t xml:space="preserve">has </w:t>
      </w:r>
      <w:r w:rsidR="007324B4" w:rsidRPr="00CA5DEE">
        <w:rPr>
          <w:rFonts w:ascii="Helvetica" w:hAnsi="Helvetica"/>
        </w:rPr>
        <w:t>led</w:t>
      </w:r>
      <w:r w:rsidR="00CA5DEE" w:rsidRPr="00CA5DEE">
        <w:rPr>
          <w:rFonts w:ascii="Helvetica" w:hAnsi="Helvetica"/>
        </w:rPr>
        <w:t xml:space="preserve"> us to overemphasize the controversial dimension of the topic, and to overlook the earnestness with which nearly all of </w:t>
      </w:r>
      <w:r w:rsidR="00CA5DEE">
        <w:rPr>
          <w:rFonts w:ascii="Helvetica" w:hAnsi="Helvetica"/>
        </w:rPr>
        <w:t>[</w:t>
      </w:r>
      <w:r w:rsidR="00CA5DEE" w:rsidRPr="00EE7FCB">
        <w:rPr>
          <w:rFonts w:ascii="Helvetica" w:hAnsi="Helvetica"/>
          <w:i/>
          <w:iCs/>
        </w:rPr>
        <w:t>early philosopher</w:t>
      </w:r>
      <w:r w:rsidR="00CA5DEE" w:rsidRPr="00EE7FCB">
        <w:rPr>
          <w:rFonts w:ascii="Helvetica" w:hAnsi="Helvetica"/>
        </w:rPr>
        <w:t>s</w:t>
      </w:r>
      <w:r w:rsidR="00CA5DEE">
        <w:rPr>
          <w:rFonts w:ascii="Helvetica" w:hAnsi="Helvetica"/>
        </w:rPr>
        <w:t>]</w:t>
      </w:r>
      <w:r w:rsidR="00CA5DEE" w:rsidRPr="00CA5DEE">
        <w:rPr>
          <w:rFonts w:ascii="Helvetica" w:hAnsi="Helvetica"/>
        </w:rPr>
        <w:t xml:space="preserve"> pursue it</w:t>
      </w:r>
      <w:r w:rsidR="00CA5DEE">
        <w:rPr>
          <w:rFonts w:ascii="Helvetica" w:hAnsi="Helvetica"/>
        </w:rPr>
        <w:t>’.</w:t>
      </w:r>
      <w:r w:rsidR="00CA5DEE">
        <w:rPr>
          <w:rStyle w:val="FootnoteReference"/>
          <w:rFonts w:ascii="Helvetica" w:hAnsi="Helvetica"/>
        </w:rPr>
        <w:footnoteReference w:id="23"/>
      </w:r>
    </w:p>
    <w:p w14:paraId="4EA641EF" w14:textId="77777777" w:rsidR="00CA5DEE" w:rsidRPr="00CA5DEE" w:rsidRDefault="00CA5DEE" w:rsidP="00CA5DEE">
      <w:pPr>
        <w:spacing w:after="0" w:line="276" w:lineRule="auto"/>
        <w:ind w:firstLine="720"/>
        <w:rPr>
          <w:rFonts w:ascii="Helvetica" w:hAnsi="Helvetica"/>
        </w:rPr>
      </w:pPr>
    </w:p>
    <w:p w14:paraId="7B523F12" w14:textId="77777777" w:rsidR="005B52DA" w:rsidRDefault="005B52DA" w:rsidP="005B52DA">
      <w:pPr>
        <w:spacing w:after="0" w:line="276" w:lineRule="auto"/>
        <w:rPr>
          <w:rFonts w:ascii="Helvetica" w:hAnsi="Helvetica"/>
          <w:b/>
          <w:bCs/>
        </w:rPr>
      </w:pPr>
      <w:r w:rsidRPr="005B52DA">
        <w:rPr>
          <w:rFonts w:ascii="Helvetica" w:hAnsi="Helvetica"/>
          <w:b/>
          <w:bCs/>
        </w:rPr>
        <w:t>Edward Evans-Pritchard</w:t>
      </w:r>
    </w:p>
    <w:p w14:paraId="552F3789" w14:textId="2EA1D00E" w:rsidR="008647EC" w:rsidRPr="008647EC" w:rsidRDefault="00035B48" w:rsidP="005B52DA">
      <w:pPr>
        <w:spacing w:after="0" w:line="276" w:lineRule="auto"/>
        <w:ind w:firstLine="720"/>
        <w:rPr>
          <w:rFonts w:ascii="Helvetica" w:hAnsi="Helvetica"/>
          <w:b/>
          <w:bCs/>
        </w:rPr>
      </w:pPr>
      <w:r>
        <w:rPr>
          <w:rFonts w:ascii="Helvetica" w:hAnsi="Helvetica"/>
        </w:rPr>
        <w:t>Regarding</w:t>
      </w:r>
      <w:r w:rsidR="005B52DA">
        <w:rPr>
          <w:rFonts w:ascii="Helvetica" w:hAnsi="Helvetica"/>
        </w:rPr>
        <w:t xml:space="preserve"> divination, t</w:t>
      </w:r>
      <w:r w:rsidR="008647EC" w:rsidRPr="008647EC">
        <w:rPr>
          <w:rFonts w:ascii="Helvetica" w:hAnsi="Helvetica"/>
        </w:rPr>
        <w:t xml:space="preserve">he Azande people of Central Africa in the 1920’s and parts of ancient Greco-Roman societies show great structural similarities. In both, there was a ‘formal’ divination processes aiming at providing official guidance to the state, and the simultaneous widespread use by common members of the same society in their more intense reliance on informal oracular information. The question also arose in both as to whom was qualified to be the source of oracular information, and in both there was a division along gender lines, with far less participation by women in more formal divination processes. </w:t>
      </w:r>
    </w:p>
    <w:p w14:paraId="356B0F66" w14:textId="600F1390" w:rsidR="008647EC" w:rsidRPr="008647EC" w:rsidRDefault="008647EC" w:rsidP="008647EC">
      <w:pPr>
        <w:spacing w:after="0" w:line="276" w:lineRule="auto"/>
        <w:ind w:firstLine="720"/>
        <w:rPr>
          <w:rFonts w:ascii="Helvetica" w:hAnsi="Helvetica"/>
        </w:rPr>
      </w:pPr>
      <w:r w:rsidRPr="008647EC">
        <w:rPr>
          <w:rFonts w:ascii="Helvetica" w:hAnsi="Helvetica"/>
        </w:rPr>
        <w:t>A wide range of means was used in</w:t>
      </w:r>
      <w:r w:rsidR="005B52DA">
        <w:rPr>
          <w:rFonts w:ascii="Helvetica" w:hAnsi="Helvetica"/>
        </w:rPr>
        <w:t xml:space="preserve">. both </w:t>
      </w:r>
      <w:r w:rsidRPr="008647EC">
        <w:rPr>
          <w:rFonts w:ascii="Helvetica" w:hAnsi="Helvetica"/>
        </w:rPr>
        <w:t xml:space="preserve">contexts </w:t>
      </w:r>
      <w:proofErr w:type="gramStart"/>
      <w:r w:rsidRPr="008647EC">
        <w:rPr>
          <w:rFonts w:ascii="Helvetica" w:hAnsi="Helvetica"/>
        </w:rPr>
        <w:t>in an effort to</w:t>
      </w:r>
      <w:proofErr w:type="gramEnd"/>
      <w:r w:rsidRPr="008647EC">
        <w:rPr>
          <w:rFonts w:ascii="Helvetica" w:hAnsi="Helvetica"/>
        </w:rPr>
        <w:t xml:space="preserve"> better make important decisions. Just considering these t</w:t>
      </w:r>
      <w:r w:rsidR="005B52DA">
        <w:rPr>
          <w:rFonts w:ascii="Helvetica" w:hAnsi="Helvetica"/>
        </w:rPr>
        <w:t>hree societies</w:t>
      </w:r>
      <w:r w:rsidRPr="008647EC">
        <w:rPr>
          <w:rFonts w:ascii="Helvetica" w:hAnsi="Helvetica"/>
        </w:rPr>
        <w:t xml:space="preserve">, </w:t>
      </w:r>
      <w:r w:rsidR="005B52DA">
        <w:rPr>
          <w:rFonts w:ascii="Helvetica" w:hAnsi="Helvetica"/>
        </w:rPr>
        <w:t>in each augerers</w:t>
      </w:r>
      <w:r w:rsidRPr="008647EC">
        <w:rPr>
          <w:rFonts w:ascii="Helvetica" w:hAnsi="Helvetica"/>
        </w:rPr>
        <w:t xml:space="preserve"> tried to discern information and messages from a wide range of events and objects, including such ‘prodigies’ as storms and unusual  occurrences as well as more routine mysteries such as the movement of the stars and planets, the flights of birds, the eating practices of chickens and termites, the reaction of hens to poison, the results of interacting with small pieces of wood, and the contents and shape of entrails of sacrificed animals. When events proved the oracle to have been mistaken, puzzlement, rationalizations, and excuses abounded in both societies. When results were contradictory or uncertain, the process was often repeated.</w:t>
      </w:r>
    </w:p>
    <w:p w14:paraId="58497084" w14:textId="77777777" w:rsidR="00340ED7" w:rsidRDefault="008647EC" w:rsidP="00340ED7">
      <w:pPr>
        <w:spacing w:after="0" w:line="276" w:lineRule="auto"/>
        <w:ind w:firstLine="720"/>
        <w:rPr>
          <w:rFonts w:ascii="Helvetica" w:hAnsi="Helvetica"/>
        </w:rPr>
      </w:pPr>
      <w:r w:rsidRPr="008647EC">
        <w:rPr>
          <w:rFonts w:ascii="Helvetica" w:hAnsi="Helvetica"/>
        </w:rPr>
        <w:t xml:space="preserve"> The ethnographic work of E.E. Evans-Pritchard helps us to </w:t>
      </w:r>
      <w:proofErr w:type="gramStart"/>
      <w:r w:rsidRPr="008647EC">
        <w:rPr>
          <w:rFonts w:ascii="Helvetica" w:hAnsi="Helvetica"/>
        </w:rPr>
        <w:t>realize the interconnectedness of all humans at all times</w:t>
      </w:r>
      <w:proofErr w:type="gramEnd"/>
      <w:r w:rsidRPr="008647EC">
        <w:rPr>
          <w:rFonts w:ascii="Helvetica" w:hAnsi="Helvetica"/>
        </w:rPr>
        <w:t xml:space="preserve">, including our own human connection with the both the Azunde and the diviners of ancient Greece and Rome. The common assumptions of these diviners are signposts on our evolving as a species which only can continue to exist as consciously interconnected with all of creation. </w:t>
      </w:r>
    </w:p>
    <w:p w14:paraId="3B96DC08" w14:textId="77777777" w:rsidR="009C3139" w:rsidRPr="00A8488F" w:rsidRDefault="00A1239E" w:rsidP="009C3139">
      <w:pPr>
        <w:spacing w:after="0" w:line="276" w:lineRule="auto"/>
        <w:ind w:firstLine="720"/>
        <w:rPr>
          <w:rFonts w:ascii="Helvetica" w:hAnsi="Helvetica"/>
          <w:b/>
          <w:bCs/>
          <w:color w:val="C00000"/>
          <w:vertAlign w:val="superscript"/>
        </w:rPr>
      </w:pPr>
      <w:r w:rsidRPr="00404EC3">
        <w:rPr>
          <w:rFonts w:ascii="Helvetica" w:hAnsi="Helvetica"/>
        </w:rPr>
        <w:t xml:space="preserve">In his fieldwork among the Azande people of Anglo-Egyptian Sudan in the late-1920’s, Edward Evans-Pritchard found himself engaged with the paranormal experiences of the </w:t>
      </w:r>
      <w:r>
        <w:rPr>
          <w:rFonts w:ascii="Helvetica" w:hAnsi="Helvetica"/>
        </w:rPr>
        <w:t>Az</w:t>
      </w:r>
      <w:r w:rsidRPr="00404EC3">
        <w:rPr>
          <w:rFonts w:ascii="Helvetica" w:hAnsi="Helvetica"/>
        </w:rPr>
        <w:t>ande</w:t>
      </w:r>
      <w:r>
        <w:rPr>
          <w:rFonts w:ascii="Helvetica" w:hAnsi="Helvetica"/>
        </w:rPr>
        <w:t xml:space="preserve"> ‘commoners,’</w:t>
      </w:r>
      <w:r w:rsidRPr="00404EC3">
        <w:rPr>
          <w:rFonts w:ascii="Helvetica" w:hAnsi="Helvetica"/>
        </w:rPr>
        <w:t xml:space="preserve"> which he detailed in his 1928 Ph.D. London School of Economics dissertation, </w:t>
      </w:r>
      <w:r>
        <w:rPr>
          <w:rFonts w:ascii="Helvetica" w:hAnsi="Helvetica"/>
          <w:i/>
          <w:iCs/>
        </w:rPr>
        <w:t>‘</w:t>
      </w:r>
      <w:r w:rsidRPr="00404EC3">
        <w:rPr>
          <w:rFonts w:ascii="Helvetica" w:hAnsi="Helvetica"/>
          <w:i/>
          <w:iCs/>
        </w:rPr>
        <w:t>The social organization of the Azande of the Bahr-</w:t>
      </w:r>
      <w:proofErr w:type="spellStart"/>
      <w:r w:rsidRPr="00404EC3">
        <w:rPr>
          <w:rFonts w:ascii="Helvetica" w:hAnsi="Helvetica"/>
          <w:i/>
          <w:iCs/>
        </w:rPr>
        <w:t>el</w:t>
      </w:r>
      <w:proofErr w:type="spellEnd"/>
      <w:r w:rsidRPr="00404EC3">
        <w:rPr>
          <w:rFonts w:ascii="Helvetica" w:hAnsi="Helvetica"/>
          <w:i/>
          <w:iCs/>
        </w:rPr>
        <w:t>-Ghazal province of the Anglo-Egyptian Sudan</w:t>
      </w:r>
      <w:r>
        <w:rPr>
          <w:rFonts w:ascii="Helvetica" w:hAnsi="Helvetica"/>
          <w:i/>
          <w:iCs/>
        </w:rPr>
        <w:t>’.</w:t>
      </w:r>
      <w:r w:rsidR="00340ED7" w:rsidRPr="00340ED7">
        <w:rPr>
          <w:rStyle w:val="FootnoteReference"/>
          <w:rFonts w:ascii="Helvetica" w:hAnsi="Helvetica"/>
        </w:rPr>
        <w:footnoteReference w:id="24"/>
      </w:r>
      <w:r w:rsidR="00F536D6">
        <w:rPr>
          <w:rFonts w:ascii="Helvetica" w:hAnsi="Helvetica"/>
          <w:b/>
          <w:bCs/>
          <w:color w:val="C00000"/>
          <w:vertAlign w:val="superscript"/>
        </w:rPr>
        <w:t xml:space="preserve"> </w:t>
      </w:r>
      <w:r w:rsidRPr="00C43068">
        <w:rPr>
          <w:rFonts w:ascii="Helvetica" w:hAnsi="Helvetica"/>
        </w:rPr>
        <w:t>This document is th</w:t>
      </w:r>
      <w:r w:rsidRPr="007A5003">
        <w:rPr>
          <w:rFonts w:ascii="Helvetica" w:hAnsi="Helvetica"/>
        </w:rPr>
        <w:t xml:space="preserve">e primary source of the material presented </w:t>
      </w:r>
      <w:r>
        <w:rPr>
          <w:rFonts w:ascii="Helvetica" w:hAnsi="Helvetica"/>
        </w:rPr>
        <w:t>in this section</w:t>
      </w:r>
      <w:r w:rsidRPr="007A5003">
        <w:rPr>
          <w:rFonts w:ascii="Helvetica" w:hAnsi="Helvetica"/>
        </w:rPr>
        <w:t>.</w:t>
      </w:r>
      <w:r w:rsidRPr="00404EC3">
        <w:rPr>
          <w:rFonts w:ascii="Helvetica" w:hAnsi="Helvetica"/>
          <w:i/>
          <w:iCs/>
        </w:rPr>
        <w:t xml:space="preserve"> </w:t>
      </w:r>
      <w:r w:rsidRPr="00404EC3">
        <w:rPr>
          <w:rFonts w:ascii="Helvetica" w:hAnsi="Helvetica"/>
        </w:rPr>
        <w:t xml:space="preserve">The fieldwork reflected in his dissertation was the basis for his book </w:t>
      </w:r>
      <w:r w:rsidRPr="00404EC3">
        <w:rPr>
          <w:rFonts w:ascii="Helvetica" w:hAnsi="Helvetica"/>
          <w:u w:val="single"/>
        </w:rPr>
        <w:t>Witchcraft, Oracles and Magic Among the Azande</w:t>
      </w:r>
      <w:r w:rsidRPr="00404EC3">
        <w:rPr>
          <w:rFonts w:ascii="Helvetica" w:hAnsi="Helvetica"/>
        </w:rPr>
        <w:t xml:space="preserve"> published in 1937 (abridged and republished in 1976). In his dissertation he shows th</w:t>
      </w:r>
      <w:r>
        <w:rPr>
          <w:rFonts w:ascii="Helvetica" w:hAnsi="Helvetica"/>
        </w:rPr>
        <w:t>at</w:t>
      </w:r>
      <w:r w:rsidRPr="00404EC3">
        <w:rPr>
          <w:rFonts w:ascii="Helvetica" w:hAnsi="Helvetica"/>
        </w:rPr>
        <w:t xml:space="preserve"> </w:t>
      </w:r>
      <w:r>
        <w:rPr>
          <w:rFonts w:ascii="Helvetica" w:hAnsi="Helvetica"/>
        </w:rPr>
        <w:t>Z</w:t>
      </w:r>
      <w:r w:rsidRPr="00404EC3">
        <w:rPr>
          <w:rFonts w:ascii="Helvetica" w:hAnsi="Helvetica"/>
        </w:rPr>
        <w:t>ande</w:t>
      </w:r>
      <w:r>
        <w:rPr>
          <w:rFonts w:ascii="Helvetica" w:hAnsi="Helvetica"/>
        </w:rPr>
        <w:t xml:space="preserve"> individuals</w:t>
      </w:r>
      <w:r w:rsidRPr="00404EC3">
        <w:rPr>
          <w:rFonts w:ascii="Helvetica" w:hAnsi="Helvetica"/>
        </w:rPr>
        <w:t xml:space="preserve">, while very much living a life of routine empiricism in interaction with their surroundings, also had a core belief of being a </w:t>
      </w:r>
      <w:r>
        <w:rPr>
          <w:rFonts w:ascii="Helvetica" w:hAnsi="Helvetica"/>
        </w:rPr>
        <w:t xml:space="preserve">potential </w:t>
      </w:r>
      <w:r w:rsidRPr="00404EC3">
        <w:rPr>
          <w:rFonts w:ascii="Helvetica" w:hAnsi="Helvetica"/>
        </w:rPr>
        <w:t>victim of witchcraft directed at them, consciously or unconsciously, by their neighbors. Evans-Pritchard reports that the Azande did not regard witchcraft to be an unusual event but instead considered it to be a very common phenomenon. They routinely practiced various defensive means to discern if they were the victims of witchcraft</w:t>
      </w:r>
      <w:r>
        <w:rPr>
          <w:rFonts w:ascii="Helvetica" w:hAnsi="Helvetica"/>
        </w:rPr>
        <w:t>.</w:t>
      </w:r>
      <w:r w:rsidRPr="00404EC3">
        <w:rPr>
          <w:rFonts w:ascii="Helvetica" w:hAnsi="Helvetica"/>
        </w:rPr>
        <w:t xml:space="preserve"> </w:t>
      </w:r>
      <w:r>
        <w:rPr>
          <w:rFonts w:ascii="Helvetica" w:hAnsi="Helvetica"/>
        </w:rPr>
        <w:t xml:space="preserve">They also used other divinatory methods to </w:t>
      </w:r>
      <w:r w:rsidRPr="00404EC3">
        <w:rPr>
          <w:rFonts w:ascii="Helvetica" w:hAnsi="Helvetica"/>
        </w:rPr>
        <w:t xml:space="preserve">answer other questions of the present and future, such as the likelihood of </w:t>
      </w:r>
      <w:r>
        <w:rPr>
          <w:rFonts w:ascii="Helvetica" w:hAnsi="Helvetica"/>
        </w:rPr>
        <w:t xml:space="preserve">their </w:t>
      </w:r>
      <w:r w:rsidRPr="00404EC3">
        <w:rPr>
          <w:rFonts w:ascii="Helvetica" w:hAnsi="Helvetica"/>
        </w:rPr>
        <w:t>dying in the coming year, the likely consequences of marrying a particular person, or even when needing a series of</w:t>
      </w:r>
      <w:r>
        <w:rPr>
          <w:rFonts w:ascii="Helvetica" w:hAnsi="Helvetica"/>
        </w:rPr>
        <w:t xml:space="preserve"> rapid</w:t>
      </w:r>
      <w:r w:rsidRPr="00404EC3">
        <w:rPr>
          <w:rFonts w:ascii="Helvetica" w:hAnsi="Helvetica"/>
        </w:rPr>
        <w:t xml:space="preserve"> </w:t>
      </w:r>
      <w:r>
        <w:rPr>
          <w:rFonts w:ascii="Helvetica" w:hAnsi="Helvetica"/>
        </w:rPr>
        <w:t>‘</w:t>
      </w:r>
      <w:r w:rsidRPr="00404EC3">
        <w:rPr>
          <w:rFonts w:ascii="Helvetica" w:hAnsi="Helvetica"/>
        </w:rPr>
        <w:t>yes – no</w:t>
      </w:r>
      <w:r>
        <w:rPr>
          <w:rFonts w:ascii="Helvetica" w:hAnsi="Helvetica"/>
        </w:rPr>
        <w:t>’</w:t>
      </w:r>
      <w:r w:rsidRPr="00404EC3">
        <w:rPr>
          <w:rFonts w:ascii="Helvetica" w:hAnsi="Helvetica"/>
        </w:rPr>
        <w:t xml:space="preserve"> answers to some puzzling issue</w:t>
      </w:r>
      <w:r>
        <w:rPr>
          <w:rFonts w:ascii="Helvetica" w:hAnsi="Helvetica"/>
        </w:rPr>
        <w:t xml:space="preserve">, such as, </w:t>
      </w:r>
      <w:r w:rsidRPr="00A8488F">
        <w:rPr>
          <w:rFonts w:ascii="Helvetica" w:hAnsi="Helvetica"/>
        </w:rPr>
        <w:t xml:space="preserve">‘Who in my surroundings are maybe witches?’ </w:t>
      </w:r>
    </w:p>
    <w:p w14:paraId="15716DE8" w14:textId="7355BF3F" w:rsidR="00A1239E" w:rsidRPr="009C3139" w:rsidRDefault="00A1239E" w:rsidP="009C3139">
      <w:pPr>
        <w:spacing w:after="0" w:line="276" w:lineRule="auto"/>
        <w:ind w:firstLine="720"/>
        <w:rPr>
          <w:rFonts w:ascii="Helvetica" w:hAnsi="Helvetica"/>
          <w:b/>
          <w:bCs/>
          <w:color w:val="C00000"/>
          <w:vertAlign w:val="superscript"/>
        </w:rPr>
      </w:pPr>
      <w:r w:rsidRPr="00B53500">
        <w:rPr>
          <w:rFonts w:ascii="Helvetica" w:hAnsi="Helvetica"/>
          <w:color w:val="000000" w:themeColor="text1"/>
        </w:rPr>
        <w:t xml:space="preserve">He documents four techniques of seeking non-apparent knowledge about life situations, often focusing on </w:t>
      </w:r>
      <w:r>
        <w:rPr>
          <w:rFonts w:ascii="Helvetica" w:hAnsi="Helvetica"/>
          <w:color w:val="000000" w:themeColor="text1"/>
        </w:rPr>
        <w:t xml:space="preserve">questions generated by </w:t>
      </w:r>
      <w:r w:rsidRPr="00B53500">
        <w:rPr>
          <w:rFonts w:ascii="Helvetica" w:hAnsi="Helvetica"/>
          <w:color w:val="000000" w:themeColor="text1"/>
        </w:rPr>
        <w:t xml:space="preserve">life’s misfortunes. All involve the manipulation of physical elements, and all require some degree of preparation on the part of the inquirer, such as observing restrictions on sexual activity and </w:t>
      </w:r>
      <w:r>
        <w:rPr>
          <w:rFonts w:ascii="Helvetica" w:hAnsi="Helvetica"/>
          <w:color w:val="000000" w:themeColor="text1"/>
        </w:rPr>
        <w:t xml:space="preserve">certain </w:t>
      </w:r>
      <w:r w:rsidRPr="00B53500">
        <w:rPr>
          <w:rFonts w:ascii="Helvetica" w:hAnsi="Helvetica"/>
          <w:color w:val="000000" w:themeColor="text1"/>
        </w:rPr>
        <w:t xml:space="preserve">foods for some period prior to consulting the oracle. In each ritual described an appeal is made to the means used (i.e., </w:t>
      </w:r>
      <w:r w:rsidRPr="00B53500">
        <w:rPr>
          <w:rFonts w:ascii="Helvetica" w:hAnsi="Helvetica"/>
          <w:i/>
          <w:iCs/>
          <w:color w:val="000000" w:themeColor="text1"/>
        </w:rPr>
        <w:t>benge</w:t>
      </w:r>
      <w:r w:rsidRPr="00B53500">
        <w:rPr>
          <w:rFonts w:ascii="Helvetica" w:hAnsi="Helvetica"/>
          <w:color w:val="000000" w:themeColor="text1"/>
        </w:rPr>
        <w:t xml:space="preserve"> poison, termites, a wooden instrument, or three small pieces of wood) along with an incantation and encouragement to the poison, wood or other instrument of truth rather than to an unseen god. They four techniques assume that the means itself had </w:t>
      </w:r>
      <w:r>
        <w:rPr>
          <w:rFonts w:ascii="Helvetica" w:hAnsi="Helvetica"/>
          <w:color w:val="000000" w:themeColor="text1"/>
        </w:rPr>
        <w:t xml:space="preserve">the power to reveal </w:t>
      </w:r>
      <w:r w:rsidRPr="00B53500">
        <w:rPr>
          <w:rFonts w:ascii="Helvetica" w:hAnsi="Helvetica"/>
          <w:color w:val="000000" w:themeColor="text1"/>
        </w:rPr>
        <w:t xml:space="preserve">hidden knowledge. All techniques </w:t>
      </w:r>
      <w:r>
        <w:rPr>
          <w:rFonts w:ascii="Helvetica" w:hAnsi="Helvetica"/>
          <w:color w:val="000000" w:themeColor="text1"/>
        </w:rPr>
        <w:t>described had</w:t>
      </w:r>
      <w:r w:rsidRPr="00B53500">
        <w:rPr>
          <w:rFonts w:ascii="Helvetica" w:hAnsi="Helvetica"/>
          <w:color w:val="000000" w:themeColor="text1"/>
        </w:rPr>
        <w:t xml:space="preserve"> specific rules of their use; they vary in expense</w:t>
      </w:r>
      <w:r>
        <w:rPr>
          <w:rFonts w:ascii="Helvetica" w:hAnsi="Helvetica"/>
          <w:color w:val="000000" w:themeColor="text1"/>
        </w:rPr>
        <w:t xml:space="preserve"> to the enquirer</w:t>
      </w:r>
      <w:r w:rsidRPr="00B53500">
        <w:rPr>
          <w:rFonts w:ascii="Helvetica" w:hAnsi="Helvetica"/>
          <w:color w:val="000000" w:themeColor="text1"/>
        </w:rPr>
        <w:t xml:space="preserve">; and they </w:t>
      </w:r>
      <w:r>
        <w:rPr>
          <w:rFonts w:ascii="Helvetica" w:hAnsi="Helvetica"/>
          <w:color w:val="000000" w:themeColor="text1"/>
        </w:rPr>
        <w:t xml:space="preserve">each </w:t>
      </w:r>
      <w:r w:rsidRPr="00B53500">
        <w:rPr>
          <w:rFonts w:ascii="Helvetica" w:hAnsi="Helvetica"/>
          <w:color w:val="000000" w:themeColor="text1"/>
        </w:rPr>
        <w:t xml:space="preserve">have their unique users. Each has its own </w:t>
      </w:r>
      <w:r w:rsidRPr="00AB1F00">
        <w:rPr>
          <w:rFonts w:ascii="Helvetica" w:hAnsi="Helvetica"/>
          <w:i/>
          <w:iCs/>
          <w:color w:val="000000" w:themeColor="text1"/>
        </w:rPr>
        <w:t>‘sima’</w:t>
      </w:r>
      <w:r w:rsidRPr="00B53500">
        <w:rPr>
          <w:rFonts w:ascii="Helvetica" w:hAnsi="Helvetica"/>
          <w:color w:val="000000" w:themeColor="text1"/>
        </w:rPr>
        <w:t xml:space="preserve"> (ritual) and way to interpret the results.</w:t>
      </w:r>
      <w:r w:rsidR="00F536D6">
        <w:rPr>
          <w:rFonts w:ascii="Helvetica" w:hAnsi="Helvetica"/>
          <w:color w:val="000000" w:themeColor="text1"/>
        </w:rPr>
        <w:t xml:space="preserve"> </w:t>
      </w:r>
      <w:r w:rsidRPr="00404EC3">
        <w:rPr>
          <w:rFonts w:ascii="Helvetica" w:hAnsi="Helvetica"/>
        </w:rPr>
        <w:t xml:space="preserve">Of the four methods that Evans-Pritchard describes, women are excluded from performing in the role of </w:t>
      </w:r>
      <w:r>
        <w:rPr>
          <w:rFonts w:ascii="Helvetica" w:hAnsi="Helvetica"/>
          <w:i/>
          <w:iCs/>
        </w:rPr>
        <w:t>B</w:t>
      </w:r>
      <w:r w:rsidRPr="00404EC3">
        <w:rPr>
          <w:rFonts w:ascii="Helvetica" w:hAnsi="Helvetica"/>
          <w:i/>
          <w:iCs/>
        </w:rPr>
        <w:t xml:space="preserve">enge </w:t>
      </w:r>
      <w:r>
        <w:rPr>
          <w:rFonts w:ascii="Helvetica" w:hAnsi="Helvetica"/>
          <w:i/>
          <w:iCs/>
        </w:rPr>
        <w:t>O</w:t>
      </w:r>
      <w:r w:rsidRPr="00404EC3">
        <w:rPr>
          <w:rFonts w:ascii="Helvetica" w:hAnsi="Helvetica"/>
          <w:i/>
          <w:iCs/>
        </w:rPr>
        <w:t>racle</w:t>
      </w:r>
      <w:r w:rsidRPr="00404EC3">
        <w:rPr>
          <w:rFonts w:ascii="Helvetica" w:hAnsi="Helvetica"/>
        </w:rPr>
        <w:t xml:space="preserve"> or </w:t>
      </w:r>
      <w:r>
        <w:rPr>
          <w:rFonts w:ascii="Helvetica" w:hAnsi="Helvetica"/>
          <w:i/>
          <w:iCs/>
        </w:rPr>
        <w:t>S</w:t>
      </w:r>
      <w:r w:rsidRPr="00404EC3">
        <w:rPr>
          <w:rFonts w:ascii="Helvetica" w:hAnsi="Helvetica"/>
          <w:i/>
          <w:iCs/>
        </w:rPr>
        <w:t xml:space="preserve">ima </w:t>
      </w:r>
      <w:r>
        <w:rPr>
          <w:rFonts w:ascii="Helvetica" w:hAnsi="Helvetica"/>
          <w:i/>
          <w:iCs/>
        </w:rPr>
        <w:t>B</w:t>
      </w:r>
      <w:r w:rsidRPr="00404EC3">
        <w:rPr>
          <w:rFonts w:ascii="Helvetica" w:hAnsi="Helvetica"/>
          <w:i/>
          <w:iCs/>
        </w:rPr>
        <w:t>enge</w:t>
      </w:r>
      <w:r w:rsidRPr="00404EC3">
        <w:rPr>
          <w:rFonts w:ascii="Helvetica" w:hAnsi="Helvetica"/>
        </w:rPr>
        <w:t xml:space="preserve">, the second person in the </w:t>
      </w:r>
      <w:r w:rsidR="00F536D6">
        <w:rPr>
          <w:rFonts w:ascii="Helvetica" w:hAnsi="Helvetica"/>
        </w:rPr>
        <w:t xml:space="preserve">‘most important’ </w:t>
      </w:r>
      <w:r w:rsidRPr="00404EC3">
        <w:rPr>
          <w:rFonts w:ascii="Helvetica" w:hAnsi="Helvetica"/>
        </w:rPr>
        <w:t xml:space="preserve">process reciting the ritual words to the poison inside the two chickens. </w:t>
      </w:r>
      <w:proofErr w:type="spellStart"/>
      <w:r w:rsidRPr="001A02D9">
        <w:rPr>
          <w:rFonts w:ascii="Helvetica" w:hAnsi="Helvetica"/>
          <w:i/>
          <w:iCs/>
        </w:rPr>
        <w:t>Dakpa</w:t>
      </w:r>
      <w:proofErr w:type="spellEnd"/>
      <w:r w:rsidRPr="001A02D9">
        <w:rPr>
          <w:rFonts w:ascii="Helvetica" w:hAnsi="Helvetica"/>
          <w:i/>
          <w:iCs/>
        </w:rPr>
        <w:t xml:space="preserve"> </w:t>
      </w:r>
      <w:r>
        <w:rPr>
          <w:rFonts w:ascii="Helvetica" w:hAnsi="Helvetica"/>
          <w:i/>
          <w:iCs/>
        </w:rPr>
        <w:t>O</w:t>
      </w:r>
      <w:r w:rsidRPr="001A02D9">
        <w:rPr>
          <w:rFonts w:ascii="Helvetica" w:hAnsi="Helvetica"/>
          <w:i/>
          <w:iCs/>
        </w:rPr>
        <w:t xml:space="preserve">racle, </w:t>
      </w:r>
      <w:r w:rsidRPr="001A02D9">
        <w:rPr>
          <w:rFonts w:ascii="Helvetica" w:hAnsi="Helvetica"/>
        </w:rPr>
        <w:t>the use of termites to answer a question is, on the other hand, frequently used by women.</w:t>
      </w:r>
      <w:r w:rsidRPr="00404EC3">
        <w:rPr>
          <w:rFonts w:ascii="Helvetica" w:hAnsi="Helvetica"/>
          <w:i/>
          <w:iCs/>
          <w:u w:val="single"/>
        </w:rPr>
        <w:t xml:space="preserve"> </w:t>
      </w:r>
    </w:p>
    <w:p w14:paraId="237387B5" w14:textId="77777777" w:rsidR="00D62489" w:rsidRDefault="00D62489" w:rsidP="00F536D6">
      <w:pPr>
        <w:spacing w:after="0" w:line="276" w:lineRule="auto"/>
        <w:ind w:right="-1584"/>
        <w:rPr>
          <w:rFonts w:ascii="Helvetica" w:hAnsi="Helvetica"/>
          <w:u w:val="single"/>
        </w:rPr>
      </w:pPr>
    </w:p>
    <w:p w14:paraId="680BB326" w14:textId="59FF0AEF" w:rsidR="002C259A" w:rsidRPr="002C259A" w:rsidRDefault="00886071" w:rsidP="002C259A">
      <w:pPr>
        <w:spacing w:after="0" w:line="276" w:lineRule="auto"/>
        <w:ind w:right="-1584"/>
        <w:rPr>
          <w:rFonts w:ascii="Helvetica" w:hAnsi="Helvetica"/>
          <w:b/>
          <w:bCs/>
        </w:rPr>
      </w:pPr>
      <w:r w:rsidRPr="00886071">
        <w:rPr>
          <w:rFonts w:ascii="Helvetica" w:hAnsi="Helvetica"/>
          <w:b/>
          <w:bCs/>
        </w:rPr>
        <w:t>Ancient Greco-Roman Divination</w:t>
      </w:r>
    </w:p>
    <w:p w14:paraId="28D2A9BC" w14:textId="39C30AEC" w:rsidR="00886071" w:rsidRPr="00886071" w:rsidRDefault="00886071" w:rsidP="002C259A">
      <w:pPr>
        <w:spacing w:after="0" w:line="276" w:lineRule="auto"/>
        <w:ind w:right="90" w:firstLine="720"/>
        <w:rPr>
          <w:rFonts w:ascii="Helvetica" w:hAnsi="Helvetica"/>
          <w:b/>
          <w:bCs/>
        </w:rPr>
      </w:pPr>
      <w:r w:rsidRPr="00886071">
        <w:rPr>
          <w:rFonts w:ascii="Helvetica" w:hAnsi="Helvetica"/>
        </w:rPr>
        <w:t>Crystal Addey</w:t>
      </w:r>
      <w:r w:rsidR="009C3139">
        <w:rPr>
          <w:rStyle w:val="FootnoteReference"/>
          <w:rFonts w:ascii="Helvetica" w:hAnsi="Helvetica"/>
        </w:rPr>
        <w:footnoteReference w:id="25"/>
      </w:r>
      <w:r w:rsidRPr="00886071">
        <w:rPr>
          <w:rFonts w:ascii="Helvetica" w:hAnsi="Helvetica"/>
          <w:vertAlign w:val="superscript"/>
        </w:rPr>
        <w:t xml:space="preserve"> </w:t>
      </w:r>
      <w:r w:rsidR="002C259A">
        <w:rPr>
          <w:rFonts w:ascii="Helvetica" w:hAnsi="Helvetica"/>
        </w:rPr>
        <w:t>writes</w:t>
      </w:r>
      <w:r w:rsidRPr="00886071">
        <w:rPr>
          <w:rFonts w:ascii="Helvetica" w:hAnsi="Helvetica"/>
        </w:rPr>
        <w:t xml:space="preserve"> that divination was widely used at all levels of Greek and Roman cultures in both public and private settings. Romans used divination to focus not only on the future but also to investigate past and present situations to discern just what the gods had in mind. She reports that the most common forms of divination used in ancient Rome were augury and taking the auspices of birds, a form said to have been used by Romulus and Remus, according to one version of the foundational myth. Another version has Romulus killing his brother before founding the city with no auspices involved. As is true in the case of the Azunde, persons enquiring into the practices of the ancient Romans are advised to bracket out the prejudices and ontology of their own culture. The Greeks and Romans worshipped many independent gods and goddesses and acknowledged and honored their minions and offspring with mortals. </w:t>
      </w:r>
    </w:p>
    <w:p w14:paraId="34C66092" w14:textId="77777777" w:rsidR="00886071" w:rsidRPr="00886071" w:rsidRDefault="00886071" w:rsidP="002C259A">
      <w:pPr>
        <w:spacing w:after="0" w:line="276" w:lineRule="auto"/>
        <w:ind w:right="90"/>
        <w:rPr>
          <w:rFonts w:ascii="Helvetica" w:hAnsi="Helvetica"/>
          <w:i/>
          <w:iCs/>
          <w:u w:val="single"/>
        </w:rPr>
      </w:pPr>
      <w:r w:rsidRPr="00886071">
        <w:rPr>
          <w:rFonts w:ascii="Helvetica" w:hAnsi="Helvetica"/>
          <w:i/>
          <w:iCs/>
          <w:u w:val="single"/>
        </w:rPr>
        <w:t>Haruspices</w:t>
      </w:r>
    </w:p>
    <w:p w14:paraId="4D7AA2D6" w14:textId="77777777" w:rsidR="003257A3" w:rsidRDefault="00886071" w:rsidP="003257A3">
      <w:pPr>
        <w:spacing w:after="0" w:line="276" w:lineRule="auto"/>
        <w:ind w:right="90" w:firstLine="720"/>
        <w:rPr>
          <w:rFonts w:ascii="Helvetica" w:hAnsi="Helvetica"/>
        </w:rPr>
      </w:pPr>
      <w:r w:rsidRPr="00886071">
        <w:rPr>
          <w:rFonts w:ascii="Helvetica" w:hAnsi="Helvetica"/>
        </w:rPr>
        <w:t xml:space="preserve">Etruscan </w:t>
      </w:r>
      <w:r w:rsidRPr="00886071">
        <w:rPr>
          <w:rFonts w:ascii="Helvetica" w:hAnsi="Helvetica"/>
          <w:i/>
          <w:iCs/>
        </w:rPr>
        <w:t>haruspices</w:t>
      </w:r>
      <w:r w:rsidRPr="00886071">
        <w:rPr>
          <w:rFonts w:ascii="Helvetica" w:hAnsi="Helvetica"/>
        </w:rPr>
        <w:t xml:space="preserve">, who had mastered the skill of divination through reading the structure of livers from sacrificed animals, were objectively no stranger than Zende </w:t>
      </w:r>
      <w:r w:rsidRPr="00886071">
        <w:rPr>
          <w:rFonts w:ascii="Helvetica" w:hAnsi="Helvetica"/>
          <w:i/>
          <w:iCs/>
        </w:rPr>
        <w:t>Benge Oracles</w:t>
      </w:r>
      <w:r w:rsidRPr="00886071">
        <w:rPr>
          <w:rFonts w:ascii="Helvetica" w:hAnsi="Helvetica"/>
        </w:rPr>
        <w:t xml:space="preserve"> feeding poison to two hens, hoping for one to live and the other to die to verify the accuracy of their divinations. As these expert </w:t>
      </w:r>
      <w:r w:rsidRPr="00886071">
        <w:rPr>
          <w:rFonts w:ascii="Helvetica" w:hAnsi="Helvetica"/>
          <w:i/>
          <w:iCs/>
        </w:rPr>
        <w:t>haruspices</w:t>
      </w:r>
      <w:r w:rsidRPr="00886071">
        <w:rPr>
          <w:rFonts w:ascii="Helvetica" w:hAnsi="Helvetica"/>
        </w:rPr>
        <w:t xml:space="preserve"> spread into ancient Rome, their specialty was reading the importance of prodigies for state leaders and functions. With success in reading prodigies, their expertise with reading livers became more common in Roman society, at least at those levels able financially to afford what sometimes led to the successive sacrifice of multiple animals. Occasionally the clarity of the message from the gods could not be immediately discerned, or there was a conflict in interpretation among haruspices as to the appearance of the </w:t>
      </w:r>
      <w:r w:rsidRPr="00886071">
        <w:rPr>
          <w:rFonts w:ascii="Helvetica" w:hAnsi="Helvetica"/>
          <w:i/>
          <w:iCs/>
        </w:rPr>
        <w:t>processus pyramidalis</w:t>
      </w:r>
      <w:r w:rsidRPr="00886071">
        <w:rPr>
          <w:rFonts w:ascii="Helvetica" w:hAnsi="Helvetica"/>
        </w:rPr>
        <w:t xml:space="preserve">, or </w:t>
      </w:r>
      <w:r w:rsidRPr="00886071">
        <w:rPr>
          <w:rFonts w:ascii="Helvetica" w:hAnsi="Helvetica"/>
          <w:i/>
          <w:iCs/>
        </w:rPr>
        <w:t>caput</w:t>
      </w:r>
      <w:r w:rsidRPr="00886071">
        <w:rPr>
          <w:rFonts w:ascii="Helvetica" w:hAnsi="Helvetica"/>
        </w:rPr>
        <w:t>, the most important protrusion on the underside of the liver</w:t>
      </w:r>
      <w:r w:rsidR="002C259A">
        <w:rPr>
          <w:rFonts w:ascii="Helvetica" w:hAnsi="Helvetica"/>
        </w:rPr>
        <w:t xml:space="preserve">. </w:t>
      </w:r>
      <w:r w:rsidRPr="00886071">
        <w:rPr>
          <w:rFonts w:ascii="Helvetica" w:hAnsi="Helvetica"/>
        </w:rPr>
        <w:t xml:space="preserve">If the </w:t>
      </w:r>
      <w:r w:rsidRPr="00886071">
        <w:rPr>
          <w:rFonts w:ascii="Helvetica" w:hAnsi="Helvetica"/>
          <w:i/>
          <w:iCs/>
        </w:rPr>
        <w:t>caput</w:t>
      </w:r>
      <w:r w:rsidRPr="00886071">
        <w:rPr>
          <w:rFonts w:ascii="Helvetica" w:hAnsi="Helvetica"/>
        </w:rPr>
        <w:t xml:space="preserve"> was absent, this was seen as an ill omen. If either of the two protrusions appeared in duplicate however, this was seen as a good sign and a promise of prosperity. When important decisions had to be made, such as the beginning of a military campaign or starting a voyage, a liver reading would be consulted and the final decision thus placed in the hands of the gods.</w:t>
      </w:r>
      <w:r w:rsidR="002C259A">
        <w:rPr>
          <w:rFonts w:ascii="Helvetica" w:hAnsi="Helvetica"/>
        </w:rPr>
        <w:t xml:space="preserve"> Van </w:t>
      </w:r>
      <w:proofErr w:type="spellStart"/>
      <w:r w:rsidR="002C259A">
        <w:rPr>
          <w:rFonts w:ascii="Helvetica" w:hAnsi="Helvetica"/>
        </w:rPr>
        <w:t>Rosmalen</w:t>
      </w:r>
      <w:proofErr w:type="spellEnd"/>
      <w:r w:rsidR="002C259A">
        <w:rPr>
          <w:rFonts w:ascii="Helvetica" w:hAnsi="Helvetica"/>
        </w:rPr>
        <w:t xml:space="preserve"> further </w:t>
      </w:r>
      <w:r w:rsidRPr="00886071">
        <w:rPr>
          <w:rFonts w:ascii="Helvetica" w:hAnsi="Helvetica"/>
        </w:rPr>
        <w:t xml:space="preserve">reports </w:t>
      </w:r>
      <w:r w:rsidR="002C259A">
        <w:rPr>
          <w:rFonts w:ascii="Helvetica" w:hAnsi="Helvetica"/>
        </w:rPr>
        <w:t xml:space="preserve">performing a practical experiment of </w:t>
      </w:r>
      <w:r w:rsidRPr="00886071">
        <w:rPr>
          <w:rFonts w:ascii="Helvetica" w:hAnsi="Helvetica"/>
        </w:rPr>
        <w:t>examining the fresh livers of ten sheep obtained from a meat packing operation and being struck with the variety of appearance of the livers. She writes that while the ancient Greeks knew little about the function of the liver, they nevertheless saw it as the ‘seat of life’ and as having inferred mystical properties. ‘Etruscan oracles could ‘read’ the future in a sheep’s liver. To have Prometheus’ liver eaten away by an eagle, probably was the most severe punishment one could envisage at that time’.</w:t>
      </w:r>
      <w:r w:rsidR="003257A3">
        <w:rPr>
          <w:rStyle w:val="FootnoteReference"/>
          <w:rFonts w:ascii="Helvetica" w:hAnsi="Helvetica"/>
        </w:rPr>
        <w:footnoteReference w:id="26"/>
      </w:r>
    </w:p>
    <w:p w14:paraId="02917EB3" w14:textId="710E525D" w:rsidR="00886071" w:rsidRPr="00886071" w:rsidRDefault="00886071" w:rsidP="003257A3">
      <w:pPr>
        <w:spacing w:after="0" w:line="276" w:lineRule="auto"/>
        <w:ind w:right="90" w:firstLine="720"/>
        <w:rPr>
          <w:rFonts w:ascii="Helvetica" w:hAnsi="Helvetica"/>
        </w:rPr>
      </w:pPr>
      <w:r w:rsidRPr="00886071">
        <w:rPr>
          <w:rFonts w:ascii="Helvetica" w:hAnsi="Helvetica"/>
        </w:rPr>
        <w:br/>
      </w:r>
      <w:r w:rsidR="003257A3" w:rsidRPr="003257A3">
        <w:rPr>
          <w:rFonts w:ascii="Helvetica" w:hAnsi="Helvetica"/>
          <w:u w:val="single"/>
        </w:rPr>
        <w:t>The Sorts of Questions Asked Ancient Oracles</w:t>
      </w:r>
    </w:p>
    <w:p w14:paraId="4D012FE3" w14:textId="4BAC60C8" w:rsidR="00886071" w:rsidRPr="00886071" w:rsidRDefault="003257A3" w:rsidP="003257A3">
      <w:pPr>
        <w:spacing w:after="0" w:line="276" w:lineRule="auto"/>
        <w:ind w:right="90" w:firstLine="720"/>
        <w:rPr>
          <w:rFonts w:ascii="Helvetica" w:hAnsi="Helvetica"/>
        </w:rPr>
      </w:pPr>
      <w:r>
        <w:rPr>
          <w:rFonts w:ascii="Helvetica" w:hAnsi="Helvetica"/>
        </w:rPr>
        <w:t xml:space="preserve">One is struck by how common to western society is this list of categories of questions that Greeks and Romans of two or three millennia ago would have worried over. </w:t>
      </w:r>
      <w:r w:rsidR="00886071" w:rsidRPr="00886071">
        <w:rPr>
          <w:rFonts w:ascii="Helvetica" w:hAnsi="Helvetica"/>
        </w:rPr>
        <w:t xml:space="preserve">As to the categories of questions asked ancient oracles, Esther </w:t>
      </w:r>
      <w:proofErr w:type="spellStart"/>
      <w:r w:rsidR="00886071" w:rsidRPr="00886071">
        <w:rPr>
          <w:rFonts w:ascii="Helvetica" w:hAnsi="Helvetica"/>
        </w:rPr>
        <w:t>Eidinow</w:t>
      </w:r>
      <w:proofErr w:type="spellEnd"/>
      <w:r w:rsidR="00886071" w:rsidRPr="00886071">
        <w:rPr>
          <w:rFonts w:ascii="Helvetica" w:hAnsi="Helvetica"/>
        </w:rPr>
        <w:t xml:space="preserve"> provides this from her study of the Oracle at Dodona:</w:t>
      </w:r>
      <w:r>
        <w:rPr>
          <w:rFonts w:ascii="Helvetica" w:hAnsi="Helvetica"/>
        </w:rPr>
        <w:t xml:space="preserve"> </w:t>
      </w:r>
      <w:r w:rsidR="00886071" w:rsidRPr="00886071">
        <w:rPr>
          <w:rFonts w:ascii="Helvetica" w:hAnsi="Helvetica"/>
        </w:rPr>
        <w:t>The categories of consultation in order of size are as follows: Future concerns: Travel (28 questions), followed by questions about Women (20), Children (18), Work (17), then Slavery (12), Health/Disease (10), Property (8), Prosperity/Safety (6), Ritual activity (3), Military campaigns (2), Judicial activity (2), City affairs and politics (2). Past/present: Crimes (11), Requests for truth (2), Treasure (1), Children (1), Health/Disease (1), Death (1) and Wrongdoing in an oracle consultation (1).</w:t>
      </w:r>
      <w:r>
        <w:rPr>
          <w:rFonts w:ascii="Helvetica" w:hAnsi="Helvetica"/>
        </w:rPr>
        <w:t xml:space="preserve"> </w:t>
      </w:r>
      <w:r w:rsidR="00886071" w:rsidRPr="00886071">
        <w:rPr>
          <w:rFonts w:ascii="Helvetica" w:hAnsi="Helvetica"/>
        </w:rPr>
        <w:t>She writes that ‘In the wake of realizing they had been defeated in the Peloponnesian war in 413/412’ and other frightening events, the attempts to interpret events that was always present in the community at a reduced level rose to be a roar. But the ‘persistent, prescient commentary, sometimes barely audible, sometimes the focus of attention, but never completely fading away’.</w:t>
      </w:r>
      <w:r>
        <w:rPr>
          <w:rStyle w:val="FootnoteReference"/>
          <w:rFonts w:ascii="Helvetica" w:hAnsi="Helvetica"/>
        </w:rPr>
        <w:footnoteReference w:id="27"/>
      </w:r>
    </w:p>
    <w:p w14:paraId="7CEAEAF8" w14:textId="77777777" w:rsidR="00D62489" w:rsidRDefault="00D62489" w:rsidP="002C259A">
      <w:pPr>
        <w:spacing w:after="0" w:line="276" w:lineRule="auto"/>
        <w:ind w:left="720" w:right="90"/>
        <w:rPr>
          <w:rFonts w:ascii="Helvetica" w:hAnsi="Helvetica"/>
        </w:rPr>
      </w:pPr>
    </w:p>
    <w:p w14:paraId="2F2F5A40" w14:textId="77777777" w:rsidR="00D62489" w:rsidRPr="00D62489" w:rsidRDefault="00D62489" w:rsidP="002C259A">
      <w:pPr>
        <w:spacing w:after="0" w:line="276" w:lineRule="auto"/>
        <w:ind w:right="90"/>
        <w:rPr>
          <w:rFonts w:ascii="Helvetica" w:hAnsi="Helvetica"/>
          <w:b/>
          <w:bCs/>
        </w:rPr>
      </w:pPr>
      <w:r w:rsidRPr="00D62489">
        <w:rPr>
          <w:rFonts w:ascii="Helvetica" w:hAnsi="Helvetica"/>
          <w:b/>
          <w:bCs/>
        </w:rPr>
        <w:t>Possible Lessons from Evans-Pritchard Applicable to Ancient Greco-Rome</w:t>
      </w:r>
    </w:p>
    <w:p w14:paraId="46A619F3" w14:textId="7360A068" w:rsidR="00D62489" w:rsidRPr="00404EC3" w:rsidRDefault="00D62489" w:rsidP="002C259A">
      <w:pPr>
        <w:spacing w:after="0" w:line="276" w:lineRule="auto"/>
        <w:ind w:right="90" w:firstLine="720"/>
        <w:rPr>
          <w:rFonts w:ascii="Helvetica" w:hAnsi="Helvetica"/>
        </w:rPr>
      </w:pPr>
      <w:r w:rsidRPr="00404EC3">
        <w:rPr>
          <w:rFonts w:ascii="Helvetica" w:hAnsi="Helvetica"/>
        </w:rPr>
        <w:t xml:space="preserve">Several important lessons </w:t>
      </w:r>
      <w:r>
        <w:rPr>
          <w:rFonts w:ascii="Helvetica" w:hAnsi="Helvetica"/>
        </w:rPr>
        <w:t>c</w:t>
      </w:r>
      <w:r w:rsidRPr="00404EC3">
        <w:rPr>
          <w:rFonts w:ascii="Helvetica" w:hAnsi="Helvetica"/>
        </w:rPr>
        <w:t xml:space="preserve">an be </w:t>
      </w:r>
      <w:r w:rsidR="003257A3">
        <w:rPr>
          <w:rFonts w:ascii="Helvetica" w:hAnsi="Helvetica"/>
        </w:rPr>
        <w:t xml:space="preserve">drawn </w:t>
      </w:r>
      <w:r w:rsidRPr="00404EC3">
        <w:rPr>
          <w:rFonts w:ascii="Helvetica" w:hAnsi="Helvetica"/>
        </w:rPr>
        <w:t xml:space="preserve">from Evans-Pritchard’s fieldwork among the Azande that can </w:t>
      </w:r>
      <w:r>
        <w:rPr>
          <w:rFonts w:ascii="Helvetica" w:hAnsi="Helvetica"/>
        </w:rPr>
        <w:t xml:space="preserve">possibly </w:t>
      </w:r>
      <w:r w:rsidRPr="00404EC3">
        <w:rPr>
          <w:rFonts w:ascii="Helvetica" w:hAnsi="Helvetica"/>
        </w:rPr>
        <w:t xml:space="preserve">help </w:t>
      </w:r>
      <w:r>
        <w:rPr>
          <w:rFonts w:ascii="Helvetica" w:hAnsi="Helvetica"/>
        </w:rPr>
        <w:t>prepare</w:t>
      </w:r>
      <w:r w:rsidRPr="00404EC3">
        <w:rPr>
          <w:rFonts w:ascii="Helvetica" w:hAnsi="Helvetica"/>
        </w:rPr>
        <w:t xml:space="preserve"> an observer for an encounter with </w:t>
      </w:r>
      <w:r>
        <w:rPr>
          <w:rFonts w:ascii="Helvetica" w:hAnsi="Helvetica"/>
        </w:rPr>
        <w:t xml:space="preserve">the practices of another </w:t>
      </w:r>
      <w:r w:rsidRPr="00404EC3">
        <w:rPr>
          <w:rFonts w:ascii="Helvetica" w:hAnsi="Helvetica"/>
        </w:rPr>
        <w:t>people such as the Greco-Romans.</w:t>
      </w:r>
      <w:r>
        <w:rPr>
          <w:rFonts w:ascii="Helvetica" w:hAnsi="Helvetica"/>
        </w:rPr>
        <w:t xml:space="preserve"> Any of these would gain from closer examination.</w:t>
      </w:r>
    </w:p>
    <w:p w14:paraId="6D3E4ACD"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 xml:space="preserve">Reality, both seen and unseen, is </w:t>
      </w:r>
      <w:r>
        <w:rPr>
          <w:rFonts w:ascii="Helvetica" w:hAnsi="Helvetica"/>
        </w:rPr>
        <w:t>structured</w:t>
      </w:r>
      <w:r w:rsidRPr="00404EC3">
        <w:rPr>
          <w:rFonts w:ascii="Helvetica" w:hAnsi="Helvetica"/>
        </w:rPr>
        <w:t xml:space="preserve"> in unexpected, unapparent, yet </w:t>
      </w:r>
      <w:r>
        <w:rPr>
          <w:rFonts w:ascii="Helvetica" w:hAnsi="Helvetica"/>
        </w:rPr>
        <w:t xml:space="preserve">deeply </w:t>
      </w:r>
      <w:r w:rsidRPr="00404EC3">
        <w:rPr>
          <w:rFonts w:ascii="Helvetica" w:hAnsi="Helvetica"/>
        </w:rPr>
        <w:t>interconnected ways;</w:t>
      </w:r>
    </w:p>
    <w:p w14:paraId="09C89E46"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Pr>
          <w:rFonts w:ascii="Helvetica" w:hAnsi="Helvetica"/>
        </w:rPr>
        <w:t>P</w:t>
      </w:r>
      <w:r w:rsidRPr="00404EC3">
        <w:rPr>
          <w:rFonts w:ascii="Helvetica" w:hAnsi="Helvetica"/>
        </w:rPr>
        <w:t xml:space="preserve">eople </w:t>
      </w:r>
      <w:r>
        <w:rPr>
          <w:rFonts w:ascii="Helvetica" w:hAnsi="Helvetica"/>
        </w:rPr>
        <w:t xml:space="preserve">everywhere </w:t>
      </w:r>
      <w:r w:rsidRPr="00404EC3">
        <w:rPr>
          <w:rFonts w:ascii="Helvetica" w:hAnsi="Helvetica"/>
        </w:rPr>
        <w:t xml:space="preserve">discern that they are not themselves fully in charge of the events that determine their lives. The gods, fate, dark energy, or whatever force </w:t>
      </w:r>
      <w:r>
        <w:rPr>
          <w:rFonts w:ascii="Helvetica" w:hAnsi="Helvetica"/>
        </w:rPr>
        <w:t xml:space="preserve">is </w:t>
      </w:r>
      <w:r w:rsidRPr="00404EC3">
        <w:rPr>
          <w:rFonts w:ascii="Helvetica" w:hAnsi="Helvetica"/>
        </w:rPr>
        <w:t>understood to drive reality acts independently of humans;</w:t>
      </w:r>
    </w:p>
    <w:p w14:paraId="706CAA62"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Leaders and common people seek as much additional knowledge as they can, regardless of the source, about things that threaten them and that are liable to affect their decision making;</w:t>
      </w:r>
    </w:p>
    <w:p w14:paraId="13D17255"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Fortunately, there is a ‘surplus’ of hidden knowledge available, unseen by ordinary individuals, that can be accessed by unique</w:t>
      </w:r>
      <w:r>
        <w:rPr>
          <w:rFonts w:ascii="Helvetica" w:hAnsi="Helvetica"/>
        </w:rPr>
        <w:t>ly gifted</w:t>
      </w:r>
      <w:r w:rsidRPr="00404EC3">
        <w:rPr>
          <w:rFonts w:ascii="Helvetica" w:hAnsi="Helvetica"/>
        </w:rPr>
        <w:t xml:space="preserve"> individuals (auger</w:t>
      </w:r>
      <w:r>
        <w:rPr>
          <w:rFonts w:ascii="Helvetica" w:hAnsi="Helvetica"/>
        </w:rPr>
        <w:t>er</w:t>
      </w:r>
      <w:r w:rsidRPr="00404EC3">
        <w:rPr>
          <w:rFonts w:ascii="Helvetica" w:hAnsi="Helvetica"/>
        </w:rPr>
        <w:t>s; oracles; soothsayers</w:t>
      </w:r>
      <w:r>
        <w:rPr>
          <w:rFonts w:ascii="Helvetica" w:hAnsi="Helvetica"/>
        </w:rPr>
        <w:t>; visionaries</w:t>
      </w:r>
      <w:r w:rsidRPr="00404EC3">
        <w:rPr>
          <w:rFonts w:ascii="Helvetica" w:hAnsi="Helvetica"/>
        </w:rPr>
        <w:t>);</w:t>
      </w:r>
    </w:p>
    <w:p w14:paraId="651BDC9A"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 xml:space="preserve">Knowledge is needed </w:t>
      </w:r>
      <w:r>
        <w:rPr>
          <w:rFonts w:ascii="Helvetica" w:hAnsi="Helvetica"/>
        </w:rPr>
        <w:t>by the leaders of</w:t>
      </w:r>
      <w:r w:rsidRPr="00404EC3">
        <w:rPr>
          <w:rFonts w:ascii="Helvetica" w:hAnsi="Helvetica"/>
        </w:rPr>
        <w:t xml:space="preserve"> the overall group, be it state or tribe, to try to align </w:t>
      </w:r>
      <w:r>
        <w:rPr>
          <w:rFonts w:ascii="Helvetica" w:hAnsi="Helvetica"/>
        </w:rPr>
        <w:t>its</w:t>
      </w:r>
      <w:r w:rsidRPr="00404EC3">
        <w:rPr>
          <w:rFonts w:ascii="Helvetica" w:hAnsi="Helvetica"/>
        </w:rPr>
        <w:t xml:space="preserve"> </w:t>
      </w:r>
      <w:r>
        <w:rPr>
          <w:rFonts w:ascii="Helvetica" w:hAnsi="Helvetica"/>
        </w:rPr>
        <w:t xml:space="preserve">collective </w:t>
      </w:r>
      <w:r w:rsidRPr="00404EC3">
        <w:rPr>
          <w:rFonts w:ascii="Helvetica" w:hAnsi="Helvetica"/>
        </w:rPr>
        <w:t>actions with those unfolding by the gods, fate, or whatever forces are driving reality;</w:t>
      </w:r>
    </w:p>
    <w:p w14:paraId="78EAE2D9" w14:textId="42B70454"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 xml:space="preserve">At the other end of the political </w:t>
      </w:r>
      <w:r w:rsidR="005665EF">
        <w:rPr>
          <w:rFonts w:ascii="Helvetica" w:hAnsi="Helvetica"/>
        </w:rPr>
        <w:t>world</w:t>
      </w:r>
      <w:r w:rsidRPr="00404EC3">
        <w:rPr>
          <w:rFonts w:ascii="Helvetica" w:hAnsi="Helvetica"/>
        </w:rPr>
        <w:t>, individuals and families regularly need additional information to enable them to better deal with perceived misfortunes, such as illness and death of oneself and loved ones, and opportunities, such as possible marriages and business risks;</w:t>
      </w:r>
    </w:p>
    <w:p w14:paraId="660D960A"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Auger</w:t>
      </w:r>
      <w:r>
        <w:rPr>
          <w:rFonts w:ascii="Helvetica" w:hAnsi="Helvetica"/>
        </w:rPr>
        <w:t>er</w:t>
      </w:r>
      <w:r w:rsidRPr="00404EC3">
        <w:rPr>
          <w:rFonts w:ascii="Helvetica" w:hAnsi="Helvetica"/>
        </w:rPr>
        <w:t xml:space="preserve">s are recognized as having unique abilities and training to discern </w:t>
      </w:r>
      <w:r>
        <w:rPr>
          <w:rFonts w:ascii="Helvetica" w:hAnsi="Helvetica"/>
        </w:rPr>
        <w:t xml:space="preserve">and deliver </w:t>
      </w:r>
      <w:r w:rsidRPr="00404EC3">
        <w:rPr>
          <w:rFonts w:ascii="Helvetica" w:hAnsi="Helvetica"/>
        </w:rPr>
        <w:t>reliable, useful knowledge;</w:t>
      </w:r>
    </w:p>
    <w:p w14:paraId="3241FD89"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 xml:space="preserve">These </w:t>
      </w:r>
      <w:r>
        <w:rPr>
          <w:rFonts w:ascii="Helvetica" w:hAnsi="Helvetica"/>
        </w:rPr>
        <w:t>seers</w:t>
      </w:r>
      <w:r w:rsidRPr="00404EC3">
        <w:rPr>
          <w:rFonts w:ascii="Helvetica" w:hAnsi="Helvetica"/>
        </w:rPr>
        <w:t xml:space="preserve"> are set apart from others in their society and must prepare themselves for the divination process by following acts of asceticism</w:t>
      </w:r>
      <w:r>
        <w:rPr>
          <w:rFonts w:ascii="Helvetica" w:hAnsi="Helvetica"/>
        </w:rPr>
        <w:t>, including observing sexual and dietary taboos</w:t>
      </w:r>
      <w:r w:rsidRPr="00404EC3">
        <w:rPr>
          <w:rFonts w:ascii="Helvetica" w:hAnsi="Helvetica"/>
        </w:rPr>
        <w:t>;</w:t>
      </w:r>
    </w:p>
    <w:p w14:paraId="28A84CEF" w14:textId="77777777" w:rsidR="00D62489" w:rsidRPr="00404EC3" w:rsidRDefault="00D62489" w:rsidP="002C259A">
      <w:pPr>
        <w:pStyle w:val="ListParagraph"/>
        <w:numPr>
          <w:ilvl w:val="0"/>
          <w:numId w:val="1"/>
        </w:numPr>
        <w:spacing w:line="276" w:lineRule="auto"/>
        <w:ind w:left="1170" w:right="90" w:hanging="450"/>
        <w:rPr>
          <w:rFonts w:ascii="Helvetica" w:hAnsi="Helvetica"/>
        </w:rPr>
      </w:pPr>
      <w:r>
        <w:rPr>
          <w:rFonts w:ascii="Helvetica" w:hAnsi="Helvetica"/>
        </w:rPr>
        <w:t>Although having an error rate, d</w:t>
      </w:r>
      <w:r w:rsidRPr="00404EC3">
        <w:rPr>
          <w:rFonts w:ascii="Helvetica" w:hAnsi="Helvetica"/>
        </w:rPr>
        <w:t xml:space="preserve">ivination </w:t>
      </w:r>
      <w:r>
        <w:rPr>
          <w:rFonts w:ascii="Helvetica" w:hAnsi="Helvetica"/>
        </w:rPr>
        <w:t xml:space="preserve">may </w:t>
      </w:r>
      <w:r w:rsidRPr="00404EC3">
        <w:rPr>
          <w:rFonts w:ascii="Helvetica" w:hAnsi="Helvetica"/>
        </w:rPr>
        <w:t xml:space="preserve">provide </w:t>
      </w:r>
      <w:r>
        <w:rPr>
          <w:rFonts w:ascii="Helvetica" w:hAnsi="Helvetica"/>
        </w:rPr>
        <w:t xml:space="preserve">accurate and </w:t>
      </w:r>
      <w:r w:rsidRPr="00404EC3">
        <w:rPr>
          <w:rFonts w:ascii="Helvetica" w:hAnsi="Helvetica"/>
        </w:rPr>
        <w:t>useful information frequently enough that has been, and is, widely used by people in every time and geographic location; and,</w:t>
      </w:r>
    </w:p>
    <w:p w14:paraId="5B9C3055" w14:textId="77777777" w:rsidR="00D62489" w:rsidRPr="00B11A92" w:rsidRDefault="00D62489" w:rsidP="002C259A">
      <w:pPr>
        <w:pStyle w:val="ListParagraph"/>
        <w:numPr>
          <w:ilvl w:val="0"/>
          <w:numId w:val="1"/>
        </w:numPr>
        <w:spacing w:line="276" w:lineRule="auto"/>
        <w:ind w:left="1170" w:right="90" w:hanging="450"/>
        <w:rPr>
          <w:rFonts w:ascii="Helvetica" w:hAnsi="Helvetica"/>
        </w:rPr>
      </w:pPr>
      <w:r w:rsidRPr="00404EC3">
        <w:rPr>
          <w:rFonts w:ascii="Helvetica" w:hAnsi="Helvetica"/>
        </w:rPr>
        <w:t xml:space="preserve">If the divination fails in some way, </w:t>
      </w:r>
      <w:r>
        <w:rPr>
          <w:rFonts w:ascii="Helvetica" w:hAnsi="Helvetica"/>
        </w:rPr>
        <w:t>it is because something went wrong in the process, not that divination overall doesn’t work. Failure</w:t>
      </w:r>
      <w:r w:rsidRPr="00B11A92">
        <w:rPr>
          <w:rFonts w:ascii="Helvetica" w:hAnsi="Helvetica"/>
        </w:rPr>
        <w:t xml:space="preserve"> may be because the oracle had not followed the </w:t>
      </w:r>
      <w:r>
        <w:rPr>
          <w:rFonts w:ascii="Helvetica" w:hAnsi="Helvetica"/>
        </w:rPr>
        <w:t xml:space="preserve">required </w:t>
      </w:r>
      <w:r w:rsidRPr="00B11A92">
        <w:rPr>
          <w:rFonts w:ascii="Helvetica" w:hAnsi="Helvetica"/>
        </w:rPr>
        <w:t>purification taboos; the ritual was done incorrectly; the medicine or a</w:t>
      </w:r>
      <w:r>
        <w:rPr>
          <w:rFonts w:ascii="Helvetica" w:hAnsi="Helvetica"/>
        </w:rPr>
        <w:t xml:space="preserve"> necessary</w:t>
      </w:r>
      <w:r w:rsidRPr="00B11A92">
        <w:rPr>
          <w:rFonts w:ascii="Helvetica" w:hAnsi="Helvetica"/>
        </w:rPr>
        <w:t xml:space="preserve"> object was </w:t>
      </w:r>
      <w:r>
        <w:rPr>
          <w:rFonts w:ascii="Helvetica" w:hAnsi="Helvetica"/>
        </w:rPr>
        <w:t>depleted</w:t>
      </w:r>
      <w:r w:rsidRPr="00B11A92">
        <w:rPr>
          <w:rFonts w:ascii="Helvetica" w:hAnsi="Helvetica"/>
        </w:rPr>
        <w:t xml:space="preserve"> or defective in some manner; the auger was a fraud; the gods were not predisposed to communicate; or the gods were trying to communicate </w:t>
      </w:r>
      <w:r>
        <w:rPr>
          <w:rFonts w:ascii="Helvetica" w:hAnsi="Helvetica"/>
        </w:rPr>
        <w:t xml:space="preserve">with the oracle </w:t>
      </w:r>
      <w:r w:rsidRPr="00B11A92">
        <w:rPr>
          <w:rFonts w:ascii="Helvetica" w:hAnsi="Helvetica"/>
        </w:rPr>
        <w:t>on a more pressing matter.</w:t>
      </w:r>
    </w:p>
    <w:p w14:paraId="11F71FF9" w14:textId="77777777" w:rsidR="00D62489" w:rsidRPr="003A162E" w:rsidRDefault="00D62489" w:rsidP="002C259A">
      <w:pPr>
        <w:spacing w:line="276" w:lineRule="auto"/>
        <w:ind w:right="90" w:firstLine="720"/>
        <w:rPr>
          <w:rFonts w:ascii="Helvetica" w:hAnsi="Helvetica"/>
        </w:rPr>
      </w:pPr>
      <w:r w:rsidRPr="003A162E">
        <w:rPr>
          <w:rFonts w:ascii="Helvetica" w:hAnsi="Helvetica"/>
        </w:rPr>
        <w:t xml:space="preserve">Rather than experience his informants as followers of a religion more primitive than that of his own culture, Evans-Pritchard experienced them as very much like humans everywhere trying to discern hidden answers to pressing questions. In this he differed from the approach taken by earlier anthropologists who approached fieldwork overly burdened by the assumptions of their own culture as far as the paranormal was concerned. Evans-Pritchard’s approach can inform those studying other cultures of any location or period, including that of the early Greco-Roman world. </w:t>
      </w:r>
    </w:p>
    <w:p w14:paraId="032793AB" w14:textId="77777777" w:rsidR="00886071" w:rsidRPr="00886071" w:rsidRDefault="00886071" w:rsidP="003257A3">
      <w:pPr>
        <w:spacing w:after="0" w:line="276" w:lineRule="auto"/>
        <w:ind w:right="90"/>
        <w:rPr>
          <w:rFonts w:ascii="Helvetica" w:hAnsi="Helvetica"/>
          <w:b/>
          <w:bCs/>
        </w:rPr>
      </w:pPr>
      <w:r w:rsidRPr="00886071">
        <w:rPr>
          <w:rFonts w:ascii="Helvetica" w:hAnsi="Helvetica"/>
          <w:b/>
          <w:bCs/>
        </w:rPr>
        <w:t>Conclusion</w:t>
      </w:r>
    </w:p>
    <w:p w14:paraId="2AA80E72" w14:textId="62553E49" w:rsidR="000C38FB" w:rsidRDefault="003257A3" w:rsidP="00A1669D">
      <w:pPr>
        <w:spacing w:after="0" w:line="276" w:lineRule="auto"/>
        <w:ind w:right="90" w:firstLine="720"/>
        <w:rPr>
          <w:rFonts w:ascii="Helvetica" w:hAnsi="Helvetica"/>
        </w:rPr>
      </w:pPr>
      <w:r>
        <w:rPr>
          <w:rFonts w:ascii="Helvetica" w:hAnsi="Helvetica"/>
        </w:rPr>
        <w:t xml:space="preserve">Both ancient and contemporary western writers </w:t>
      </w:r>
      <w:r w:rsidR="000C523D">
        <w:rPr>
          <w:rFonts w:ascii="Helvetica" w:hAnsi="Helvetica"/>
        </w:rPr>
        <w:t xml:space="preserve">agree that processes of divination have </w:t>
      </w:r>
      <w:r w:rsidR="00A1669D">
        <w:rPr>
          <w:rFonts w:ascii="Helvetica" w:hAnsi="Helvetica"/>
        </w:rPr>
        <w:t xml:space="preserve">existed </w:t>
      </w:r>
      <w:r w:rsidR="000C523D">
        <w:rPr>
          <w:rFonts w:ascii="Helvetica" w:hAnsi="Helvetica"/>
        </w:rPr>
        <w:t xml:space="preserve">in every society examined. </w:t>
      </w:r>
      <w:r w:rsidR="00C7717E">
        <w:rPr>
          <w:rFonts w:ascii="Helvetica" w:hAnsi="Helvetica"/>
        </w:rPr>
        <w:t xml:space="preserve">Contemporary observers need to suspend their own controlling assumptions about such things before beginning. </w:t>
      </w:r>
      <w:r w:rsidR="000C523D">
        <w:rPr>
          <w:rFonts w:ascii="Helvetica" w:hAnsi="Helvetica"/>
        </w:rPr>
        <w:t xml:space="preserve">The need to discern and access information not readily apparent to simple observation of the world appears at every level of social organization, from the activities of state to the interworking of families and individuals. Professional augerers have always presented themselves as being pathways to such hidden knowledge, as have charlatans. The sorts of questions asked have not changed over the ages, and some acts of “seeing” are explained by the fact that some observers simply </w:t>
      </w:r>
      <w:proofErr w:type="gramStart"/>
      <w:r w:rsidR="000C523D">
        <w:rPr>
          <w:rFonts w:ascii="Helvetica" w:hAnsi="Helvetica"/>
        </w:rPr>
        <w:t>have the ability to</w:t>
      </w:r>
      <w:proofErr w:type="gramEnd"/>
      <w:r w:rsidR="000C523D">
        <w:rPr>
          <w:rFonts w:ascii="Helvetica" w:hAnsi="Helvetica"/>
        </w:rPr>
        <w:t xml:space="preserve"> look at reality much closer than </w:t>
      </w:r>
      <w:r w:rsidR="00A1669D">
        <w:rPr>
          <w:rFonts w:ascii="Helvetica" w:hAnsi="Helvetica"/>
        </w:rPr>
        <w:t>others</w:t>
      </w:r>
      <w:r w:rsidR="000C523D">
        <w:rPr>
          <w:rFonts w:ascii="Helvetica" w:hAnsi="Helvetica"/>
        </w:rPr>
        <w:t xml:space="preserve">. But in other </w:t>
      </w:r>
      <w:r w:rsidR="00A1669D">
        <w:rPr>
          <w:rFonts w:ascii="Helvetica" w:hAnsi="Helvetica"/>
        </w:rPr>
        <w:t>cases,</w:t>
      </w:r>
      <w:r w:rsidR="000C523D">
        <w:rPr>
          <w:rFonts w:ascii="Helvetica" w:hAnsi="Helvetica"/>
        </w:rPr>
        <w:t xml:space="preserve"> the source of knowledge is not at all clear</w:t>
      </w:r>
      <w:r w:rsidR="00A1669D">
        <w:rPr>
          <w:rFonts w:ascii="Helvetica" w:hAnsi="Helvetica"/>
        </w:rPr>
        <w:t>. In these cases, t</w:t>
      </w:r>
      <w:r w:rsidR="000C523D">
        <w:rPr>
          <w:rFonts w:ascii="Helvetica" w:hAnsi="Helvetica"/>
        </w:rPr>
        <w:t xml:space="preserve">he question of just who the ‘gods’ are, of just what </w:t>
      </w:r>
      <w:r w:rsidR="00A1669D">
        <w:rPr>
          <w:rFonts w:ascii="Helvetica" w:hAnsi="Helvetica"/>
        </w:rPr>
        <w:t xml:space="preserve">non-empirical </w:t>
      </w:r>
      <w:r w:rsidR="000C523D">
        <w:rPr>
          <w:rFonts w:ascii="Helvetica" w:hAnsi="Helvetica"/>
        </w:rPr>
        <w:t>source</w:t>
      </w:r>
      <w:r w:rsidR="00A1669D">
        <w:rPr>
          <w:rFonts w:ascii="Helvetica" w:hAnsi="Helvetica"/>
        </w:rPr>
        <w:t>s</w:t>
      </w:r>
      <w:r w:rsidR="000C523D">
        <w:rPr>
          <w:rFonts w:ascii="Helvetica" w:hAnsi="Helvetica"/>
        </w:rPr>
        <w:t xml:space="preserve"> of knowledge </w:t>
      </w:r>
      <w:r w:rsidR="00A1669D">
        <w:rPr>
          <w:rFonts w:ascii="Helvetica" w:hAnsi="Helvetica"/>
        </w:rPr>
        <w:t>are</w:t>
      </w:r>
      <w:r w:rsidR="000C523D">
        <w:rPr>
          <w:rFonts w:ascii="Helvetica" w:hAnsi="Helvetica"/>
        </w:rPr>
        <w:t xml:space="preserve"> accessed</w:t>
      </w:r>
      <w:r w:rsidR="00A1669D">
        <w:rPr>
          <w:rFonts w:ascii="Helvetica" w:hAnsi="Helvetica"/>
        </w:rPr>
        <w:t xml:space="preserve">, </w:t>
      </w:r>
      <w:r w:rsidR="000C523D">
        <w:rPr>
          <w:rFonts w:ascii="Helvetica" w:hAnsi="Helvetica"/>
        </w:rPr>
        <w:t>remains an open question</w:t>
      </w:r>
      <w:r w:rsidR="00A1669D">
        <w:rPr>
          <w:rFonts w:ascii="Helvetica" w:hAnsi="Helvetica"/>
        </w:rPr>
        <w:t xml:space="preserve"> with which academia has struggled to answer, beyond categories such as ‘superstition’ and ‘social control’. </w:t>
      </w:r>
    </w:p>
    <w:p w14:paraId="475EF796" w14:textId="784056E2" w:rsidR="00E62A22" w:rsidRDefault="00E62A22">
      <w:pPr>
        <w:rPr>
          <w:rFonts w:ascii="Helvetica" w:hAnsi="Helvetica"/>
        </w:rPr>
      </w:pPr>
      <w:r>
        <w:rPr>
          <w:rFonts w:ascii="Helvetica" w:hAnsi="Helvetica"/>
        </w:rPr>
        <w:br w:type="page"/>
      </w:r>
    </w:p>
    <w:p w14:paraId="0DB6D3CC" w14:textId="77777777" w:rsidR="00E62A22" w:rsidRDefault="00E62A22" w:rsidP="00E62A22">
      <w:pPr>
        <w:spacing w:line="240" w:lineRule="auto"/>
      </w:pPr>
      <w:r>
        <w:t>Bibliography</w:t>
      </w:r>
    </w:p>
    <w:p w14:paraId="221B12EB" w14:textId="39B27171" w:rsidR="00E62A22" w:rsidRDefault="00E62A22" w:rsidP="00E62A22">
      <w:pPr>
        <w:spacing w:line="240" w:lineRule="auto"/>
      </w:pPr>
      <w:r>
        <w:t xml:space="preserve">Addey, C. (2022). Introduction: divination and knowledge in ancient Greek and Roman cultures. </w:t>
      </w:r>
      <w:r w:rsidRPr="00F020FC">
        <w:rPr>
          <w:i/>
          <w:iCs/>
        </w:rPr>
        <w:t xml:space="preserve">Divination and Knowledge in Greco-Roman Antiquity. </w:t>
      </w:r>
      <w:r>
        <w:t>C. Addey, ed. New York, Routledge: 1–29.</w:t>
      </w:r>
    </w:p>
    <w:p w14:paraId="03B182F0" w14:textId="77777777" w:rsidR="00E62A22" w:rsidRDefault="00E62A22" w:rsidP="00E62A22">
      <w:pPr>
        <w:spacing w:line="240" w:lineRule="auto"/>
      </w:pPr>
      <w:r>
        <w:t>Daniels, A. B., ed. (2025). A Phenomenology of the Other: Encounters with the Weird and Inscrutable. Milton Park, Abingdon, Oxon, Routledge.</w:t>
      </w:r>
    </w:p>
    <w:p w14:paraId="4BF8E231" w14:textId="77777777" w:rsidR="00E62A22" w:rsidRDefault="00E62A22" w:rsidP="00E62A22">
      <w:pPr>
        <w:spacing w:line="240" w:lineRule="auto"/>
      </w:pPr>
      <w:r>
        <w:t>Evans-Pritchard, E. E. (1976). Witchcraft, Oracles, and Magic Among the Azande, Oxford University Press.</w:t>
      </w:r>
    </w:p>
    <w:p w14:paraId="260A43B3" w14:textId="77777777" w:rsidR="00E62A22" w:rsidRDefault="00E62A22" w:rsidP="00E62A22">
      <w:pPr>
        <w:spacing w:line="240" w:lineRule="auto"/>
      </w:pPr>
      <w:r>
        <w:t>Hunter, J. (2016). "Engaging the Anomalous: Reﬂections from the Anthropology of the Paranormal." European Journal of Psychotherapy &amp; Counselling 18.2: 170–178.</w:t>
      </w:r>
    </w:p>
    <w:p w14:paraId="72D3F1F5" w14:textId="77777777" w:rsidR="00E62A22" w:rsidRDefault="00E62A22" w:rsidP="00E62A22">
      <w:pPr>
        <w:spacing w:line="240" w:lineRule="auto"/>
      </w:pPr>
      <w:r>
        <w:t>Husserl, E. (2002 (1931)). Ideas: General Introduction to Pure Phenomenology. Milton Park, Abingdon, Oxon, Routledge.</w:t>
      </w:r>
    </w:p>
    <w:p w14:paraId="47F62C3B" w14:textId="77777777" w:rsidR="00E62A22" w:rsidRDefault="00E62A22" w:rsidP="00E62A22">
      <w:pPr>
        <w:spacing w:line="240" w:lineRule="auto"/>
      </w:pPr>
      <w:r>
        <w:t>Jaynes, J. (2000 ). The Origin of Consciousness In the Breakdown of the Bicameral Mind. New York, Mariner Books.</w:t>
      </w:r>
    </w:p>
    <w:p w14:paraId="4A0BA062" w14:textId="77777777" w:rsidR="00E62A22" w:rsidRDefault="00E62A22" w:rsidP="00E62A22">
      <w:pPr>
        <w:spacing w:line="240" w:lineRule="auto"/>
      </w:pPr>
      <w:r>
        <w:t xml:space="preserve">Julian Van </w:t>
      </w:r>
      <w:proofErr w:type="spellStart"/>
      <w:r>
        <w:t>Rosmalen</w:t>
      </w:r>
      <w:proofErr w:type="spellEnd"/>
      <w:r>
        <w:t xml:space="preserve">, V. G., M., Van </w:t>
      </w:r>
      <w:proofErr w:type="spellStart"/>
      <w:r>
        <w:t>Rosmalen</w:t>
      </w:r>
      <w:proofErr w:type="spellEnd"/>
      <w:r>
        <w:t>, B., &amp; Van Gulik, T. (2022). The Liver According to the Ancient Greeks and the Etruscans. Prometheus and the Liver through Art and Medicine, Amsterdam University Press: 43–47.</w:t>
      </w:r>
    </w:p>
    <w:p w14:paraId="3B14BE59" w14:textId="77777777" w:rsidR="00E62A22" w:rsidRDefault="00E62A22" w:rsidP="00E62A22">
      <w:pPr>
        <w:spacing w:line="240" w:lineRule="auto"/>
      </w:pPr>
      <w:r>
        <w:t>LeVasseur, J. J. (2003). "The Problem of Bracketing in Phenomenology." Qualitative Health Research 13.3: 408–420.</w:t>
      </w:r>
    </w:p>
    <w:p w14:paraId="25D721A5" w14:textId="77777777" w:rsidR="00E62A22" w:rsidRDefault="00E62A22" w:rsidP="00E62A22">
      <w:pPr>
        <w:spacing w:line="240" w:lineRule="auto"/>
      </w:pPr>
      <w:r>
        <w:t>Peek, P. M. (1991). Introduction: The Study of Divination, Past and Present. African Divination Systems: Ways of Knowing. P. M. Peek. ed. Bloomington, IN, Indiana University Press: 1–22. (My EndNote Library Library)</w:t>
      </w:r>
    </w:p>
    <w:p w14:paraId="49326B17" w14:textId="77777777" w:rsidR="00E62A22" w:rsidRDefault="00E62A22" w:rsidP="00E62A22">
      <w:pPr>
        <w:spacing w:line="240" w:lineRule="auto"/>
      </w:pPr>
      <w:r>
        <w:t>Smith, W. C. (1991). The Meaning and End of Religion. Minneapolis, Fortress Press.</w:t>
      </w:r>
    </w:p>
    <w:p w14:paraId="2E433B61" w14:textId="77777777" w:rsidR="00E62A22" w:rsidRDefault="00E62A22" w:rsidP="00E62A22">
      <w:pPr>
        <w:spacing w:line="240" w:lineRule="auto"/>
      </w:pPr>
      <w:r>
        <w:t>Struck, P. T. (2016). Divination and Human Nature: A Cognitive History of Intuition in Classical Antiquity. Princeton, Princeton University Press.</w:t>
      </w:r>
    </w:p>
    <w:p w14:paraId="263D8B70" w14:textId="77777777" w:rsidR="00E62A22" w:rsidRPr="00A1669D" w:rsidRDefault="00E62A22" w:rsidP="00A1669D">
      <w:pPr>
        <w:spacing w:after="0" w:line="276" w:lineRule="auto"/>
        <w:ind w:right="90" w:firstLine="720"/>
        <w:rPr>
          <w:rFonts w:ascii="Helvetica" w:hAnsi="Helvetica"/>
        </w:rPr>
      </w:pPr>
    </w:p>
    <w:sectPr w:rsidR="00E62A22" w:rsidRPr="00A1669D" w:rsidSect="00385E1B">
      <w:footerReference w:type="even" r:id="rId8"/>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27C07" w14:textId="77777777" w:rsidR="001E4FD2" w:rsidRDefault="001E4FD2" w:rsidP="00980FE7">
      <w:pPr>
        <w:spacing w:after="0" w:line="240" w:lineRule="auto"/>
      </w:pPr>
      <w:r>
        <w:separator/>
      </w:r>
    </w:p>
  </w:endnote>
  <w:endnote w:type="continuationSeparator" w:id="0">
    <w:p w14:paraId="301663FA" w14:textId="77777777" w:rsidR="001E4FD2" w:rsidRDefault="001E4FD2" w:rsidP="0098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13140"/>
      <w:docPartObj>
        <w:docPartGallery w:val="Page Numbers (Bottom of Page)"/>
        <w:docPartUnique/>
      </w:docPartObj>
    </w:sdtPr>
    <w:sdtContent>
      <w:p w14:paraId="349AA08C" w14:textId="51462AA3" w:rsidR="008E75D3" w:rsidRDefault="008E75D3" w:rsidP="00F31B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B4E3FA" w14:textId="77777777" w:rsidR="008E75D3" w:rsidRDefault="008E75D3" w:rsidP="008E75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1408744"/>
      <w:docPartObj>
        <w:docPartGallery w:val="Page Numbers (Bottom of Page)"/>
        <w:docPartUnique/>
      </w:docPartObj>
    </w:sdtPr>
    <w:sdtContent>
      <w:p w14:paraId="1F6018E1" w14:textId="2C8E74F5" w:rsidR="008E75D3" w:rsidRDefault="008E75D3" w:rsidP="00F31B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4315335C" w14:textId="77777777" w:rsidR="008E75D3" w:rsidRDefault="008E75D3" w:rsidP="008E75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7371F" w14:textId="77777777" w:rsidR="001E4FD2" w:rsidRDefault="001E4FD2" w:rsidP="00980FE7">
      <w:pPr>
        <w:spacing w:after="0" w:line="240" w:lineRule="auto"/>
      </w:pPr>
      <w:r>
        <w:separator/>
      </w:r>
    </w:p>
  </w:footnote>
  <w:footnote w:type="continuationSeparator" w:id="0">
    <w:p w14:paraId="219418CF" w14:textId="77777777" w:rsidR="001E4FD2" w:rsidRDefault="001E4FD2" w:rsidP="00980FE7">
      <w:pPr>
        <w:spacing w:after="0" w:line="240" w:lineRule="auto"/>
      </w:pPr>
      <w:r>
        <w:continuationSeparator/>
      </w:r>
    </w:p>
  </w:footnote>
  <w:footnote w:id="1">
    <w:p w14:paraId="168A30CE" w14:textId="5BFA5E7B" w:rsidR="00980FE7" w:rsidRDefault="00980FE7">
      <w:pPr>
        <w:pStyle w:val="FootnoteText"/>
      </w:pPr>
      <w:r>
        <w:rPr>
          <w:rStyle w:val="FootnoteReference"/>
        </w:rPr>
        <w:footnoteRef/>
      </w:r>
      <w:r>
        <w:t xml:space="preserve"> Edmund Husserl, </w:t>
      </w:r>
      <w:r w:rsidR="00385E1B" w:rsidRPr="00385E1B">
        <w:rPr>
          <w:i/>
          <w:iCs/>
        </w:rPr>
        <w:t>Ideas: General Introduction to Pure Phenomenology</w:t>
      </w:r>
      <w:r>
        <w:t xml:space="preserve"> (Milton Park: Routledge</w:t>
      </w:r>
      <w:r w:rsidR="00F752AF">
        <w:t>)</w:t>
      </w:r>
      <w:r>
        <w:t xml:space="preserve"> </w:t>
      </w:r>
      <w:r w:rsidR="00F752AF">
        <w:t>(</w:t>
      </w:r>
      <w:r w:rsidRPr="00980FE7">
        <w:t>2002</w:t>
      </w:r>
      <w:r w:rsidR="00F752AF">
        <w:t>/</w:t>
      </w:r>
      <w:r w:rsidRPr="00980FE7">
        <w:t>1931)</w:t>
      </w:r>
      <w:r w:rsidR="00F752AF">
        <w:t>,</w:t>
      </w:r>
      <w:r w:rsidR="00D253DD">
        <w:t xml:space="preserve"> p. 57</w:t>
      </w:r>
    </w:p>
  </w:footnote>
  <w:footnote w:id="2">
    <w:p w14:paraId="02211828" w14:textId="347C2ABB" w:rsidR="00D253DD" w:rsidRDefault="00D253DD">
      <w:pPr>
        <w:pStyle w:val="FootnoteText"/>
      </w:pPr>
      <w:r>
        <w:rPr>
          <w:rStyle w:val="FootnoteReference"/>
        </w:rPr>
        <w:footnoteRef/>
      </w:r>
      <w:r>
        <w:t xml:space="preserve"> </w:t>
      </w:r>
      <w:r w:rsidR="00385E1B">
        <w:t xml:space="preserve">Husserl, </w:t>
      </w:r>
      <w:r>
        <w:t>p. 60</w:t>
      </w:r>
    </w:p>
  </w:footnote>
  <w:footnote w:id="3">
    <w:p w14:paraId="220B6E99" w14:textId="191A4C5D" w:rsidR="00385E1B" w:rsidRDefault="00385E1B" w:rsidP="00DF7C77">
      <w:pPr>
        <w:pStyle w:val="FootnoteText"/>
      </w:pPr>
      <w:r>
        <w:rPr>
          <w:rStyle w:val="FootnoteReference"/>
        </w:rPr>
        <w:footnoteRef/>
      </w:r>
      <w:r>
        <w:t xml:space="preserve"> </w:t>
      </w:r>
      <w:r w:rsidRPr="0069614B">
        <w:rPr>
          <w:rFonts w:ascii="Helvetica" w:hAnsi="Helvetica" w:cs="Calibri"/>
        </w:rPr>
        <w:t>Jeanne LeVasseur</w:t>
      </w:r>
      <w:r>
        <w:rPr>
          <w:rFonts w:ascii="Helvetica" w:hAnsi="Helvetica" w:cs="Calibri"/>
        </w:rPr>
        <w:t xml:space="preserve">, </w:t>
      </w:r>
      <w:r w:rsidRPr="00385E1B">
        <w:rPr>
          <w:rFonts w:ascii="Helvetica" w:hAnsi="Helvetica" w:cs="Calibri"/>
          <w:i/>
          <w:iCs/>
        </w:rPr>
        <w:t>The Problem of Bracketing in Phenomenology</w:t>
      </w:r>
      <w:r>
        <w:rPr>
          <w:rFonts w:ascii="Helvetica" w:hAnsi="Helvetica" w:cs="Calibri"/>
        </w:rPr>
        <w:t xml:space="preserve">, </w:t>
      </w:r>
      <w:r w:rsidR="00DF7C77" w:rsidRPr="00DF7C77">
        <w:rPr>
          <w:rFonts w:ascii="Helvetica" w:hAnsi="Helvetica" w:cs="Calibri"/>
        </w:rPr>
        <w:t>Qualitative Health Research</w:t>
      </w:r>
      <w:r w:rsidR="00DF7C77">
        <w:rPr>
          <w:rFonts w:ascii="Helvetica" w:hAnsi="Helvetica" w:cs="Calibri"/>
        </w:rPr>
        <w:t xml:space="preserve">, 13.3 (2003), </w:t>
      </w:r>
      <w:r>
        <w:rPr>
          <w:rFonts w:ascii="Helvetica" w:hAnsi="Helvetica" w:cs="Calibri"/>
        </w:rPr>
        <w:t>p. 418</w:t>
      </w:r>
    </w:p>
  </w:footnote>
  <w:footnote w:id="4">
    <w:p w14:paraId="3FE140BB" w14:textId="5E190856" w:rsidR="00EA4C3F" w:rsidRDefault="00EA4C3F">
      <w:pPr>
        <w:pStyle w:val="FootnoteText"/>
      </w:pPr>
      <w:r>
        <w:rPr>
          <w:rStyle w:val="FootnoteReference"/>
        </w:rPr>
        <w:footnoteRef/>
      </w:r>
      <w:r>
        <w:t xml:space="preserve"> </w:t>
      </w:r>
      <w:r>
        <w:rPr>
          <w:rFonts w:ascii="Helvetica" w:hAnsi="Helvetica" w:cs="Calibri"/>
        </w:rPr>
        <w:t xml:space="preserve">Wilfred Cantwell Smith, </w:t>
      </w:r>
      <w:r w:rsidRPr="00F752AF">
        <w:rPr>
          <w:rFonts w:ascii="Helvetica" w:hAnsi="Helvetica" w:cs="Calibri"/>
          <w:i/>
          <w:iCs/>
        </w:rPr>
        <w:t>The Meaning and End of Religion</w:t>
      </w:r>
      <w:r>
        <w:rPr>
          <w:rFonts w:ascii="Helvetica" w:hAnsi="Helvetica" w:cs="Calibri"/>
        </w:rPr>
        <w:t xml:space="preserve">, </w:t>
      </w:r>
      <w:r w:rsidR="00F752AF">
        <w:rPr>
          <w:rFonts w:ascii="Helvetica" w:hAnsi="Helvetica" w:cs="Calibri"/>
        </w:rPr>
        <w:t>(Minneapolis</w:t>
      </w:r>
      <w:r w:rsidR="00147D55">
        <w:rPr>
          <w:rFonts w:ascii="Helvetica" w:hAnsi="Helvetica" w:cs="Calibri"/>
        </w:rPr>
        <w:t xml:space="preserve">; </w:t>
      </w:r>
      <w:r w:rsidR="00F752AF">
        <w:rPr>
          <w:rFonts w:ascii="Helvetica" w:hAnsi="Helvetica" w:cs="Calibri"/>
        </w:rPr>
        <w:t>Fortress Press) (1991), p. 11</w:t>
      </w:r>
    </w:p>
  </w:footnote>
  <w:footnote w:id="5">
    <w:p w14:paraId="5DB2726C" w14:textId="6C4127B0" w:rsidR="00687F66" w:rsidRDefault="00687F66">
      <w:pPr>
        <w:pStyle w:val="FootnoteText"/>
      </w:pPr>
      <w:r>
        <w:rPr>
          <w:rStyle w:val="FootnoteReference"/>
        </w:rPr>
        <w:footnoteRef/>
      </w:r>
      <w:r>
        <w:t xml:space="preserve"> </w:t>
      </w:r>
      <w:r w:rsidRPr="00687F66">
        <w:rPr>
          <w:rFonts w:ascii="Helvetica" w:hAnsi="Helvetica"/>
        </w:rPr>
        <w:t>Smith</w:t>
      </w:r>
      <w:r w:rsidR="00023584">
        <w:rPr>
          <w:rFonts w:ascii="Helvetica" w:hAnsi="Helvetica"/>
        </w:rPr>
        <w:t>,</w:t>
      </w:r>
      <w:r w:rsidRPr="00687F66">
        <w:rPr>
          <w:rFonts w:ascii="Helvetica" w:hAnsi="Helvetica"/>
        </w:rPr>
        <w:t xml:space="preserve"> p. 12</w:t>
      </w:r>
    </w:p>
  </w:footnote>
  <w:footnote w:id="6">
    <w:p w14:paraId="362568EE" w14:textId="275CF4C8" w:rsidR="00687F66" w:rsidRDefault="00687F66">
      <w:pPr>
        <w:pStyle w:val="FootnoteText"/>
      </w:pPr>
      <w:r>
        <w:rPr>
          <w:rStyle w:val="FootnoteReference"/>
        </w:rPr>
        <w:footnoteRef/>
      </w:r>
      <w:r>
        <w:t xml:space="preserve"> </w:t>
      </w:r>
      <w:r w:rsidR="00023584" w:rsidRPr="00687F66">
        <w:rPr>
          <w:rFonts w:ascii="Helvetica" w:hAnsi="Helvetica"/>
        </w:rPr>
        <w:t>Smith</w:t>
      </w:r>
      <w:r w:rsidR="00023584">
        <w:rPr>
          <w:rFonts w:ascii="Helvetica" w:hAnsi="Helvetica"/>
        </w:rPr>
        <w:t>,</w:t>
      </w:r>
      <w:r w:rsidR="00023584" w:rsidRPr="00687F66">
        <w:rPr>
          <w:rFonts w:ascii="Helvetica" w:hAnsi="Helvetica"/>
        </w:rPr>
        <w:t xml:space="preserve"> </w:t>
      </w:r>
      <w:r>
        <w:t>p. 12</w:t>
      </w:r>
    </w:p>
  </w:footnote>
  <w:footnote w:id="7">
    <w:p w14:paraId="7B0836D7" w14:textId="3B0BE082" w:rsidR="007D00D8" w:rsidRDefault="007D00D8">
      <w:pPr>
        <w:pStyle w:val="FootnoteText"/>
      </w:pPr>
      <w:r>
        <w:rPr>
          <w:rStyle w:val="FootnoteReference"/>
        </w:rPr>
        <w:footnoteRef/>
      </w:r>
      <w:r>
        <w:t xml:space="preserve"> </w:t>
      </w:r>
      <w:r w:rsidR="00023584" w:rsidRPr="00687F66">
        <w:rPr>
          <w:rFonts w:ascii="Helvetica" w:hAnsi="Helvetica"/>
        </w:rPr>
        <w:t>Smith</w:t>
      </w:r>
      <w:r w:rsidR="00023584">
        <w:rPr>
          <w:rFonts w:ascii="Helvetica" w:hAnsi="Helvetica"/>
        </w:rPr>
        <w:t>,</w:t>
      </w:r>
      <w:r w:rsidR="00023584" w:rsidRPr="00687F66">
        <w:rPr>
          <w:rFonts w:ascii="Helvetica" w:hAnsi="Helvetica"/>
        </w:rPr>
        <w:t xml:space="preserve"> </w:t>
      </w:r>
      <w:r>
        <w:t>p. 170</w:t>
      </w:r>
    </w:p>
  </w:footnote>
  <w:footnote w:id="8">
    <w:p w14:paraId="035F2244" w14:textId="5900D088" w:rsidR="00C570F4" w:rsidRDefault="00C570F4">
      <w:pPr>
        <w:pStyle w:val="FootnoteText"/>
      </w:pPr>
      <w:r>
        <w:rPr>
          <w:rStyle w:val="FootnoteReference"/>
        </w:rPr>
        <w:footnoteRef/>
      </w:r>
      <w:r>
        <w:t xml:space="preserve"> </w:t>
      </w:r>
      <w:r w:rsidR="00023584" w:rsidRPr="00687F66">
        <w:rPr>
          <w:rFonts w:ascii="Helvetica" w:hAnsi="Helvetica"/>
        </w:rPr>
        <w:t>Smith</w:t>
      </w:r>
      <w:r w:rsidR="00023584">
        <w:rPr>
          <w:rFonts w:ascii="Helvetica" w:hAnsi="Helvetica"/>
        </w:rPr>
        <w:t>,</w:t>
      </w:r>
      <w:r w:rsidR="00023584" w:rsidRPr="00687F66">
        <w:rPr>
          <w:rFonts w:ascii="Helvetica" w:hAnsi="Helvetica"/>
        </w:rPr>
        <w:t xml:space="preserve"> </w:t>
      </w:r>
      <w:r w:rsidR="00023584">
        <w:rPr>
          <w:rFonts w:ascii="Helvetica" w:hAnsi="Helvetica"/>
        </w:rPr>
        <w:t>p</w:t>
      </w:r>
      <w:r>
        <w:t>. 171</w:t>
      </w:r>
    </w:p>
  </w:footnote>
  <w:footnote w:id="9">
    <w:p w14:paraId="45EE4C14" w14:textId="687553BA" w:rsidR="00147D55" w:rsidRPr="00BF5E18" w:rsidRDefault="00147D55">
      <w:pPr>
        <w:pStyle w:val="FootnoteText"/>
        <w:rPr>
          <w:rFonts w:ascii="Helvetica" w:hAnsi="Helvetica"/>
        </w:rPr>
      </w:pPr>
      <w:r>
        <w:rPr>
          <w:rStyle w:val="FootnoteReference"/>
        </w:rPr>
        <w:footnoteRef/>
      </w:r>
      <w:r>
        <w:t xml:space="preserve"> </w:t>
      </w:r>
      <w:r w:rsidRPr="00BF5E18">
        <w:rPr>
          <w:rFonts w:ascii="Helvetica" w:hAnsi="Helvetica"/>
        </w:rPr>
        <w:t xml:space="preserve">Julian Jaynes, </w:t>
      </w:r>
      <w:r w:rsidRPr="00BF5E18">
        <w:rPr>
          <w:rFonts w:ascii="Helvetica" w:hAnsi="Helvetica"/>
          <w:i/>
          <w:iCs/>
        </w:rPr>
        <w:t xml:space="preserve">The Origin of Consciousness in the Breakdown of the Bicameral Mind, </w:t>
      </w:r>
      <w:r w:rsidRPr="00BF5E18">
        <w:rPr>
          <w:rFonts w:ascii="Helvetica" w:hAnsi="Helvetica"/>
        </w:rPr>
        <w:t>(New York; Mariner Books) (2000), p. 69</w:t>
      </w:r>
    </w:p>
  </w:footnote>
  <w:footnote w:id="10">
    <w:p w14:paraId="5E3F16AD" w14:textId="170332CD" w:rsidR="0051184C" w:rsidRPr="00BF5E18" w:rsidRDefault="0051184C">
      <w:pPr>
        <w:pStyle w:val="FootnoteText"/>
        <w:rPr>
          <w:rFonts w:ascii="Helvetica" w:hAnsi="Helvetica"/>
        </w:rPr>
      </w:pPr>
      <w:r w:rsidRPr="00BF5E18">
        <w:rPr>
          <w:rStyle w:val="FootnoteReference"/>
          <w:rFonts w:ascii="Helvetica" w:hAnsi="Helvetica"/>
        </w:rPr>
        <w:footnoteRef/>
      </w:r>
      <w:r w:rsidRPr="00BF5E18">
        <w:rPr>
          <w:rFonts w:ascii="Helvetica" w:hAnsi="Helvetica"/>
        </w:rPr>
        <w:t xml:space="preserve"> Jaynes, p. 70</w:t>
      </w:r>
    </w:p>
  </w:footnote>
  <w:footnote w:id="11">
    <w:p w14:paraId="7517C79B" w14:textId="39FA7B08" w:rsidR="0051184C" w:rsidRPr="00BF5E18" w:rsidRDefault="0051184C">
      <w:pPr>
        <w:pStyle w:val="FootnoteText"/>
        <w:rPr>
          <w:rFonts w:ascii="Helvetica" w:hAnsi="Helvetica"/>
        </w:rPr>
      </w:pPr>
      <w:r w:rsidRPr="00BF5E18">
        <w:rPr>
          <w:rStyle w:val="FootnoteReference"/>
          <w:rFonts w:ascii="Helvetica" w:hAnsi="Helvetica"/>
        </w:rPr>
        <w:footnoteRef/>
      </w:r>
      <w:r w:rsidRPr="00BF5E18">
        <w:rPr>
          <w:rFonts w:ascii="Helvetica" w:hAnsi="Helvetica"/>
        </w:rPr>
        <w:t xml:space="preserve"> Jaynes, p. 70-71</w:t>
      </w:r>
    </w:p>
  </w:footnote>
  <w:footnote w:id="12">
    <w:p w14:paraId="0E37D943" w14:textId="43ED74B5" w:rsidR="008C6813" w:rsidRPr="00BF5E18" w:rsidRDefault="008C6813">
      <w:pPr>
        <w:pStyle w:val="FootnoteText"/>
        <w:rPr>
          <w:rFonts w:ascii="Helvetica" w:hAnsi="Helvetica"/>
        </w:rPr>
      </w:pPr>
      <w:r w:rsidRPr="00BF5E18">
        <w:rPr>
          <w:rStyle w:val="FootnoteReference"/>
          <w:rFonts w:ascii="Helvetica" w:hAnsi="Helvetica"/>
        </w:rPr>
        <w:footnoteRef/>
      </w:r>
      <w:r w:rsidRPr="00BF5E18">
        <w:rPr>
          <w:rFonts w:ascii="Helvetica" w:hAnsi="Helvetica"/>
        </w:rPr>
        <w:t xml:space="preserve"> Jaynes, </w:t>
      </w:r>
      <w:r w:rsidR="0026065F" w:rsidRPr="00BF5E18">
        <w:rPr>
          <w:rFonts w:ascii="Helvetica" w:hAnsi="Helvetica"/>
        </w:rPr>
        <w:t>T</w:t>
      </w:r>
      <w:r w:rsidR="00DE252A" w:rsidRPr="00BF5E18">
        <w:rPr>
          <w:rFonts w:ascii="Helvetica" w:hAnsi="Helvetica"/>
        </w:rPr>
        <w:t xml:space="preserve">he </w:t>
      </w:r>
      <w:r w:rsidR="00227F53" w:rsidRPr="00BF5E18">
        <w:rPr>
          <w:rFonts w:ascii="Helvetica" w:hAnsi="Helvetica"/>
        </w:rPr>
        <w:t xml:space="preserve">phrase </w:t>
      </w:r>
      <w:r w:rsidR="00DE252A" w:rsidRPr="00BF5E18">
        <w:rPr>
          <w:rFonts w:ascii="Helvetica" w:hAnsi="Helvetica"/>
        </w:rPr>
        <w:t>‘</w:t>
      </w:r>
      <w:r w:rsidR="00DE252A" w:rsidRPr="00BF5E18">
        <w:rPr>
          <w:rFonts w:ascii="Helvetica" w:hAnsi="Helvetica" w:cs="Calibri"/>
        </w:rPr>
        <w:t xml:space="preserve">auditory hallucination’ is </w:t>
      </w:r>
      <w:r w:rsidR="00227F53" w:rsidRPr="00BF5E18">
        <w:rPr>
          <w:rFonts w:ascii="Helvetica" w:hAnsi="Helvetica"/>
        </w:rPr>
        <w:t xml:space="preserve">used throughout; see especially </w:t>
      </w:r>
      <w:r w:rsidR="00227F53" w:rsidRPr="00BF5E18">
        <w:rPr>
          <w:rFonts w:ascii="Helvetica" w:hAnsi="Helvetica"/>
          <w:i/>
          <w:iCs/>
        </w:rPr>
        <w:t xml:space="preserve">Chapter </w:t>
      </w:r>
      <w:r w:rsidR="004B330B" w:rsidRPr="00BF5E18">
        <w:rPr>
          <w:rFonts w:ascii="Helvetica" w:hAnsi="Helvetica"/>
          <w:i/>
          <w:iCs/>
        </w:rPr>
        <w:t>5 The Double Brain</w:t>
      </w:r>
      <w:r w:rsidR="004B330B" w:rsidRPr="00BF5E18">
        <w:rPr>
          <w:rFonts w:ascii="Helvetica" w:hAnsi="Helvetica"/>
        </w:rPr>
        <w:t>, p. 100-125, for a technical discussion of the bicameral brain and its functioning.</w:t>
      </w:r>
    </w:p>
  </w:footnote>
  <w:footnote w:id="13">
    <w:p w14:paraId="34744808" w14:textId="1E8BEE61" w:rsidR="008C6813" w:rsidRPr="00BF5E18" w:rsidRDefault="008C6813">
      <w:pPr>
        <w:pStyle w:val="FootnoteText"/>
        <w:rPr>
          <w:rFonts w:ascii="Helvetica" w:hAnsi="Helvetica"/>
        </w:rPr>
      </w:pPr>
      <w:r w:rsidRPr="00BF5E18">
        <w:rPr>
          <w:rStyle w:val="FootnoteReference"/>
          <w:rFonts w:ascii="Helvetica" w:hAnsi="Helvetica"/>
        </w:rPr>
        <w:footnoteRef/>
      </w:r>
      <w:r w:rsidRPr="00BF5E18">
        <w:rPr>
          <w:rFonts w:ascii="Helvetica" w:hAnsi="Helvetica"/>
        </w:rPr>
        <w:t xml:space="preserve"> Jaynes, p. 317</w:t>
      </w:r>
    </w:p>
  </w:footnote>
  <w:footnote w:id="14">
    <w:p w14:paraId="3A1CA9B3" w14:textId="570FF986" w:rsidR="00DE252A" w:rsidRPr="00BF6505" w:rsidRDefault="00DE252A">
      <w:pPr>
        <w:pStyle w:val="FootnoteText"/>
        <w:rPr>
          <w:rFonts w:ascii="Helvetica" w:hAnsi="Helvetica"/>
        </w:rPr>
      </w:pPr>
      <w:r w:rsidRPr="00BF5E18">
        <w:rPr>
          <w:rStyle w:val="FootnoteReference"/>
          <w:rFonts w:ascii="Helvetica" w:hAnsi="Helvetica"/>
        </w:rPr>
        <w:footnoteRef/>
      </w:r>
      <w:r w:rsidRPr="00BF5E18">
        <w:rPr>
          <w:rFonts w:ascii="Helvetica" w:hAnsi="Helvetica"/>
        </w:rPr>
        <w:t xml:space="preserve"> </w:t>
      </w:r>
      <w:r w:rsidRPr="00BF6505">
        <w:rPr>
          <w:rFonts w:ascii="Helvetica" w:hAnsi="Helvetica"/>
        </w:rPr>
        <w:t xml:space="preserve">Jack Hunter, ‘Engaging the Anomalous: Reflections from the Anthropology of the Paranormal’, </w:t>
      </w:r>
      <w:r w:rsidRPr="00BF6505">
        <w:rPr>
          <w:rFonts w:ascii="Helvetica" w:hAnsi="Helvetica"/>
          <w:i/>
          <w:iCs/>
        </w:rPr>
        <w:t>European Journal of Psychotherapy &amp; Counselling</w:t>
      </w:r>
      <w:r w:rsidRPr="00BF6505">
        <w:rPr>
          <w:rFonts w:ascii="Helvetica" w:hAnsi="Helvetica"/>
        </w:rPr>
        <w:t>, 18.2 (2016), pp. 17</w:t>
      </w:r>
      <w:r w:rsidR="00AC3C73" w:rsidRPr="00BF6505">
        <w:rPr>
          <w:rFonts w:ascii="Helvetica" w:hAnsi="Helvetica"/>
        </w:rPr>
        <w:t>2</w:t>
      </w:r>
    </w:p>
  </w:footnote>
  <w:footnote w:id="15">
    <w:p w14:paraId="28D20BB6" w14:textId="4B4F2A43" w:rsidR="0026065F" w:rsidRPr="00BF6505" w:rsidRDefault="0026065F">
      <w:pPr>
        <w:pStyle w:val="FootnoteText"/>
        <w:rPr>
          <w:rFonts w:ascii="Helvetica" w:hAnsi="Helvetica"/>
        </w:rPr>
      </w:pPr>
      <w:r w:rsidRPr="00BF6505">
        <w:rPr>
          <w:rStyle w:val="FootnoteReference"/>
          <w:rFonts w:ascii="Helvetica" w:hAnsi="Helvetica"/>
        </w:rPr>
        <w:footnoteRef/>
      </w:r>
      <w:r w:rsidRPr="00BF6505">
        <w:rPr>
          <w:rFonts w:ascii="Helvetica" w:hAnsi="Helvetica"/>
        </w:rPr>
        <w:t xml:space="preserve"> Hunter, p. 173</w:t>
      </w:r>
    </w:p>
  </w:footnote>
  <w:footnote w:id="16">
    <w:p w14:paraId="06B29A77" w14:textId="5955245F" w:rsidR="00EE2DA1" w:rsidRPr="00BF6505" w:rsidRDefault="00EE2DA1">
      <w:pPr>
        <w:pStyle w:val="FootnoteText"/>
        <w:rPr>
          <w:rFonts w:ascii="Helvetica" w:hAnsi="Helvetica"/>
        </w:rPr>
      </w:pPr>
      <w:r w:rsidRPr="00BF6505">
        <w:rPr>
          <w:rStyle w:val="FootnoteReference"/>
          <w:rFonts w:ascii="Helvetica" w:hAnsi="Helvetica"/>
        </w:rPr>
        <w:footnoteRef/>
      </w:r>
      <w:r w:rsidRPr="00BF6505">
        <w:rPr>
          <w:rFonts w:ascii="Helvetica" w:hAnsi="Helvetica"/>
        </w:rPr>
        <w:t xml:space="preserve"> Emily </w:t>
      </w:r>
      <w:proofErr w:type="spellStart"/>
      <w:r w:rsidRPr="00BF6505">
        <w:rPr>
          <w:rFonts w:ascii="Helvetica" w:hAnsi="Helvetica"/>
        </w:rPr>
        <w:t>McAvian</w:t>
      </w:r>
      <w:proofErr w:type="spellEnd"/>
      <w:r w:rsidR="009F3778" w:rsidRPr="00BF6505">
        <w:rPr>
          <w:rFonts w:ascii="Helvetica" w:hAnsi="Helvetica"/>
        </w:rPr>
        <w:t xml:space="preserve">, </w:t>
      </w:r>
      <w:r w:rsidR="009F3778" w:rsidRPr="00BF6505">
        <w:rPr>
          <w:rFonts w:ascii="Helvetica" w:hAnsi="Helvetica" w:cs="Helvetica Neue"/>
          <w:color w:val="000000"/>
          <w:kern w:val="0"/>
        </w:rPr>
        <w:t xml:space="preserve">Chapter 2  The </w:t>
      </w:r>
      <w:proofErr w:type="spellStart"/>
      <w:r w:rsidR="009F3778" w:rsidRPr="00BF6505">
        <w:rPr>
          <w:rFonts w:ascii="Helvetica" w:hAnsi="Helvetica" w:cs="Helvetica Neue"/>
          <w:color w:val="000000"/>
          <w:kern w:val="0"/>
        </w:rPr>
        <w:t>Divinalien</w:t>
      </w:r>
      <w:proofErr w:type="spellEnd"/>
      <w:r w:rsidR="009F3778" w:rsidRPr="00BF6505">
        <w:rPr>
          <w:rFonts w:ascii="Helvetica" w:hAnsi="Helvetica" w:cs="Helvetica Neue"/>
          <w:color w:val="000000"/>
          <w:kern w:val="0"/>
        </w:rPr>
        <w:t xml:space="preserve">: On Divine Alterity, </w:t>
      </w:r>
      <w:r w:rsidR="009F3778" w:rsidRPr="00BF6505">
        <w:rPr>
          <w:rFonts w:ascii="Helvetica" w:hAnsi="Helvetica" w:cs="Helvetica Neue"/>
          <w:i/>
          <w:iCs/>
          <w:color w:val="000000"/>
          <w:kern w:val="0"/>
        </w:rPr>
        <w:t>A Phenomenology of the Alien Encounters with the Weird and Inscrutable Other</w:t>
      </w:r>
      <w:r w:rsidR="009F3778" w:rsidRPr="00BF6505">
        <w:rPr>
          <w:rFonts w:ascii="Helvetica" w:hAnsi="Helvetica" w:cs="Helvetica Neue"/>
          <w:color w:val="000000"/>
          <w:kern w:val="0"/>
        </w:rPr>
        <w:t>, ed. by Aaron B. Daniels, (London:</w:t>
      </w:r>
      <w:r w:rsidR="00BF6505" w:rsidRPr="00BF6505">
        <w:rPr>
          <w:rFonts w:ascii="Helvetica" w:hAnsi="Helvetica" w:cs="Helvetica Neue"/>
          <w:color w:val="000000"/>
          <w:kern w:val="0"/>
        </w:rPr>
        <w:t xml:space="preserve"> </w:t>
      </w:r>
      <w:r w:rsidR="009F3778" w:rsidRPr="00BF6505">
        <w:rPr>
          <w:rFonts w:ascii="Helvetica" w:hAnsi="Helvetica" w:cs="Helvetica Neue"/>
          <w:color w:val="000000"/>
          <w:kern w:val="0"/>
        </w:rPr>
        <w:t>Routledge)</w:t>
      </w:r>
      <w:r w:rsidR="00BF6505" w:rsidRPr="00BF6505">
        <w:rPr>
          <w:rFonts w:ascii="Helvetica" w:hAnsi="Helvetica" w:cs="Helvetica Neue"/>
          <w:color w:val="000000"/>
          <w:kern w:val="0"/>
        </w:rPr>
        <w:t xml:space="preserve"> (2025)</w:t>
      </w:r>
    </w:p>
  </w:footnote>
  <w:footnote w:id="17">
    <w:p w14:paraId="29C8C98A" w14:textId="06A86747" w:rsidR="00020159" w:rsidRPr="00F536D6" w:rsidRDefault="00020159" w:rsidP="00A1239E">
      <w:pPr>
        <w:spacing w:after="0" w:line="276" w:lineRule="auto"/>
        <w:rPr>
          <w:rFonts w:ascii="Helvetica" w:hAnsi="Helvetica"/>
          <w:sz w:val="20"/>
          <w:szCs w:val="20"/>
        </w:rPr>
      </w:pPr>
      <w:r w:rsidRPr="00BF6505">
        <w:rPr>
          <w:rStyle w:val="FootnoteReference"/>
          <w:rFonts w:ascii="Helvetica" w:hAnsi="Helvetica"/>
          <w:sz w:val="20"/>
          <w:szCs w:val="20"/>
        </w:rPr>
        <w:footnoteRef/>
      </w:r>
      <w:r w:rsidRPr="00BF6505">
        <w:rPr>
          <w:rFonts w:ascii="Helvetica" w:hAnsi="Helvetica"/>
          <w:sz w:val="20"/>
          <w:szCs w:val="20"/>
        </w:rPr>
        <w:t xml:space="preserve"> </w:t>
      </w:r>
      <w:r w:rsidR="00BF5E18" w:rsidRPr="00BF6505">
        <w:rPr>
          <w:rFonts w:ascii="Helvetica" w:hAnsi="Helvetica"/>
          <w:sz w:val="20"/>
          <w:szCs w:val="20"/>
        </w:rPr>
        <w:t xml:space="preserve">Pew Research Center, February 2025, ‘Decline of </w:t>
      </w:r>
      <w:r w:rsidR="00BF5E18" w:rsidRPr="00F536D6">
        <w:rPr>
          <w:rFonts w:ascii="Helvetica" w:hAnsi="Helvetica"/>
          <w:sz w:val="20"/>
          <w:szCs w:val="20"/>
        </w:rPr>
        <w:t>Christianity in the U.S. Has Slowed, May Have Leveled Off’, p. 11 &lt; https://www.pewresearch.org/wp-content/uploads/sites/20/2025/02/PR_2025.02.26_religious-landscape-study_report.pdf&gt; [Accessed July 24, 2025]</w:t>
      </w:r>
    </w:p>
  </w:footnote>
  <w:footnote w:id="18">
    <w:p w14:paraId="70025646" w14:textId="598763E7" w:rsidR="00A1239E" w:rsidRPr="00F536D6" w:rsidRDefault="00A1239E">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w:t>
      </w:r>
      <w:r w:rsidR="00091CAD">
        <w:rPr>
          <w:rFonts w:ascii="Helvetica" w:hAnsi="Helvetica"/>
        </w:rPr>
        <w:t xml:space="preserve">Marcus Tullius </w:t>
      </w:r>
      <w:r w:rsidRPr="00F536D6">
        <w:rPr>
          <w:rFonts w:ascii="Helvetica" w:hAnsi="Helvetica"/>
        </w:rPr>
        <w:t>Cicero, and William Armistead Falconer, </w:t>
      </w:r>
      <w:r w:rsidRPr="00F536D6">
        <w:rPr>
          <w:rFonts w:ascii="Helvetica" w:hAnsi="Helvetica"/>
          <w:i/>
          <w:iCs/>
        </w:rPr>
        <w:t xml:space="preserve">De </w:t>
      </w:r>
      <w:proofErr w:type="spellStart"/>
      <w:r w:rsidRPr="00F536D6">
        <w:rPr>
          <w:rFonts w:ascii="Helvetica" w:hAnsi="Helvetica"/>
          <w:i/>
          <w:iCs/>
        </w:rPr>
        <w:t>Senectute</w:t>
      </w:r>
      <w:proofErr w:type="spellEnd"/>
      <w:r w:rsidRPr="00F536D6">
        <w:rPr>
          <w:rFonts w:ascii="Helvetica" w:hAnsi="Helvetica" w:cs="Arial"/>
          <w:i/>
          <w:iCs/>
        </w:rPr>
        <w:t> </w:t>
      </w:r>
      <w:r w:rsidRPr="00F536D6">
        <w:rPr>
          <w:rFonts w:ascii="Helvetica" w:hAnsi="Helvetica"/>
          <w:i/>
          <w:iCs/>
        </w:rPr>
        <w:t>; De Amicitia</w:t>
      </w:r>
      <w:r w:rsidRPr="00F536D6">
        <w:rPr>
          <w:rFonts w:ascii="Helvetica" w:hAnsi="Helvetica" w:cs="Arial"/>
          <w:i/>
          <w:iCs/>
        </w:rPr>
        <w:t> </w:t>
      </w:r>
      <w:r w:rsidRPr="00F536D6">
        <w:rPr>
          <w:rFonts w:ascii="Helvetica" w:hAnsi="Helvetica"/>
          <w:i/>
          <w:iCs/>
        </w:rPr>
        <w:t>; De Divinatione</w:t>
      </w:r>
      <w:r w:rsidRPr="00F536D6">
        <w:rPr>
          <w:rFonts w:ascii="Helvetica" w:hAnsi="Helvetica"/>
        </w:rPr>
        <w:t xml:space="preserve"> (William Heinemann, 1964), p. </w:t>
      </w:r>
      <w:r w:rsidR="0076657B" w:rsidRPr="00F536D6">
        <w:rPr>
          <w:rFonts w:ascii="Helvetica" w:hAnsi="Helvetica"/>
        </w:rPr>
        <w:t>122-23</w:t>
      </w:r>
    </w:p>
  </w:footnote>
  <w:footnote w:id="19">
    <w:p w14:paraId="44E18601" w14:textId="67CD8CBC" w:rsidR="00D16AB6" w:rsidRPr="00F536D6" w:rsidRDefault="00D16AB6">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Phillip M. Peek, ed., ‘Introduction: The Study of Divination Present and Past’ </w:t>
      </w:r>
      <w:r w:rsidRPr="00F536D6">
        <w:rPr>
          <w:rFonts w:ascii="Helvetica" w:hAnsi="Helvetica"/>
          <w:i/>
          <w:iCs/>
        </w:rPr>
        <w:t>African Divination Systems: Ways of Knowing</w:t>
      </w:r>
      <w:r w:rsidRPr="00F536D6">
        <w:rPr>
          <w:rFonts w:ascii="Helvetica" w:hAnsi="Helvetica"/>
        </w:rPr>
        <w:t>, [Bloomington; Indiana University Press) (1991), p. 1-3</w:t>
      </w:r>
    </w:p>
  </w:footnote>
  <w:footnote w:id="20">
    <w:p w14:paraId="6DCD69EB" w14:textId="5D5D2A48" w:rsidR="00FD5F04" w:rsidRPr="00F536D6" w:rsidRDefault="00FD5F04">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Peter Struck, </w:t>
      </w:r>
      <w:r w:rsidRPr="00F536D6">
        <w:rPr>
          <w:rFonts w:ascii="Helvetica" w:hAnsi="Helvetica"/>
          <w:i/>
          <w:iCs/>
        </w:rPr>
        <w:t>Divination and Human Nature: A Cognitive History of Intuition in Classical Antiquity</w:t>
      </w:r>
      <w:r w:rsidRPr="00F536D6">
        <w:rPr>
          <w:rFonts w:ascii="Helvetica" w:hAnsi="Helvetica"/>
        </w:rPr>
        <w:t>, (Princeton; Princeton University Press) (2016), p. 3-4</w:t>
      </w:r>
    </w:p>
  </w:footnote>
  <w:footnote w:id="21">
    <w:p w14:paraId="0A778555" w14:textId="58BA3A37" w:rsidR="00F52123" w:rsidRPr="00F536D6" w:rsidRDefault="00F52123">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w:t>
      </w:r>
      <w:r w:rsidR="005B52DA" w:rsidRPr="00F536D6">
        <w:rPr>
          <w:rFonts w:ascii="Helvetica" w:hAnsi="Helvetica"/>
        </w:rPr>
        <w:t>Struck, p. 15</w:t>
      </w:r>
    </w:p>
  </w:footnote>
  <w:footnote w:id="22">
    <w:p w14:paraId="71A42AD5" w14:textId="24C34B10" w:rsidR="009D4E77" w:rsidRPr="00F536D6" w:rsidRDefault="009D4E77">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Struck, p. 9</w:t>
      </w:r>
    </w:p>
  </w:footnote>
  <w:footnote w:id="23">
    <w:p w14:paraId="55BC0FC0" w14:textId="38889467" w:rsidR="00CA5DEE" w:rsidRPr="00F536D6" w:rsidRDefault="00CA5DEE">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Struck, p. 10</w:t>
      </w:r>
    </w:p>
  </w:footnote>
  <w:footnote w:id="24">
    <w:p w14:paraId="6E078D6D" w14:textId="40FEDE23" w:rsidR="00340ED7" w:rsidRPr="003257A3" w:rsidRDefault="00340ED7">
      <w:pPr>
        <w:pStyle w:val="FootnoteText"/>
        <w:rPr>
          <w:rFonts w:ascii="Helvetica" w:hAnsi="Helvetica"/>
        </w:rPr>
      </w:pPr>
      <w:r w:rsidRPr="00F536D6">
        <w:rPr>
          <w:rStyle w:val="FootnoteReference"/>
          <w:rFonts w:ascii="Helvetica" w:hAnsi="Helvetica"/>
        </w:rPr>
        <w:footnoteRef/>
      </w:r>
      <w:r w:rsidRPr="00F536D6">
        <w:rPr>
          <w:rFonts w:ascii="Helvetica" w:hAnsi="Helvetica"/>
        </w:rPr>
        <w:t xml:space="preserve"> </w:t>
      </w:r>
      <w:r w:rsidR="00F536D6" w:rsidRPr="002C259A">
        <w:rPr>
          <w:rFonts w:ascii="Helvetica" w:hAnsi="Helvetica"/>
        </w:rPr>
        <w:t xml:space="preserve">Edward Evans-Pritchard, </w:t>
      </w:r>
      <w:r w:rsidR="00F536D6" w:rsidRPr="002C259A">
        <w:rPr>
          <w:rFonts w:ascii="Helvetica" w:hAnsi="Helvetica"/>
          <w:i/>
          <w:iCs/>
        </w:rPr>
        <w:t>"The social organization of the Azande of the Bahr-</w:t>
      </w:r>
      <w:proofErr w:type="spellStart"/>
      <w:r w:rsidR="00F536D6" w:rsidRPr="002C259A">
        <w:rPr>
          <w:rFonts w:ascii="Helvetica" w:hAnsi="Helvetica"/>
          <w:i/>
          <w:iCs/>
        </w:rPr>
        <w:t>el</w:t>
      </w:r>
      <w:proofErr w:type="spellEnd"/>
      <w:r w:rsidR="00F536D6" w:rsidRPr="002C259A">
        <w:rPr>
          <w:rFonts w:ascii="Helvetica" w:hAnsi="Helvetica"/>
          <w:i/>
          <w:iCs/>
        </w:rPr>
        <w:t>-Ghazal province of the Anglo-Egyptian Sudan"</w:t>
      </w:r>
      <w:r w:rsidR="00F536D6" w:rsidRPr="002C259A">
        <w:rPr>
          <w:rFonts w:ascii="Helvetica" w:hAnsi="Helvetica"/>
        </w:rPr>
        <w:t xml:space="preserve"> (LSE 1927) </w:t>
      </w:r>
      <w:r w:rsidR="00F536D6" w:rsidRPr="002C259A">
        <w:rPr>
          <w:rFonts w:ascii="Helvetica" w:hAnsi="Helvetica"/>
          <w:i/>
          <w:iCs/>
        </w:rPr>
        <w:br/>
      </w:r>
      <w:r w:rsidR="00F536D6" w:rsidRPr="002C259A">
        <w:rPr>
          <w:rFonts w:ascii="Helvetica" w:hAnsi="Helvetica"/>
        </w:rPr>
        <w:t>&lt; https://etheses.lse.ac.uk/102/1/Evans-Pritchard_The_social_organization_of_the_Azande_of_the_Bahr-el-</w:t>
      </w:r>
      <w:r w:rsidR="00F536D6" w:rsidRPr="003257A3">
        <w:rPr>
          <w:rFonts w:ascii="Helvetica" w:hAnsi="Helvetica"/>
        </w:rPr>
        <w:t>Ghazal_province_of_the_Anglo-Egyptian_Sudan.pdf &gt;[accessed 10 April 2025]</w:t>
      </w:r>
    </w:p>
  </w:footnote>
  <w:footnote w:id="25">
    <w:p w14:paraId="12D7E62B" w14:textId="346CFA78" w:rsidR="009C3139" w:rsidRPr="003257A3" w:rsidRDefault="009C3139" w:rsidP="0050199A">
      <w:pPr>
        <w:pStyle w:val="FootnoteText"/>
        <w:rPr>
          <w:rFonts w:ascii="Helvetica" w:hAnsi="Helvetica"/>
        </w:rPr>
      </w:pPr>
      <w:r w:rsidRPr="003257A3">
        <w:rPr>
          <w:rStyle w:val="FootnoteReference"/>
          <w:rFonts w:ascii="Helvetica" w:hAnsi="Helvetica"/>
        </w:rPr>
        <w:footnoteRef/>
      </w:r>
      <w:r w:rsidRPr="003257A3">
        <w:rPr>
          <w:rFonts w:ascii="Helvetica" w:hAnsi="Helvetica"/>
        </w:rPr>
        <w:t xml:space="preserve">  Crystal Addey, ‘Introduction: divination and knowledge in ancient Greek and Roman cultures’  </w:t>
      </w:r>
      <w:r w:rsidRPr="003257A3">
        <w:rPr>
          <w:rFonts w:ascii="Helvetica" w:hAnsi="Helvetica"/>
          <w:i/>
          <w:iCs/>
        </w:rPr>
        <w:t xml:space="preserve">Divination and Knowledge in Greco-Roman Antiquity, </w:t>
      </w:r>
      <w:r w:rsidRPr="003257A3">
        <w:rPr>
          <w:rFonts w:ascii="Helvetica" w:hAnsi="Helvetica"/>
        </w:rPr>
        <w:t>ed. by Crystal Addey, 1</w:t>
      </w:r>
      <w:r w:rsidRPr="003257A3">
        <w:rPr>
          <w:rFonts w:ascii="Helvetica" w:hAnsi="Helvetica"/>
          <w:vertAlign w:val="superscript"/>
        </w:rPr>
        <w:t>st</w:t>
      </w:r>
      <w:r w:rsidRPr="003257A3">
        <w:rPr>
          <w:rFonts w:ascii="Helvetica" w:hAnsi="Helvetica"/>
        </w:rPr>
        <w:t xml:space="preserve"> </w:t>
      </w:r>
      <w:proofErr w:type="spellStart"/>
      <w:r w:rsidRPr="003257A3">
        <w:rPr>
          <w:rFonts w:ascii="Helvetica" w:hAnsi="Helvetica"/>
        </w:rPr>
        <w:t>edn</w:t>
      </w:r>
      <w:proofErr w:type="spellEnd"/>
      <w:r w:rsidRPr="003257A3">
        <w:rPr>
          <w:rFonts w:ascii="Helvetica" w:hAnsi="Helvetica"/>
        </w:rPr>
        <w:t xml:space="preserve"> (</w:t>
      </w:r>
      <w:r w:rsidR="0050199A" w:rsidRPr="003257A3">
        <w:rPr>
          <w:rFonts w:ascii="Helvetica" w:hAnsi="Helvetica"/>
        </w:rPr>
        <w:t>Milton Park, Abingdon, Oxon) (Kindle 2022)</w:t>
      </w:r>
    </w:p>
  </w:footnote>
  <w:footnote w:id="26">
    <w:p w14:paraId="1E2D0FBB" w14:textId="31C83D1A" w:rsidR="003257A3" w:rsidRPr="003257A3" w:rsidRDefault="003257A3">
      <w:pPr>
        <w:pStyle w:val="FootnoteText"/>
        <w:rPr>
          <w:rFonts w:ascii="Helvetica" w:hAnsi="Helvetica"/>
        </w:rPr>
      </w:pPr>
      <w:r w:rsidRPr="003257A3">
        <w:rPr>
          <w:rStyle w:val="FootnoteReference"/>
          <w:rFonts w:ascii="Helvetica" w:hAnsi="Helvetica"/>
        </w:rPr>
        <w:footnoteRef/>
      </w:r>
      <w:r w:rsidRPr="003257A3">
        <w:rPr>
          <w:rFonts w:ascii="Helvetica" w:hAnsi="Helvetica"/>
        </w:rPr>
        <w:t xml:space="preserve"> Julia Van </w:t>
      </w:r>
      <w:proofErr w:type="spellStart"/>
      <w:r w:rsidRPr="003257A3">
        <w:rPr>
          <w:rFonts w:ascii="Helvetica" w:hAnsi="Helvetica"/>
        </w:rPr>
        <w:t>Rosmalen</w:t>
      </w:r>
      <w:proofErr w:type="spellEnd"/>
      <w:r w:rsidRPr="003257A3">
        <w:rPr>
          <w:rFonts w:ascii="Helvetica" w:hAnsi="Helvetica"/>
        </w:rPr>
        <w:t>, ‘</w:t>
      </w:r>
      <w:r w:rsidRPr="003257A3">
        <w:rPr>
          <w:rFonts w:ascii="Helvetica" w:hAnsi="Helvetica" w:cs="Helvetica Neue"/>
          <w:color w:val="000000"/>
          <w:kern w:val="0"/>
        </w:rPr>
        <w:t xml:space="preserve">The Liver According to the Ancient Greeks and the Etruscans’, </w:t>
      </w:r>
      <w:r w:rsidRPr="003257A3">
        <w:rPr>
          <w:rFonts w:ascii="Helvetica" w:hAnsi="Helvetica"/>
          <w:i/>
          <w:iCs/>
        </w:rPr>
        <w:t>Prometheus and the Liver through Art and Medicine</w:t>
      </w:r>
      <w:r w:rsidRPr="003257A3">
        <w:rPr>
          <w:rFonts w:ascii="Helvetica" w:hAnsi="Helvetica"/>
        </w:rPr>
        <w:t xml:space="preserve"> (Amsterdam; Amsterdam University Press) (2022) pp. 43-47</w:t>
      </w:r>
    </w:p>
  </w:footnote>
  <w:footnote w:id="27">
    <w:p w14:paraId="6863FCED" w14:textId="558956C8" w:rsidR="003257A3" w:rsidRDefault="003257A3">
      <w:pPr>
        <w:pStyle w:val="FootnoteText"/>
      </w:pPr>
      <w:r w:rsidRPr="003257A3">
        <w:rPr>
          <w:rStyle w:val="FootnoteReference"/>
          <w:rFonts w:ascii="Helvetica" w:hAnsi="Helvetica"/>
        </w:rPr>
        <w:footnoteRef/>
      </w:r>
      <w:r w:rsidRPr="003257A3">
        <w:rPr>
          <w:rFonts w:ascii="Helvetica" w:hAnsi="Helvetica"/>
        </w:rPr>
        <w:t xml:space="preserve"> Esther </w:t>
      </w:r>
      <w:proofErr w:type="spellStart"/>
      <w:r w:rsidRPr="003257A3">
        <w:rPr>
          <w:rFonts w:ascii="Helvetica" w:hAnsi="Helvetica"/>
        </w:rPr>
        <w:t>Eidinow</w:t>
      </w:r>
      <w:proofErr w:type="spellEnd"/>
      <w:r w:rsidRPr="003257A3">
        <w:rPr>
          <w:rFonts w:ascii="Helvetica" w:hAnsi="Helvetica"/>
        </w:rPr>
        <w:t xml:space="preserve">, </w:t>
      </w:r>
      <w:r w:rsidRPr="003257A3">
        <w:rPr>
          <w:rFonts w:ascii="Helvetica" w:hAnsi="Helvetica"/>
          <w:i/>
          <w:iCs/>
        </w:rPr>
        <w:t xml:space="preserve">Oracles, Curses, and Risk Among the Ancient Greeks </w:t>
      </w:r>
      <w:r w:rsidRPr="003257A3">
        <w:rPr>
          <w:rFonts w:ascii="Helvetica" w:hAnsi="Helvetica"/>
        </w:rPr>
        <w:t>(Oxford</w:t>
      </w:r>
      <w:r>
        <w:rPr>
          <w:rFonts w:ascii="Helvetica" w:hAnsi="Helvetica"/>
        </w:rPr>
        <w:t>; Oxford University Press) (</w:t>
      </w:r>
      <w:r w:rsidRPr="003257A3">
        <w:rPr>
          <w:rFonts w:ascii="Helvetica" w:hAnsi="Helvetica"/>
        </w:rPr>
        <w:t>2007) &lt;https://doi.org/10.1093/acprof:oso/9780199277780.003.0003&gt; [accessed 22 April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80A51"/>
    <w:multiLevelType w:val="hybridMultilevel"/>
    <w:tmpl w:val="FEAA6174"/>
    <w:lvl w:ilvl="0" w:tplc="5DC6DA54">
      <w:start w:val="1"/>
      <w:numFmt w:val="decimal"/>
      <w:lvlText w:val="%1."/>
      <w:lvlJc w:val="left"/>
      <w:pPr>
        <w:ind w:left="2250" w:hanging="360"/>
      </w:pPr>
      <w:rPr>
        <w:rFonts w:ascii="Arial" w:hAnsi="Arial"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16cid:durableId="416248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32"/>
    <w:rsid w:val="00020159"/>
    <w:rsid w:val="00023584"/>
    <w:rsid w:val="00035B48"/>
    <w:rsid w:val="0005282B"/>
    <w:rsid w:val="000765BB"/>
    <w:rsid w:val="00091CAD"/>
    <w:rsid w:val="000C38FB"/>
    <w:rsid w:val="000C523D"/>
    <w:rsid w:val="00117E26"/>
    <w:rsid w:val="00132FF7"/>
    <w:rsid w:val="00147D55"/>
    <w:rsid w:val="00152B6F"/>
    <w:rsid w:val="00160E6A"/>
    <w:rsid w:val="001E4FD2"/>
    <w:rsid w:val="00227F53"/>
    <w:rsid w:val="0026065F"/>
    <w:rsid w:val="002740B8"/>
    <w:rsid w:val="002C259A"/>
    <w:rsid w:val="003257A3"/>
    <w:rsid w:val="003257DF"/>
    <w:rsid w:val="00340ED7"/>
    <w:rsid w:val="00342D42"/>
    <w:rsid w:val="00385E1B"/>
    <w:rsid w:val="00386922"/>
    <w:rsid w:val="003A74F8"/>
    <w:rsid w:val="003E2570"/>
    <w:rsid w:val="0045515A"/>
    <w:rsid w:val="004B330B"/>
    <w:rsid w:val="0050199A"/>
    <w:rsid w:val="0051184C"/>
    <w:rsid w:val="005665EF"/>
    <w:rsid w:val="005B52DA"/>
    <w:rsid w:val="0060732C"/>
    <w:rsid w:val="00687F66"/>
    <w:rsid w:val="0069614B"/>
    <w:rsid w:val="006A420B"/>
    <w:rsid w:val="006A57DC"/>
    <w:rsid w:val="006E56AA"/>
    <w:rsid w:val="006E5D02"/>
    <w:rsid w:val="007324B4"/>
    <w:rsid w:val="0076233B"/>
    <w:rsid w:val="0076288A"/>
    <w:rsid w:val="00765450"/>
    <w:rsid w:val="0076657B"/>
    <w:rsid w:val="00777B00"/>
    <w:rsid w:val="0079489A"/>
    <w:rsid w:val="007C1610"/>
    <w:rsid w:val="007D00D8"/>
    <w:rsid w:val="008202FF"/>
    <w:rsid w:val="00862A73"/>
    <w:rsid w:val="00863CCD"/>
    <w:rsid w:val="008647EC"/>
    <w:rsid w:val="00886071"/>
    <w:rsid w:val="008C6813"/>
    <w:rsid w:val="008E4E41"/>
    <w:rsid w:val="008E75D3"/>
    <w:rsid w:val="00980FE7"/>
    <w:rsid w:val="009A20FC"/>
    <w:rsid w:val="009C3139"/>
    <w:rsid w:val="009D4E77"/>
    <w:rsid w:val="009E2463"/>
    <w:rsid w:val="009F3778"/>
    <w:rsid w:val="00A1239E"/>
    <w:rsid w:val="00A1669D"/>
    <w:rsid w:val="00A53DC0"/>
    <w:rsid w:val="00A7454C"/>
    <w:rsid w:val="00A8488F"/>
    <w:rsid w:val="00AC3C73"/>
    <w:rsid w:val="00AF03B4"/>
    <w:rsid w:val="00B072F5"/>
    <w:rsid w:val="00B07D93"/>
    <w:rsid w:val="00B502D7"/>
    <w:rsid w:val="00B730E0"/>
    <w:rsid w:val="00B951A0"/>
    <w:rsid w:val="00BB0AFB"/>
    <w:rsid w:val="00BF5E18"/>
    <w:rsid w:val="00BF6505"/>
    <w:rsid w:val="00C03843"/>
    <w:rsid w:val="00C570F4"/>
    <w:rsid w:val="00C66DAB"/>
    <w:rsid w:val="00C7717E"/>
    <w:rsid w:val="00CA5DEE"/>
    <w:rsid w:val="00D16AB6"/>
    <w:rsid w:val="00D253DD"/>
    <w:rsid w:val="00D62489"/>
    <w:rsid w:val="00DA0732"/>
    <w:rsid w:val="00DA0E23"/>
    <w:rsid w:val="00DC6B88"/>
    <w:rsid w:val="00DE252A"/>
    <w:rsid w:val="00DF7C77"/>
    <w:rsid w:val="00E47E23"/>
    <w:rsid w:val="00E501B1"/>
    <w:rsid w:val="00E62A22"/>
    <w:rsid w:val="00E62ED7"/>
    <w:rsid w:val="00E85EE4"/>
    <w:rsid w:val="00E96627"/>
    <w:rsid w:val="00EA4C3F"/>
    <w:rsid w:val="00EE2DA1"/>
    <w:rsid w:val="00EE7FCB"/>
    <w:rsid w:val="00F01763"/>
    <w:rsid w:val="00F52123"/>
    <w:rsid w:val="00F536D6"/>
    <w:rsid w:val="00F752AF"/>
    <w:rsid w:val="00F87BBF"/>
    <w:rsid w:val="00FD2569"/>
    <w:rsid w:val="00FD5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FC295"/>
  <w15:chartTrackingRefBased/>
  <w15:docId w15:val="{126B2334-EB31-EF4D-86BF-500813864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1A0"/>
  </w:style>
  <w:style w:type="paragraph" w:styleId="Heading1">
    <w:name w:val="heading 1"/>
    <w:basedOn w:val="Normal"/>
    <w:next w:val="Normal"/>
    <w:link w:val="Heading1Char"/>
    <w:uiPriority w:val="9"/>
    <w:qFormat/>
    <w:rsid w:val="00DA0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DA0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7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7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7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7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DA0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732"/>
    <w:rPr>
      <w:rFonts w:eastAsiaTheme="majorEastAsia" w:cstheme="majorBidi"/>
      <w:color w:val="272727" w:themeColor="text1" w:themeTint="D8"/>
    </w:rPr>
  </w:style>
  <w:style w:type="paragraph" w:styleId="Title">
    <w:name w:val="Title"/>
    <w:basedOn w:val="Normal"/>
    <w:next w:val="Normal"/>
    <w:link w:val="TitleChar"/>
    <w:uiPriority w:val="10"/>
    <w:qFormat/>
    <w:rsid w:val="00DA0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732"/>
    <w:pPr>
      <w:spacing w:before="160"/>
      <w:jc w:val="center"/>
    </w:pPr>
    <w:rPr>
      <w:i/>
      <w:iCs/>
      <w:color w:val="404040" w:themeColor="text1" w:themeTint="BF"/>
    </w:rPr>
  </w:style>
  <w:style w:type="character" w:customStyle="1" w:styleId="QuoteChar">
    <w:name w:val="Quote Char"/>
    <w:basedOn w:val="DefaultParagraphFont"/>
    <w:link w:val="Quote"/>
    <w:uiPriority w:val="29"/>
    <w:rsid w:val="00DA0732"/>
    <w:rPr>
      <w:i/>
      <w:iCs/>
      <w:color w:val="404040" w:themeColor="text1" w:themeTint="BF"/>
    </w:rPr>
  </w:style>
  <w:style w:type="paragraph" w:styleId="ListParagraph">
    <w:name w:val="List Paragraph"/>
    <w:basedOn w:val="Normal"/>
    <w:uiPriority w:val="34"/>
    <w:qFormat/>
    <w:rsid w:val="00DA0732"/>
    <w:pPr>
      <w:ind w:left="720"/>
      <w:contextualSpacing/>
    </w:pPr>
  </w:style>
  <w:style w:type="character" w:styleId="IntenseEmphasis">
    <w:name w:val="Intense Emphasis"/>
    <w:basedOn w:val="DefaultParagraphFont"/>
    <w:uiPriority w:val="21"/>
    <w:qFormat/>
    <w:rsid w:val="00DA0732"/>
    <w:rPr>
      <w:i/>
      <w:iCs/>
      <w:color w:val="0F4761" w:themeColor="accent1" w:themeShade="BF"/>
    </w:rPr>
  </w:style>
  <w:style w:type="paragraph" w:styleId="IntenseQuote">
    <w:name w:val="Intense Quote"/>
    <w:basedOn w:val="Normal"/>
    <w:next w:val="Normal"/>
    <w:link w:val="IntenseQuoteChar"/>
    <w:uiPriority w:val="30"/>
    <w:qFormat/>
    <w:rsid w:val="00DA0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732"/>
    <w:rPr>
      <w:i/>
      <w:iCs/>
      <w:color w:val="0F4761" w:themeColor="accent1" w:themeShade="BF"/>
    </w:rPr>
  </w:style>
  <w:style w:type="character" w:styleId="IntenseReference">
    <w:name w:val="Intense Reference"/>
    <w:basedOn w:val="DefaultParagraphFont"/>
    <w:uiPriority w:val="32"/>
    <w:qFormat/>
    <w:rsid w:val="00DA0732"/>
    <w:rPr>
      <w:b/>
      <w:bCs/>
      <w:smallCaps/>
      <w:color w:val="0F4761" w:themeColor="accent1" w:themeShade="BF"/>
      <w:spacing w:val="5"/>
    </w:rPr>
  </w:style>
  <w:style w:type="paragraph" w:styleId="FootnoteText">
    <w:name w:val="footnote text"/>
    <w:basedOn w:val="Normal"/>
    <w:link w:val="FootnoteTextChar"/>
    <w:uiPriority w:val="99"/>
    <w:semiHidden/>
    <w:unhideWhenUsed/>
    <w:rsid w:val="00980F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0FE7"/>
    <w:rPr>
      <w:sz w:val="20"/>
      <w:szCs w:val="20"/>
    </w:rPr>
  </w:style>
  <w:style w:type="character" w:styleId="FootnoteReference">
    <w:name w:val="footnote reference"/>
    <w:basedOn w:val="DefaultParagraphFont"/>
    <w:uiPriority w:val="99"/>
    <w:semiHidden/>
    <w:unhideWhenUsed/>
    <w:rsid w:val="00980FE7"/>
    <w:rPr>
      <w:vertAlign w:val="superscript"/>
    </w:rPr>
  </w:style>
  <w:style w:type="character" w:styleId="Hyperlink">
    <w:name w:val="Hyperlink"/>
    <w:basedOn w:val="DefaultParagraphFont"/>
    <w:uiPriority w:val="99"/>
    <w:unhideWhenUsed/>
    <w:rsid w:val="00BF5E18"/>
    <w:rPr>
      <w:color w:val="467886" w:themeColor="hyperlink"/>
      <w:u w:val="single"/>
    </w:rPr>
  </w:style>
  <w:style w:type="character" w:styleId="UnresolvedMention">
    <w:name w:val="Unresolved Mention"/>
    <w:basedOn w:val="DefaultParagraphFont"/>
    <w:uiPriority w:val="99"/>
    <w:semiHidden/>
    <w:unhideWhenUsed/>
    <w:rsid w:val="00BF5E18"/>
    <w:rPr>
      <w:color w:val="605E5C"/>
      <w:shd w:val="clear" w:color="auto" w:fill="E1DFDD"/>
    </w:rPr>
  </w:style>
  <w:style w:type="paragraph" w:styleId="NormalWeb">
    <w:name w:val="Normal (Web)"/>
    <w:basedOn w:val="Normal"/>
    <w:uiPriority w:val="99"/>
    <w:unhideWhenUsed/>
    <w:rsid w:val="003257DF"/>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Footer">
    <w:name w:val="footer"/>
    <w:basedOn w:val="Normal"/>
    <w:link w:val="FooterChar"/>
    <w:uiPriority w:val="99"/>
    <w:unhideWhenUsed/>
    <w:rsid w:val="008E7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5D3"/>
  </w:style>
  <w:style w:type="character" w:styleId="PageNumber">
    <w:name w:val="page number"/>
    <w:basedOn w:val="DefaultParagraphFont"/>
    <w:uiPriority w:val="99"/>
    <w:semiHidden/>
    <w:unhideWhenUsed/>
    <w:rsid w:val="008E7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79E43-5B80-6D44-9FEC-581FD479C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4533</Words>
  <Characters>25842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Ockels</dc:creator>
  <cp:keywords/>
  <dc:description/>
  <cp:lastModifiedBy>John Ockels</cp:lastModifiedBy>
  <cp:revision>25</cp:revision>
  <cp:lastPrinted>2025-07-24T19:43:00Z</cp:lastPrinted>
  <dcterms:created xsi:type="dcterms:W3CDTF">2025-07-24T19:55:00Z</dcterms:created>
  <dcterms:modified xsi:type="dcterms:W3CDTF">2025-07-24T20:47:00Z</dcterms:modified>
</cp:coreProperties>
</file>