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98DEB20" wp14:paraId="23B71A0D" wp14:textId="61AE6CC0">
      <w:pPr>
        <w:pStyle w:val="Heading1"/>
        <w:rPr>
          <w:noProof w:val="0"/>
          <w:lang w:val="en-GB"/>
        </w:rPr>
      </w:pPr>
      <w:r w:rsidRPr="298DEB20" w:rsidR="2AD5F67F">
        <w:rPr>
          <w:rFonts w:ascii="Aptos" w:hAnsi="Aptos" w:eastAsia="Aptos" w:cs="Aptos"/>
          <w:b w:val="1"/>
          <w:bCs w:val="1"/>
          <w:noProof w:val="0"/>
          <w:sz w:val="48"/>
          <w:szCs w:val="48"/>
          <w:lang w:val="en-GB"/>
        </w:rPr>
        <w:t xml:space="preserve">  </w:t>
      </w:r>
    </w:p>
    <w:p xmlns:wp14="http://schemas.microsoft.com/office/word/2010/wordml" w:rsidP="298DEB20" wp14:paraId="7F64FA99" wp14:textId="7D0034C5">
      <w:pPr>
        <w:pStyle w:val="Normal"/>
        <w:rPr>
          <w:rFonts w:ascii="Arial" w:hAnsi="Arial" w:eastAsia="Arial" w:cs="Arial"/>
          <w:noProof w:val="0"/>
          <w:lang w:val="en-GB"/>
        </w:rPr>
      </w:pPr>
      <w:r w:rsidRPr="298DEB20" w:rsidR="2AD5F67F">
        <w:rPr>
          <w:rFonts w:ascii="Arial" w:hAnsi="Arial" w:eastAsia="Arial" w:cs="Arial"/>
          <w:noProof w:val="0"/>
          <w:lang w:val="en-GB"/>
        </w:rPr>
        <w:t xml:space="preserve"> </w:t>
      </w:r>
      <w:r w:rsidRPr="298DEB20" w:rsidR="0C8C3C6D">
        <w:rPr>
          <w:rFonts w:ascii="Arial" w:hAnsi="Arial" w:eastAsia="Arial" w:cs="Arial"/>
          <w:noProof w:val="0"/>
          <w:lang w:val="en-GB"/>
        </w:rPr>
        <w:t>Module: English Language Teacher Education HPEN7005</w:t>
      </w:r>
    </w:p>
    <w:p xmlns:wp14="http://schemas.microsoft.com/office/word/2010/wordml" w:rsidP="298DEB20" wp14:paraId="6BDC460E" wp14:textId="76C94389">
      <w:pPr>
        <w:pStyle w:val="Normal"/>
        <w:rPr>
          <w:rFonts w:ascii="Arial" w:hAnsi="Arial" w:eastAsia="Arial" w:cs="Arial"/>
          <w:noProof w:val="0"/>
          <w:lang w:val="en-GB"/>
        </w:rPr>
      </w:pPr>
      <w:r w:rsidRPr="298DEB20" w:rsidR="0C8C3C6D">
        <w:rPr>
          <w:rFonts w:ascii="Arial" w:hAnsi="Arial" w:eastAsia="Arial" w:cs="Arial"/>
          <w:noProof w:val="0"/>
          <w:sz w:val="24"/>
          <w:szCs w:val="24"/>
          <w:lang w:val="en-GB"/>
        </w:rPr>
        <w:t xml:space="preserve"> </w:t>
      </w:r>
      <w:r w:rsidRPr="298DEB20" w:rsidR="0C8C3C6D">
        <w:rPr>
          <w:rFonts w:ascii="Arial" w:hAnsi="Arial" w:eastAsia="Arial" w:cs="Arial"/>
          <w:noProof w:val="0"/>
          <w:lang w:val="en-GB"/>
        </w:rPr>
        <w:t>Student:Melis</w:t>
      </w:r>
      <w:r w:rsidRPr="298DEB20" w:rsidR="0C8C3C6D">
        <w:rPr>
          <w:rFonts w:ascii="Arial" w:hAnsi="Arial" w:eastAsia="Arial" w:cs="Arial"/>
          <w:noProof w:val="0"/>
          <w:lang w:val="en-GB"/>
        </w:rPr>
        <w:t xml:space="preserve"> Shaban</w:t>
      </w:r>
    </w:p>
    <w:p xmlns:wp14="http://schemas.microsoft.com/office/word/2010/wordml" w:rsidP="298DEB20" wp14:paraId="35ED2C17" wp14:textId="010667CC">
      <w:pPr>
        <w:pStyle w:val="Normal"/>
        <w:rPr>
          <w:rFonts w:ascii="Arial" w:hAnsi="Arial" w:eastAsia="Arial" w:cs="Arial"/>
          <w:noProof w:val="0"/>
          <w:lang w:val="en-GB"/>
        </w:rPr>
      </w:pPr>
      <w:r w:rsidRPr="298DEB20" w:rsidR="0C8C3C6D">
        <w:rPr>
          <w:rFonts w:ascii="Arial" w:hAnsi="Arial" w:eastAsia="Arial" w:cs="Arial"/>
          <w:noProof w:val="0"/>
          <w:lang w:val="en-GB"/>
        </w:rPr>
        <w:t>Lecturer: Jessica Clapham</w:t>
      </w:r>
    </w:p>
    <w:p xmlns:wp14="http://schemas.microsoft.com/office/word/2010/wordml" w:rsidP="298DEB20" wp14:paraId="30CD0921" wp14:textId="63B7F069">
      <w:pPr>
        <w:pStyle w:val="Normal"/>
        <w:rPr>
          <w:rFonts w:ascii="Arial" w:hAnsi="Arial" w:eastAsia="Arial" w:cs="Arial"/>
          <w:noProof w:val="0"/>
          <w:lang w:val="en-GB"/>
        </w:rPr>
      </w:pPr>
    </w:p>
    <w:p xmlns:wp14="http://schemas.microsoft.com/office/word/2010/wordml" w:rsidP="298DEB20" wp14:paraId="6BED66C2" wp14:textId="7B664AD6">
      <w:pPr>
        <w:pStyle w:val="Normal"/>
        <w:rPr>
          <w:rFonts w:ascii="Arial" w:hAnsi="Arial" w:eastAsia="Arial" w:cs="Arial"/>
          <w:noProof w:val="0"/>
          <w:sz w:val="40"/>
          <w:szCs w:val="40"/>
          <w:lang w:val="en-GB"/>
        </w:rPr>
      </w:pPr>
      <w:r w:rsidRPr="298DEB20" w:rsidR="64B5E331">
        <w:rPr>
          <w:rFonts w:ascii="Arial" w:hAnsi="Arial" w:eastAsia="Arial" w:cs="Arial"/>
          <w:noProof w:val="0"/>
          <w:sz w:val="40"/>
          <w:szCs w:val="40"/>
          <w:lang w:val="en-GB"/>
        </w:rPr>
        <w:t>Critically Reviewing Lightbown and Spada (2000): Factors Affecting Second Language Learning</w:t>
      </w:r>
    </w:p>
    <w:p xmlns:wp14="http://schemas.microsoft.com/office/word/2010/wordml" w:rsidP="298DEB20" wp14:paraId="2D5CCAD9" wp14:textId="1D2465A9">
      <w:pPr>
        <w:pStyle w:val="Normal"/>
        <w:rPr>
          <w:rFonts w:ascii="Arial" w:hAnsi="Arial" w:eastAsia="Arial" w:cs="Arial"/>
          <w:noProof w:val="0"/>
          <w:lang w:val="en-GB"/>
        </w:rPr>
      </w:pPr>
    </w:p>
    <w:p xmlns:wp14="http://schemas.microsoft.com/office/word/2010/wordml" w:rsidP="298DEB20" wp14:paraId="0326A691" wp14:textId="6039021D">
      <w:pPr>
        <w:spacing w:before="240" w:beforeAutospacing="off" w:after="240" w:afterAutospacing="off"/>
        <w:rPr>
          <w:rFonts w:ascii="Arial" w:hAnsi="Arial" w:eastAsia="Arial" w:cs="Arial"/>
          <w:noProof w:val="0"/>
          <w:sz w:val="24"/>
          <w:szCs w:val="24"/>
          <w:lang w:val="en-GB"/>
        </w:rPr>
      </w:pPr>
      <w:r w:rsidRPr="298DEB20" w:rsidR="64B5E331">
        <w:rPr>
          <w:rFonts w:ascii="Arial" w:hAnsi="Arial" w:eastAsia="Arial" w:cs="Arial"/>
          <w:noProof w:val="0"/>
          <w:sz w:val="24"/>
          <w:szCs w:val="24"/>
          <w:lang w:val="en-GB"/>
        </w:rPr>
        <w:t xml:space="preserve">Second language learning is a complicated process influenced by a wide range of cognitive, </w:t>
      </w:r>
      <w:r w:rsidRPr="298DEB20" w:rsidR="64B5E331">
        <w:rPr>
          <w:rFonts w:ascii="Arial" w:hAnsi="Arial" w:eastAsia="Arial" w:cs="Arial"/>
          <w:noProof w:val="0"/>
          <w:sz w:val="24"/>
          <w:szCs w:val="24"/>
          <w:lang w:val="en-GB"/>
        </w:rPr>
        <w:t>social</w:t>
      </w:r>
      <w:r w:rsidRPr="298DEB20" w:rsidR="64B5E331">
        <w:rPr>
          <w:rFonts w:ascii="Arial" w:hAnsi="Arial" w:eastAsia="Arial" w:cs="Arial"/>
          <w:noProof w:val="0"/>
          <w:sz w:val="24"/>
          <w:szCs w:val="24"/>
          <w:lang w:val="en-GB"/>
        </w:rPr>
        <w:t xml:space="preserve"> and personal factors. Learners do not </w:t>
      </w:r>
      <w:r w:rsidRPr="298DEB20" w:rsidR="64B5E331">
        <w:rPr>
          <w:rFonts w:ascii="Arial" w:hAnsi="Arial" w:eastAsia="Arial" w:cs="Arial"/>
          <w:noProof w:val="0"/>
          <w:sz w:val="24"/>
          <w:szCs w:val="24"/>
          <w:lang w:val="en-GB"/>
        </w:rPr>
        <w:t>acquire</w:t>
      </w:r>
      <w:r w:rsidRPr="298DEB20" w:rsidR="64B5E331">
        <w:rPr>
          <w:rFonts w:ascii="Arial" w:hAnsi="Arial" w:eastAsia="Arial" w:cs="Arial"/>
          <w:noProof w:val="0"/>
          <w:sz w:val="24"/>
          <w:szCs w:val="24"/>
          <w:lang w:val="en-GB"/>
        </w:rPr>
        <w:t xml:space="preserve"> a second language in the same way, at the same speed or with the same outcomes. Some develop confidence in speaking quickly, while others show greater strength in grammar, </w:t>
      </w:r>
      <w:r w:rsidRPr="298DEB20" w:rsidR="64B5E331">
        <w:rPr>
          <w:rFonts w:ascii="Arial" w:hAnsi="Arial" w:eastAsia="Arial" w:cs="Arial"/>
          <w:noProof w:val="0"/>
          <w:sz w:val="24"/>
          <w:szCs w:val="24"/>
          <w:lang w:val="en-GB"/>
        </w:rPr>
        <w:t>reading</w:t>
      </w:r>
      <w:r w:rsidRPr="298DEB20" w:rsidR="64B5E331">
        <w:rPr>
          <w:rFonts w:ascii="Arial" w:hAnsi="Arial" w:eastAsia="Arial" w:cs="Arial"/>
          <w:noProof w:val="0"/>
          <w:sz w:val="24"/>
          <w:szCs w:val="24"/>
          <w:lang w:val="en-GB"/>
        </w:rPr>
        <w:t xml:space="preserve"> or writing. Some appear highly motivated at the beginning but later lose interest, while others progress slowly yet steadily over time. For this reason, understanding the factors that affect second language learning </w:t>
      </w:r>
      <w:r w:rsidRPr="298DEB20" w:rsidR="64B5E331">
        <w:rPr>
          <w:rFonts w:ascii="Arial" w:hAnsi="Arial" w:eastAsia="Arial" w:cs="Arial"/>
          <w:noProof w:val="0"/>
          <w:sz w:val="24"/>
          <w:szCs w:val="24"/>
          <w:lang w:val="en-GB"/>
        </w:rPr>
        <w:t>remains</w:t>
      </w:r>
      <w:r w:rsidRPr="298DEB20" w:rsidR="64B5E331">
        <w:rPr>
          <w:rFonts w:ascii="Arial" w:hAnsi="Arial" w:eastAsia="Arial" w:cs="Arial"/>
          <w:noProof w:val="0"/>
          <w:sz w:val="24"/>
          <w:szCs w:val="24"/>
          <w:lang w:val="en-GB"/>
        </w:rPr>
        <w:t xml:space="preserve"> one of the most important concerns in TESOL. Lightbown and Spada’s chapter, </w:t>
      </w:r>
      <w:r w:rsidRPr="298DEB20" w:rsidR="64B5E331">
        <w:rPr>
          <w:rFonts w:ascii="Arial" w:hAnsi="Arial" w:eastAsia="Arial" w:cs="Arial"/>
          <w:i w:val="1"/>
          <w:iCs w:val="1"/>
          <w:noProof w:val="0"/>
          <w:sz w:val="24"/>
          <w:szCs w:val="24"/>
          <w:lang w:val="en-GB"/>
        </w:rPr>
        <w:t>Factors Affecting Second Language Learning</w:t>
      </w:r>
      <w:r w:rsidRPr="298DEB20" w:rsidR="64B5E331">
        <w:rPr>
          <w:rFonts w:ascii="Arial" w:hAnsi="Arial" w:eastAsia="Arial" w:cs="Arial"/>
          <w:noProof w:val="0"/>
          <w:sz w:val="24"/>
          <w:szCs w:val="24"/>
          <w:lang w:val="en-GB"/>
        </w:rPr>
        <w:t xml:space="preserve"> (2000), offers a clear overview of key learner variables that may shape second language development. The chapter </w:t>
      </w:r>
      <w:r w:rsidRPr="298DEB20" w:rsidR="64B5E331">
        <w:rPr>
          <w:rFonts w:ascii="Arial" w:hAnsi="Arial" w:eastAsia="Arial" w:cs="Arial"/>
          <w:noProof w:val="0"/>
          <w:sz w:val="24"/>
          <w:szCs w:val="24"/>
          <w:lang w:val="en-GB"/>
        </w:rPr>
        <w:t>remains</w:t>
      </w:r>
      <w:r w:rsidRPr="298DEB20" w:rsidR="64B5E331">
        <w:rPr>
          <w:rFonts w:ascii="Arial" w:hAnsi="Arial" w:eastAsia="Arial" w:cs="Arial"/>
          <w:noProof w:val="0"/>
          <w:sz w:val="24"/>
          <w:szCs w:val="24"/>
          <w:lang w:val="en-GB"/>
        </w:rPr>
        <w:t xml:space="preserve"> important because it presents second language learning as a process affected by multiple influences rather than by one single cause.</w:t>
      </w:r>
    </w:p>
    <w:p xmlns:wp14="http://schemas.microsoft.com/office/word/2010/wordml" w:rsidP="298DEB20" wp14:paraId="7945767C" wp14:textId="4C221EE0">
      <w:pPr>
        <w:spacing w:before="240" w:beforeAutospacing="off" w:after="240" w:afterAutospacing="off"/>
        <w:rPr>
          <w:rFonts w:ascii="Arial" w:hAnsi="Arial" w:eastAsia="Arial" w:cs="Arial"/>
          <w:noProof w:val="0"/>
          <w:sz w:val="24"/>
          <w:szCs w:val="24"/>
          <w:lang w:val="en-GB"/>
        </w:rPr>
      </w:pPr>
      <w:r w:rsidRPr="298DEB20" w:rsidR="64B5E331">
        <w:rPr>
          <w:rFonts w:ascii="Arial" w:hAnsi="Arial" w:eastAsia="Arial" w:cs="Arial"/>
          <w:noProof w:val="0"/>
          <w:sz w:val="24"/>
          <w:szCs w:val="24"/>
          <w:lang w:val="en-GB"/>
        </w:rPr>
        <w:t xml:space="preserve">This essay critically reviews Lightbown and Spada’s discussion of the factors affecting second language learning. It begins by outlining what second language learning involves and summarising the main factors </w:t>
      </w:r>
      <w:r w:rsidRPr="298DEB20" w:rsidR="64B5E331">
        <w:rPr>
          <w:rFonts w:ascii="Arial" w:hAnsi="Arial" w:eastAsia="Arial" w:cs="Arial"/>
          <w:noProof w:val="0"/>
          <w:sz w:val="24"/>
          <w:szCs w:val="24"/>
          <w:lang w:val="en-GB"/>
        </w:rPr>
        <w:t>identified</w:t>
      </w:r>
      <w:r w:rsidRPr="298DEB20" w:rsidR="64B5E331">
        <w:rPr>
          <w:rFonts w:ascii="Arial" w:hAnsi="Arial" w:eastAsia="Arial" w:cs="Arial"/>
          <w:noProof w:val="0"/>
          <w:sz w:val="24"/>
          <w:szCs w:val="24"/>
          <w:lang w:val="en-GB"/>
        </w:rPr>
        <w:t xml:space="preserve"> by the authors. It then focuses in detail on </w:t>
      </w:r>
      <w:r w:rsidRPr="298DEB20" w:rsidR="64B5E331">
        <w:rPr>
          <w:rFonts w:ascii="Arial" w:hAnsi="Arial" w:eastAsia="Arial" w:cs="Arial"/>
          <w:b w:val="1"/>
          <w:bCs w:val="1"/>
          <w:noProof w:val="0"/>
          <w:sz w:val="24"/>
          <w:szCs w:val="24"/>
          <w:lang w:val="en-GB"/>
        </w:rPr>
        <w:t>motivation</w:t>
      </w:r>
      <w:r w:rsidRPr="298DEB20" w:rsidR="64B5E331">
        <w:rPr>
          <w:rFonts w:ascii="Arial" w:hAnsi="Arial" w:eastAsia="Arial" w:cs="Arial"/>
          <w:noProof w:val="0"/>
          <w:sz w:val="24"/>
          <w:szCs w:val="24"/>
          <w:lang w:val="en-GB"/>
        </w:rPr>
        <w:t xml:space="preserve">, arguing that although Lightbown and Spada rightly </w:t>
      </w:r>
      <w:r w:rsidRPr="298DEB20" w:rsidR="64B5E331">
        <w:rPr>
          <w:rFonts w:ascii="Arial" w:hAnsi="Arial" w:eastAsia="Arial" w:cs="Arial"/>
          <w:noProof w:val="0"/>
          <w:sz w:val="24"/>
          <w:szCs w:val="24"/>
          <w:lang w:val="en-GB"/>
        </w:rPr>
        <w:t>identify</w:t>
      </w:r>
      <w:r w:rsidRPr="298DEB20" w:rsidR="64B5E331">
        <w:rPr>
          <w:rFonts w:ascii="Arial" w:hAnsi="Arial" w:eastAsia="Arial" w:cs="Arial"/>
          <w:noProof w:val="0"/>
          <w:sz w:val="24"/>
          <w:szCs w:val="24"/>
          <w:lang w:val="en-GB"/>
        </w:rPr>
        <w:t xml:space="preserve"> it as a major influence, more recent TESOL scholarship shows that motivation is not simply an internal learner trait but a dynamic and socially shaped process. The essay argues that the chapter is valuable for its clarity, </w:t>
      </w:r>
      <w:r w:rsidRPr="298DEB20" w:rsidR="64B5E331">
        <w:rPr>
          <w:rFonts w:ascii="Arial" w:hAnsi="Arial" w:eastAsia="Arial" w:cs="Arial"/>
          <w:noProof w:val="0"/>
          <w:sz w:val="24"/>
          <w:szCs w:val="24"/>
          <w:lang w:val="en-GB"/>
        </w:rPr>
        <w:t>balance</w:t>
      </w:r>
      <w:r w:rsidRPr="298DEB20" w:rsidR="64B5E331">
        <w:rPr>
          <w:rFonts w:ascii="Arial" w:hAnsi="Arial" w:eastAsia="Arial" w:cs="Arial"/>
          <w:noProof w:val="0"/>
          <w:sz w:val="24"/>
          <w:szCs w:val="24"/>
          <w:lang w:val="en-GB"/>
        </w:rPr>
        <w:t xml:space="preserve"> and relevance to teaching, but that some of its treatment of learner factors is necessarily limited when compared with later developments in second language acquisition research.</w:t>
      </w:r>
    </w:p>
    <w:p xmlns:wp14="http://schemas.microsoft.com/office/word/2010/wordml" w:rsidP="298DEB20" wp14:paraId="63BBC389" wp14:textId="74FCE1DA">
      <w:pPr>
        <w:spacing w:before="240" w:beforeAutospacing="off" w:after="240" w:afterAutospacing="off"/>
        <w:rPr>
          <w:rFonts w:ascii="Arial" w:hAnsi="Arial" w:eastAsia="Arial" w:cs="Arial"/>
          <w:noProof w:val="0"/>
          <w:sz w:val="24"/>
          <w:szCs w:val="24"/>
          <w:lang w:val="en-GB"/>
        </w:rPr>
      </w:pPr>
      <w:r w:rsidRPr="298DEB20" w:rsidR="64B5E331">
        <w:rPr>
          <w:rFonts w:ascii="Arial" w:hAnsi="Arial" w:eastAsia="Arial" w:cs="Arial"/>
          <w:noProof w:val="0"/>
          <w:sz w:val="24"/>
          <w:szCs w:val="24"/>
          <w:lang w:val="en-GB"/>
        </w:rPr>
        <w:t xml:space="preserve">Second language learning involves much more than learning vocabulary lists or grammatical rules. It is a gradual process in which learners develop the ability to understand, </w:t>
      </w:r>
      <w:r w:rsidRPr="298DEB20" w:rsidR="64B5E331">
        <w:rPr>
          <w:rFonts w:ascii="Arial" w:hAnsi="Arial" w:eastAsia="Arial" w:cs="Arial"/>
          <w:noProof w:val="0"/>
          <w:sz w:val="24"/>
          <w:szCs w:val="24"/>
          <w:lang w:val="en-GB"/>
        </w:rPr>
        <w:t>interpret</w:t>
      </w:r>
      <w:r w:rsidRPr="298DEB20" w:rsidR="64B5E331">
        <w:rPr>
          <w:rFonts w:ascii="Arial" w:hAnsi="Arial" w:eastAsia="Arial" w:cs="Arial"/>
          <w:noProof w:val="0"/>
          <w:sz w:val="24"/>
          <w:szCs w:val="24"/>
          <w:lang w:val="en-GB"/>
        </w:rPr>
        <w:t xml:space="preserve"> and use another language in meaningful ways. This includes gaining knowledge of pronunciation, grammar, vocabulary, discourse </w:t>
      </w:r>
      <w:r w:rsidRPr="298DEB20" w:rsidR="64B5E331">
        <w:rPr>
          <w:rFonts w:ascii="Arial" w:hAnsi="Arial" w:eastAsia="Arial" w:cs="Arial"/>
          <w:noProof w:val="0"/>
          <w:sz w:val="24"/>
          <w:szCs w:val="24"/>
          <w:lang w:val="en-GB"/>
        </w:rPr>
        <w:t>patterns</w:t>
      </w:r>
      <w:r w:rsidRPr="298DEB20" w:rsidR="64B5E331">
        <w:rPr>
          <w:rFonts w:ascii="Arial" w:hAnsi="Arial" w:eastAsia="Arial" w:cs="Arial"/>
          <w:noProof w:val="0"/>
          <w:sz w:val="24"/>
          <w:szCs w:val="24"/>
          <w:lang w:val="en-GB"/>
        </w:rPr>
        <w:t xml:space="preserve"> and pragmatic use, but also learning how to </w:t>
      </w:r>
      <w:r w:rsidRPr="298DEB20" w:rsidR="64B5E331">
        <w:rPr>
          <w:rFonts w:ascii="Arial" w:hAnsi="Arial" w:eastAsia="Arial" w:cs="Arial"/>
          <w:noProof w:val="0"/>
          <w:sz w:val="24"/>
          <w:szCs w:val="24"/>
          <w:lang w:val="en-GB"/>
        </w:rPr>
        <w:t>participate</w:t>
      </w:r>
      <w:r w:rsidRPr="298DEB20" w:rsidR="64B5E331">
        <w:rPr>
          <w:rFonts w:ascii="Arial" w:hAnsi="Arial" w:eastAsia="Arial" w:cs="Arial"/>
          <w:noProof w:val="0"/>
          <w:sz w:val="24"/>
          <w:szCs w:val="24"/>
          <w:lang w:val="en-GB"/>
        </w:rPr>
        <w:t xml:space="preserve"> in real social and communicative contexts. Second language learning is therefore not only a cognitive activity but also a social and emotional one. Learners must process language input, notice patterns, remember forms, test </w:t>
      </w:r>
      <w:r w:rsidRPr="298DEB20" w:rsidR="64B5E331">
        <w:rPr>
          <w:rFonts w:ascii="Arial" w:hAnsi="Arial" w:eastAsia="Arial" w:cs="Arial"/>
          <w:noProof w:val="0"/>
          <w:sz w:val="24"/>
          <w:szCs w:val="24"/>
          <w:lang w:val="en-GB"/>
        </w:rPr>
        <w:t>hypotheses</w:t>
      </w:r>
      <w:r w:rsidRPr="298DEB20" w:rsidR="64B5E331">
        <w:rPr>
          <w:rFonts w:ascii="Arial" w:hAnsi="Arial" w:eastAsia="Arial" w:cs="Arial"/>
          <w:noProof w:val="0"/>
          <w:sz w:val="24"/>
          <w:szCs w:val="24"/>
          <w:lang w:val="en-GB"/>
        </w:rPr>
        <w:t xml:space="preserve"> and use the language for genuine communication. As Ellis (1994) explains, second language acquisition results from the interaction of internal learner capacities and external learning conditions. Similarly, Mitchell, Myles and Marsden (2013) argue that second language learning develops through exposure, </w:t>
      </w:r>
      <w:r w:rsidRPr="298DEB20" w:rsidR="64B5E331">
        <w:rPr>
          <w:rFonts w:ascii="Arial" w:hAnsi="Arial" w:eastAsia="Arial" w:cs="Arial"/>
          <w:noProof w:val="0"/>
          <w:sz w:val="24"/>
          <w:szCs w:val="24"/>
          <w:lang w:val="en-GB"/>
        </w:rPr>
        <w:t>interaction</w:t>
      </w:r>
      <w:r w:rsidRPr="298DEB20" w:rsidR="64B5E331">
        <w:rPr>
          <w:rFonts w:ascii="Arial" w:hAnsi="Arial" w:eastAsia="Arial" w:cs="Arial"/>
          <w:noProof w:val="0"/>
          <w:sz w:val="24"/>
          <w:szCs w:val="24"/>
          <w:lang w:val="en-GB"/>
        </w:rPr>
        <w:t xml:space="preserve"> and mental processing, but also through participation in social practices. This complexity explains why individuals experience language learning differently.</w:t>
      </w:r>
    </w:p>
    <w:p xmlns:wp14="http://schemas.microsoft.com/office/word/2010/wordml" w:rsidP="298DEB20" wp14:paraId="3B2D43D2" wp14:textId="076E7FC3">
      <w:pPr>
        <w:spacing w:before="240" w:beforeAutospacing="off" w:after="240" w:afterAutospacing="off"/>
        <w:rPr>
          <w:rFonts w:ascii="Arial" w:hAnsi="Arial" w:eastAsia="Arial" w:cs="Arial"/>
          <w:noProof w:val="0"/>
          <w:sz w:val="24"/>
          <w:szCs w:val="24"/>
          <w:lang w:val="en-GB"/>
        </w:rPr>
      </w:pPr>
      <w:r w:rsidRPr="298DEB20" w:rsidR="64B5E331">
        <w:rPr>
          <w:rFonts w:ascii="Arial" w:hAnsi="Arial" w:eastAsia="Arial" w:cs="Arial"/>
          <w:noProof w:val="0"/>
          <w:sz w:val="24"/>
          <w:szCs w:val="24"/>
          <w:lang w:val="en-GB"/>
        </w:rPr>
        <w:t xml:space="preserve">One of the strengths of Lightbown and Spada’s chapter is that it avoids presenting second language learning as a fixed or predictable process. Instead, the authors explore how individual differences among learners may affect the rate and quality of learning. They discuss </w:t>
      </w:r>
      <w:r w:rsidRPr="298DEB20" w:rsidR="64B5E331">
        <w:rPr>
          <w:rFonts w:ascii="Arial" w:hAnsi="Arial" w:eastAsia="Arial" w:cs="Arial"/>
          <w:noProof w:val="0"/>
          <w:sz w:val="24"/>
          <w:szCs w:val="24"/>
          <w:lang w:val="en-GB"/>
        </w:rPr>
        <w:t>a number of</w:t>
      </w:r>
      <w:r w:rsidRPr="298DEB20" w:rsidR="64B5E331">
        <w:rPr>
          <w:rFonts w:ascii="Arial" w:hAnsi="Arial" w:eastAsia="Arial" w:cs="Arial"/>
          <w:noProof w:val="0"/>
          <w:sz w:val="24"/>
          <w:szCs w:val="24"/>
          <w:lang w:val="en-GB"/>
        </w:rPr>
        <w:t xml:space="preserve"> key factors, including intelligence, aptitude, personality, motivation and attitudes, learner preferences, learner beliefs, and age of acquisition (Lightbown and Spada, 2000). These factors are presented not as isolated explanations but as </w:t>
      </w:r>
      <w:r w:rsidRPr="298DEB20" w:rsidR="64B5E331">
        <w:rPr>
          <w:rFonts w:ascii="Arial" w:hAnsi="Arial" w:eastAsia="Arial" w:cs="Arial"/>
          <w:noProof w:val="0"/>
          <w:sz w:val="24"/>
          <w:szCs w:val="24"/>
          <w:lang w:val="en-GB"/>
        </w:rPr>
        <w:t>possible influences</w:t>
      </w:r>
      <w:r w:rsidRPr="298DEB20" w:rsidR="64B5E331">
        <w:rPr>
          <w:rFonts w:ascii="Arial" w:hAnsi="Arial" w:eastAsia="Arial" w:cs="Arial"/>
          <w:noProof w:val="0"/>
          <w:sz w:val="24"/>
          <w:szCs w:val="24"/>
          <w:lang w:val="en-GB"/>
        </w:rPr>
        <w:t xml:space="preserve"> that interact with one another and with the learning environment. This is important because it avoids simplistic conclusions about who is or is not likely to succeed in second language learning.</w:t>
      </w:r>
    </w:p>
    <w:p xmlns:wp14="http://schemas.microsoft.com/office/word/2010/wordml" w:rsidP="298DEB20" wp14:paraId="1CAB22B7" wp14:textId="356B0C71">
      <w:pPr>
        <w:spacing w:before="240" w:beforeAutospacing="off" w:after="240" w:afterAutospacing="off"/>
        <w:rPr>
          <w:rFonts w:ascii="Arial" w:hAnsi="Arial" w:eastAsia="Arial" w:cs="Arial"/>
          <w:noProof w:val="0"/>
          <w:sz w:val="24"/>
          <w:szCs w:val="24"/>
          <w:lang w:val="en-GB"/>
        </w:rPr>
      </w:pPr>
      <w:r w:rsidRPr="298DEB20" w:rsidR="64B5E331">
        <w:rPr>
          <w:rFonts w:ascii="Arial" w:hAnsi="Arial" w:eastAsia="Arial" w:cs="Arial"/>
          <w:noProof w:val="0"/>
          <w:sz w:val="24"/>
          <w:szCs w:val="24"/>
          <w:lang w:val="en-GB"/>
        </w:rPr>
        <w:t xml:space="preserve">The first factor considered is </w:t>
      </w:r>
      <w:r w:rsidRPr="298DEB20" w:rsidR="64B5E331">
        <w:rPr>
          <w:rFonts w:ascii="Arial" w:hAnsi="Arial" w:eastAsia="Arial" w:cs="Arial"/>
          <w:b w:val="1"/>
          <w:bCs w:val="1"/>
          <w:noProof w:val="0"/>
          <w:sz w:val="24"/>
          <w:szCs w:val="24"/>
          <w:lang w:val="en-GB"/>
        </w:rPr>
        <w:t>intelligence</w:t>
      </w:r>
      <w:r w:rsidRPr="298DEB20" w:rsidR="64B5E331">
        <w:rPr>
          <w:rFonts w:ascii="Arial" w:hAnsi="Arial" w:eastAsia="Arial" w:cs="Arial"/>
          <w:noProof w:val="0"/>
          <w:sz w:val="24"/>
          <w:szCs w:val="24"/>
          <w:lang w:val="en-GB"/>
        </w:rPr>
        <w:t xml:space="preserve">. Lightbown and Spada suggest that intelligence, often measured through IQ-based or school-type academic tasks, may be relevant to some aspects of second language learning, especially where formal instruction is concerned. Learners with stronger analytical skills may do well in grammar-based activities, rule </w:t>
      </w:r>
      <w:r w:rsidRPr="298DEB20" w:rsidR="64B5E331">
        <w:rPr>
          <w:rFonts w:ascii="Arial" w:hAnsi="Arial" w:eastAsia="Arial" w:cs="Arial"/>
          <w:noProof w:val="0"/>
          <w:sz w:val="24"/>
          <w:szCs w:val="24"/>
          <w:lang w:val="en-GB"/>
        </w:rPr>
        <w:t>learning</w:t>
      </w:r>
      <w:r w:rsidRPr="298DEB20" w:rsidR="64B5E331">
        <w:rPr>
          <w:rFonts w:ascii="Arial" w:hAnsi="Arial" w:eastAsia="Arial" w:cs="Arial"/>
          <w:noProof w:val="0"/>
          <w:sz w:val="24"/>
          <w:szCs w:val="24"/>
          <w:lang w:val="en-GB"/>
        </w:rPr>
        <w:t xml:space="preserve"> or literacy-focused tasks. However, the authors are careful not to overstate its importance. They point out that intelligence does not necessarily predict success in communication, spontaneous </w:t>
      </w:r>
      <w:r w:rsidRPr="298DEB20" w:rsidR="64B5E331">
        <w:rPr>
          <w:rFonts w:ascii="Arial" w:hAnsi="Arial" w:eastAsia="Arial" w:cs="Arial"/>
          <w:noProof w:val="0"/>
          <w:sz w:val="24"/>
          <w:szCs w:val="24"/>
          <w:lang w:val="en-GB"/>
        </w:rPr>
        <w:t>speaking</w:t>
      </w:r>
      <w:r w:rsidRPr="298DEB20" w:rsidR="64B5E331">
        <w:rPr>
          <w:rFonts w:ascii="Arial" w:hAnsi="Arial" w:eastAsia="Arial" w:cs="Arial"/>
          <w:noProof w:val="0"/>
          <w:sz w:val="24"/>
          <w:szCs w:val="24"/>
          <w:lang w:val="en-GB"/>
        </w:rPr>
        <w:t xml:space="preserve"> or real-life language use. This is persuasive because second language ability is broader than academic performance alone. A learner may be excellent at analysing grammar but still struggle with interaction, while another learner may communicate effectively despite weaker performance in formal written tasks.</w:t>
      </w:r>
    </w:p>
    <w:p xmlns:wp14="http://schemas.microsoft.com/office/word/2010/wordml" w:rsidP="298DEB20" wp14:paraId="1F256821" wp14:textId="362CEA86">
      <w:pPr>
        <w:spacing w:before="240" w:beforeAutospacing="off" w:after="240" w:afterAutospacing="off"/>
        <w:rPr>
          <w:rFonts w:ascii="Arial" w:hAnsi="Arial" w:eastAsia="Arial" w:cs="Arial"/>
          <w:noProof w:val="0"/>
          <w:sz w:val="24"/>
          <w:szCs w:val="24"/>
          <w:lang w:val="en-GB"/>
        </w:rPr>
      </w:pPr>
      <w:r w:rsidRPr="298DEB20" w:rsidR="64B5E331">
        <w:rPr>
          <w:rFonts w:ascii="Arial" w:hAnsi="Arial" w:eastAsia="Arial" w:cs="Arial"/>
          <w:noProof w:val="0"/>
          <w:sz w:val="24"/>
          <w:szCs w:val="24"/>
          <w:lang w:val="en-GB"/>
        </w:rPr>
        <w:t xml:space="preserve">A closely related factor is </w:t>
      </w:r>
      <w:r w:rsidRPr="298DEB20" w:rsidR="64B5E331">
        <w:rPr>
          <w:rFonts w:ascii="Arial" w:hAnsi="Arial" w:eastAsia="Arial" w:cs="Arial"/>
          <w:b w:val="1"/>
          <w:bCs w:val="1"/>
          <w:noProof w:val="0"/>
          <w:sz w:val="24"/>
          <w:szCs w:val="24"/>
          <w:lang w:val="en-GB"/>
        </w:rPr>
        <w:t>aptitude</w:t>
      </w:r>
      <w:r w:rsidRPr="298DEB20" w:rsidR="64B5E331">
        <w:rPr>
          <w:rFonts w:ascii="Arial" w:hAnsi="Arial" w:eastAsia="Arial" w:cs="Arial"/>
          <w:noProof w:val="0"/>
          <w:sz w:val="24"/>
          <w:szCs w:val="24"/>
          <w:lang w:val="en-GB"/>
        </w:rPr>
        <w:t xml:space="preserve">. Unlike intelligence, aptitude refers more specifically to a learner’s natural capacity for language learning. Lightbown and Spada draw on earlier research to suggest that aptitude may include skills such as recognising sound patterns, </w:t>
      </w:r>
      <w:r w:rsidRPr="298DEB20" w:rsidR="64B5E331">
        <w:rPr>
          <w:rFonts w:ascii="Arial" w:hAnsi="Arial" w:eastAsia="Arial" w:cs="Arial"/>
          <w:noProof w:val="0"/>
          <w:sz w:val="24"/>
          <w:szCs w:val="24"/>
          <w:lang w:val="en-GB"/>
        </w:rPr>
        <w:t>identifying</w:t>
      </w:r>
      <w:r w:rsidRPr="298DEB20" w:rsidR="64B5E331">
        <w:rPr>
          <w:rFonts w:ascii="Arial" w:hAnsi="Arial" w:eastAsia="Arial" w:cs="Arial"/>
          <w:noProof w:val="0"/>
          <w:sz w:val="24"/>
          <w:szCs w:val="24"/>
          <w:lang w:val="en-GB"/>
        </w:rPr>
        <w:t xml:space="preserve"> grammatical </w:t>
      </w:r>
      <w:r w:rsidRPr="298DEB20" w:rsidR="64B5E331">
        <w:rPr>
          <w:rFonts w:ascii="Arial" w:hAnsi="Arial" w:eastAsia="Arial" w:cs="Arial"/>
          <w:noProof w:val="0"/>
          <w:sz w:val="24"/>
          <w:szCs w:val="24"/>
          <w:lang w:val="en-GB"/>
        </w:rPr>
        <w:t>functions</w:t>
      </w:r>
      <w:r w:rsidRPr="298DEB20" w:rsidR="64B5E331">
        <w:rPr>
          <w:rFonts w:ascii="Arial" w:hAnsi="Arial" w:eastAsia="Arial" w:cs="Arial"/>
          <w:noProof w:val="0"/>
          <w:sz w:val="24"/>
          <w:szCs w:val="24"/>
          <w:lang w:val="en-GB"/>
        </w:rPr>
        <w:t xml:space="preserve"> and </w:t>
      </w:r>
      <w:r w:rsidRPr="298DEB20" w:rsidR="64B5E331">
        <w:rPr>
          <w:rFonts w:ascii="Arial" w:hAnsi="Arial" w:eastAsia="Arial" w:cs="Arial"/>
          <w:noProof w:val="0"/>
          <w:sz w:val="24"/>
          <w:szCs w:val="24"/>
          <w:lang w:val="en-GB"/>
        </w:rPr>
        <w:t>retaining</w:t>
      </w:r>
      <w:r w:rsidRPr="298DEB20" w:rsidR="64B5E331">
        <w:rPr>
          <w:rFonts w:ascii="Arial" w:hAnsi="Arial" w:eastAsia="Arial" w:cs="Arial"/>
          <w:noProof w:val="0"/>
          <w:sz w:val="24"/>
          <w:szCs w:val="24"/>
          <w:lang w:val="en-GB"/>
        </w:rPr>
        <w:t xml:space="preserve"> language material in memory. Research by Carroll (1981) had already shown that some learners </w:t>
      </w:r>
      <w:r w:rsidRPr="298DEB20" w:rsidR="64B5E331">
        <w:rPr>
          <w:rFonts w:ascii="Arial" w:hAnsi="Arial" w:eastAsia="Arial" w:cs="Arial"/>
          <w:noProof w:val="0"/>
          <w:sz w:val="24"/>
          <w:szCs w:val="24"/>
          <w:lang w:val="en-GB"/>
        </w:rPr>
        <w:t>appear to possess</w:t>
      </w:r>
      <w:r w:rsidRPr="298DEB20" w:rsidR="64B5E331">
        <w:rPr>
          <w:rFonts w:ascii="Arial" w:hAnsi="Arial" w:eastAsia="Arial" w:cs="Arial"/>
          <w:noProof w:val="0"/>
          <w:sz w:val="24"/>
          <w:szCs w:val="24"/>
          <w:lang w:val="en-GB"/>
        </w:rPr>
        <w:t xml:space="preserve"> qualities that make language study easier, especially in formal classroom settings. Lightbown and Spada treat aptitude as </w:t>
      </w:r>
      <w:r w:rsidRPr="298DEB20" w:rsidR="64B5E331">
        <w:rPr>
          <w:rFonts w:ascii="Arial" w:hAnsi="Arial" w:eastAsia="Arial" w:cs="Arial"/>
          <w:noProof w:val="0"/>
          <w:sz w:val="24"/>
          <w:szCs w:val="24"/>
          <w:lang w:val="en-GB"/>
        </w:rPr>
        <w:t>an important factor</w:t>
      </w:r>
      <w:r w:rsidRPr="298DEB20" w:rsidR="64B5E331">
        <w:rPr>
          <w:rFonts w:ascii="Arial" w:hAnsi="Arial" w:eastAsia="Arial" w:cs="Arial"/>
          <w:noProof w:val="0"/>
          <w:sz w:val="24"/>
          <w:szCs w:val="24"/>
          <w:lang w:val="en-GB"/>
        </w:rPr>
        <w:t>, but they avoid a deterministic view. This is significant because language learning should not be understood as something available only to the “gifted</w:t>
      </w:r>
      <w:r w:rsidRPr="298DEB20" w:rsidR="64B5E331">
        <w:rPr>
          <w:rFonts w:ascii="Arial" w:hAnsi="Arial" w:eastAsia="Arial" w:cs="Arial"/>
          <w:noProof w:val="0"/>
          <w:sz w:val="24"/>
          <w:szCs w:val="24"/>
          <w:lang w:val="en-GB"/>
        </w:rPr>
        <w:t>”.</w:t>
      </w:r>
      <w:r w:rsidRPr="298DEB20" w:rsidR="64B5E331">
        <w:rPr>
          <w:rFonts w:ascii="Arial" w:hAnsi="Arial" w:eastAsia="Arial" w:cs="Arial"/>
          <w:noProof w:val="0"/>
          <w:sz w:val="24"/>
          <w:szCs w:val="24"/>
          <w:lang w:val="en-GB"/>
        </w:rPr>
        <w:t xml:space="preserve"> More recent scholars such as DeKeyser (2012) also argue that aptitude matters, particularly in adult instructed learning, but that it works differently depending on the learning context, task </w:t>
      </w:r>
      <w:r w:rsidRPr="298DEB20" w:rsidR="64B5E331">
        <w:rPr>
          <w:rFonts w:ascii="Arial" w:hAnsi="Arial" w:eastAsia="Arial" w:cs="Arial"/>
          <w:noProof w:val="0"/>
          <w:sz w:val="24"/>
          <w:szCs w:val="24"/>
          <w:lang w:val="en-GB"/>
        </w:rPr>
        <w:t>type</w:t>
      </w:r>
      <w:r w:rsidRPr="298DEB20" w:rsidR="64B5E331">
        <w:rPr>
          <w:rFonts w:ascii="Arial" w:hAnsi="Arial" w:eastAsia="Arial" w:cs="Arial"/>
          <w:noProof w:val="0"/>
          <w:sz w:val="24"/>
          <w:szCs w:val="24"/>
          <w:lang w:val="en-GB"/>
        </w:rPr>
        <w:t xml:space="preserve"> and age of the learner.</w:t>
      </w:r>
    </w:p>
    <w:p xmlns:wp14="http://schemas.microsoft.com/office/word/2010/wordml" w:rsidP="298DEB20" wp14:paraId="05440358" wp14:textId="0CE7B396">
      <w:pPr>
        <w:spacing w:before="240" w:beforeAutospacing="off" w:after="240" w:afterAutospacing="off"/>
        <w:rPr>
          <w:rFonts w:ascii="Arial" w:hAnsi="Arial" w:eastAsia="Arial" w:cs="Arial"/>
          <w:noProof w:val="0"/>
          <w:sz w:val="24"/>
          <w:szCs w:val="24"/>
          <w:lang w:val="en-GB"/>
        </w:rPr>
      </w:pPr>
      <w:r w:rsidRPr="298DEB20" w:rsidR="64B5E331">
        <w:rPr>
          <w:rFonts w:ascii="Arial" w:hAnsi="Arial" w:eastAsia="Arial" w:cs="Arial"/>
          <w:noProof w:val="0"/>
          <w:sz w:val="24"/>
          <w:szCs w:val="24"/>
          <w:lang w:val="en-GB"/>
        </w:rPr>
        <w:t xml:space="preserve">The chapter also considers </w:t>
      </w:r>
      <w:r w:rsidRPr="298DEB20" w:rsidR="64B5E331">
        <w:rPr>
          <w:rFonts w:ascii="Arial" w:hAnsi="Arial" w:eastAsia="Arial" w:cs="Arial"/>
          <w:b w:val="1"/>
          <w:bCs w:val="1"/>
          <w:noProof w:val="0"/>
          <w:sz w:val="24"/>
          <w:szCs w:val="24"/>
          <w:lang w:val="en-GB"/>
        </w:rPr>
        <w:t>personality</w:t>
      </w:r>
      <w:r w:rsidRPr="298DEB20" w:rsidR="64B5E331">
        <w:rPr>
          <w:rFonts w:ascii="Arial" w:hAnsi="Arial" w:eastAsia="Arial" w:cs="Arial"/>
          <w:noProof w:val="0"/>
          <w:sz w:val="24"/>
          <w:szCs w:val="24"/>
          <w:lang w:val="en-GB"/>
        </w:rPr>
        <w:t xml:space="preserve">, including features such as extroversion, inhibition, </w:t>
      </w:r>
      <w:r w:rsidRPr="298DEB20" w:rsidR="64B5E331">
        <w:rPr>
          <w:rFonts w:ascii="Arial" w:hAnsi="Arial" w:eastAsia="Arial" w:cs="Arial"/>
          <w:noProof w:val="0"/>
          <w:sz w:val="24"/>
          <w:szCs w:val="24"/>
          <w:lang w:val="en-GB"/>
        </w:rPr>
        <w:t>self-confidence</w:t>
      </w:r>
      <w:r w:rsidRPr="298DEB20" w:rsidR="64B5E331">
        <w:rPr>
          <w:rFonts w:ascii="Arial" w:hAnsi="Arial" w:eastAsia="Arial" w:cs="Arial"/>
          <w:noProof w:val="0"/>
          <w:sz w:val="24"/>
          <w:szCs w:val="24"/>
          <w:lang w:val="en-GB"/>
        </w:rPr>
        <w:t xml:space="preserve"> and anxiety. This section is useful because it challenges popular assumptions that outgoing learners are automatically better language learners. Lightbown and Spada note that extroverted learners may be more willing to speak and take risks, which can create more opportunities for practice, but this does not necessarily mean they are more </w:t>
      </w:r>
      <w:r w:rsidRPr="298DEB20" w:rsidR="64B5E331">
        <w:rPr>
          <w:rFonts w:ascii="Arial" w:hAnsi="Arial" w:eastAsia="Arial" w:cs="Arial"/>
          <w:noProof w:val="0"/>
          <w:sz w:val="24"/>
          <w:szCs w:val="24"/>
          <w:lang w:val="en-GB"/>
        </w:rPr>
        <w:t>accurate</w:t>
      </w:r>
      <w:r w:rsidRPr="298DEB20" w:rsidR="64B5E331">
        <w:rPr>
          <w:rFonts w:ascii="Arial" w:hAnsi="Arial" w:eastAsia="Arial" w:cs="Arial"/>
          <w:noProof w:val="0"/>
          <w:sz w:val="24"/>
          <w:szCs w:val="24"/>
          <w:lang w:val="en-GB"/>
        </w:rPr>
        <w:t xml:space="preserve"> or more successful overall. Quiet or reflective learners may perform strongly in other areas, such as reading, writing or careful language analysis. This is a valuable reminder in TESOL, since teachers may sometimes interpret talkative learners as stronger learners even when this is not always true. Personality may influence participation style, </w:t>
      </w:r>
      <w:r w:rsidRPr="298DEB20" w:rsidR="64B5E331">
        <w:rPr>
          <w:rFonts w:ascii="Arial" w:hAnsi="Arial" w:eastAsia="Arial" w:cs="Arial"/>
          <w:noProof w:val="0"/>
          <w:sz w:val="24"/>
          <w:szCs w:val="24"/>
          <w:lang w:val="en-GB"/>
        </w:rPr>
        <w:t>confidence</w:t>
      </w:r>
      <w:r w:rsidRPr="298DEB20" w:rsidR="64B5E331">
        <w:rPr>
          <w:rFonts w:ascii="Arial" w:hAnsi="Arial" w:eastAsia="Arial" w:cs="Arial"/>
          <w:noProof w:val="0"/>
          <w:sz w:val="24"/>
          <w:szCs w:val="24"/>
          <w:lang w:val="en-GB"/>
        </w:rPr>
        <w:t xml:space="preserve"> and classroom behaviour, but it does not fully </w:t>
      </w:r>
      <w:r w:rsidRPr="298DEB20" w:rsidR="64B5E331">
        <w:rPr>
          <w:rFonts w:ascii="Arial" w:hAnsi="Arial" w:eastAsia="Arial" w:cs="Arial"/>
          <w:noProof w:val="0"/>
          <w:sz w:val="24"/>
          <w:szCs w:val="24"/>
          <w:lang w:val="en-GB"/>
        </w:rPr>
        <w:t>determine</w:t>
      </w:r>
      <w:r w:rsidRPr="298DEB20" w:rsidR="64B5E331">
        <w:rPr>
          <w:rFonts w:ascii="Arial" w:hAnsi="Arial" w:eastAsia="Arial" w:cs="Arial"/>
          <w:noProof w:val="0"/>
          <w:sz w:val="24"/>
          <w:szCs w:val="24"/>
          <w:lang w:val="en-GB"/>
        </w:rPr>
        <w:t xml:space="preserve"> success in second language learning.</w:t>
      </w:r>
    </w:p>
    <w:p xmlns:wp14="http://schemas.microsoft.com/office/word/2010/wordml" w:rsidP="298DEB20" wp14:paraId="39493BE2" wp14:textId="0CA32EEE">
      <w:pPr>
        <w:spacing w:before="240" w:beforeAutospacing="off" w:after="240" w:afterAutospacing="off"/>
        <w:rPr>
          <w:rFonts w:ascii="Arial" w:hAnsi="Arial" w:eastAsia="Arial" w:cs="Arial"/>
          <w:noProof w:val="0"/>
          <w:sz w:val="24"/>
          <w:szCs w:val="24"/>
          <w:lang w:val="en-GB"/>
        </w:rPr>
      </w:pPr>
      <w:r w:rsidRPr="298DEB20" w:rsidR="64B5E331">
        <w:rPr>
          <w:rFonts w:ascii="Arial" w:hAnsi="Arial" w:eastAsia="Arial" w:cs="Arial"/>
          <w:noProof w:val="0"/>
          <w:sz w:val="24"/>
          <w:szCs w:val="24"/>
          <w:lang w:val="en-GB"/>
        </w:rPr>
        <w:t xml:space="preserve">Another </w:t>
      </w:r>
      <w:r w:rsidRPr="298DEB20" w:rsidR="64B5E331">
        <w:rPr>
          <w:rFonts w:ascii="Arial" w:hAnsi="Arial" w:eastAsia="Arial" w:cs="Arial"/>
          <w:noProof w:val="0"/>
          <w:sz w:val="24"/>
          <w:szCs w:val="24"/>
          <w:lang w:val="en-GB"/>
        </w:rPr>
        <w:t>important factor</w:t>
      </w:r>
      <w:r w:rsidRPr="298DEB20" w:rsidR="64B5E331">
        <w:rPr>
          <w:rFonts w:ascii="Arial" w:hAnsi="Arial" w:eastAsia="Arial" w:cs="Arial"/>
          <w:noProof w:val="0"/>
          <w:sz w:val="24"/>
          <w:szCs w:val="24"/>
          <w:lang w:val="en-GB"/>
        </w:rPr>
        <w:t xml:space="preserve"> discussed in the chapter is </w:t>
      </w:r>
      <w:r w:rsidRPr="298DEB20" w:rsidR="64B5E331">
        <w:rPr>
          <w:rFonts w:ascii="Arial" w:hAnsi="Arial" w:eastAsia="Arial" w:cs="Arial"/>
          <w:b w:val="1"/>
          <w:bCs w:val="1"/>
          <w:noProof w:val="0"/>
          <w:sz w:val="24"/>
          <w:szCs w:val="24"/>
          <w:lang w:val="en-GB"/>
        </w:rPr>
        <w:t>learner preferences and beliefs</w:t>
      </w:r>
      <w:r w:rsidRPr="298DEB20" w:rsidR="64B5E331">
        <w:rPr>
          <w:rFonts w:ascii="Arial" w:hAnsi="Arial" w:eastAsia="Arial" w:cs="Arial"/>
          <w:noProof w:val="0"/>
          <w:sz w:val="24"/>
          <w:szCs w:val="24"/>
          <w:lang w:val="en-GB"/>
        </w:rPr>
        <w:t xml:space="preserve">. Lightbown and Spada show that learners differ in how they prefer to learn and in what they believe language learning should involve. Some learners may prefer clear grammar explanation, </w:t>
      </w:r>
      <w:r w:rsidRPr="298DEB20" w:rsidR="64B5E331">
        <w:rPr>
          <w:rFonts w:ascii="Arial" w:hAnsi="Arial" w:eastAsia="Arial" w:cs="Arial"/>
          <w:noProof w:val="0"/>
          <w:sz w:val="24"/>
          <w:szCs w:val="24"/>
          <w:lang w:val="en-GB"/>
        </w:rPr>
        <w:t>correction</w:t>
      </w:r>
      <w:r w:rsidRPr="298DEB20" w:rsidR="64B5E331">
        <w:rPr>
          <w:rFonts w:ascii="Arial" w:hAnsi="Arial" w:eastAsia="Arial" w:cs="Arial"/>
          <w:noProof w:val="0"/>
          <w:sz w:val="24"/>
          <w:szCs w:val="24"/>
          <w:lang w:val="en-GB"/>
        </w:rPr>
        <w:t xml:space="preserve"> and structure, while others may prefer communication, </w:t>
      </w:r>
      <w:r w:rsidRPr="298DEB20" w:rsidR="64B5E331">
        <w:rPr>
          <w:rFonts w:ascii="Arial" w:hAnsi="Arial" w:eastAsia="Arial" w:cs="Arial"/>
          <w:noProof w:val="0"/>
          <w:sz w:val="24"/>
          <w:szCs w:val="24"/>
          <w:lang w:val="en-GB"/>
        </w:rPr>
        <w:t>experimentation</w:t>
      </w:r>
      <w:r w:rsidRPr="298DEB20" w:rsidR="64B5E331">
        <w:rPr>
          <w:rFonts w:ascii="Arial" w:hAnsi="Arial" w:eastAsia="Arial" w:cs="Arial"/>
          <w:noProof w:val="0"/>
          <w:sz w:val="24"/>
          <w:szCs w:val="24"/>
          <w:lang w:val="en-GB"/>
        </w:rPr>
        <w:t xml:space="preserve"> and natural use of language. Similarly, some learners believe that making mistakes is dangerous, while others view errors as a normal part of learning. These beliefs can shape how learners respond to instruction, what strategies they use and how comfortable they feel in class. Horwitz (1987) argues that learner beliefs may influence expectations, </w:t>
      </w:r>
      <w:r w:rsidRPr="298DEB20" w:rsidR="64B5E331">
        <w:rPr>
          <w:rFonts w:ascii="Arial" w:hAnsi="Arial" w:eastAsia="Arial" w:cs="Arial"/>
          <w:noProof w:val="0"/>
          <w:sz w:val="24"/>
          <w:szCs w:val="24"/>
          <w:lang w:val="en-GB"/>
        </w:rPr>
        <w:t>anxiety</w:t>
      </w:r>
      <w:r w:rsidRPr="298DEB20" w:rsidR="64B5E331">
        <w:rPr>
          <w:rFonts w:ascii="Arial" w:hAnsi="Arial" w:eastAsia="Arial" w:cs="Arial"/>
          <w:noProof w:val="0"/>
          <w:sz w:val="24"/>
          <w:szCs w:val="24"/>
          <w:lang w:val="en-GB"/>
        </w:rPr>
        <w:t xml:space="preserve"> and participation, and this supports the relevance of Lightbown and Spada’s discussion.</w:t>
      </w:r>
    </w:p>
    <w:p xmlns:wp14="http://schemas.microsoft.com/office/word/2010/wordml" w:rsidP="298DEB20" wp14:paraId="30C9BDF2" wp14:textId="3E3F5AB3">
      <w:pPr>
        <w:spacing w:before="240" w:beforeAutospacing="off" w:after="240" w:afterAutospacing="off"/>
        <w:rPr>
          <w:rFonts w:ascii="Arial" w:hAnsi="Arial" w:eastAsia="Arial" w:cs="Arial"/>
          <w:noProof w:val="0"/>
          <w:sz w:val="24"/>
          <w:szCs w:val="24"/>
          <w:lang w:val="en-GB"/>
        </w:rPr>
      </w:pPr>
      <w:r w:rsidRPr="298DEB20" w:rsidR="64B5E331">
        <w:rPr>
          <w:rFonts w:ascii="Arial" w:hAnsi="Arial" w:eastAsia="Arial" w:cs="Arial"/>
          <w:noProof w:val="0"/>
          <w:sz w:val="24"/>
          <w:szCs w:val="24"/>
          <w:lang w:val="en-GB"/>
        </w:rPr>
        <w:t xml:space="preserve">The authors also discuss </w:t>
      </w:r>
      <w:r w:rsidRPr="298DEB20" w:rsidR="64B5E331">
        <w:rPr>
          <w:rFonts w:ascii="Arial" w:hAnsi="Arial" w:eastAsia="Arial" w:cs="Arial"/>
          <w:b w:val="1"/>
          <w:bCs w:val="1"/>
          <w:noProof w:val="0"/>
          <w:sz w:val="24"/>
          <w:szCs w:val="24"/>
          <w:lang w:val="en-GB"/>
        </w:rPr>
        <w:t>age of acquisition</w:t>
      </w:r>
      <w:r w:rsidRPr="298DEB20" w:rsidR="64B5E331">
        <w:rPr>
          <w:rFonts w:ascii="Arial" w:hAnsi="Arial" w:eastAsia="Arial" w:cs="Arial"/>
          <w:noProof w:val="0"/>
          <w:sz w:val="24"/>
          <w:szCs w:val="24"/>
          <w:lang w:val="en-GB"/>
        </w:rPr>
        <w:t xml:space="preserve">, one of the most debated issues in second language acquisition. They argue that younger learners may have advantages in pronunciation and long-term attainment, especially when they receive rich and prolonged exposure to the language. However, they also note that older learners often learn faster in the </w:t>
      </w:r>
      <w:r w:rsidRPr="298DEB20" w:rsidR="64B5E331">
        <w:rPr>
          <w:rFonts w:ascii="Arial" w:hAnsi="Arial" w:eastAsia="Arial" w:cs="Arial"/>
          <w:noProof w:val="0"/>
          <w:sz w:val="24"/>
          <w:szCs w:val="24"/>
          <w:lang w:val="en-GB"/>
        </w:rPr>
        <w:t>early stages</w:t>
      </w:r>
      <w:r w:rsidRPr="298DEB20" w:rsidR="64B5E331">
        <w:rPr>
          <w:rFonts w:ascii="Arial" w:hAnsi="Arial" w:eastAsia="Arial" w:cs="Arial"/>
          <w:noProof w:val="0"/>
          <w:sz w:val="24"/>
          <w:szCs w:val="24"/>
          <w:lang w:val="en-GB"/>
        </w:rPr>
        <w:t xml:space="preserve">, particularly in classroom settings, because they have greater cognitive maturity, </w:t>
      </w:r>
      <w:r w:rsidRPr="298DEB20" w:rsidR="64B5E331">
        <w:rPr>
          <w:rFonts w:ascii="Arial" w:hAnsi="Arial" w:eastAsia="Arial" w:cs="Arial"/>
          <w:noProof w:val="0"/>
          <w:sz w:val="24"/>
          <w:szCs w:val="24"/>
          <w:lang w:val="en-GB"/>
        </w:rPr>
        <w:t>literacy</w:t>
      </w:r>
      <w:r w:rsidRPr="298DEB20" w:rsidR="64B5E331">
        <w:rPr>
          <w:rFonts w:ascii="Arial" w:hAnsi="Arial" w:eastAsia="Arial" w:cs="Arial"/>
          <w:noProof w:val="0"/>
          <w:sz w:val="24"/>
          <w:szCs w:val="24"/>
          <w:lang w:val="en-GB"/>
        </w:rPr>
        <w:t xml:space="preserve"> and metalinguistic awareness. This is one of the most convincing parts of the chapter because it avoids the common misconception that younger learners are always better language learners in every respect. Research by Birdsong (2006) and Muñoz and Singleton (2011) supports this more nuanced understanding. Age matters, but its effects are shaped by other variables, such as the amount of input, quality of instruction and opportunities for use.</w:t>
      </w:r>
    </w:p>
    <w:p xmlns:wp14="http://schemas.microsoft.com/office/word/2010/wordml" w:rsidP="298DEB20" wp14:paraId="34314444" wp14:textId="6DF92658">
      <w:pPr>
        <w:spacing w:before="240" w:beforeAutospacing="off" w:after="240" w:afterAutospacing="off"/>
        <w:rPr>
          <w:rFonts w:ascii="Arial" w:hAnsi="Arial" w:eastAsia="Arial" w:cs="Arial"/>
          <w:noProof w:val="0"/>
          <w:sz w:val="24"/>
          <w:szCs w:val="24"/>
          <w:lang w:val="en-GB"/>
        </w:rPr>
      </w:pPr>
      <w:r w:rsidRPr="298DEB20" w:rsidR="64B5E331">
        <w:rPr>
          <w:rFonts w:ascii="Arial" w:hAnsi="Arial" w:eastAsia="Arial" w:cs="Arial"/>
          <w:noProof w:val="0"/>
          <w:sz w:val="24"/>
          <w:szCs w:val="24"/>
          <w:lang w:val="en-GB"/>
        </w:rPr>
        <w:t xml:space="preserve">Among all the factors </w:t>
      </w:r>
      <w:r w:rsidRPr="298DEB20" w:rsidR="64B5E331">
        <w:rPr>
          <w:rFonts w:ascii="Arial" w:hAnsi="Arial" w:eastAsia="Arial" w:cs="Arial"/>
          <w:noProof w:val="0"/>
          <w:sz w:val="24"/>
          <w:szCs w:val="24"/>
          <w:lang w:val="en-GB"/>
        </w:rPr>
        <w:t>identified</w:t>
      </w:r>
      <w:r w:rsidRPr="298DEB20" w:rsidR="64B5E331">
        <w:rPr>
          <w:rFonts w:ascii="Arial" w:hAnsi="Arial" w:eastAsia="Arial" w:cs="Arial"/>
          <w:noProof w:val="0"/>
          <w:sz w:val="24"/>
          <w:szCs w:val="24"/>
          <w:lang w:val="en-GB"/>
        </w:rPr>
        <w:t xml:space="preserve"> in the chapter, </w:t>
      </w:r>
      <w:r w:rsidRPr="298DEB20" w:rsidR="64B5E331">
        <w:rPr>
          <w:rFonts w:ascii="Arial" w:hAnsi="Arial" w:eastAsia="Arial" w:cs="Arial"/>
          <w:b w:val="1"/>
          <w:bCs w:val="1"/>
          <w:noProof w:val="0"/>
          <w:sz w:val="24"/>
          <w:szCs w:val="24"/>
          <w:lang w:val="en-GB"/>
        </w:rPr>
        <w:t>motivation</w:t>
      </w:r>
      <w:r w:rsidRPr="298DEB20" w:rsidR="64B5E331">
        <w:rPr>
          <w:rFonts w:ascii="Arial" w:hAnsi="Arial" w:eastAsia="Arial" w:cs="Arial"/>
          <w:noProof w:val="0"/>
          <w:sz w:val="24"/>
          <w:szCs w:val="24"/>
          <w:lang w:val="en-GB"/>
        </w:rPr>
        <w:t xml:space="preserve"> is especially important because it connects the learner’s inner drive with the wider social and educational context of learning. Lightbown and Spada treat motivation and attitudes as central influences on success. They suggest that learners are more likely to make progress when they want to learn the language, see a purpose in doing so and hold positive attitudes towards the target language and its speakers. This reflects the earlier social-psychological work of Gardner and Lambert (1972) and Gardner (1985), who argued that motivation plays a crucial role in second language achievement.</w:t>
      </w:r>
    </w:p>
    <w:p xmlns:wp14="http://schemas.microsoft.com/office/word/2010/wordml" w:rsidP="298DEB20" wp14:paraId="0DF6FC25" wp14:textId="7F923A13">
      <w:pPr>
        <w:spacing w:before="240" w:beforeAutospacing="off" w:after="240" w:afterAutospacing="off"/>
        <w:rPr>
          <w:rFonts w:ascii="Arial" w:hAnsi="Arial" w:eastAsia="Arial" w:cs="Arial"/>
          <w:noProof w:val="0"/>
          <w:sz w:val="24"/>
          <w:szCs w:val="24"/>
          <w:lang w:val="en-GB"/>
        </w:rPr>
      </w:pPr>
      <w:r w:rsidRPr="298DEB20" w:rsidR="64B5E331">
        <w:rPr>
          <w:rFonts w:ascii="Arial" w:hAnsi="Arial" w:eastAsia="Arial" w:cs="Arial"/>
          <w:noProof w:val="0"/>
          <w:sz w:val="24"/>
          <w:szCs w:val="24"/>
          <w:lang w:val="en-GB"/>
        </w:rPr>
        <w:t xml:space="preserve">The importance of motivation is easy to understand because language development usually requires long-term effort. Progress is often slow and uneven. Learners may spend months studying before feeling confident in speaking or understanding authentic language. Motivation helps sustain persistence during these stages. A motivated learner is more likely to practise, seek opportunities to use the language, complete </w:t>
      </w:r>
      <w:r w:rsidRPr="298DEB20" w:rsidR="64B5E331">
        <w:rPr>
          <w:rFonts w:ascii="Arial" w:hAnsi="Arial" w:eastAsia="Arial" w:cs="Arial"/>
          <w:noProof w:val="0"/>
          <w:sz w:val="24"/>
          <w:szCs w:val="24"/>
          <w:lang w:val="en-GB"/>
        </w:rPr>
        <w:t>tasks</w:t>
      </w:r>
      <w:r w:rsidRPr="298DEB20" w:rsidR="64B5E331">
        <w:rPr>
          <w:rFonts w:ascii="Arial" w:hAnsi="Arial" w:eastAsia="Arial" w:cs="Arial"/>
          <w:noProof w:val="0"/>
          <w:sz w:val="24"/>
          <w:szCs w:val="24"/>
          <w:lang w:val="en-GB"/>
        </w:rPr>
        <w:t xml:space="preserve"> and continue after difficulty or embarrassment. Dörnyei (2001) argues that motivation affects not only the decision to start learning a language but also the intensity of effort and the willingness to continue. From this perspective, Lightbown and Spada are justified in giving motivation </w:t>
      </w:r>
      <w:r w:rsidRPr="298DEB20" w:rsidR="64B5E331">
        <w:rPr>
          <w:rFonts w:ascii="Arial" w:hAnsi="Arial" w:eastAsia="Arial" w:cs="Arial"/>
          <w:noProof w:val="0"/>
          <w:sz w:val="24"/>
          <w:szCs w:val="24"/>
          <w:lang w:val="en-GB"/>
        </w:rPr>
        <w:t>a central place</w:t>
      </w:r>
      <w:r w:rsidRPr="298DEB20" w:rsidR="64B5E331">
        <w:rPr>
          <w:rFonts w:ascii="Arial" w:hAnsi="Arial" w:eastAsia="Arial" w:cs="Arial"/>
          <w:noProof w:val="0"/>
          <w:sz w:val="24"/>
          <w:szCs w:val="24"/>
          <w:lang w:val="en-GB"/>
        </w:rPr>
        <w:t xml:space="preserve"> in their chapter.</w:t>
      </w:r>
    </w:p>
    <w:p xmlns:wp14="http://schemas.microsoft.com/office/word/2010/wordml" w:rsidP="298DEB20" wp14:paraId="2EFD8E91" wp14:textId="0A093003">
      <w:pPr>
        <w:spacing w:before="240" w:beforeAutospacing="off" w:after="240" w:afterAutospacing="off"/>
        <w:rPr>
          <w:rFonts w:ascii="Arial" w:hAnsi="Arial" w:eastAsia="Arial" w:cs="Arial"/>
          <w:noProof w:val="0"/>
          <w:sz w:val="24"/>
          <w:szCs w:val="24"/>
          <w:lang w:val="en-GB"/>
        </w:rPr>
      </w:pPr>
      <w:r w:rsidRPr="298DEB20" w:rsidR="64B5E331">
        <w:rPr>
          <w:rFonts w:ascii="Arial" w:hAnsi="Arial" w:eastAsia="Arial" w:cs="Arial"/>
          <w:noProof w:val="0"/>
          <w:sz w:val="24"/>
          <w:szCs w:val="24"/>
          <w:lang w:val="en-GB"/>
        </w:rPr>
        <w:t xml:space="preserve">However, while their discussion is useful, it can also be criticised for being </w:t>
      </w:r>
      <w:r w:rsidRPr="298DEB20" w:rsidR="64B5E331">
        <w:rPr>
          <w:rFonts w:ascii="Arial" w:hAnsi="Arial" w:eastAsia="Arial" w:cs="Arial"/>
          <w:noProof w:val="0"/>
          <w:sz w:val="24"/>
          <w:szCs w:val="24"/>
          <w:lang w:val="en-GB"/>
        </w:rPr>
        <w:t>somewhat limited</w:t>
      </w:r>
      <w:r w:rsidRPr="298DEB20" w:rsidR="64B5E331">
        <w:rPr>
          <w:rFonts w:ascii="Arial" w:hAnsi="Arial" w:eastAsia="Arial" w:cs="Arial"/>
          <w:noProof w:val="0"/>
          <w:sz w:val="24"/>
          <w:szCs w:val="24"/>
          <w:lang w:val="en-GB"/>
        </w:rPr>
        <w:t xml:space="preserve"> from a more recent TESOL perspective. One limitation is that motivation is presented </w:t>
      </w:r>
      <w:r w:rsidRPr="298DEB20" w:rsidR="64B5E331">
        <w:rPr>
          <w:rFonts w:ascii="Arial" w:hAnsi="Arial" w:eastAsia="Arial" w:cs="Arial"/>
          <w:noProof w:val="0"/>
          <w:sz w:val="24"/>
          <w:szCs w:val="24"/>
          <w:lang w:val="en-GB"/>
        </w:rPr>
        <w:t>mainly as</w:t>
      </w:r>
      <w:r w:rsidRPr="298DEB20" w:rsidR="64B5E331">
        <w:rPr>
          <w:rFonts w:ascii="Arial" w:hAnsi="Arial" w:eastAsia="Arial" w:cs="Arial"/>
          <w:noProof w:val="0"/>
          <w:sz w:val="24"/>
          <w:szCs w:val="24"/>
          <w:lang w:val="en-GB"/>
        </w:rPr>
        <w:t xml:space="preserve"> an individual difference, something that learners </w:t>
      </w:r>
      <w:r w:rsidRPr="298DEB20" w:rsidR="64B5E331">
        <w:rPr>
          <w:rFonts w:ascii="Arial" w:hAnsi="Arial" w:eastAsia="Arial" w:cs="Arial"/>
          <w:noProof w:val="0"/>
          <w:sz w:val="24"/>
          <w:szCs w:val="24"/>
          <w:lang w:val="en-GB"/>
        </w:rPr>
        <w:t>possess</w:t>
      </w:r>
      <w:r w:rsidRPr="298DEB20" w:rsidR="64B5E331">
        <w:rPr>
          <w:rFonts w:ascii="Arial" w:hAnsi="Arial" w:eastAsia="Arial" w:cs="Arial"/>
          <w:noProof w:val="0"/>
          <w:sz w:val="24"/>
          <w:szCs w:val="24"/>
          <w:lang w:val="en-GB"/>
        </w:rPr>
        <w:t xml:space="preserve"> to greater or lesser degrees. Later research suggests that motivation is much more dynamic than this. It can rise or fall depending on the classroom atmosphere, the teacher, peer relationships, task design, </w:t>
      </w:r>
      <w:r w:rsidRPr="298DEB20" w:rsidR="64B5E331">
        <w:rPr>
          <w:rFonts w:ascii="Arial" w:hAnsi="Arial" w:eastAsia="Arial" w:cs="Arial"/>
          <w:noProof w:val="0"/>
          <w:sz w:val="24"/>
          <w:szCs w:val="24"/>
          <w:lang w:val="en-GB"/>
        </w:rPr>
        <w:t>previous</w:t>
      </w:r>
      <w:r w:rsidRPr="298DEB20" w:rsidR="64B5E331">
        <w:rPr>
          <w:rFonts w:ascii="Arial" w:hAnsi="Arial" w:eastAsia="Arial" w:cs="Arial"/>
          <w:noProof w:val="0"/>
          <w:sz w:val="24"/>
          <w:szCs w:val="24"/>
          <w:lang w:val="en-GB"/>
        </w:rPr>
        <w:t xml:space="preserve"> </w:t>
      </w:r>
      <w:r w:rsidRPr="298DEB20" w:rsidR="64B5E331">
        <w:rPr>
          <w:rFonts w:ascii="Arial" w:hAnsi="Arial" w:eastAsia="Arial" w:cs="Arial"/>
          <w:noProof w:val="0"/>
          <w:sz w:val="24"/>
          <w:szCs w:val="24"/>
          <w:lang w:val="en-GB"/>
        </w:rPr>
        <w:t>experiences</w:t>
      </w:r>
      <w:r w:rsidRPr="298DEB20" w:rsidR="64B5E331">
        <w:rPr>
          <w:rFonts w:ascii="Arial" w:hAnsi="Arial" w:eastAsia="Arial" w:cs="Arial"/>
          <w:noProof w:val="0"/>
          <w:sz w:val="24"/>
          <w:szCs w:val="24"/>
          <w:lang w:val="en-GB"/>
        </w:rPr>
        <w:t xml:space="preserve"> and future goals. A learner may be highly motivated in one setting and discouraged in another. Ushioda (2011) argues that motivation should be understood in relation to the learner as a real person living in a social world, not simply as a variable measured through questionnaires.</w:t>
      </w:r>
    </w:p>
    <w:p xmlns:wp14="http://schemas.microsoft.com/office/word/2010/wordml" w:rsidP="298DEB20" wp14:paraId="53AE9526" wp14:textId="7D01B574">
      <w:pPr>
        <w:spacing w:before="240" w:beforeAutospacing="off" w:after="240" w:afterAutospacing="off"/>
        <w:rPr>
          <w:rFonts w:ascii="Arial" w:hAnsi="Arial" w:eastAsia="Arial" w:cs="Arial"/>
          <w:noProof w:val="0"/>
          <w:sz w:val="24"/>
          <w:szCs w:val="24"/>
          <w:lang w:val="en-GB"/>
        </w:rPr>
      </w:pPr>
      <w:r w:rsidRPr="298DEB20" w:rsidR="64B5E331">
        <w:rPr>
          <w:rFonts w:ascii="Arial" w:hAnsi="Arial" w:eastAsia="Arial" w:cs="Arial"/>
          <w:noProof w:val="0"/>
          <w:sz w:val="24"/>
          <w:szCs w:val="24"/>
          <w:lang w:val="en-GB"/>
        </w:rPr>
        <w:t xml:space="preserve">Another important criticism is that Lightbown and Spada’s treatment of motivation does not fully explore the relationship between motivation and </w:t>
      </w:r>
      <w:r w:rsidRPr="298DEB20" w:rsidR="64B5E331">
        <w:rPr>
          <w:rFonts w:ascii="Arial" w:hAnsi="Arial" w:eastAsia="Arial" w:cs="Arial"/>
          <w:b w:val="1"/>
          <w:bCs w:val="1"/>
          <w:noProof w:val="0"/>
          <w:sz w:val="24"/>
          <w:szCs w:val="24"/>
          <w:lang w:val="en-GB"/>
        </w:rPr>
        <w:t>identity</w:t>
      </w:r>
      <w:r w:rsidRPr="298DEB20" w:rsidR="64B5E331">
        <w:rPr>
          <w:rFonts w:ascii="Arial" w:hAnsi="Arial" w:eastAsia="Arial" w:cs="Arial"/>
          <w:noProof w:val="0"/>
          <w:sz w:val="24"/>
          <w:szCs w:val="24"/>
          <w:lang w:val="en-GB"/>
        </w:rPr>
        <w:t xml:space="preserve">. In modern TESOL, this relationship is highly significant. Learners are not just studying a language as an academic subject; they are often negotiating belonging, social status, </w:t>
      </w:r>
      <w:r w:rsidRPr="298DEB20" w:rsidR="64B5E331">
        <w:rPr>
          <w:rFonts w:ascii="Arial" w:hAnsi="Arial" w:eastAsia="Arial" w:cs="Arial"/>
          <w:noProof w:val="0"/>
          <w:sz w:val="24"/>
          <w:szCs w:val="24"/>
          <w:lang w:val="en-GB"/>
        </w:rPr>
        <w:t>self-image</w:t>
      </w:r>
      <w:r w:rsidRPr="298DEB20" w:rsidR="64B5E331">
        <w:rPr>
          <w:rFonts w:ascii="Arial" w:hAnsi="Arial" w:eastAsia="Arial" w:cs="Arial"/>
          <w:noProof w:val="0"/>
          <w:sz w:val="24"/>
          <w:szCs w:val="24"/>
          <w:lang w:val="en-GB"/>
        </w:rPr>
        <w:t xml:space="preserve"> and future possibilities. Norton (2013) argues that learners may be motivated to learn a language but still avoid participation if they feel marginalised, judged or silenced in the classroom or wider society. This means that motivation alone cannot explain classroom behaviour. A learner may want to learn English very strongly, yet still speak little because they fear ridicule, feel excluded or doubt their right to speak. This adds an important social dimension that is not fully developed in Lightbown and Spada’s chapter.</w:t>
      </w:r>
    </w:p>
    <w:p xmlns:wp14="http://schemas.microsoft.com/office/word/2010/wordml" w:rsidP="298DEB20" wp14:paraId="2BEF93A0" wp14:textId="32155D5E">
      <w:pPr>
        <w:spacing w:before="240" w:beforeAutospacing="off" w:after="240" w:afterAutospacing="off"/>
        <w:rPr>
          <w:rFonts w:ascii="Arial" w:hAnsi="Arial" w:eastAsia="Arial" w:cs="Arial"/>
          <w:noProof w:val="0"/>
          <w:sz w:val="24"/>
          <w:szCs w:val="24"/>
          <w:lang w:val="en-GB"/>
        </w:rPr>
      </w:pPr>
      <w:r w:rsidRPr="298DEB20" w:rsidR="64B5E331">
        <w:rPr>
          <w:rFonts w:ascii="Arial" w:hAnsi="Arial" w:eastAsia="Arial" w:cs="Arial"/>
          <w:noProof w:val="0"/>
          <w:sz w:val="24"/>
          <w:szCs w:val="24"/>
          <w:lang w:val="en-GB"/>
        </w:rPr>
        <w:t xml:space="preserve">Motivation is also </w:t>
      </w:r>
      <w:r w:rsidRPr="298DEB20" w:rsidR="64B5E331">
        <w:rPr>
          <w:rFonts w:ascii="Arial" w:hAnsi="Arial" w:eastAsia="Arial" w:cs="Arial"/>
          <w:noProof w:val="0"/>
          <w:sz w:val="24"/>
          <w:szCs w:val="24"/>
          <w:lang w:val="en-GB"/>
        </w:rPr>
        <w:t>closely connected</w:t>
      </w:r>
      <w:r w:rsidRPr="298DEB20" w:rsidR="64B5E331">
        <w:rPr>
          <w:rFonts w:ascii="Arial" w:hAnsi="Arial" w:eastAsia="Arial" w:cs="Arial"/>
          <w:noProof w:val="0"/>
          <w:sz w:val="24"/>
          <w:szCs w:val="24"/>
          <w:lang w:val="en-GB"/>
        </w:rPr>
        <w:t xml:space="preserve"> to </w:t>
      </w:r>
      <w:r w:rsidRPr="298DEB20" w:rsidR="64B5E331">
        <w:rPr>
          <w:rFonts w:ascii="Arial" w:hAnsi="Arial" w:eastAsia="Arial" w:cs="Arial"/>
          <w:b w:val="1"/>
          <w:bCs w:val="1"/>
          <w:noProof w:val="0"/>
          <w:sz w:val="24"/>
          <w:szCs w:val="24"/>
          <w:lang w:val="en-GB"/>
        </w:rPr>
        <w:t>classroom practice</w:t>
      </w:r>
      <w:r w:rsidRPr="298DEB20" w:rsidR="64B5E331">
        <w:rPr>
          <w:rFonts w:ascii="Arial" w:hAnsi="Arial" w:eastAsia="Arial" w:cs="Arial"/>
          <w:noProof w:val="0"/>
          <w:sz w:val="24"/>
          <w:szCs w:val="24"/>
          <w:lang w:val="en-GB"/>
        </w:rPr>
        <w:t xml:space="preserve">, which makes it especially relevant for teachers. Although the chapter focuses </w:t>
      </w:r>
      <w:r w:rsidRPr="298DEB20" w:rsidR="64B5E331">
        <w:rPr>
          <w:rFonts w:ascii="Arial" w:hAnsi="Arial" w:eastAsia="Arial" w:cs="Arial"/>
          <w:noProof w:val="0"/>
          <w:sz w:val="24"/>
          <w:szCs w:val="24"/>
          <w:lang w:val="en-GB"/>
        </w:rPr>
        <w:t>mainly on</w:t>
      </w:r>
      <w:r w:rsidRPr="298DEB20" w:rsidR="64B5E331">
        <w:rPr>
          <w:rFonts w:ascii="Arial" w:hAnsi="Arial" w:eastAsia="Arial" w:cs="Arial"/>
          <w:noProof w:val="0"/>
          <w:sz w:val="24"/>
          <w:szCs w:val="24"/>
          <w:lang w:val="en-GB"/>
        </w:rPr>
        <w:t xml:space="preserve"> learner factors, teachers can strongly influence motivation through their methods, </w:t>
      </w:r>
      <w:r w:rsidRPr="298DEB20" w:rsidR="64B5E331">
        <w:rPr>
          <w:rFonts w:ascii="Arial" w:hAnsi="Arial" w:eastAsia="Arial" w:cs="Arial"/>
          <w:noProof w:val="0"/>
          <w:sz w:val="24"/>
          <w:szCs w:val="24"/>
          <w:lang w:val="en-GB"/>
        </w:rPr>
        <w:t>feedback</w:t>
      </w:r>
      <w:r w:rsidRPr="298DEB20" w:rsidR="64B5E331">
        <w:rPr>
          <w:rFonts w:ascii="Arial" w:hAnsi="Arial" w:eastAsia="Arial" w:cs="Arial"/>
          <w:noProof w:val="0"/>
          <w:sz w:val="24"/>
          <w:szCs w:val="24"/>
          <w:lang w:val="en-GB"/>
        </w:rPr>
        <w:t xml:space="preserve"> and relationships with learners. Supportive teaching, achievable challenge, meaningful </w:t>
      </w:r>
      <w:r w:rsidRPr="298DEB20" w:rsidR="64B5E331">
        <w:rPr>
          <w:rFonts w:ascii="Arial" w:hAnsi="Arial" w:eastAsia="Arial" w:cs="Arial"/>
          <w:noProof w:val="0"/>
          <w:sz w:val="24"/>
          <w:szCs w:val="24"/>
          <w:lang w:val="en-GB"/>
        </w:rPr>
        <w:t>tasks</w:t>
      </w:r>
      <w:r w:rsidRPr="298DEB20" w:rsidR="64B5E331">
        <w:rPr>
          <w:rFonts w:ascii="Arial" w:hAnsi="Arial" w:eastAsia="Arial" w:cs="Arial"/>
          <w:noProof w:val="0"/>
          <w:sz w:val="24"/>
          <w:szCs w:val="24"/>
          <w:lang w:val="en-GB"/>
        </w:rPr>
        <w:t xml:space="preserve"> and respectful correction can all help learners feel more engaged. On the other hand, repetitive exercises, humiliation, lack of purpose or unrealistic expectations may reduce motivation significantly. Dörnyei and Ushioda (2011) show that motivation is not simply present or absent within the learner; it is something that can be shaped through pedagogy. This makes motivation particularly valuable as a focus for TESOL because, unlike aptitude or age, it is a factor that teachers may be able to influence more directly.</w:t>
      </w:r>
    </w:p>
    <w:p xmlns:wp14="http://schemas.microsoft.com/office/word/2010/wordml" w:rsidP="298DEB20" wp14:paraId="5A26BBC6" wp14:textId="67AF337E">
      <w:pPr>
        <w:spacing w:before="240" w:beforeAutospacing="off" w:after="240" w:afterAutospacing="off"/>
        <w:rPr>
          <w:rFonts w:ascii="Arial" w:hAnsi="Arial" w:eastAsia="Arial" w:cs="Arial"/>
          <w:noProof w:val="0"/>
          <w:sz w:val="24"/>
          <w:szCs w:val="24"/>
          <w:lang w:val="en-GB"/>
        </w:rPr>
      </w:pPr>
      <w:r w:rsidRPr="298DEB20" w:rsidR="64B5E331">
        <w:rPr>
          <w:rFonts w:ascii="Arial" w:hAnsi="Arial" w:eastAsia="Arial" w:cs="Arial"/>
          <w:noProof w:val="0"/>
          <w:sz w:val="24"/>
          <w:szCs w:val="24"/>
          <w:lang w:val="en-GB"/>
        </w:rPr>
        <w:t xml:space="preserve">In addition, later scholarship has shown that the older distinction between </w:t>
      </w:r>
      <w:r w:rsidRPr="298DEB20" w:rsidR="64B5E331">
        <w:rPr>
          <w:rFonts w:ascii="Arial" w:hAnsi="Arial" w:eastAsia="Arial" w:cs="Arial"/>
          <w:b w:val="1"/>
          <w:bCs w:val="1"/>
          <w:noProof w:val="0"/>
          <w:sz w:val="24"/>
          <w:szCs w:val="24"/>
          <w:lang w:val="en-GB"/>
        </w:rPr>
        <w:t>integrative</w:t>
      </w:r>
      <w:r w:rsidRPr="298DEB20" w:rsidR="64B5E331">
        <w:rPr>
          <w:rFonts w:ascii="Arial" w:hAnsi="Arial" w:eastAsia="Arial" w:cs="Arial"/>
          <w:noProof w:val="0"/>
          <w:sz w:val="24"/>
          <w:szCs w:val="24"/>
          <w:lang w:val="en-GB"/>
        </w:rPr>
        <w:t xml:space="preserve"> and </w:t>
      </w:r>
      <w:r w:rsidRPr="298DEB20" w:rsidR="64B5E331">
        <w:rPr>
          <w:rFonts w:ascii="Arial" w:hAnsi="Arial" w:eastAsia="Arial" w:cs="Arial"/>
          <w:b w:val="1"/>
          <w:bCs w:val="1"/>
          <w:noProof w:val="0"/>
          <w:sz w:val="24"/>
          <w:szCs w:val="24"/>
          <w:lang w:val="en-GB"/>
        </w:rPr>
        <w:t>instrumental</w:t>
      </w:r>
      <w:r w:rsidRPr="298DEB20" w:rsidR="64B5E331">
        <w:rPr>
          <w:rFonts w:ascii="Arial" w:hAnsi="Arial" w:eastAsia="Arial" w:cs="Arial"/>
          <w:noProof w:val="0"/>
          <w:sz w:val="24"/>
          <w:szCs w:val="24"/>
          <w:lang w:val="en-GB"/>
        </w:rPr>
        <w:t xml:space="preserve"> motivation, while still useful, is not always enough for understanding learners in today’s world. English is now a global language used across many settings, often outside any single native-speaker community. Learners may be motivated not because they wish to integrate with one cultural group, but because English offers access to study, work, travel, online </w:t>
      </w:r>
      <w:r w:rsidRPr="298DEB20" w:rsidR="64B5E331">
        <w:rPr>
          <w:rFonts w:ascii="Arial" w:hAnsi="Arial" w:eastAsia="Arial" w:cs="Arial"/>
          <w:noProof w:val="0"/>
          <w:sz w:val="24"/>
          <w:szCs w:val="24"/>
          <w:lang w:val="en-GB"/>
        </w:rPr>
        <w:t>communication</w:t>
      </w:r>
      <w:r w:rsidRPr="298DEB20" w:rsidR="64B5E331">
        <w:rPr>
          <w:rFonts w:ascii="Arial" w:hAnsi="Arial" w:eastAsia="Arial" w:cs="Arial"/>
          <w:noProof w:val="0"/>
          <w:sz w:val="24"/>
          <w:szCs w:val="24"/>
          <w:lang w:val="en-GB"/>
        </w:rPr>
        <w:t xml:space="preserve"> or an imagined future self. Yashima (2009) and Dörnyei (2009) both suggest that learners are often motivated by visions of who they want to become through the language. This broader understanding of motivation fits contemporary TESOL more effectively than older models alone. Lightbown and Spada provide the foundation, but the concept has expanded </w:t>
      </w:r>
      <w:r w:rsidRPr="298DEB20" w:rsidR="64B5E331">
        <w:rPr>
          <w:rFonts w:ascii="Arial" w:hAnsi="Arial" w:eastAsia="Arial" w:cs="Arial"/>
          <w:noProof w:val="0"/>
          <w:sz w:val="24"/>
          <w:szCs w:val="24"/>
          <w:lang w:val="en-GB"/>
        </w:rPr>
        <w:t>considerably since</w:t>
      </w:r>
      <w:r w:rsidRPr="298DEB20" w:rsidR="64B5E331">
        <w:rPr>
          <w:rFonts w:ascii="Arial" w:hAnsi="Arial" w:eastAsia="Arial" w:cs="Arial"/>
          <w:noProof w:val="0"/>
          <w:sz w:val="24"/>
          <w:szCs w:val="24"/>
          <w:lang w:val="en-GB"/>
        </w:rPr>
        <w:t xml:space="preserve"> their chapter was published.</w:t>
      </w:r>
    </w:p>
    <w:p xmlns:wp14="http://schemas.microsoft.com/office/word/2010/wordml" w:rsidP="298DEB20" wp14:paraId="5DBEEDB1" wp14:textId="01B8E201">
      <w:pPr>
        <w:spacing w:before="240" w:beforeAutospacing="off" w:after="240" w:afterAutospacing="off"/>
        <w:rPr>
          <w:rFonts w:ascii="Arial" w:hAnsi="Arial" w:eastAsia="Arial" w:cs="Arial"/>
          <w:noProof w:val="0"/>
          <w:sz w:val="24"/>
          <w:szCs w:val="24"/>
          <w:lang w:val="en-GB"/>
        </w:rPr>
      </w:pPr>
      <w:r w:rsidRPr="298DEB20" w:rsidR="64B5E331">
        <w:rPr>
          <w:rFonts w:ascii="Arial" w:hAnsi="Arial" w:eastAsia="Arial" w:cs="Arial"/>
          <w:noProof w:val="0"/>
          <w:sz w:val="24"/>
          <w:szCs w:val="24"/>
          <w:lang w:val="en-GB"/>
        </w:rPr>
        <w:t xml:space="preserve">Despite these limitations, the chapter </w:t>
      </w:r>
      <w:r w:rsidRPr="298DEB20" w:rsidR="64B5E331">
        <w:rPr>
          <w:rFonts w:ascii="Arial" w:hAnsi="Arial" w:eastAsia="Arial" w:cs="Arial"/>
          <w:noProof w:val="0"/>
          <w:sz w:val="24"/>
          <w:szCs w:val="24"/>
          <w:lang w:val="en-GB"/>
        </w:rPr>
        <w:t>remains</w:t>
      </w:r>
      <w:r w:rsidRPr="298DEB20" w:rsidR="64B5E331">
        <w:rPr>
          <w:rFonts w:ascii="Arial" w:hAnsi="Arial" w:eastAsia="Arial" w:cs="Arial"/>
          <w:noProof w:val="0"/>
          <w:sz w:val="24"/>
          <w:szCs w:val="24"/>
          <w:lang w:val="en-GB"/>
        </w:rPr>
        <w:t xml:space="preserve"> highly valuable. One of its greatest strengths is that it encourages teachers and students not to think in absolute terms. Learners are not simply good or bad at languages. Instead, they have different profiles of strengths, weaknesses, </w:t>
      </w:r>
      <w:r w:rsidRPr="298DEB20" w:rsidR="64B5E331">
        <w:rPr>
          <w:rFonts w:ascii="Arial" w:hAnsi="Arial" w:eastAsia="Arial" w:cs="Arial"/>
          <w:noProof w:val="0"/>
          <w:sz w:val="24"/>
          <w:szCs w:val="24"/>
          <w:lang w:val="en-GB"/>
        </w:rPr>
        <w:t>experiences</w:t>
      </w:r>
      <w:r w:rsidRPr="298DEB20" w:rsidR="64B5E331">
        <w:rPr>
          <w:rFonts w:ascii="Arial" w:hAnsi="Arial" w:eastAsia="Arial" w:cs="Arial"/>
          <w:noProof w:val="0"/>
          <w:sz w:val="24"/>
          <w:szCs w:val="24"/>
          <w:lang w:val="en-GB"/>
        </w:rPr>
        <w:t xml:space="preserve"> and goals. This is a useful perspective in TESOL, where learners can easily be labelled unfairly. The chapter also succeeds in linking research to practice in an accessible way. It does not overwhelm the reader with theory, yet it introduces the </w:t>
      </w:r>
      <w:r w:rsidRPr="298DEB20" w:rsidR="64B5E331">
        <w:rPr>
          <w:rFonts w:ascii="Arial" w:hAnsi="Arial" w:eastAsia="Arial" w:cs="Arial"/>
          <w:noProof w:val="0"/>
          <w:sz w:val="24"/>
          <w:szCs w:val="24"/>
          <w:lang w:val="en-GB"/>
        </w:rPr>
        <w:t>main issues</w:t>
      </w:r>
      <w:r w:rsidRPr="298DEB20" w:rsidR="64B5E331">
        <w:rPr>
          <w:rFonts w:ascii="Arial" w:hAnsi="Arial" w:eastAsia="Arial" w:cs="Arial"/>
          <w:noProof w:val="0"/>
          <w:sz w:val="24"/>
          <w:szCs w:val="24"/>
          <w:lang w:val="en-GB"/>
        </w:rPr>
        <w:t xml:space="preserve"> clearly enough to support deeper reflection.</w:t>
      </w:r>
    </w:p>
    <w:p xmlns:wp14="http://schemas.microsoft.com/office/word/2010/wordml" w:rsidP="298DEB20" wp14:paraId="1F1AC47A" wp14:textId="168800D9">
      <w:pPr>
        <w:spacing w:before="240" w:beforeAutospacing="off" w:after="240" w:afterAutospacing="off"/>
        <w:rPr>
          <w:rFonts w:ascii="Arial" w:hAnsi="Arial" w:eastAsia="Arial" w:cs="Arial"/>
          <w:noProof w:val="0"/>
          <w:sz w:val="24"/>
          <w:szCs w:val="24"/>
          <w:lang w:val="en-GB"/>
        </w:rPr>
      </w:pPr>
      <w:r w:rsidRPr="298DEB20" w:rsidR="64B5E331">
        <w:rPr>
          <w:rFonts w:ascii="Arial" w:hAnsi="Arial" w:eastAsia="Arial" w:cs="Arial"/>
          <w:noProof w:val="0"/>
          <w:sz w:val="24"/>
          <w:szCs w:val="24"/>
          <w:lang w:val="en-GB"/>
        </w:rPr>
        <w:t xml:space="preserve">Overall, Lightbown and Spada’s chapter offers a well-balanced overview of the factors affecting second language learning. Its discussion of intelligence, aptitude, personality, beliefs, preferences, </w:t>
      </w:r>
      <w:r w:rsidRPr="298DEB20" w:rsidR="64B5E331">
        <w:rPr>
          <w:rFonts w:ascii="Arial" w:hAnsi="Arial" w:eastAsia="Arial" w:cs="Arial"/>
          <w:noProof w:val="0"/>
          <w:sz w:val="24"/>
          <w:szCs w:val="24"/>
          <w:lang w:val="en-GB"/>
        </w:rPr>
        <w:t>age</w:t>
      </w:r>
      <w:r w:rsidRPr="298DEB20" w:rsidR="64B5E331">
        <w:rPr>
          <w:rFonts w:ascii="Arial" w:hAnsi="Arial" w:eastAsia="Arial" w:cs="Arial"/>
          <w:noProof w:val="0"/>
          <w:sz w:val="24"/>
          <w:szCs w:val="24"/>
          <w:lang w:val="en-GB"/>
        </w:rPr>
        <w:t xml:space="preserve"> and motivation </w:t>
      </w:r>
      <w:r w:rsidRPr="298DEB20" w:rsidR="64B5E331">
        <w:rPr>
          <w:rFonts w:ascii="Arial" w:hAnsi="Arial" w:eastAsia="Arial" w:cs="Arial"/>
          <w:noProof w:val="0"/>
          <w:sz w:val="24"/>
          <w:szCs w:val="24"/>
          <w:lang w:val="en-GB"/>
        </w:rPr>
        <w:t>remains</w:t>
      </w:r>
      <w:r w:rsidRPr="298DEB20" w:rsidR="64B5E331">
        <w:rPr>
          <w:rFonts w:ascii="Arial" w:hAnsi="Arial" w:eastAsia="Arial" w:cs="Arial"/>
          <w:noProof w:val="0"/>
          <w:sz w:val="24"/>
          <w:szCs w:val="24"/>
          <w:lang w:val="en-GB"/>
        </w:rPr>
        <w:t xml:space="preserve"> relevant because these issues still shape TESOL practice and research today. At the same time, the chapter reflects the state of the field at the time it was written, and this means some factors, particularly motivation, are presented in a less socially dynamic way than later scholarship would suggest. Current TESOL research shows more clearly that second language learning is not only a matter of individual traits but also of identity, power, </w:t>
      </w:r>
      <w:r w:rsidRPr="298DEB20" w:rsidR="64B5E331">
        <w:rPr>
          <w:rFonts w:ascii="Arial" w:hAnsi="Arial" w:eastAsia="Arial" w:cs="Arial"/>
          <w:noProof w:val="0"/>
          <w:sz w:val="24"/>
          <w:szCs w:val="24"/>
          <w:lang w:val="en-GB"/>
        </w:rPr>
        <w:t>participation</w:t>
      </w:r>
      <w:r w:rsidRPr="298DEB20" w:rsidR="64B5E331">
        <w:rPr>
          <w:rFonts w:ascii="Arial" w:hAnsi="Arial" w:eastAsia="Arial" w:cs="Arial"/>
          <w:noProof w:val="0"/>
          <w:sz w:val="24"/>
          <w:szCs w:val="24"/>
          <w:lang w:val="en-GB"/>
        </w:rPr>
        <w:t xml:space="preserve"> and context.</w:t>
      </w:r>
    </w:p>
    <w:p xmlns:wp14="http://schemas.microsoft.com/office/word/2010/wordml" w:rsidP="298DEB20" wp14:paraId="6763F121" wp14:textId="276AF162">
      <w:pPr>
        <w:spacing w:before="240" w:beforeAutospacing="off" w:after="240" w:afterAutospacing="off"/>
        <w:rPr>
          <w:rFonts w:ascii="Arial" w:hAnsi="Arial" w:eastAsia="Arial" w:cs="Arial"/>
          <w:noProof w:val="0"/>
          <w:sz w:val="24"/>
          <w:szCs w:val="24"/>
          <w:lang w:val="en-GB"/>
        </w:rPr>
      </w:pPr>
      <w:r w:rsidRPr="298DEB20" w:rsidR="64B5E331">
        <w:rPr>
          <w:rFonts w:ascii="Arial" w:hAnsi="Arial" w:eastAsia="Arial" w:cs="Arial"/>
          <w:noProof w:val="0"/>
          <w:sz w:val="24"/>
          <w:szCs w:val="24"/>
          <w:lang w:val="en-GB"/>
        </w:rPr>
        <w:t xml:space="preserve">In conclusion, second language learning involves the development of linguistic knowledge, communicative ability, social </w:t>
      </w:r>
      <w:r w:rsidRPr="298DEB20" w:rsidR="64B5E331">
        <w:rPr>
          <w:rFonts w:ascii="Arial" w:hAnsi="Arial" w:eastAsia="Arial" w:cs="Arial"/>
          <w:noProof w:val="0"/>
          <w:sz w:val="24"/>
          <w:szCs w:val="24"/>
          <w:lang w:val="en-GB"/>
        </w:rPr>
        <w:t>participation</w:t>
      </w:r>
      <w:r w:rsidRPr="298DEB20" w:rsidR="64B5E331">
        <w:rPr>
          <w:rFonts w:ascii="Arial" w:hAnsi="Arial" w:eastAsia="Arial" w:cs="Arial"/>
          <w:noProof w:val="0"/>
          <w:sz w:val="24"/>
          <w:szCs w:val="24"/>
          <w:lang w:val="en-GB"/>
        </w:rPr>
        <w:t xml:space="preserve"> and personal confidence. It is influenced by multiple factors, none of which can fully explain success on its own. Lightbown and Spada’s chapter </w:t>
      </w:r>
      <w:r w:rsidRPr="298DEB20" w:rsidR="64B5E331">
        <w:rPr>
          <w:rFonts w:ascii="Arial" w:hAnsi="Arial" w:eastAsia="Arial" w:cs="Arial"/>
          <w:noProof w:val="0"/>
          <w:sz w:val="24"/>
          <w:szCs w:val="24"/>
          <w:lang w:val="en-GB"/>
        </w:rPr>
        <w:t>remains</w:t>
      </w:r>
      <w:r w:rsidRPr="298DEB20" w:rsidR="64B5E331">
        <w:rPr>
          <w:rFonts w:ascii="Arial" w:hAnsi="Arial" w:eastAsia="Arial" w:cs="Arial"/>
          <w:noProof w:val="0"/>
          <w:sz w:val="24"/>
          <w:szCs w:val="24"/>
          <w:lang w:val="en-GB"/>
        </w:rPr>
        <w:t xml:space="preserve"> an important contribution because it clearly </w:t>
      </w:r>
      <w:r w:rsidRPr="298DEB20" w:rsidR="64B5E331">
        <w:rPr>
          <w:rFonts w:ascii="Arial" w:hAnsi="Arial" w:eastAsia="Arial" w:cs="Arial"/>
          <w:noProof w:val="0"/>
          <w:sz w:val="24"/>
          <w:szCs w:val="24"/>
          <w:lang w:val="en-GB"/>
        </w:rPr>
        <w:t>identifies</w:t>
      </w:r>
      <w:r w:rsidRPr="298DEB20" w:rsidR="64B5E331">
        <w:rPr>
          <w:rFonts w:ascii="Arial" w:hAnsi="Arial" w:eastAsia="Arial" w:cs="Arial"/>
          <w:noProof w:val="0"/>
          <w:sz w:val="24"/>
          <w:szCs w:val="24"/>
          <w:lang w:val="en-GB"/>
        </w:rPr>
        <w:t xml:space="preserve"> key learner variables and resists simplistic explanations of language learning ability. Among these factors, motivation stands out as especially significant because it shapes effort, </w:t>
      </w:r>
      <w:r w:rsidRPr="298DEB20" w:rsidR="64B5E331">
        <w:rPr>
          <w:rFonts w:ascii="Arial" w:hAnsi="Arial" w:eastAsia="Arial" w:cs="Arial"/>
          <w:noProof w:val="0"/>
          <w:sz w:val="24"/>
          <w:szCs w:val="24"/>
          <w:lang w:val="en-GB"/>
        </w:rPr>
        <w:t>persistence</w:t>
      </w:r>
      <w:r w:rsidRPr="298DEB20" w:rsidR="64B5E331">
        <w:rPr>
          <w:rFonts w:ascii="Arial" w:hAnsi="Arial" w:eastAsia="Arial" w:cs="Arial"/>
          <w:noProof w:val="0"/>
          <w:sz w:val="24"/>
          <w:szCs w:val="24"/>
          <w:lang w:val="en-GB"/>
        </w:rPr>
        <w:t xml:space="preserve"> and engagement. However, a critical review shows that motivation should not be understood only as an internal characteristic. It is dynamic, context-</w:t>
      </w:r>
      <w:r w:rsidRPr="298DEB20" w:rsidR="64B5E331">
        <w:rPr>
          <w:rFonts w:ascii="Arial" w:hAnsi="Arial" w:eastAsia="Arial" w:cs="Arial"/>
          <w:noProof w:val="0"/>
          <w:sz w:val="24"/>
          <w:szCs w:val="24"/>
          <w:lang w:val="en-GB"/>
        </w:rPr>
        <w:t>dependent</w:t>
      </w:r>
      <w:r w:rsidRPr="298DEB20" w:rsidR="64B5E331">
        <w:rPr>
          <w:rFonts w:ascii="Arial" w:hAnsi="Arial" w:eastAsia="Arial" w:cs="Arial"/>
          <w:noProof w:val="0"/>
          <w:sz w:val="24"/>
          <w:szCs w:val="24"/>
          <w:lang w:val="en-GB"/>
        </w:rPr>
        <w:t xml:space="preserve"> and </w:t>
      </w:r>
      <w:r w:rsidRPr="298DEB20" w:rsidR="64B5E331">
        <w:rPr>
          <w:rFonts w:ascii="Arial" w:hAnsi="Arial" w:eastAsia="Arial" w:cs="Arial"/>
          <w:noProof w:val="0"/>
          <w:sz w:val="24"/>
          <w:szCs w:val="24"/>
          <w:lang w:val="en-GB"/>
        </w:rPr>
        <w:t>closely connected</w:t>
      </w:r>
      <w:r w:rsidRPr="298DEB20" w:rsidR="64B5E331">
        <w:rPr>
          <w:rFonts w:ascii="Arial" w:hAnsi="Arial" w:eastAsia="Arial" w:cs="Arial"/>
          <w:noProof w:val="0"/>
          <w:sz w:val="24"/>
          <w:szCs w:val="24"/>
          <w:lang w:val="en-GB"/>
        </w:rPr>
        <w:t xml:space="preserve"> to identity, </w:t>
      </w:r>
      <w:r w:rsidRPr="298DEB20" w:rsidR="64B5E331">
        <w:rPr>
          <w:rFonts w:ascii="Arial" w:hAnsi="Arial" w:eastAsia="Arial" w:cs="Arial"/>
          <w:noProof w:val="0"/>
          <w:sz w:val="24"/>
          <w:szCs w:val="24"/>
          <w:lang w:val="en-GB"/>
        </w:rPr>
        <w:t>opportunity</w:t>
      </w:r>
      <w:r w:rsidRPr="298DEB20" w:rsidR="64B5E331">
        <w:rPr>
          <w:rFonts w:ascii="Arial" w:hAnsi="Arial" w:eastAsia="Arial" w:cs="Arial"/>
          <w:noProof w:val="0"/>
          <w:sz w:val="24"/>
          <w:szCs w:val="24"/>
          <w:lang w:val="en-GB"/>
        </w:rPr>
        <w:t xml:space="preserve"> and classroom experience. For this reason, the chapter is best understood as </w:t>
      </w:r>
      <w:r w:rsidRPr="298DEB20" w:rsidR="64B5E331">
        <w:rPr>
          <w:rFonts w:ascii="Arial" w:hAnsi="Arial" w:eastAsia="Arial" w:cs="Arial"/>
          <w:noProof w:val="0"/>
          <w:sz w:val="24"/>
          <w:szCs w:val="24"/>
          <w:lang w:val="en-GB"/>
        </w:rPr>
        <w:t>a strong foundation</w:t>
      </w:r>
      <w:r w:rsidRPr="298DEB20" w:rsidR="64B5E331">
        <w:rPr>
          <w:rFonts w:ascii="Arial" w:hAnsi="Arial" w:eastAsia="Arial" w:cs="Arial"/>
          <w:noProof w:val="0"/>
          <w:sz w:val="24"/>
          <w:szCs w:val="24"/>
          <w:lang w:val="en-GB"/>
        </w:rPr>
        <w:t xml:space="preserve"> for TESOL thinking rather than a complete explanation of second language learning.</w:t>
      </w:r>
    </w:p>
    <w:p xmlns:wp14="http://schemas.microsoft.com/office/word/2010/wordml" w:rsidP="298DEB20" wp14:paraId="53C47A8D" wp14:textId="6062906D">
      <w:pPr>
        <w:spacing w:before="240" w:beforeAutospacing="off" w:after="240" w:afterAutospacing="off"/>
        <w:rPr>
          <w:rFonts w:ascii="Arial" w:hAnsi="Arial" w:eastAsia="Arial" w:cs="Arial"/>
          <w:noProof w:val="0"/>
          <w:sz w:val="24"/>
          <w:szCs w:val="24"/>
          <w:lang w:val="en-GB"/>
        </w:rPr>
      </w:pPr>
    </w:p>
    <w:p xmlns:wp14="http://schemas.microsoft.com/office/word/2010/wordml" w:rsidP="298DEB20" wp14:paraId="4B81AE35" wp14:textId="0945C223">
      <w:pPr>
        <w:spacing w:before="240" w:beforeAutospacing="off" w:after="240" w:afterAutospacing="off"/>
        <w:rPr>
          <w:rFonts w:ascii="Arial" w:hAnsi="Arial" w:eastAsia="Arial" w:cs="Arial"/>
          <w:noProof w:val="0"/>
          <w:sz w:val="24"/>
          <w:szCs w:val="24"/>
          <w:lang w:val="en-GB"/>
        </w:rPr>
      </w:pPr>
    </w:p>
    <w:p xmlns:wp14="http://schemas.microsoft.com/office/word/2010/wordml" w:rsidP="298DEB20" wp14:paraId="519A3214" wp14:textId="3AC4EE9B">
      <w:pPr>
        <w:spacing w:before="240" w:beforeAutospacing="off" w:after="240" w:afterAutospacing="off"/>
        <w:rPr>
          <w:rFonts w:ascii="Arial" w:hAnsi="Arial" w:eastAsia="Arial" w:cs="Arial"/>
          <w:noProof w:val="0"/>
          <w:sz w:val="24"/>
          <w:szCs w:val="24"/>
          <w:lang w:val="en-GB"/>
        </w:rPr>
      </w:pPr>
      <w:r w:rsidRPr="298DEB20" w:rsidR="63E07444">
        <w:rPr>
          <w:rFonts w:ascii="Arial" w:hAnsi="Arial" w:eastAsia="Arial" w:cs="Arial"/>
          <w:noProof w:val="0"/>
          <w:sz w:val="24"/>
          <w:szCs w:val="24"/>
          <w:lang w:val="en-GB"/>
        </w:rPr>
        <w:t>References:</w:t>
      </w:r>
    </w:p>
    <w:p xmlns:wp14="http://schemas.microsoft.com/office/word/2010/wordml" w:rsidP="298DEB20" wp14:paraId="104CC418" wp14:textId="136F5F26">
      <w:pPr>
        <w:spacing w:before="240" w:beforeAutospacing="off" w:after="240" w:afterAutospacing="off"/>
        <w:rPr>
          <w:rFonts w:ascii="Arial" w:hAnsi="Arial" w:eastAsia="Arial" w:cs="Arial"/>
          <w:noProof w:val="0"/>
          <w:sz w:val="24"/>
          <w:szCs w:val="24"/>
          <w:lang w:val="en-GB"/>
        </w:rPr>
      </w:pPr>
      <w:r w:rsidRPr="298DEB20" w:rsidR="63E07444">
        <w:rPr>
          <w:rFonts w:ascii="Arial" w:hAnsi="Arial" w:eastAsia="Arial" w:cs="Arial"/>
          <w:noProof w:val="0"/>
          <w:sz w:val="24"/>
          <w:szCs w:val="24"/>
          <w:lang w:val="en-GB"/>
        </w:rPr>
        <w:t xml:space="preserve">Birdsong, D. (2006) ‘Age and second language acquisition and processing: A selective overview’, </w:t>
      </w:r>
      <w:r w:rsidRPr="298DEB20" w:rsidR="63E07444">
        <w:rPr>
          <w:rFonts w:ascii="Arial" w:hAnsi="Arial" w:eastAsia="Arial" w:cs="Arial"/>
          <w:i w:val="1"/>
          <w:iCs w:val="1"/>
          <w:noProof w:val="0"/>
          <w:sz w:val="24"/>
          <w:szCs w:val="24"/>
          <w:lang w:val="en-GB"/>
        </w:rPr>
        <w:t>Language Learning</w:t>
      </w:r>
      <w:r w:rsidRPr="298DEB20" w:rsidR="63E07444">
        <w:rPr>
          <w:rFonts w:ascii="Arial" w:hAnsi="Arial" w:eastAsia="Arial" w:cs="Arial"/>
          <w:noProof w:val="0"/>
          <w:sz w:val="24"/>
          <w:szCs w:val="24"/>
          <w:lang w:val="en-GB"/>
        </w:rPr>
        <w:t>, 56(s1), pp. 9–49.</w:t>
      </w:r>
    </w:p>
    <w:p xmlns:wp14="http://schemas.microsoft.com/office/word/2010/wordml" w:rsidP="298DEB20" wp14:paraId="393AEEDE" wp14:textId="639514A2">
      <w:pPr>
        <w:spacing w:before="240" w:beforeAutospacing="off" w:after="240" w:afterAutospacing="off"/>
        <w:rPr>
          <w:rFonts w:ascii="Arial" w:hAnsi="Arial" w:eastAsia="Arial" w:cs="Arial"/>
          <w:noProof w:val="0"/>
          <w:sz w:val="24"/>
          <w:szCs w:val="24"/>
          <w:lang w:val="en-GB"/>
        </w:rPr>
      </w:pPr>
      <w:r w:rsidRPr="298DEB20" w:rsidR="63E07444">
        <w:rPr>
          <w:rFonts w:ascii="Arial" w:hAnsi="Arial" w:eastAsia="Arial" w:cs="Arial"/>
          <w:noProof w:val="0"/>
          <w:sz w:val="24"/>
          <w:szCs w:val="24"/>
          <w:lang w:val="en-GB"/>
        </w:rPr>
        <w:t xml:space="preserve">Carroll, J.B. (1981) ‘Twenty-five years of research on foreign language aptitude’, in Diller, K.C. (ed.) </w:t>
      </w:r>
      <w:r w:rsidRPr="298DEB20" w:rsidR="63E07444">
        <w:rPr>
          <w:rFonts w:ascii="Arial" w:hAnsi="Arial" w:eastAsia="Arial" w:cs="Arial"/>
          <w:i w:val="1"/>
          <w:iCs w:val="1"/>
          <w:noProof w:val="0"/>
          <w:sz w:val="24"/>
          <w:szCs w:val="24"/>
          <w:lang w:val="en-GB"/>
        </w:rPr>
        <w:t>Individual Differences and Universals in Language Learning Aptitude</w:t>
      </w:r>
      <w:r w:rsidRPr="298DEB20" w:rsidR="63E07444">
        <w:rPr>
          <w:rFonts w:ascii="Arial" w:hAnsi="Arial" w:eastAsia="Arial" w:cs="Arial"/>
          <w:noProof w:val="0"/>
          <w:sz w:val="24"/>
          <w:szCs w:val="24"/>
          <w:lang w:val="en-GB"/>
        </w:rPr>
        <w:t>. Rowley, MA: Newbury House, pp. 83–118.</w:t>
      </w:r>
    </w:p>
    <w:p xmlns:wp14="http://schemas.microsoft.com/office/word/2010/wordml" w:rsidP="298DEB20" wp14:paraId="3F5BDBF2" wp14:textId="5A66AB15">
      <w:pPr>
        <w:spacing w:before="240" w:beforeAutospacing="off" w:after="240" w:afterAutospacing="off"/>
        <w:rPr>
          <w:rFonts w:ascii="Arial" w:hAnsi="Arial" w:eastAsia="Arial" w:cs="Arial"/>
          <w:noProof w:val="0"/>
          <w:sz w:val="24"/>
          <w:szCs w:val="24"/>
          <w:lang w:val="en-GB"/>
        </w:rPr>
      </w:pPr>
      <w:r w:rsidRPr="298DEB20" w:rsidR="63E07444">
        <w:rPr>
          <w:rFonts w:ascii="Arial" w:hAnsi="Arial" w:eastAsia="Arial" w:cs="Arial"/>
          <w:noProof w:val="0"/>
          <w:sz w:val="24"/>
          <w:szCs w:val="24"/>
          <w:lang w:val="en-GB"/>
        </w:rPr>
        <w:t xml:space="preserve">DeKeyser, R. (2012) ‘Age effects in second language learning’, in Gass, S.M. and Mackey, A. (eds.) </w:t>
      </w:r>
      <w:r w:rsidRPr="298DEB20" w:rsidR="63E07444">
        <w:rPr>
          <w:rFonts w:ascii="Arial" w:hAnsi="Arial" w:eastAsia="Arial" w:cs="Arial"/>
          <w:i w:val="1"/>
          <w:iCs w:val="1"/>
          <w:noProof w:val="0"/>
          <w:sz w:val="24"/>
          <w:szCs w:val="24"/>
          <w:lang w:val="en-GB"/>
        </w:rPr>
        <w:t>The Routledge Handbook of Second Language Acquisition</w:t>
      </w:r>
      <w:r w:rsidRPr="298DEB20" w:rsidR="63E07444">
        <w:rPr>
          <w:rFonts w:ascii="Arial" w:hAnsi="Arial" w:eastAsia="Arial" w:cs="Arial"/>
          <w:noProof w:val="0"/>
          <w:sz w:val="24"/>
          <w:szCs w:val="24"/>
          <w:lang w:val="en-GB"/>
        </w:rPr>
        <w:t>. London: Routledge, pp. 442–460.</w:t>
      </w:r>
    </w:p>
    <w:p xmlns:wp14="http://schemas.microsoft.com/office/word/2010/wordml" w:rsidP="298DEB20" wp14:paraId="255C0D8A" wp14:textId="5EBC129A">
      <w:pPr>
        <w:spacing w:before="240" w:beforeAutospacing="off" w:after="240" w:afterAutospacing="off"/>
        <w:rPr>
          <w:rFonts w:ascii="Arial" w:hAnsi="Arial" w:eastAsia="Arial" w:cs="Arial"/>
          <w:noProof w:val="0"/>
          <w:sz w:val="24"/>
          <w:szCs w:val="24"/>
          <w:lang w:val="en-GB"/>
        </w:rPr>
      </w:pPr>
      <w:r w:rsidRPr="298DEB20" w:rsidR="63E07444">
        <w:rPr>
          <w:rFonts w:ascii="Arial" w:hAnsi="Arial" w:eastAsia="Arial" w:cs="Arial"/>
          <w:noProof w:val="0"/>
          <w:sz w:val="24"/>
          <w:szCs w:val="24"/>
          <w:lang w:val="en-GB"/>
        </w:rPr>
        <w:t xml:space="preserve">Dörnyei, Z. (2001) </w:t>
      </w:r>
      <w:r w:rsidRPr="298DEB20" w:rsidR="63E07444">
        <w:rPr>
          <w:rFonts w:ascii="Arial" w:hAnsi="Arial" w:eastAsia="Arial" w:cs="Arial"/>
          <w:i w:val="1"/>
          <w:iCs w:val="1"/>
          <w:noProof w:val="0"/>
          <w:sz w:val="24"/>
          <w:szCs w:val="24"/>
          <w:lang w:val="en-GB"/>
        </w:rPr>
        <w:t>Motivational Strategies in the Language Classroom</w:t>
      </w:r>
      <w:r w:rsidRPr="298DEB20" w:rsidR="63E07444">
        <w:rPr>
          <w:rFonts w:ascii="Arial" w:hAnsi="Arial" w:eastAsia="Arial" w:cs="Arial"/>
          <w:noProof w:val="0"/>
          <w:sz w:val="24"/>
          <w:szCs w:val="24"/>
          <w:lang w:val="en-GB"/>
        </w:rPr>
        <w:t>. Cambridge: Cambridge University Press.</w:t>
      </w:r>
    </w:p>
    <w:p xmlns:wp14="http://schemas.microsoft.com/office/word/2010/wordml" w:rsidP="298DEB20" wp14:paraId="10AC4074" wp14:textId="19DD59E0">
      <w:pPr>
        <w:spacing w:before="240" w:beforeAutospacing="off" w:after="240" w:afterAutospacing="off"/>
        <w:rPr>
          <w:rFonts w:ascii="Arial" w:hAnsi="Arial" w:eastAsia="Arial" w:cs="Arial"/>
          <w:noProof w:val="0"/>
          <w:sz w:val="24"/>
          <w:szCs w:val="24"/>
          <w:lang w:val="en-GB"/>
        </w:rPr>
      </w:pPr>
      <w:r w:rsidRPr="298DEB20" w:rsidR="63E07444">
        <w:rPr>
          <w:rFonts w:ascii="Arial" w:hAnsi="Arial" w:eastAsia="Arial" w:cs="Arial"/>
          <w:noProof w:val="0"/>
          <w:sz w:val="24"/>
          <w:szCs w:val="24"/>
          <w:lang w:val="en-GB"/>
        </w:rPr>
        <w:t xml:space="preserve">Dörnyei, Z. (2009) ‘The L2 motivational </w:t>
      </w:r>
      <w:r w:rsidRPr="298DEB20" w:rsidR="63E07444">
        <w:rPr>
          <w:rFonts w:ascii="Arial" w:hAnsi="Arial" w:eastAsia="Arial" w:cs="Arial"/>
          <w:noProof w:val="0"/>
          <w:sz w:val="24"/>
          <w:szCs w:val="24"/>
          <w:lang w:val="en-GB"/>
        </w:rPr>
        <w:t>self system</w:t>
      </w:r>
      <w:r w:rsidRPr="298DEB20" w:rsidR="63E07444">
        <w:rPr>
          <w:rFonts w:ascii="Arial" w:hAnsi="Arial" w:eastAsia="Arial" w:cs="Arial"/>
          <w:noProof w:val="0"/>
          <w:sz w:val="24"/>
          <w:szCs w:val="24"/>
          <w:lang w:val="en-GB"/>
        </w:rPr>
        <w:t xml:space="preserve">’, in Dörnyei, Z. and Ushioda, E. (eds.) </w:t>
      </w:r>
      <w:r w:rsidRPr="298DEB20" w:rsidR="63E07444">
        <w:rPr>
          <w:rFonts w:ascii="Arial" w:hAnsi="Arial" w:eastAsia="Arial" w:cs="Arial"/>
          <w:i w:val="1"/>
          <w:iCs w:val="1"/>
          <w:noProof w:val="0"/>
          <w:sz w:val="24"/>
          <w:szCs w:val="24"/>
          <w:lang w:val="en-GB"/>
        </w:rPr>
        <w:t>Motivation, Language Identity and the L2 Self</w:t>
      </w:r>
      <w:r w:rsidRPr="298DEB20" w:rsidR="63E07444">
        <w:rPr>
          <w:rFonts w:ascii="Arial" w:hAnsi="Arial" w:eastAsia="Arial" w:cs="Arial"/>
          <w:noProof w:val="0"/>
          <w:sz w:val="24"/>
          <w:szCs w:val="24"/>
          <w:lang w:val="en-GB"/>
        </w:rPr>
        <w:t>. Bristol: Multilingual Matters, pp. 9–42.</w:t>
      </w:r>
    </w:p>
    <w:p xmlns:wp14="http://schemas.microsoft.com/office/word/2010/wordml" w:rsidP="298DEB20" wp14:paraId="3F8DD3B4" wp14:textId="10CAE518">
      <w:pPr>
        <w:spacing w:before="240" w:beforeAutospacing="off" w:after="240" w:afterAutospacing="off"/>
        <w:rPr>
          <w:rFonts w:ascii="Arial" w:hAnsi="Arial" w:eastAsia="Arial" w:cs="Arial"/>
          <w:noProof w:val="0"/>
          <w:sz w:val="24"/>
          <w:szCs w:val="24"/>
          <w:lang w:val="en-GB"/>
        </w:rPr>
      </w:pPr>
      <w:r w:rsidRPr="298DEB20" w:rsidR="63E07444">
        <w:rPr>
          <w:rFonts w:ascii="Arial" w:hAnsi="Arial" w:eastAsia="Arial" w:cs="Arial"/>
          <w:noProof w:val="0"/>
          <w:sz w:val="24"/>
          <w:szCs w:val="24"/>
          <w:lang w:val="en-GB"/>
        </w:rPr>
        <w:t xml:space="preserve">Dörnyei, Z. and Ushioda, E. (2011) </w:t>
      </w:r>
      <w:r w:rsidRPr="298DEB20" w:rsidR="63E07444">
        <w:rPr>
          <w:rFonts w:ascii="Arial" w:hAnsi="Arial" w:eastAsia="Arial" w:cs="Arial"/>
          <w:i w:val="1"/>
          <w:iCs w:val="1"/>
          <w:noProof w:val="0"/>
          <w:sz w:val="24"/>
          <w:szCs w:val="24"/>
          <w:lang w:val="en-GB"/>
        </w:rPr>
        <w:t>Teaching and Researching Motivation</w:t>
      </w:r>
      <w:r w:rsidRPr="298DEB20" w:rsidR="63E07444">
        <w:rPr>
          <w:rFonts w:ascii="Arial" w:hAnsi="Arial" w:eastAsia="Arial" w:cs="Arial"/>
          <w:noProof w:val="0"/>
          <w:sz w:val="24"/>
          <w:szCs w:val="24"/>
          <w:lang w:val="en-GB"/>
        </w:rPr>
        <w:t xml:space="preserve">. 2nd </w:t>
      </w:r>
      <w:r w:rsidRPr="298DEB20" w:rsidR="63E07444">
        <w:rPr>
          <w:rFonts w:ascii="Arial" w:hAnsi="Arial" w:eastAsia="Arial" w:cs="Arial"/>
          <w:noProof w:val="0"/>
          <w:sz w:val="24"/>
          <w:szCs w:val="24"/>
          <w:lang w:val="en-GB"/>
        </w:rPr>
        <w:t>edn</w:t>
      </w:r>
      <w:r w:rsidRPr="298DEB20" w:rsidR="63E07444">
        <w:rPr>
          <w:rFonts w:ascii="Arial" w:hAnsi="Arial" w:eastAsia="Arial" w:cs="Arial"/>
          <w:noProof w:val="0"/>
          <w:sz w:val="24"/>
          <w:szCs w:val="24"/>
          <w:lang w:val="en-GB"/>
        </w:rPr>
        <w:t xml:space="preserve">. Harlow: Pearson Education. </w:t>
      </w:r>
    </w:p>
    <w:p xmlns:wp14="http://schemas.microsoft.com/office/word/2010/wordml" w:rsidP="298DEB20" wp14:paraId="4FA340BD" wp14:textId="5E22610F">
      <w:pPr>
        <w:spacing w:before="240" w:beforeAutospacing="off" w:after="240" w:afterAutospacing="off"/>
        <w:rPr>
          <w:rFonts w:ascii="Arial" w:hAnsi="Arial" w:eastAsia="Arial" w:cs="Arial"/>
          <w:noProof w:val="0"/>
          <w:sz w:val="24"/>
          <w:szCs w:val="24"/>
          <w:lang w:val="en-GB"/>
        </w:rPr>
      </w:pPr>
      <w:r w:rsidRPr="298DEB20" w:rsidR="63E07444">
        <w:rPr>
          <w:rFonts w:ascii="Arial" w:hAnsi="Arial" w:eastAsia="Arial" w:cs="Arial"/>
          <w:noProof w:val="0"/>
          <w:sz w:val="24"/>
          <w:szCs w:val="24"/>
          <w:lang w:val="en-GB"/>
        </w:rPr>
        <w:t xml:space="preserve">Ellis, R. (1994) </w:t>
      </w:r>
      <w:r w:rsidRPr="298DEB20" w:rsidR="63E07444">
        <w:rPr>
          <w:rFonts w:ascii="Arial" w:hAnsi="Arial" w:eastAsia="Arial" w:cs="Arial"/>
          <w:i w:val="1"/>
          <w:iCs w:val="1"/>
          <w:noProof w:val="0"/>
          <w:sz w:val="24"/>
          <w:szCs w:val="24"/>
          <w:lang w:val="en-GB"/>
        </w:rPr>
        <w:t>The Study of Second Language Acquisition</w:t>
      </w:r>
      <w:r w:rsidRPr="298DEB20" w:rsidR="63E07444">
        <w:rPr>
          <w:rFonts w:ascii="Arial" w:hAnsi="Arial" w:eastAsia="Arial" w:cs="Arial"/>
          <w:noProof w:val="0"/>
          <w:sz w:val="24"/>
          <w:szCs w:val="24"/>
          <w:lang w:val="en-GB"/>
        </w:rPr>
        <w:t>. Oxford: Oxford University Press.</w:t>
      </w:r>
    </w:p>
    <w:p xmlns:wp14="http://schemas.microsoft.com/office/word/2010/wordml" w:rsidP="298DEB20" wp14:paraId="54097171" wp14:textId="0FAA988E">
      <w:pPr>
        <w:spacing w:before="240" w:beforeAutospacing="off" w:after="240" w:afterAutospacing="off"/>
        <w:rPr>
          <w:rFonts w:ascii="Arial" w:hAnsi="Arial" w:eastAsia="Arial" w:cs="Arial"/>
          <w:noProof w:val="0"/>
          <w:sz w:val="24"/>
          <w:szCs w:val="24"/>
          <w:lang w:val="en-GB"/>
        </w:rPr>
      </w:pPr>
      <w:r w:rsidRPr="298DEB20" w:rsidR="63E07444">
        <w:rPr>
          <w:rFonts w:ascii="Arial" w:hAnsi="Arial" w:eastAsia="Arial" w:cs="Arial"/>
          <w:noProof w:val="0"/>
          <w:sz w:val="24"/>
          <w:szCs w:val="24"/>
          <w:lang w:val="en-GB"/>
        </w:rPr>
        <w:t xml:space="preserve">Gardner, R.C. (1985) </w:t>
      </w:r>
      <w:r w:rsidRPr="298DEB20" w:rsidR="63E07444">
        <w:rPr>
          <w:rFonts w:ascii="Arial" w:hAnsi="Arial" w:eastAsia="Arial" w:cs="Arial"/>
          <w:i w:val="1"/>
          <w:iCs w:val="1"/>
          <w:noProof w:val="0"/>
          <w:sz w:val="24"/>
          <w:szCs w:val="24"/>
          <w:lang w:val="en-GB"/>
        </w:rPr>
        <w:t>Social Psychology and Second Language Learning: The Role of Attitudes and Motivation</w:t>
      </w:r>
      <w:r w:rsidRPr="298DEB20" w:rsidR="63E07444">
        <w:rPr>
          <w:rFonts w:ascii="Arial" w:hAnsi="Arial" w:eastAsia="Arial" w:cs="Arial"/>
          <w:noProof w:val="0"/>
          <w:sz w:val="24"/>
          <w:szCs w:val="24"/>
          <w:lang w:val="en-GB"/>
        </w:rPr>
        <w:t>. London: Edward Arnold.</w:t>
      </w:r>
    </w:p>
    <w:p xmlns:wp14="http://schemas.microsoft.com/office/word/2010/wordml" w:rsidP="298DEB20" wp14:paraId="6B0E6F0A" wp14:textId="55FF5FB7">
      <w:pPr>
        <w:spacing w:before="240" w:beforeAutospacing="off" w:after="240" w:afterAutospacing="off"/>
        <w:rPr>
          <w:rFonts w:ascii="Arial" w:hAnsi="Arial" w:eastAsia="Arial" w:cs="Arial"/>
          <w:noProof w:val="0"/>
          <w:sz w:val="24"/>
          <w:szCs w:val="24"/>
          <w:lang w:val="en-GB"/>
        </w:rPr>
      </w:pPr>
      <w:r w:rsidRPr="298DEB20" w:rsidR="63E07444">
        <w:rPr>
          <w:rFonts w:ascii="Arial" w:hAnsi="Arial" w:eastAsia="Arial" w:cs="Arial"/>
          <w:noProof w:val="0"/>
          <w:sz w:val="24"/>
          <w:szCs w:val="24"/>
          <w:lang w:val="en-GB"/>
        </w:rPr>
        <w:t xml:space="preserve">Gardner, R.C. and Lambert, W.E. (1972) </w:t>
      </w:r>
      <w:r w:rsidRPr="298DEB20" w:rsidR="63E07444">
        <w:rPr>
          <w:rFonts w:ascii="Arial" w:hAnsi="Arial" w:eastAsia="Arial" w:cs="Arial"/>
          <w:i w:val="1"/>
          <w:iCs w:val="1"/>
          <w:noProof w:val="0"/>
          <w:sz w:val="24"/>
          <w:szCs w:val="24"/>
          <w:lang w:val="en-GB"/>
        </w:rPr>
        <w:t>Attitudes and Motivation in Second-Language Learning</w:t>
      </w:r>
      <w:r w:rsidRPr="298DEB20" w:rsidR="63E07444">
        <w:rPr>
          <w:rFonts w:ascii="Arial" w:hAnsi="Arial" w:eastAsia="Arial" w:cs="Arial"/>
          <w:noProof w:val="0"/>
          <w:sz w:val="24"/>
          <w:szCs w:val="24"/>
          <w:lang w:val="en-GB"/>
        </w:rPr>
        <w:t>. Rowley, MA: Newbury House.</w:t>
      </w:r>
    </w:p>
    <w:p xmlns:wp14="http://schemas.microsoft.com/office/word/2010/wordml" w:rsidP="298DEB20" wp14:paraId="45B3CEA0" wp14:textId="09DBE86A">
      <w:pPr>
        <w:spacing w:before="240" w:beforeAutospacing="off" w:after="240" w:afterAutospacing="off"/>
        <w:rPr>
          <w:rFonts w:ascii="Arial" w:hAnsi="Arial" w:eastAsia="Arial" w:cs="Arial"/>
          <w:noProof w:val="0"/>
          <w:sz w:val="24"/>
          <w:szCs w:val="24"/>
          <w:lang w:val="en-GB"/>
        </w:rPr>
      </w:pPr>
      <w:r w:rsidRPr="298DEB20" w:rsidR="63E07444">
        <w:rPr>
          <w:rFonts w:ascii="Arial" w:hAnsi="Arial" w:eastAsia="Arial" w:cs="Arial"/>
          <w:noProof w:val="0"/>
          <w:sz w:val="24"/>
          <w:szCs w:val="24"/>
          <w:lang w:val="en-GB"/>
        </w:rPr>
        <w:t xml:space="preserve">Horwitz, E.K. (1987) ‘Surveying student beliefs about language learning’, in Wenden, A. and Rubin, J. (eds.) </w:t>
      </w:r>
      <w:r w:rsidRPr="298DEB20" w:rsidR="63E07444">
        <w:rPr>
          <w:rFonts w:ascii="Arial" w:hAnsi="Arial" w:eastAsia="Arial" w:cs="Arial"/>
          <w:i w:val="1"/>
          <w:iCs w:val="1"/>
          <w:noProof w:val="0"/>
          <w:sz w:val="24"/>
          <w:szCs w:val="24"/>
          <w:lang w:val="en-GB"/>
        </w:rPr>
        <w:t>Learner Strategies in Language Learning</w:t>
      </w:r>
      <w:r w:rsidRPr="298DEB20" w:rsidR="63E07444">
        <w:rPr>
          <w:rFonts w:ascii="Arial" w:hAnsi="Arial" w:eastAsia="Arial" w:cs="Arial"/>
          <w:noProof w:val="0"/>
          <w:sz w:val="24"/>
          <w:szCs w:val="24"/>
          <w:lang w:val="en-GB"/>
        </w:rPr>
        <w:t>. Englewood Cliffs, NJ: Prentice Hall, pp. 119–129.</w:t>
      </w:r>
    </w:p>
    <w:p xmlns:wp14="http://schemas.microsoft.com/office/word/2010/wordml" w:rsidP="298DEB20" wp14:paraId="5B7B3B8D" wp14:textId="7C39F5A9">
      <w:pPr>
        <w:spacing w:before="240" w:beforeAutospacing="off" w:after="240" w:afterAutospacing="off"/>
        <w:rPr>
          <w:rFonts w:ascii="Arial" w:hAnsi="Arial" w:eastAsia="Arial" w:cs="Arial"/>
          <w:noProof w:val="0"/>
          <w:sz w:val="24"/>
          <w:szCs w:val="24"/>
          <w:lang w:val="en-GB"/>
        </w:rPr>
      </w:pPr>
      <w:r w:rsidRPr="298DEB20" w:rsidR="63E07444">
        <w:rPr>
          <w:rFonts w:ascii="Arial" w:hAnsi="Arial" w:eastAsia="Arial" w:cs="Arial"/>
          <w:noProof w:val="0"/>
          <w:sz w:val="24"/>
          <w:szCs w:val="24"/>
          <w:lang w:val="en-GB"/>
        </w:rPr>
        <w:t xml:space="preserve">Krashen, S.D. (1982) </w:t>
      </w:r>
      <w:r w:rsidRPr="298DEB20" w:rsidR="63E07444">
        <w:rPr>
          <w:rFonts w:ascii="Arial" w:hAnsi="Arial" w:eastAsia="Arial" w:cs="Arial"/>
          <w:i w:val="1"/>
          <w:iCs w:val="1"/>
          <w:noProof w:val="0"/>
          <w:sz w:val="24"/>
          <w:szCs w:val="24"/>
          <w:lang w:val="en-GB"/>
        </w:rPr>
        <w:t>Principles and Practice in Second Language Acquisition</w:t>
      </w:r>
      <w:r w:rsidRPr="298DEB20" w:rsidR="63E07444">
        <w:rPr>
          <w:rFonts w:ascii="Arial" w:hAnsi="Arial" w:eastAsia="Arial" w:cs="Arial"/>
          <w:noProof w:val="0"/>
          <w:sz w:val="24"/>
          <w:szCs w:val="24"/>
          <w:lang w:val="en-GB"/>
        </w:rPr>
        <w:t>. Oxford: Pergamon.</w:t>
      </w:r>
    </w:p>
    <w:p xmlns:wp14="http://schemas.microsoft.com/office/word/2010/wordml" w:rsidP="298DEB20" wp14:paraId="0A402359" wp14:textId="0AC4FDC2">
      <w:pPr>
        <w:spacing w:before="240" w:beforeAutospacing="off" w:after="240" w:afterAutospacing="off"/>
        <w:rPr>
          <w:rFonts w:ascii="Arial" w:hAnsi="Arial" w:eastAsia="Arial" w:cs="Arial"/>
          <w:noProof w:val="0"/>
          <w:sz w:val="24"/>
          <w:szCs w:val="24"/>
          <w:lang w:val="en-GB"/>
        </w:rPr>
      </w:pPr>
      <w:r w:rsidRPr="298DEB20" w:rsidR="63E07444">
        <w:rPr>
          <w:rFonts w:ascii="Arial" w:hAnsi="Arial" w:eastAsia="Arial" w:cs="Arial"/>
          <w:noProof w:val="0"/>
          <w:sz w:val="24"/>
          <w:szCs w:val="24"/>
          <w:lang w:val="en-GB"/>
        </w:rPr>
        <w:t xml:space="preserve">Lightbown, P.M. and Spada, N. (2000) ‘Factors affecting second language learning’, in Candlin, C.N. and Mercer, N. (eds.) </w:t>
      </w:r>
      <w:r w:rsidRPr="298DEB20" w:rsidR="63E07444">
        <w:rPr>
          <w:rFonts w:ascii="Arial" w:hAnsi="Arial" w:eastAsia="Arial" w:cs="Arial"/>
          <w:i w:val="1"/>
          <w:iCs w:val="1"/>
          <w:noProof w:val="0"/>
          <w:sz w:val="24"/>
          <w:szCs w:val="24"/>
          <w:lang w:val="en-GB"/>
        </w:rPr>
        <w:t>English Language Teaching in its Social Context: A Reader</w:t>
      </w:r>
      <w:r w:rsidRPr="298DEB20" w:rsidR="63E07444">
        <w:rPr>
          <w:rFonts w:ascii="Arial" w:hAnsi="Arial" w:eastAsia="Arial" w:cs="Arial"/>
          <w:noProof w:val="0"/>
          <w:sz w:val="24"/>
          <w:szCs w:val="24"/>
          <w:lang w:val="en-GB"/>
        </w:rPr>
        <w:t>. London: Routledge, pp. 28–43.</w:t>
      </w:r>
      <w:r>
        <w:br/>
      </w:r>
      <w:r w:rsidRPr="298DEB20" w:rsidR="63E07444">
        <w:rPr>
          <w:rFonts w:ascii="Arial" w:hAnsi="Arial" w:eastAsia="Arial" w:cs="Arial"/>
          <w:noProof w:val="0"/>
          <w:sz w:val="24"/>
          <w:szCs w:val="24"/>
          <w:lang w:val="en-GB"/>
        </w:rPr>
        <w:t xml:space="preserve">  </w:t>
      </w:r>
    </w:p>
    <w:p xmlns:wp14="http://schemas.microsoft.com/office/word/2010/wordml" w:rsidP="298DEB20" wp14:paraId="05CA9237" wp14:textId="13ED1FF8">
      <w:pPr>
        <w:spacing w:before="240" w:beforeAutospacing="off" w:after="240" w:afterAutospacing="off"/>
        <w:rPr>
          <w:rFonts w:ascii="Arial" w:hAnsi="Arial" w:eastAsia="Arial" w:cs="Arial"/>
          <w:noProof w:val="0"/>
          <w:sz w:val="24"/>
          <w:szCs w:val="24"/>
          <w:lang w:val="en-GB"/>
        </w:rPr>
      </w:pPr>
      <w:r w:rsidRPr="298DEB20" w:rsidR="63E07444">
        <w:rPr>
          <w:rFonts w:ascii="Arial" w:hAnsi="Arial" w:eastAsia="Arial" w:cs="Arial"/>
          <w:noProof w:val="0"/>
          <w:sz w:val="24"/>
          <w:szCs w:val="24"/>
          <w:lang w:val="en-GB"/>
        </w:rPr>
        <w:t xml:space="preserve">Long, M.H. (1996) ‘The role of the linguistic environment in second language acquisition’, in Ritchie, W.C. and Bhatia, T.K. (eds.) </w:t>
      </w:r>
      <w:r w:rsidRPr="298DEB20" w:rsidR="63E07444">
        <w:rPr>
          <w:rFonts w:ascii="Arial" w:hAnsi="Arial" w:eastAsia="Arial" w:cs="Arial"/>
          <w:i w:val="1"/>
          <w:iCs w:val="1"/>
          <w:noProof w:val="0"/>
          <w:sz w:val="24"/>
          <w:szCs w:val="24"/>
          <w:lang w:val="en-GB"/>
        </w:rPr>
        <w:t>Handbook of Second Language Acquisition</w:t>
      </w:r>
      <w:r w:rsidRPr="298DEB20" w:rsidR="63E07444">
        <w:rPr>
          <w:rFonts w:ascii="Arial" w:hAnsi="Arial" w:eastAsia="Arial" w:cs="Arial"/>
          <w:noProof w:val="0"/>
          <w:sz w:val="24"/>
          <w:szCs w:val="24"/>
          <w:lang w:val="en-GB"/>
        </w:rPr>
        <w:t>. San Diego: Academic Press, pp. 413–468.</w:t>
      </w:r>
    </w:p>
    <w:p xmlns:wp14="http://schemas.microsoft.com/office/word/2010/wordml" w:rsidP="298DEB20" wp14:paraId="7835C903" wp14:textId="1E3D5C79">
      <w:pPr>
        <w:spacing w:before="240" w:beforeAutospacing="off" w:after="240" w:afterAutospacing="off"/>
        <w:rPr>
          <w:rFonts w:ascii="Arial" w:hAnsi="Arial" w:eastAsia="Arial" w:cs="Arial"/>
          <w:noProof w:val="0"/>
          <w:sz w:val="24"/>
          <w:szCs w:val="24"/>
          <w:lang w:val="en-GB"/>
        </w:rPr>
      </w:pPr>
      <w:r w:rsidRPr="298DEB20" w:rsidR="63E07444">
        <w:rPr>
          <w:rFonts w:ascii="Arial" w:hAnsi="Arial" w:eastAsia="Arial" w:cs="Arial"/>
          <w:noProof w:val="0"/>
          <w:sz w:val="24"/>
          <w:szCs w:val="24"/>
          <w:lang w:val="en-GB"/>
        </w:rPr>
        <w:t xml:space="preserve">Mitchell, R., Myles, </w:t>
      </w:r>
      <w:r w:rsidRPr="298DEB20" w:rsidR="63E07444">
        <w:rPr>
          <w:rFonts w:ascii="Arial" w:hAnsi="Arial" w:eastAsia="Arial" w:cs="Arial"/>
          <w:noProof w:val="0"/>
          <w:sz w:val="24"/>
          <w:szCs w:val="24"/>
          <w:lang w:val="en-GB"/>
        </w:rPr>
        <w:t>F.</w:t>
      </w:r>
      <w:r w:rsidRPr="298DEB20" w:rsidR="63E07444">
        <w:rPr>
          <w:rFonts w:ascii="Arial" w:hAnsi="Arial" w:eastAsia="Arial" w:cs="Arial"/>
          <w:noProof w:val="0"/>
          <w:sz w:val="24"/>
          <w:szCs w:val="24"/>
          <w:lang w:val="en-GB"/>
        </w:rPr>
        <w:t xml:space="preserve"> and Marsden, E. (2013) </w:t>
      </w:r>
      <w:r w:rsidRPr="298DEB20" w:rsidR="63E07444">
        <w:rPr>
          <w:rFonts w:ascii="Arial" w:hAnsi="Arial" w:eastAsia="Arial" w:cs="Arial"/>
          <w:i w:val="1"/>
          <w:iCs w:val="1"/>
          <w:noProof w:val="0"/>
          <w:sz w:val="24"/>
          <w:szCs w:val="24"/>
          <w:lang w:val="en-GB"/>
        </w:rPr>
        <w:t>Second Language Learning Theories</w:t>
      </w:r>
      <w:r w:rsidRPr="298DEB20" w:rsidR="63E07444">
        <w:rPr>
          <w:rFonts w:ascii="Arial" w:hAnsi="Arial" w:eastAsia="Arial" w:cs="Arial"/>
          <w:noProof w:val="0"/>
          <w:sz w:val="24"/>
          <w:szCs w:val="24"/>
          <w:lang w:val="en-GB"/>
        </w:rPr>
        <w:t xml:space="preserve">. 3rd </w:t>
      </w:r>
      <w:r w:rsidRPr="298DEB20" w:rsidR="63E07444">
        <w:rPr>
          <w:rFonts w:ascii="Arial" w:hAnsi="Arial" w:eastAsia="Arial" w:cs="Arial"/>
          <w:noProof w:val="0"/>
          <w:sz w:val="24"/>
          <w:szCs w:val="24"/>
          <w:lang w:val="en-GB"/>
        </w:rPr>
        <w:t>edn</w:t>
      </w:r>
      <w:r w:rsidRPr="298DEB20" w:rsidR="63E07444">
        <w:rPr>
          <w:rFonts w:ascii="Arial" w:hAnsi="Arial" w:eastAsia="Arial" w:cs="Arial"/>
          <w:noProof w:val="0"/>
          <w:sz w:val="24"/>
          <w:szCs w:val="24"/>
          <w:lang w:val="en-GB"/>
        </w:rPr>
        <w:t xml:space="preserve">. London: Routledge. </w:t>
      </w:r>
    </w:p>
    <w:p xmlns:wp14="http://schemas.microsoft.com/office/word/2010/wordml" w:rsidP="298DEB20" wp14:paraId="106B1C1E" wp14:textId="67700F19">
      <w:pPr>
        <w:spacing w:before="240" w:beforeAutospacing="off" w:after="240" w:afterAutospacing="off"/>
        <w:rPr>
          <w:rFonts w:ascii="Arial" w:hAnsi="Arial" w:eastAsia="Arial" w:cs="Arial"/>
          <w:noProof w:val="0"/>
          <w:sz w:val="24"/>
          <w:szCs w:val="24"/>
          <w:lang w:val="en-GB"/>
        </w:rPr>
      </w:pPr>
      <w:r w:rsidRPr="298DEB20" w:rsidR="63E07444">
        <w:rPr>
          <w:rFonts w:ascii="Arial" w:hAnsi="Arial" w:eastAsia="Arial" w:cs="Arial"/>
          <w:noProof w:val="0"/>
          <w:sz w:val="24"/>
          <w:szCs w:val="24"/>
          <w:lang w:val="en-GB"/>
        </w:rPr>
        <w:t xml:space="preserve">Muñoz, </w:t>
      </w:r>
      <w:r w:rsidRPr="298DEB20" w:rsidR="63E07444">
        <w:rPr>
          <w:rFonts w:ascii="Arial" w:hAnsi="Arial" w:eastAsia="Arial" w:cs="Arial"/>
          <w:noProof w:val="0"/>
          <w:sz w:val="24"/>
          <w:szCs w:val="24"/>
          <w:lang w:val="en-GB"/>
        </w:rPr>
        <w:t>C.</w:t>
      </w:r>
      <w:r w:rsidRPr="298DEB20" w:rsidR="63E07444">
        <w:rPr>
          <w:rFonts w:ascii="Arial" w:hAnsi="Arial" w:eastAsia="Arial" w:cs="Arial"/>
          <w:noProof w:val="0"/>
          <w:sz w:val="24"/>
          <w:szCs w:val="24"/>
          <w:lang w:val="en-GB"/>
        </w:rPr>
        <w:t xml:space="preserve"> and Singleton, D. (2011) ‘A critical review of age-related research on L2 ultimate attainment’, </w:t>
      </w:r>
      <w:r w:rsidRPr="298DEB20" w:rsidR="63E07444">
        <w:rPr>
          <w:rFonts w:ascii="Arial" w:hAnsi="Arial" w:eastAsia="Arial" w:cs="Arial"/>
          <w:i w:val="1"/>
          <w:iCs w:val="1"/>
          <w:noProof w:val="0"/>
          <w:sz w:val="24"/>
          <w:szCs w:val="24"/>
          <w:lang w:val="en-GB"/>
        </w:rPr>
        <w:t>Language Teaching</w:t>
      </w:r>
      <w:r w:rsidRPr="298DEB20" w:rsidR="63E07444">
        <w:rPr>
          <w:rFonts w:ascii="Arial" w:hAnsi="Arial" w:eastAsia="Arial" w:cs="Arial"/>
          <w:noProof w:val="0"/>
          <w:sz w:val="24"/>
          <w:szCs w:val="24"/>
          <w:lang w:val="en-GB"/>
        </w:rPr>
        <w:t>, 44(1), pp. 1–35.</w:t>
      </w:r>
    </w:p>
    <w:p xmlns:wp14="http://schemas.microsoft.com/office/word/2010/wordml" w:rsidP="298DEB20" wp14:paraId="5DBCFAD8" wp14:textId="4E23A8ED">
      <w:pPr>
        <w:spacing w:before="240" w:beforeAutospacing="off" w:after="240" w:afterAutospacing="off"/>
        <w:rPr>
          <w:rFonts w:ascii="Arial" w:hAnsi="Arial" w:eastAsia="Arial" w:cs="Arial"/>
          <w:noProof w:val="0"/>
          <w:sz w:val="24"/>
          <w:szCs w:val="24"/>
          <w:lang w:val="en-GB"/>
        </w:rPr>
      </w:pPr>
      <w:r w:rsidRPr="298DEB20" w:rsidR="63E07444">
        <w:rPr>
          <w:rFonts w:ascii="Arial" w:hAnsi="Arial" w:eastAsia="Arial" w:cs="Arial"/>
          <w:noProof w:val="0"/>
          <w:sz w:val="24"/>
          <w:szCs w:val="24"/>
          <w:lang w:val="en-GB"/>
        </w:rPr>
        <w:t xml:space="preserve">Norton, B. (2013) </w:t>
      </w:r>
      <w:r w:rsidRPr="298DEB20" w:rsidR="63E07444">
        <w:rPr>
          <w:rFonts w:ascii="Arial" w:hAnsi="Arial" w:eastAsia="Arial" w:cs="Arial"/>
          <w:i w:val="1"/>
          <w:iCs w:val="1"/>
          <w:noProof w:val="0"/>
          <w:sz w:val="24"/>
          <w:szCs w:val="24"/>
          <w:lang w:val="en-GB"/>
        </w:rPr>
        <w:t>Identity and Language Learning: Extending the Conversation</w:t>
      </w:r>
      <w:r w:rsidRPr="298DEB20" w:rsidR="63E07444">
        <w:rPr>
          <w:rFonts w:ascii="Arial" w:hAnsi="Arial" w:eastAsia="Arial" w:cs="Arial"/>
          <w:noProof w:val="0"/>
          <w:sz w:val="24"/>
          <w:szCs w:val="24"/>
          <w:lang w:val="en-GB"/>
        </w:rPr>
        <w:t xml:space="preserve">. 2nd </w:t>
      </w:r>
      <w:r w:rsidRPr="298DEB20" w:rsidR="63E07444">
        <w:rPr>
          <w:rFonts w:ascii="Arial" w:hAnsi="Arial" w:eastAsia="Arial" w:cs="Arial"/>
          <w:noProof w:val="0"/>
          <w:sz w:val="24"/>
          <w:szCs w:val="24"/>
          <w:lang w:val="en-GB"/>
        </w:rPr>
        <w:t>edn</w:t>
      </w:r>
      <w:r w:rsidRPr="298DEB20" w:rsidR="63E07444">
        <w:rPr>
          <w:rFonts w:ascii="Arial" w:hAnsi="Arial" w:eastAsia="Arial" w:cs="Arial"/>
          <w:noProof w:val="0"/>
          <w:sz w:val="24"/>
          <w:szCs w:val="24"/>
          <w:lang w:val="en-GB"/>
        </w:rPr>
        <w:t>. Bristol: Multilingual Matters.</w:t>
      </w:r>
    </w:p>
    <w:p xmlns:wp14="http://schemas.microsoft.com/office/word/2010/wordml" w:rsidP="298DEB20" wp14:paraId="039FCC7F" wp14:textId="4660BD66">
      <w:pPr>
        <w:spacing w:before="240" w:beforeAutospacing="off" w:after="240" w:afterAutospacing="off"/>
        <w:rPr>
          <w:rFonts w:ascii="Arial" w:hAnsi="Arial" w:eastAsia="Arial" w:cs="Arial"/>
          <w:noProof w:val="0"/>
          <w:sz w:val="24"/>
          <w:szCs w:val="24"/>
          <w:lang w:val="en-GB"/>
        </w:rPr>
      </w:pPr>
      <w:r w:rsidRPr="298DEB20" w:rsidR="63E07444">
        <w:rPr>
          <w:rFonts w:ascii="Arial" w:hAnsi="Arial" w:eastAsia="Arial" w:cs="Arial"/>
          <w:noProof w:val="0"/>
          <w:sz w:val="24"/>
          <w:szCs w:val="24"/>
          <w:lang w:val="en-GB"/>
        </w:rPr>
        <w:t xml:space="preserve">Oxford, R.L. (1990) </w:t>
      </w:r>
      <w:r w:rsidRPr="298DEB20" w:rsidR="63E07444">
        <w:rPr>
          <w:rFonts w:ascii="Arial" w:hAnsi="Arial" w:eastAsia="Arial" w:cs="Arial"/>
          <w:i w:val="1"/>
          <w:iCs w:val="1"/>
          <w:noProof w:val="0"/>
          <w:sz w:val="24"/>
          <w:szCs w:val="24"/>
          <w:lang w:val="en-GB"/>
        </w:rPr>
        <w:t>Language Learning Strategies: What Every Teacher Should Know</w:t>
      </w:r>
      <w:r w:rsidRPr="298DEB20" w:rsidR="63E07444">
        <w:rPr>
          <w:rFonts w:ascii="Arial" w:hAnsi="Arial" w:eastAsia="Arial" w:cs="Arial"/>
          <w:noProof w:val="0"/>
          <w:sz w:val="24"/>
          <w:szCs w:val="24"/>
          <w:lang w:val="en-GB"/>
        </w:rPr>
        <w:t>. Boston, MA: Heinle &amp; Heinle.</w:t>
      </w:r>
    </w:p>
    <w:p xmlns:wp14="http://schemas.microsoft.com/office/word/2010/wordml" w:rsidP="298DEB20" wp14:paraId="6BE87BB9" wp14:textId="644378F4">
      <w:pPr>
        <w:spacing w:before="240" w:beforeAutospacing="off" w:after="240" w:afterAutospacing="off"/>
        <w:rPr>
          <w:rFonts w:ascii="Arial" w:hAnsi="Arial" w:eastAsia="Arial" w:cs="Arial"/>
          <w:noProof w:val="0"/>
          <w:sz w:val="24"/>
          <w:szCs w:val="24"/>
          <w:lang w:val="en-GB"/>
        </w:rPr>
      </w:pPr>
      <w:r w:rsidRPr="298DEB20" w:rsidR="63E07444">
        <w:rPr>
          <w:rFonts w:ascii="Arial" w:hAnsi="Arial" w:eastAsia="Arial" w:cs="Arial"/>
          <w:noProof w:val="0"/>
          <w:sz w:val="24"/>
          <w:szCs w:val="24"/>
          <w:lang w:val="en-GB"/>
        </w:rPr>
        <w:t xml:space="preserve">Saville-Troike, M. and Barto, K. (2017) </w:t>
      </w:r>
      <w:r w:rsidRPr="298DEB20" w:rsidR="63E07444">
        <w:rPr>
          <w:rFonts w:ascii="Arial" w:hAnsi="Arial" w:eastAsia="Arial" w:cs="Arial"/>
          <w:i w:val="1"/>
          <w:iCs w:val="1"/>
          <w:noProof w:val="0"/>
          <w:sz w:val="24"/>
          <w:szCs w:val="24"/>
          <w:lang w:val="en-GB"/>
        </w:rPr>
        <w:t>Introducing Second Language Acquisition</w:t>
      </w:r>
      <w:r w:rsidRPr="298DEB20" w:rsidR="63E07444">
        <w:rPr>
          <w:rFonts w:ascii="Arial" w:hAnsi="Arial" w:eastAsia="Arial" w:cs="Arial"/>
          <w:noProof w:val="0"/>
          <w:sz w:val="24"/>
          <w:szCs w:val="24"/>
          <w:lang w:val="en-GB"/>
        </w:rPr>
        <w:t xml:space="preserve">. 3rd </w:t>
      </w:r>
      <w:r w:rsidRPr="298DEB20" w:rsidR="63E07444">
        <w:rPr>
          <w:rFonts w:ascii="Arial" w:hAnsi="Arial" w:eastAsia="Arial" w:cs="Arial"/>
          <w:noProof w:val="0"/>
          <w:sz w:val="24"/>
          <w:szCs w:val="24"/>
          <w:lang w:val="en-GB"/>
        </w:rPr>
        <w:t>edn</w:t>
      </w:r>
      <w:r w:rsidRPr="298DEB20" w:rsidR="63E07444">
        <w:rPr>
          <w:rFonts w:ascii="Arial" w:hAnsi="Arial" w:eastAsia="Arial" w:cs="Arial"/>
          <w:noProof w:val="0"/>
          <w:sz w:val="24"/>
          <w:szCs w:val="24"/>
          <w:lang w:val="en-GB"/>
        </w:rPr>
        <w:t>. Cambridge: Cambridge University Press.</w:t>
      </w:r>
    </w:p>
    <w:p xmlns:wp14="http://schemas.microsoft.com/office/word/2010/wordml" w:rsidP="298DEB20" wp14:paraId="2346D88D" wp14:textId="1AB6DC87">
      <w:pPr>
        <w:spacing w:before="240" w:beforeAutospacing="off" w:after="240" w:afterAutospacing="off"/>
        <w:rPr>
          <w:rFonts w:ascii="Arial" w:hAnsi="Arial" w:eastAsia="Arial" w:cs="Arial"/>
          <w:noProof w:val="0"/>
          <w:sz w:val="24"/>
          <w:szCs w:val="24"/>
          <w:lang w:val="en-GB"/>
        </w:rPr>
      </w:pPr>
      <w:r w:rsidRPr="298DEB20" w:rsidR="63E07444">
        <w:rPr>
          <w:rFonts w:ascii="Arial" w:hAnsi="Arial" w:eastAsia="Arial" w:cs="Arial"/>
          <w:noProof w:val="0"/>
          <w:sz w:val="24"/>
          <w:szCs w:val="24"/>
          <w:lang w:val="en-GB"/>
        </w:rPr>
        <w:t xml:space="preserve">Skehan, P. (1989) </w:t>
      </w:r>
      <w:r w:rsidRPr="298DEB20" w:rsidR="63E07444">
        <w:rPr>
          <w:rFonts w:ascii="Arial" w:hAnsi="Arial" w:eastAsia="Arial" w:cs="Arial"/>
          <w:i w:val="1"/>
          <w:iCs w:val="1"/>
          <w:noProof w:val="0"/>
          <w:sz w:val="24"/>
          <w:szCs w:val="24"/>
          <w:lang w:val="en-GB"/>
        </w:rPr>
        <w:t>Individual Differences in Second-Language Learning</w:t>
      </w:r>
      <w:r w:rsidRPr="298DEB20" w:rsidR="63E07444">
        <w:rPr>
          <w:rFonts w:ascii="Arial" w:hAnsi="Arial" w:eastAsia="Arial" w:cs="Arial"/>
          <w:noProof w:val="0"/>
          <w:sz w:val="24"/>
          <w:szCs w:val="24"/>
          <w:lang w:val="en-GB"/>
        </w:rPr>
        <w:t>. London: Edward Arnold.</w:t>
      </w:r>
    </w:p>
    <w:p xmlns:wp14="http://schemas.microsoft.com/office/word/2010/wordml" w:rsidP="298DEB20" wp14:paraId="031F7746" wp14:textId="056F4F09">
      <w:pPr>
        <w:spacing w:before="240" w:beforeAutospacing="off" w:after="240" w:afterAutospacing="off"/>
        <w:rPr>
          <w:rFonts w:ascii="Arial" w:hAnsi="Arial" w:eastAsia="Arial" w:cs="Arial"/>
          <w:noProof w:val="0"/>
          <w:sz w:val="24"/>
          <w:szCs w:val="24"/>
          <w:lang w:val="en-GB"/>
        </w:rPr>
      </w:pPr>
      <w:r w:rsidRPr="298DEB20" w:rsidR="63E07444">
        <w:rPr>
          <w:rFonts w:ascii="Arial" w:hAnsi="Arial" w:eastAsia="Arial" w:cs="Arial"/>
          <w:noProof w:val="0"/>
          <w:sz w:val="24"/>
          <w:szCs w:val="24"/>
          <w:lang w:val="en-GB"/>
        </w:rPr>
        <w:t>Ushioda, E. (2011) ‘Why autonomy? Insights from motivation theory and research</w:t>
      </w:r>
      <w:r w:rsidRPr="298DEB20" w:rsidR="63E07444">
        <w:rPr>
          <w:rFonts w:ascii="Arial" w:hAnsi="Arial" w:eastAsia="Arial" w:cs="Arial"/>
          <w:noProof w:val="0"/>
          <w:sz w:val="24"/>
          <w:szCs w:val="24"/>
          <w:lang w:val="en-GB"/>
        </w:rPr>
        <w:t>’,</w:t>
      </w:r>
      <w:r w:rsidRPr="298DEB20" w:rsidR="63E07444">
        <w:rPr>
          <w:rFonts w:ascii="Arial" w:hAnsi="Arial" w:eastAsia="Arial" w:cs="Arial"/>
          <w:noProof w:val="0"/>
          <w:sz w:val="24"/>
          <w:szCs w:val="24"/>
          <w:lang w:val="en-GB"/>
        </w:rPr>
        <w:t xml:space="preserve"> </w:t>
      </w:r>
      <w:r w:rsidRPr="298DEB20" w:rsidR="63E07444">
        <w:rPr>
          <w:rFonts w:ascii="Arial" w:hAnsi="Arial" w:eastAsia="Arial" w:cs="Arial"/>
          <w:i w:val="1"/>
          <w:iCs w:val="1"/>
          <w:noProof w:val="0"/>
          <w:sz w:val="24"/>
          <w:szCs w:val="24"/>
          <w:lang w:val="en-GB"/>
        </w:rPr>
        <w:t>Innovation in Language Learning and Teaching</w:t>
      </w:r>
      <w:r w:rsidRPr="298DEB20" w:rsidR="63E07444">
        <w:rPr>
          <w:rFonts w:ascii="Arial" w:hAnsi="Arial" w:eastAsia="Arial" w:cs="Arial"/>
          <w:noProof w:val="0"/>
          <w:sz w:val="24"/>
          <w:szCs w:val="24"/>
          <w:lang w:val="en-GB"/>
        </w:rPr>
        <w:t>, 5(2), pp. 221–232.</w:t>
      </w:r>
    </w:p>
    <w:p xmlns:wp14="http://schemas.microsoft.com/office/word/2010/wordml" w:rsidP="298DEB20" wp14:paraId="358D01F0" wp14:textId="2C4C07C1">
      <w:pPr>
        <w:spacing w:before="240" w:beforeAutospacing="off" w:after="240" w:afterAutospacing="off"/>
        <w:rPr>
          <w:rFonts w:ascii="Arial" w:hAnsi="Arial" w:eastAsia="Arial" w:cs="Arial"/>
          <w:noProof w:val="0"/>
          <w:sz w:val="24"/>
          <w:szCs w:val="24"/>
          <w:lang w:val="en-GB"/>
        </w:rPr>
      </w:pPr>
      <w:r w:rsidRPr="298DEB20" w:rsidR="63E07444">
        <w:rPr>
          <w:rFonts w:ascii="Arial" w:hAnsi="Arial" w:eastAsia="Arial" w:cs="Arial"/>
          <w:noProof w:val="0"/>
          <w:sz w:val="24"/>
          <w:szCs w:val="24"/>
          <w:lang w:val="en-GB"/>
        </w:rPr>
        <w:t xml:space="preserve">Yashima, T. (2009) ‘International posture and the ideal L2 self in the Japanese EFL context’, in Dörnyei, Z. and Ushioda, E. (eds.) </w:t>
      </w:r>
      <w:r w:rsidRPr="298DEB20" w:rsidR="63E07444">
        <w:rPr>
          <w:rFonts w:ascii="Arial" w:hAnsi="Arial" w:eastAsia="Arial" w:cs="Arial"/>
          <w:i w:val="1"/>
          <w:iCs w:val="1"/>
          <w:noProof w:val="0"/>
          <w:sz w:val="24"/>
          <w:szCs w:val="24"/>
          <w:lang w:val="en-GB"/>
        </w:rPr>
        <w:t>Motivation, Language Identity and the L2 Self</w:t>
      </w:r>
      <w:r w:rsidRPr="298DEB20" w:rsidR="63E07444">
        <w:rPr>
          <w:rFonts w:ascii="Arial" w:hAnsi="Arial" w:eastAsia="Arial" w:cs="Arial"/>
          <w:noProof w:val="0"/>
          <w:sz w:val="24"/>
          <w:szCs w:val="24"/>
          <w:lang w:val="en-GB"/>
        </w:rPr>
        <w:t>. Bristol: Multilingual Matters, pp. 144–163.</w:t>
      </w:r>
    </w:p>
    <w:p xmlns:wp14="http://schemas.microsoft.com/office/word/2010/wordml" wp14:paraId="5E5787A5" wp14:textId="4341E615"/>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9BFDB13"/>
    <w:rsid w:val="0C8C3C6D"/>
    <w:rsid w:val="14100C8B"/>
    <w:rsid w:val="298DEB20"/>
    <w:rsid w:val="2AD5F67F"/>
    <w:rsid w:val="32B46B7B"/>
    <w:rsid w:val="366B293D"/>
    <w:rsid w:val="39BFDB13"/>
    <w:rsid w:val="3B568588"/>
    <w:rsid w:val="40D35AE6"/>
    <w:rsid w:val="41EDD494"/>
    <w:rsid w:val="4AEA0E05"/>
    <w:rsid w:val="63E07444"/>
    <w:rsid w:val="64B5E331"/>
    <w:rsid w:val="681E8758"/>
    <w:rsid w:val="766E84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BFDB13"/>
  <w15:chartTrackingRefBased/>
  <w15:docId w15:val="{B4663E88-3743-469B-A3C8-9FA4F11234D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0F4761" w:themeColor="accent1" w:themeShade="BF"/>
      <w:sz w:val="40"/>
      <w:szCs w:val="40"/>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360" w:after="80"/>
      <w:outlineLvl xmlns:w="http://schemas.openxmlformats.org/wordprocessingml/2006/main" w:val="0"/>
    </w:pPr>
    <w:rPr xmlns:w="http://schemas.openxmlformats.org/wordprocessingml/2006/main">
      <w:rFonts w:asciiTheme="majorHAnsi" w:hAnsiTheme="majorHAnsi" w:eastAsiaTheme="majorEastAsia" w:cstheme="majorBidi"/>
      <w:color w:val="0F4761" w:themeColor="accent1" w:themeShade="BF"/>
      <w:sz w:val="40"/>
      <w:szCs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Melis Shaban (2212035)</dc:creator>
  <keywords/>
  <dc:description/>
  <lastModifiedBy>Melis Shaban (2212035)</lastModifiedBy>
  <revision>2</revision>
  <dcterms:created xsi:type="dcterms:W3CDTF">2026-03-15T17:39:17.0642244Z</dcterms:created>
  <dcterms:modified xsi:type="dcterms:W3CDTF">2026-03-18T10:16:04.1309281Z</dcterms:modified>
</coreProperties>
</file>