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480" w:lineRule="auto"/>
        <w:jc w:val="center"/>
        <w:outlineLvl w:val="0"/>
        <w:rPr>
          <w:rFonts w:hint="eastAsia" w:ascii="Times New Roman Regular" w:hAnsi="Times New Roman Regular" w:cs="Times New Roman Regular"/>
          <w:b/>
          <w:bCs/>
          <w:sz w:val="28"/>
          <w:szCs w:val="28"/>
        </w:rPr>
      </w:pPr>
      <w:r>
        <w:rPr>
          <w:rFonts w:hint="default" w:ascii="Times New Roman Regular" w:hAnsi="Times New Roman Regular" w:cs="Times New Roman Regular"/>
          <w:b/>
          <w:bCs/>
          <w:sz w:val="28"/>
          <w:szCs w:val="28"/>
        </w:rPr>
        <w:t>Strategic Management</w:t>
      </w:r>
    </w:p>
    <w:p>
      <w:pPr>
        <w:widowControl/>
        <w:snapToGrid w:val="0"/>
        <w:spacing w:line="480" w:lineRule="auto"/>
        <w:jc w:val="center"/>
        <w:outlineLvl w:val="0"/>
        <w:rPr>
          <w:rFonts w:hint="default" w:ascii="Times New Roman Regular" w:hAnsi="Times New Roman Regular" w:cs="Times New Roman Regular"/>
          <w:b/>
          <w:bCs/>
          <w:sz w:val="24"/>
        </w:rPr>
      </w:pPr>
      <w:r>
        <w:rPr>
          <w:rFonts w:hint="default" w:ascii="Times New Roman Regular" w:hAnsi="Times New Roman Regular" w:cs="Times New Roman Regular"/>
          <w:b/>
          <w:bCs/>
          <w:sz w:val="28"/>
          <w:szCs w:val="28"/>
        </w:rPr>
        <w:t xml:space="preserve">For Ford, </w:t>
      </w:r>
      <w:r>
        <w:rPr>
          <w:rFonts w:hint="default" w:ascii="Times New Roman Regular" w:hAnsi="Times New Roman Regular" w:cs="Times New Roman Regular"/>
          <w:b/>
          <w:bCs/>
          <w:sz w:val="28"/>
          <w:szCs w:val="28"/>
          <w:lang w:val="en-US" w:eastAsia="zh-Hans"/>
        </w:rPr>
        <w:t>W</w:t>
      </w:r>
      <w:r>
        <w:rPr>
          <w:rFonts w:hint="default" w:ascii="Times New Roman Regular" w:hAnsi="Times New Roman Regular" w:cs="Times New Roman Regular"/>
          <w:b/>
          <w:bCs/>
          <w:sz w:val="28"/>
          <w:szCs w:val="28"/>
        </w:rPr>
        <w:t xml:space="preserve">inning </w:t>
      </w:r>
      <w:r>
        <w:rPr>
          <w:rFonts w:hint="default" w:ascii="Times New Roman Regular" w:hAnsi="Times New Roman Regular" w:cs="Times New Roman Regular"/>
          <w:b/>
          <w:bCs/>
          <w:sz w:val="28"/>
          <w:szCs w:val="28"/>
          <w:lang w:val="en-US" w:eastAsia="zh-Hans"/>
        </w:rPr>
        <w:t>C</w:t>
      </w:r>
      <w:r>
        <w:rPr>
          <w:rFonts w:hint="default" w:ascii="Times New Roman Regular" w:hAnsi="Times New Roman Regular" w:cs="Times New Roman Regular"/>
          <w:b/>
          <w:bCs/>
          <w:sz w:val="28"/>
          <w:szCs w:val="28"/>
        </w:rPr>
        <w:t xml:space="preserve">ustomers </w:t>
      </w:r>
      <w:r>
        <w:rPr>
          <w:rFonts w:hint="default" w:ascii="Times New Roman Regular" w:hAnsi="Times New Roman Regular" w:cs="Times New Roman Regular"/>
          <w:b/>
          <w:bCs/>
          <w:sz w:val="28"/>
          <w:szCs w:val="28"/>
          <w:lang w:val="en-US" w:eastAsia="zh-Hans"/>
        </w:rPr>
        <w:t>i</w:t>
      </w:r>
      <w:r>
        <w:rPr>
          <w:rFonts w:hint="default" w:ascii="Times New Roman Regular" w:hAnsi="Times New Roman Regular" w:cs="Times New Roman Regular"/>
          <w:b/>
          <w:bCs/>
          <w:sz w:val="28"/>
          <w:szCs w:val="28"/>
        </w:rPr>
        <w:t xml:space="preserve">s </w:t>
      </w:r>
      <w:r>
        <w:rPr>
          <w:rFonts w:hint="default" w:ascii="Times New Roman Regular" w:hAnsi="Times New Roman Regular" w:cs="Times New Roman Regular"/>
          <w:b/>
          <w:bCs/>
          <w:sz w:val="28"/>
          <w:szCs w:val="28"/>
          <w:lang w:val="en-US" w:eastAsia="zh-Hans"/>
        </w:rPr>
        <w:t>T</w:t>
      </w:r>
      <w:r>
        <w:rPr>
          <w:rFonts w:hint="default" w:ascii="Times New Roman Regular" w:hAnsi="Times New Roman Regular" w:cs="Times New Roman Regular"/>
          <w:b/>
          <w:bCs/>
          <w:sz w:val="28"/>
          <w:szCs w:val="28"/>
        </w:rPr>
        <w:t xml:space="preserve">he </w:t>
      </w:r>
      <w:r>
        <w:rPr>
          <w:rFonts w:hint="default" w:ascii="Times New Roman Regular" w:hAnsi="Times New Roman Regular" w:cs="Times New Roman Regular"/>
          <w:b/>
          <w:bCs/>
          <w:sz w:val="28"/>
          <w:szCs w:val="28"/>
          <w:lang w:val="en-US" w:eastAsia="zh-Hans"/>
        </w:rPr>
        <w:t>K</w:t>
      </w:r>
      <w:r>
        <w:rPr>
          <w:rFonts w:hint="default" w:ascii="Times New Roman Regular" w:hAnsi="Times New Roman Regular" w:cs="Times New Roman Regular"/>
          <w:b/>
          <w:bCs/>
          <w:sz w:val="28"/>
          <w:szCs w:val="28"/>
        </w:rPr>
        <w:t xml:space="preserve">ey to </w:t>
      </w:r>
      <w:r>
        <w:rPr>
          <w:rFonts w:hint="default" w:ascii="Times New Roman Regular" w:hAnsi="Times New Roman Regular" w:cs="Times New Roman Regular"/>
          <w:b/>
          <w:bCs/>
          <w:sz w:val="28"/>
          <w:szCs w:val="28"/>
          <w:lang w:val="en-US" w:eastAsia="zh-Hans"/>
        </w:rPr>
        <w:t>S</w:t>
      </w:r>
      <w:r>
        <w:rPr>
          <w:rFonts w:hint="default" w:ascii="Times New Roman Regular" w:hAnsi="Times New Roman Regular" w:cs="Times New Roman Regular"/>
          <w:b/>
          <w:bCs/>
          <w:sz w:val="28"/>
          <w:szCs w:val="28"/>
        </w:rPr>
        <w:t>urvival</w:t>
      </w:r>
    </w:p>
    <w:p>
      <w:pPr>
        <w:widowControl/>
        <w:snapToGrid w:val="0"/>
        <w:spacing w:line="480" w:lineRule="auto"/>
        <w:jc w:val="center"/>
        <w:rPr>
          <w:sz w:val="24"/>
        </w:rPr>
      </w:pPr>
      <w:r>
        <w:rPr>
          <w:sz w:val="24"/>
        </w:rPr>
        <w:drawing>
          <wp:inline distT="0" distB="0" distL="0" distR="0">
            <wp:extent cx="2900045" cy="2774315"/>
            <wp:effectExtent l="0" t="0" r="20955" b="196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6"/>
                    <a:stretch>
                      <a:fillRect/>
                    </a:stretch>
                  </pic:blipFill>
                  <pic:spPr>
                    <a:xfrm>
                      <a:off x="0" y="0"/>
                      <a:ext cx="2912737" cy="2786096"/>
                    </a:xfrm>
                    <a:prstGeom prst="rect">
                      <a:avLst/>
                    </a:prstGeom>
                  </pic:spPr>
                </pic:pic>
              </a:graphicData>
            </a:graphic>
          </wp:inline>
        </w:drawing>
      </w:r>
    </w:p>
    <w:p>
      <w:pPr>
        <w:widowControl/>
        <w:snapToGrid w:val="0"/>
        <w:spacing w:line="480" w:lineRule="auto"/>
        <w:jc w:val="center"/>
        <w:outlineLvl w:val="0"/>
        <w:rPr>
          <w:sz w:val="28"/>
          <w:szCs w:val="28"/>
        </w:rPr>
      </w:pPr>
      <w:r>
        <w:rPr>
          <w:sz w:val="28"/>
          <w:szCs w:val="28"/>
        </w:rPr>
        <w:t>December 2022</w:t>
      </w:r>
    </w:p>
    <w:p>
      <w:pPr>
        <w:pStyle w:val="2"/>
      </w:pPr>
    </w:p>
    <w:p>
      <w:pPr>
        <w:pStyle w:val="2"/>
      </w:pPr>
    </w:p>
    <w:p>
      <w:pPr>
        <w:pStyle w:val="2"/>
      </w:pPr>
    </w:p>
    <w:p>
      <w:pPr>
        <w:pStyle w:val="2"/>
      </w:pPr>
    </w:p>
    <w:p>
      <w:pPr>
        <w:pStyle w:val="2"/>
        <w:widowControl/>
        <w:snapToGrid w:val="0"/>
        <w:spacing w:line="480" w:lineRule="auto"/>
        <w:rPr>
          <w:sz w:val="24"/>
        </w:rPr>
      </w:pPr>
    </w:p>
    <w:p>
      <w:pPr>
        <w:pStyle w:val="2"/>
        <w:widowControl/>
        <w:snapToGrid w:val="0"/>
        <w:spacing w:line="276" w:lineRule="auto"/>
        <w:rPr>
          <w:sz w:val="24"/>
        </w:rPr>
      </w:pPr>
      <w:r>
        <w:rPr>
          <w:sz w:val="24"/>
        </w:rPr>
        <w:t>MOUDLE NAME: Strategic Management (</w:t>
      </w:r>
      <w:r>
        <w:rPr>
          <w:bCs/>
          <w:sz w:val="24"/>
        </w:rPr>
        <w:t>BMMB7013</w:t>
      </w:r>
      <w:r>
        <w:rPr>
          <w:sz w:val="24"/>
        </w:rPr>
        <w:t>)</w:t>
      </w:r>
    </w:p>
    <w:p>
      <w:pPr>
        <w:pStyle w:val="2"/>
        <w:widowControl/>
        <w:snapToGrid w:val="0"/>
        <w:spacing w:line="276" w:lineRule="auto"/>
        <w:rPr>
          <w:rFonts w:hint="default" w:eastAsiaTheme="minorEastAsia"/>
          <w:sz w:val="24"/>
          <w:lang w:val="en-US" w:eastAsia="zh-CN"/>
        </w:rPr>
      </w:pPr>
      <w:r>
        <w:rPr>
          <w:sz w:val="24"/>
        </w:rPr>
        <w:t xml:space="preserve">STUDENT NAME: </w:t>
      </w:r>
      <w:r>
        <w:rPr>
          <w:rFonts w:hint="eastAsia"/>
          <w:sz w:val="24"/>
          <w:lang w:val="en-US" w:eastAsia="zh-CN"/>
        </w:rPr>
        <w:t>Guiqing JIN</w:t>
      </w:r>
    </w:p>
    <w:p>
      <w:pPr>
        <w:pStyle w:val="2"/>
        <w:widowControl/>
        <w:snapToGrid w:val="0"/>
        <w:spacing w:line="276" w:lineRule="auto"/>
        <w:rPr>
          <w:rFonts w:hint="default" w:eastAsiaTheme="minorEastAsia"/>
          <w:sz w:val="24"/>
          <w:lang w:val="en-US" w:eastAsia="zh-CN"/>
        </w:rPr>
      </w:pPr>
      <w:r>
        <w:rPr>
          <w:sz w:val="24"/>
        </w:rPr>
        <w:t>STUDENT NUMBER:</w:t>
      </w:r>
      <w:r>
        <w:rPr>
          <w:rFonts w:hint="eastAsia"/>
          <w:sz w:val="24"/>
          <w:lang w:val="en-US" w:eastAsia="zh-CN"/>
        </w:rPr>
        <w:t xml:space="preserve"> 2215446</w:t>
      </w:r>
    </w:p>
    <w:p>
      <w:pPr>
        <w:keepNext w:val="0"/>
        <w:keepLines w:val="0"/>
        <w:pageBreakBefore w:val="0"/>
        <w:widowControl/>
        <w:kinsoku/>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kinsoku/>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sdt>
      <w:sdtPr>
        <w:rPr>
          <w:rFonts w:ascii="宋体" w:hAnsi="宋体" w:eastAsia="宋体" w:cstheme="minorBidi"/>
          <w:kern w:val="2"/>
          <w:sz w:val="21"/>
          <w:szCs w:val="24"/>
          <w:lang w:val="en-US" w:eastAsia="zh-CN" w:bidi="ar-SA"/>
        </w:rPr>
        <w:id w:val="474695903"/>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r>
            <w:rPr>
              <w:rFonts w:hint="eastAsia" w:ascii="宋体" w:hAnsi="宋体" w:eastAsia="宋体"/>
              <w:b/>
              <w:bCs/>
              <w:sz w:val="21"/>
              <w:lang w:val="en-US" w:eastAsia="zh-Hans"/>
            </w:rPr>
            <w:t>CONTENTS</w:t>
          </w:r>
          <w:r>
            <w:fldChar w:fldCharType="begin"/>
          </w:r>
          <w:r>
            <w:instrText xml:space="preserve">TOC \o "1-1" \h \u </w:instrText>
          </w:r>
          <w:r>
            <w:fldChar w:fldCharType="separate"/>
          </w:r>
        </w:p>
        <w:p>
          <w:pPr>
            <w:pStyle w:val="11"/>
            <w:tabs>
              <w:tab w:val="right" w:leader="dot" w:pos="8306"/>
            </w:tabs>
          </w:pPr>
          <w:r>
            <w:fldChar w:fldCharType="begin"/>
          </w:r>
          <w:r>
            <w:instrText xml:space="preserve"> HYPERLINK \l _Toc1441379763 </w:instrText>
          </w:r>
          <w:r>
            <w:fldChar w:fldCharType="separate"/>
          </w:r>
          <w:r>
            <w:rPr>
              <w:rFonts w:hint="default"/>
            </w:rPr>
            <w:t>1 Executive summary</w:t>
          </w:r>
          <w:r>
            <w:tab/>
          </w:r>
          <w:r>
            <w:fldChar w:fldCharType="begin"/>
          </w:r>
          <w:r>
            <w:instrText xml:space="preserve"> PAGEREF _Toc1441379763 \h </w:instrText>
          </w:r>
          <w:r>
            <w:fldChar w:fldCharType="separate"/>
          </w:r>
          <w:r>
            <w:t>1</w:t>
          </w:r>
          <w:r>
            <w:fldChar w:fldCharType="end"/>
          </w:r>
          <w:r>
            <w:fldChar w:fldCharType="end"/>
          </w:r>
        </w:p>
        <w:p>
          <w:pPr>
            <w:pStyle w:val="11"/>
            <w:tabs>
              <w:tab w:val="right" w:leader="dot" w:pos="8306"/>
            </w:tabs>
          </w:pPr>
          <w:r>
            <w:fldChar w:fldCharType="begin"/>
          </w:r>
          <w:r>
            <w:instrText xml:space="preserve"> HYPERLINK \l _Toc1654138581 </w:instrText>
          </w:r>
          <w:r>
            <w:fldChar w:fldCharType="separate"/>
          </w:r>
          <w:r>
            <w:rPr>
              <w:rFonts w:hint="default"/>
            </w:rPr>
            <w:t>2 Introduction</w:t>
          </w:r>
          <w:r>
            <w:tab/>
          </w:r>
          <w:r>
            <w:fldChar w:fldCharType="begin"/>
          </w:r>
          <w:r>
            <w:instrText xml:space="preserve"> PAGEREF _Toc1654138581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_Toc1931320452 </w:instrText>
          </w:r>
          <w:r>
            <w:fldChar w:fldCharType="separate"/>
          </w:r>
          <w:r>
            <w:rPr>
              <w:rFonts w:hint="default"/>
            </w:rPr>
            <w:t>3 Ford's Competitive Environment</w:t>
          </w:r>
          <w:r>
            <w:tab/>
          </w:r>
          <w:r>
            <w:fldChar w:fldCharType="begin"/>
          </w:r>
          <w:r>
            <w:instrText xml:space="preserve"> PAGEREF _Toc1931320452 \h </w:instrText>
          </w:r>
          <w:r>
            <w:fldChar w:fldCharType="separate"/>
          </w:r>
          <w:r>
            <w:t>7</w:t>
          </w:r>
          <w:r>
            <w:fldChar w:fldCharType="end"/>
          </w:r>
          <w:r>
            <w:fldChar w:fldCharType="end"/>
          </w:r>
        </w:p>
        <w:p>
          <w:pPr>
            <w:pStyle w:val="11"/>
            <w:tabs>
              <w:tab w:val="right" w:leader="dot" w:pos="8306"/>
            </w:tabs>
          </w:pPr>
          <w:r>
            <w:fldChar w:fldCharType="begin"/>
          </w:r>
          <w:r>
            <w:instrText xml:space="preserve"> HYPERLINK \l _Toc487512359 </w:instrText>
          </w:r>
          <w:r>
            <w:fldChar w:fldCharType="separate"/>
          </w:r>
          <w:r>
            <w:rPr>
              <w:rFonts w:hint="default"/>
            </w:rPr>
            <w:t>4 Conclusions</w:t>
          </w:r>
          <w:r>
            <w:tab/>
          </w:r>
          <w:r>
            <w:fldChar w:fldCharType="begin"/>
          </w:r>
          <w:r>
            <w:instrText xml:space="preserve"> PAGEREF _Toc487512359 \h </w:instrText>
          </w:r>
          <w:r>
            <w:fldChar w:fldCharType="separate"/>
          </w:r>
          <w:r>
            <w:t>13</w:t>
          </w:r>
          <w:r>
            <w:fldChar w:fldCharType="end"/>
          </w:r>
          <w:r>
            <w:fldChar w:fldCharType="end"/>
          </w:r>
        </w:p>
        <w:p>
          <w:pPr>
            <w:pStyle w:val="11"/>
            <w:tabs>
              <w:tab w:val="right" w:leader="dot" w:pos="8306"/>
            </w:tabs>
          </w:pPr>
          <w:r>
            <w:fldChar w:fldCharType="begin"/>
          </w:r>
          <w:r>
            <w:instrText xml:space="preserve"> HYPERLINK \l _Toc970104408 </w:instrText>
          </w:r>
          <w:r>
            <w:fldChar w:fldCharType="separate"/>
          </w:r>
          <w:r>
            <w:rPr>
              <w:rFonts w:hint="default"/>
            </w:rPr>
            <w:t>5 Recommendations</w:t>
          </w:r>
          <w:r>
            <w:tab/>
          </w:r>
          <w:r>
            <w:fldChar w:fldCharType="begin"/>
          </w:r>
          <w:r>
            <w:instrText xml:space="preserve"> PAGEREF _Toc970104408 \h </w:instrText>
          </w:r>
          <w:r>
            <w:fldChar w:fldCharType="separate"/>
          </w:r>
          <w:r>
            <w:t>17</w:t>
          </w:r>
          <w:r>
            <w:fldChar w:fldCharType="end"/>
          </w:r>
          <w:r>
            <w:fldChar w:fldCharType="end"/>
          </w:r>
        </w:p>
        <w:p>
          <w:pPr>
            <w:pStyle w:val="11"/>
            <w:tabs>
              <w:tab w:val="right" w:leader="dot" w:pos="8306"/>
            </w:tabs>
          </w:pPr>
          <w:r>
            <w:fldChar w:fldCharType="begin"/>
          </w:r>
          <w:r>
            <w:instrText xml:space="preserve"> HYPERLINK \l _Toc848937232 </w:instrText>
          </w:r>
          <w:r>
            <w:fldChar w:fldCharType="separate"/>
          </w:r>
          <w:r>
            <w:rPr>
              <w:rFonts w:hint="default"/>
            </w:rPr>
            <w:t xml:space="preserve">6 </w:t>
          </w:r>
          <w:r>
            <w:rPr>
              <w:rFonts w:hint="default"/>
              <w:lang w:val="en-GB"/>
            </w:rPr>
            <w:t>References</w:t>
          </w:r>
          <w:r>
            <w:tab/>
          </w:r>
          <w:r>
            <w:fldChar w:fldCharType="begin"/>
          </w:r>
          <w:r>
            <w:instrText xml:space="preserve"> PAGEREF _Toc848937232 \h </w:instrText>
          </w:r>
          <w:r>
            <w:fldChar w:fldCharType="separate"/>
          </w:r>
          <w:r>
            <w:t>19</w:t>
          </w:r>
          <w:r>
            <w:fldChar w:fldCharType="end"/>
          </w:r>
          <w:r>
            <w:fldChar w:fldCharType="end"/>
          </w:r>
        </w:p>
        <w:p>
          <w:r>
            <w:fldChar w:fldCharType="end"/>
          </w:r>
        </w:p>
      </w:sdtContent>
    </w:sdt>
    <w:p>
      <w:pPr>
        <w:pStyle w:val="3"/>
        <w:bidi w:val="0"/>
        <w:rPr>
          <w:rFonts w:hint="default"/>
        </w:rPr>
        <w:sectPr>
          <w:footerReference r:id="rId3" w:type="default"/>
          <w:pgSz w:w="11906" w:h="16838"/>
          <w:pgMar w:top="1440" w:right="1800" w:bottom="1440" w:left="1800" w:header="851" w:footer="992" w:gutter="0"/>
          <w:cols w:space="425" w:num="1"/>
          <w:docGrid w:type="lines" w:linePitch="312" w:charSpace="0"/>
        </w:sectPr>
      </w:pPr>
      <w:bookmarkStart w:id="0" w:name="_Toc1441379763"/>
    </w:p>
    <w:p>
      <w:pPr>
        <w:pStyle w:val="3"/>
        <w:bidi w:val="0"/>
        <w:rPr>
          <w:rFonts w:hint="default"/>
        </w:rPr>
      </w:pPr>
      <w:r>
        <w:rPr>
          <w:rFonts w:hint="default"/>
        </w:rPr>
        <w:t>Executive summary</w:t>
      </w:r>
      <w:bookmarkEnd w:id="0"/>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commercial market, corporate interests determine whether an enterprise can survive. In order to have greater opportunities to create value, it must first ensure its own survival and development, so as to further create more interests for shareholders and employees. Some companies serve shareholders and seek to maximize the interests of shareholders, but many of these American companies collapse; Others talk about maximizing employee benefits, but many of these Japanese companies haven't raised wages in years. Therefore, the key to Ford's survival is to focus on the interests of customers and to maximize the interests of customers. Only by adhering to customer service, maximizing customer value and continuously striving for customers' interests can Ford survive better. Customers are the most important source of capital for Ford, and the maximization of customer value means more income for the company. Therefore, all of Ford's work should focus on serving customers and creating value for customers.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 survive in chaos requires strategic innovation. Ford released its "Four Modernizations" strategy Ford+ after Volkswagen, General Motors, Mercedes Benz and other major auto manufacturers. The four modernization strategy of Ford + is mainly based on customer demand and experience, and based on its advantages in the three aspects, it will invest and promote in the medium and long term (to 2030). Rely on the three areas to enhance competitiveness.</w:t>
      </w:r>
    </w:p>
    <w:p>
      <w:pPr>
        <w:rPr>
          <w:rFonts w:hint="default"/>
        </w:rPr>
      </w:pPr>
      <w:bookmarkStart w:id="1" w:name="_Toc1654138581"/>
      <w:r>
        <w:rPr>
          <w:rFonts w:hint="default"/>
        </w:rPr>
        <w:br w:type="page"/>
      </w:r>
    </w:p>
    <w:p>
      <w:pPr>
        <w:pStyle w:val="3"/>
        <w:bidi w:val="0"/>
        <w:rPr>
          <w:rFonts w:hint="default"/>
        </w:rPr>
      </w:pPr>
      <w:r>
        <w:rPr>
          <w:rFonts w:hint="default"/>
        </w:rPr>
        <w:t>1 Introduction</w:t>
      </w:r>
      <w:bookmarkEnd w:id="1"/>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 an enterprise to develop, it needs to survive as a prerequisite, so Ford's first task is to survive. What sustains a business is profit, and profit comes from customers. Therefore, customer service is the sole reason for Ford's existence, and the changing needs of customers are the driving force of Ford's development. Ford should run the consciousness of serving customers through the whole life of the company and become the starting point and destination of all work to achieve customers and thus achieve Ford. Be customer-centric and beware of being self-centered.</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recent years, flying cars have become an inevitable trend in the future, and customers' demand orientation is concentrated here. In recent years, vehicle manufacturers including Volkswagen, GAC and Geely Automobile have entered the field of flying cars one after another and increased their R&amp;D investment. For example, Hyundai Motor Group established a new department, Supernal, announced the electric vertical takeoff and landing (</w:t>
      </w:r>
      <w:r>
        <w:rPr>
          <w:rFonts w:hint="eastAsia" w:ascii="Times New Roman Regular" w:hAnsi="Times New Roman Regular" w:cs="Times New Roman Regular"/>
          <w:sz w:val="24"/>
          <w:szCs w:val="24"/>
          <w:lang w:val="en-US" w:eastAsia="zh-CN"/>
        </w:rPr>
        <w:t>E</w:t>
      </w:r>
      <w:r>
        <w:rPr>
          <w:rFonts w:hint="default" w:ascii="Times New Roman Regular" w:hAnsi="Times New Roman Regular" w:cs="Times New Roman Regular"/>
          <w:sz w:val="24"/>
          <w:szCs w:val="24"/>
        </w:rPr>
        <w:t xml:space="preserve">VTOL) cabin concept, hoping to develop the </w:t>
      </w:r>
      <w:r>
        <w:rPr>
          <w:rFonts w:hint="eastAsia" w:ascii="Times New Roman Regular" w:hAnsi="Times New Roman Regular" w:cs="Times New Roman Regular"/>
          <w:sz w:val="24"/>
          <w:szCs w:val="24"/>
          <w:lang w:val="en-US" w:eastAsia="zh-CN"/>
        </w:rPr>
        <w:t>E</w:t>
      </w:r>
      <w:r>
        <w:rPr>
          <w:rFonts w:hint="default" w:ascii="Times New Roman Regular" w:hAnsi="Times New Roman Regular" w:cs="Times New Roman Regular"/>
          <w:sz w:val="24"/>
          <w:szCs w:val="24"/>
        </w:rPr>
        <w:t>VTOL that can be put into commercial use as soon as possible; Volkswagen Group (China) released its first electric vertical takeoff and landing manned aircraft prototype; Xiaopeng Motor's subsidiary company -- Xiaopeng Huitian business involved in the field of manned aircraft; Geely Auto acquires US flying car startup Taili... The list goes on and 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Looking back at the history of the flying car, in 1917, the father of the flying car, Ge Curtis, first showed people the flying car as a new means of transportation. He made a short flying jump by attaching a four-bladed screw propeller to the engine-driven rear of a car.</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Flying car technology only began to be explored more deeply in the 1940s. The next driver was an American named Merle Taylor, he has been unremitting research technology, and finally in 1986, the automobile and aviation technology perfect, developed the flying car can run on the ground, but also can fly in the air, but also obtained the relevant government departments of the flight permit. However, the car is equipped with a fixed wing that is five to six times wider than the body, which makes it difficult to drive normally on the road. Otherwise, traffic will be seriously affected. The car has also remained at the test site, becoming a historical silhouette.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1946, a man named Robert Fulton had the idea to change the conventional wisdom of the automobile to the airplane. Robert Fulton, a distant relative of Watt, the inventor of the steam engine, envisioned hiding propellers in the fuselage, which would remove the tail of previous flying cars and make them look more like cars.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Amazingly, the Civil Aviation Administration of the United States also recognized the "car" as the first flying car. In terms of performance, the 150 PS 6-cylinder engine can fly about 193.1 kilometers per hour and drive 80.5 kilometers per hour on the road. The design was a relative success, however, there was no capital to favor him at the time.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world's first flying car made its maiden flight in the US in early 2009, landing with its wings folded at the push of a button and driving down a highway. A year later, in 2010, the U.S. Air and Land variant vehicle was approved for commercial production by the U.S. aviation authority.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2015, the world's first flying folding car came out, which is legal on the road and can fly and run, just like Batman's seat driving into reality. Then Dutch company PAL-V launched the final production version of its flying car, which is available for pre-order on the company's website and will go on sale in 2019 for about $600,000.</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Fast forward to 2022 and the Air</w:t>
      </w:r>
      <w:r>
        <w:rPr>
          <w:rFonts w:hint="eastAsia" w:ascii="Times New Roman Regular" w:hAnsi="Times New Roman Regular" w:cs="Times New Roman Regular"/>
          <w:sz w:val="24"/>
          <w:szCs w:val="24"/>
          <w:lang w:val="en-US" w:eastAsia="zh-CN"/>
        </w:rPr>
        <w:t>C</w:t>
      </w:r>
      <w:r>
        <w:rPr>
          <w:rFonts w:hint="default" w:ascii="Times New Roman Regular" w:hAnsi="Times New Roman Regular" w:cs="Times New Roman Regular"/>
          <w:sz w:val="24"/>
          <w:szCs w:val="24"/>
        </w:rPr>
        <w:t>ar, which can reach a top speed of 85mph (136 km/h) with wings folded inward and wheels piped front and rear, was officially certified as airworthy by Slovak Cloud Data in January. In August of the same year, it was announced that Mitsubishi Land Station and Japan Airlines would launch a manned flight with a flying car in Tokyo in 2024.</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At present, many major car companies are also laying out flying cars: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1. Hyundai Motor Group: fully cooperate with Supernal to polish commercial </w:t>
      </w:r>
      <w:r>
        <w:rPr>
          <w:rFonts w:hint="eastAsia" w:ascii="Times New Roman Regular" w:hAnsi="Times New Roman Regular" w:cs="Times New Roman Regular"/>
          <w:sz w:val="24"/>
          <w:szCs w:val="24"/>
          <w:lang w:val="en-US" w:eastAsia="zh-CN"/>
        </w:rPr>
        <w:t>E</w:t>
      </w:r>
      <w:r>
        <w:rPr>
          <w:rFonts w:hint="default" w:ascii="Times New Roman Regular" w:hAnsi="Times New Roman Regular" w:cs="Times New Roman Regular"/>
          <w:sz w:val="24"/>
          <w:szCs w:val="24"/>
        </w:rPr>
        <w:t>VTOL</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One of the joint projects between Hyundai Motor Group and Supernal is to develop a zero-emission air transport vehicle by 2028. The division also pioneered the electric vertical takeoff and Landing (</w:t>
      </w:r>
      <w:r>
        <w:rPr>
          <w:rFonts w:hint="eastAsia" w:ascii="Times New Roman Regular" w:hAnsi="Times New Roman Regular" w:cs="Times New Roman Regular"/>
          <w:sz w:val="24"/>
          <w:szCs w:val="24"/>
          <w:lang w:val="en-US" w:eastAsia="zh-CN"/>
        </w:rPr>
        <w:t>E</w:t>
      </w:r>
      <w:bookmarkStart w:id="6" w:name="_GoBack"/>
      <w:bookmarkEnd w:id="6"/>
      <w:r>
        <w:rPr>
          <w:rFonts w:hint="default" w:ascii="Times New Roman Regular" w:hAnsi="Times New Roman Regular" w:cs="Times New Roman Regular"/>
          <w:sz w:val="24"/>
          <w:szCs w:val="24"/>
        </w:rPr>
        <w:t>VTOL) cabin concept, demonstrating for the first time how Hyundai Motor Group is integrating vehicle capabilities and developing the advanced Air Mobility (AAM) market.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design of the cabin comes first, with plans to roll it out in 2028 ahead of the US, followed by the EU and the UK. The materials used include composite materials such as recycled carbon fiber strong thermoplastic for the cabin, plant-based leather and recycled plastic fabric, while the seat frame is made of spare materials from the manufacturing process of the body.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 Volkswagen Group (China) : A touch of cool black gold, like tiger wings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Volkswagen launched the air mobility project plan in 2020, aiming to study solutions to customers' future travel problems, mainly focusing on urban air traffic and travel plans in affiliated airspace. Volkswagen also unveiled its first electric vertical takeoff and landing manned vehicle prototype. Related project team spent two years to complete the first verification machine V.MO.</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Gac Group: Soro aircraft engineer with high salary and great responsibility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Gac is also focusing on the field of flying cars. Zhang Fan, vice president of GAC Research Institute, once said that "GAC Research Institute will have a wide layout in the future travel, and will conduct certain research on multiple travel scenarios and vehicles, in order to master the trend". Gac is also recruiting in related fields with high salaries.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Toyota: The plane is too slow. It's faster to take a taxi</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Toyota Motor has invested $394 million in Joby Aviation, an electric flying car startup in the United States, according to overseas sources. The two companies will jointly build flying taxis to advance the future air commuting market. Toyota is also working with All Nippon Airways to develop flying cars. Toyota Weaving City CEO James Swante recently said the company is moving forward with its flying car program and has begun testing technologies such as electric vertical takeoff and landing.</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Toyota isn't betting all on itself. Instead, it's investing $394 million in electric flying car startup Joby Aviation, a joint venture to build flying taxis that could help shape the future of the air traffic market. Toyota is also working with All Nippon Airways to develop a flying car. According to James Swante, CEO of Toyota's Woven City, the company is moving forward with its flying car program and has begun testing technologies such as electric vertical takeoff and landing.</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Be respectful but not hostile to your competitors. Thanks to the presence of competitors, Ford has been able to continue to grow and improve. Just as the hound's vigorous vitality stems from the existence of prey, from the existence of tigers and jackals. In a game of survival, when jackals and tigers have been exterminated, hounds are even exterminated by sheep and chickens. This game tells us that when the hunting dog is in a comfortable and relaxed state of enjoyment, without rivals and contests, without crisis and competition, it is easy to languish and burnout, leading to decadence and even extinction. Ford has come to where it is today not only because its foreign competitors have put great pressure on it to make breakthroughs, but also because its domestic competitors have been following behind it and pushing it to make progress without letting up. Without these twin forces, Ford today might be paralyzed, lax or even broken.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 develop with friends, they are not only competitors, but also partners. In fact, they are also important teachers of Ford. We should work with them to create a good living space and share the benefits of the value chain. In terms of global market expansion, Ford does not compete on price. It wants to co-exist with friends and win both sides. It does not disturb the market, lest Western companies attack it. To gain customers' recognition by providing high-quality products and services through our own efforts, Ford cannot damage the profits of the whole industry just for a little sales. Ford will never be a disrupter of market rules. The communication industry is an investment market, which cannot be accepted by customers only by short-term opportunistic behavior.</w:t>
      </w:r>
    </w:p>
    <w:p>
      <w:pPr>
        <w:pStyle w:val="3"/>
        <w:bidi w:val="0"/>
        <w:rPr>
          <w:rFonts w:hint="default"/>
        </w:rPr>
      </w:pPr>
      <w:bookmarkStart w:id="2" w:name="_Toc1931320452"/>
      <w:r>
        <w:rPr>
          <w:rFonts w:hint="default"/>
        </w:rPr>
        <w:t>2 Ford's Competitive Environment</w:t>
      </w:r>
      <w:bookmarkEnd w:id="2"/>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meaning of the existence of the company is to serve customers, so any small activities to create value for customers, as well as in the process of labor preparation, to enrich and improve their own efforts, are called struggle. Strivers for this, in fact, is also customer-centric. Ford regards the employees who serve customers well as the backbone of the company and shares the joy of contribution with them, which is to promote the growth of the pro-customer force.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cruelty of the market is a good opportunity for the company to show its strong strength. Whether the company can survive depends more on itself, and the company that cannot survive in the market is not that others do not let it live, but that it cannot live. A sufficient and necessary condition for an enterprise to survive is to have a market and customers. Businesses are facing ever-changing situations all the time, so they must constantly improve and improve in order to survive. The foundation of survival is to constantly improve the core competition. Explore a customer as the center, core competitiveness as the wall barrier structure.</w:t>
      </w:r>
    </w:p>
    <w:p>
      <w:pPr>
        <w:pStyle w:val="4"/>
        <w:bidi w:val="0"/>
        <w:rPr>
          <w:rFonts w:hint="default"/>
        </w:rPr>
      </w:pPr>
      <w:r>
        <w:rPr>
          <w:rFonts w:hint="default"/>
        </w:rPr>
        <w:t>2.1 Rely on the advantages of Ford</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Classic models (F-Series pickup, Quanshun, Mastang)</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leading position in the market (pickups, VAN No.1 in the world)</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 Capital Credit</w:t>
      </w:r>
    </w:p>
    <w:p>
      <w:pPr>
        <w:pStyle w:val="4"/>
        <w:bidi w:val="0"/>
        <w:rPr>
          <w:rFonts w:hint="default"/>
        </w:rPr>
      </w:pPr>
      <w:r>
        <w:rPr>
          <w:rFonts w:hint="default"/>
        </w:rPr>
        <w:t>2.2 Relying on the following advantages to achieve profit and cash flow</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Enhance your abilities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Hardware and software integration capability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Internet of Vehicles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Analysis of data</w:t>
      </w:r>
    </w:p>
    <w:p>
      <w:pPr>
        <w:pStyle w:val="4"/>
        <w:bidi w:val="0"/>
        <w:rPr>
          <w:rFonts w:hint="default"/>
        </w:rPr>
      </w:pPr>
      <w:r>
        <w:rPr>
          <w:rFonts w:hint="default"/>
        </w:rPr>
        <w:t>2.3 Rely on the following capabilities to enhance in-depth customer needs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Market expansion and value creation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electrification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Commercial vehicles and services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Internet of Vehicles Service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Autonomous driving and mobility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Unlock the new business model of the future in the above ways</w:t>
      </w:r>
    </w:p>
    <w:p>
      <w:pPr>
        <w:pStyle w:val="4"/>
        <w:bidi w:val="0"/>
        <w:rPr>
          <w:rFonts w:hint="default"/>
        </w:rPr>
      </w:pPr>
      <w:r>
        <w:rPr>
          <w:rFonts w:hint="default"/>
        </w:rPr>
        <w:t>2.4 Quantified goals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According to figures released by Ford, it is expected to spend a cumulative $30 billion by 2025 to electrify all of Ford's classic models. In terms of vehicle sales, by 2030, 40% of Ford's sales will be electric, including 33.3% of pickups and 70% of VAN trucks in North America. Through marketing and new product development, the market share of all products by 2030 is equal to or higher than the market share of current products. The ultimate goal is to make electric cars and the new Four Modernizations service business more profitable than the current profit margins on fuel cars. Ford is confident that it can win electrification because Ford has the end price, the cost of materials, the manufacturing flexibility and so on.</w:t>
      </w:r>
    </w:p>
    <w:p>
      <w:pPr>
        <w:pStyle w:val="4"/>
        <w:bidi w:val="0"/>
        <w:rPr>
          <w:rFonts w:hint="default"/>
        </w:rPr>
      </w:pPr>
      <w:r>
        <w:rPr>
          <w:rFonts w:hint="default"/>
        </w:rPr>
        <w:t>2.5 Battery Technology - Multiple battery technology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Battery is an important scientific research link in the journey of automobile electrification. Based on its strengths and customer base, Ford is taking a different approach from VW (VW's approach to standardising all batteries is specifically based on VW's battery system solutions and future trends).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Ford's in-house battery research and development and Application Center, Ford Ion Park, conducts battery research and integration. There are generally two kinds of battery schemes: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IonBoost+ - is characterized by its high energy density and high efficiency and high range, making it suitable for large and high-performance models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IonBoostPro - is mainly targeted at commercial vehicle users, featuring more focus on flexible replacement, lower cost of ownership and more suitable for high-load application scenarios.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According to the data presented by Ford, Ford will continue to carry out research and application of solid-state batteries, committed to better price and safer, but make full use of the existing lithium battery production line, and expect to achieve 70% of the current investment reuse and improve the overall utilization rate of capital. It is expected that by 2030, the battery production capacity will reach 240GWh, including 140GWh in North America and the rest in Europe and China.</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From the perspective of customer service, the cost performance of batteries should also be improved to meet the future needs of customers: the cost of battery packs (related structure of battery packs includes the five steps of electric vehicle power battery from chemical materials to integrated vehicle) will be reduced by 40% to about $100 kWh by 2025. Module design is reduced by 5%, battery pack structure is optimized by 4%, materials and manufacturing process is optimized by 6%, cell matching is optimized by 2%, 15% comes from scale and supply chain, and 8% comes from localization and joint venture. By 2030, it will be about 80 dollars per kWh.</w:t>
      </w:r>
    </w:p>
    <w:p>
      <w:pPr>
        <w:pStyle w:val="4"/>
        <w:bidi w:val="0"/>
        <w:rPr>
          <w:rFonts w:hint="default"/>
        </w:rPr>
      </w:pPr>
      <w:r>
        <w:rPr>
          <w:rFonts w:hint="default"/>
        </w:rPr>
        <w:t>2.6 Travel Service business - Relying on the Internet of vehicles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 is an expert in the field of commercial vehicles (click to learn about Ford commercial vehicle electrification, electronic, intelligent strategy). The mobility service business will launch two major categories.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Ford Pro, which focuses on business customers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 Pro: Commercial fuel and electric vehicle sequences assisted by professional modification program.</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 Pro Charging: Home charging, public charging, parking storage charging</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 Pro Services: Service Center, mobile services, uptime management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 Pro Intelligence: Big data service for Internet of Vehicles, leading products for Internet of vehicles, small business creativity.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 Pro Finance: To help customers with simple finance, unified invoicing, bundling business.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Internet of Vehicles uptime management system - Ford Live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Intelligent butler service can help Ford customers maximize their creativity by rationalizing operation and maintenance time. To reduce customer maintenance of the car on the waste of time. Given the low marginal cost of the service, it can be rolled out for free to all customers and will reach a million users by 2022. Meanwhile, Ford can help dealers and order parts through big data.</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 expects to earn $13 billion more in 2025 than it did in 2019 from these new businesses.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Internet of Vehicles services, which will have 33 million vehicles connected by 2028, will open up endless possibilities for business growth.</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3.7 Regional Business - Focus on profitable products and markets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Ford's regional business is generally focused on hero models and profitable regions. For example, Ford's heroic model strategy of a few years ago, by reducing the sedan business and focusing on SUVs, is now working well and generating after-tax profits of $1.8 billion a year.</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Therefore, in Europe, it aims to increase commercial vehicles and SUVs. In Western Europe, it reduces personnel by 25%, plants and production by 26%, and costs by $1 billion, but achieves sales growth.</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South America, it reduced factory production by 75%, cut personnel by 80%, reduced costs by $800 million and adopted an asset-light model.</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China, the focus is on growing Lincoln's business, localizing design, development and production, collaborating on electronic experiences, and strengthening the commercial vehicle and SUV portfolio.</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main resources of the company should be used to find goals, find opportunities, and turn opportunities into results. Advanced equipment and high-quality resources in the rear should come into play and provide effective support as soon as targets and opportunities are identified on the front line, rather than letting those with resources lead the war and support the troops themselves. Those who can hear the guns should call the guns and make the decisions, and the command post should be located within earshot of the guns.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process of survival and development, enterprises will form a set of development concepts. Development is the fundamental priority of enterprises. The only way for Huawei to survive is to develop, which is also the protection of customer investment. Huawei must dare to develop within the opening period of the strategic opportunity window, closely focus on the development of core competitiveness, dare to give up strategy, pay attention to the balance between quantity and quality in the development, but also control the pace of development, maintain a reasonable development speed, and cannot let enterprises wear "red shoes". "Deep scouring the beach, low weir" is Huawei's business model and winning magic weapon. Deep Tao Beach is excellent operation, until wring out the last drop of water in the towel, making it possible to create more value for customers. Low production is to control their greed, only earn a reasonable profit, let some more profits to customers, partners and suppliers, to obtain more services for customers. Share the benefits of the value chain, realize the common development and overall robustness of the upstream and downstream of the industrial chain, and enhance the ability to serve customers end-to-end. Creating a sound ecological and business environment for the company's development is the foundation of Huawei's development.</w:t>
      </w:r>
    </w:p>
    <w:p>
      <w:pPr>
        <w:pStyle w:val="3"/>
        <w:bidi w:val="0"/>
        <w:rPr>
          <w:rFonts w:hint="default"/>
        </w:rPr>
      </w:pPr>
      <w:bookmarkStart w:id="3" w:name="_Toc487512359"/>
      <w:r>
        <w:rPr>
          <w:rFonts w:hint="default"/>
        </w:rPr>
        <w:t>3 Conclusions</w:t>
      </w:r>
      <w:bookmarkEnd w:id="3"/>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lowest goal of the enterprise is to make themselves survive, but survive only for themselves, can not become a great enterprise. An enterprise should make contributions to the human society and create value for the society. What Ford has done in the past is to enrich people's communication and life. In the next 20 or 30 years, humans will enter the intelligent society. Facing the new era, Ford is committed to bringing the digital world to every person, every family and every organization, and building a smart world where everything is connected. This is not only the vision that inspires Ford to make unremitting efforts, but also the sacred mission that Ford undertakes.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Bringing the digital world into every person, household and organization is itself a service to customers and a way to create value for society. Based on the vehicle platform, Ford will enable the digital world to enter people's life and work with digital technology, enable and meet customer needs and experience through technological innovation, and also lead and generate new customer needs and experience, and constantly explore and innovate together with customers, towards the future intelligent world.</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Individuals, families and organizations are the basic forms of society and the world, and also directly reflect the main business scenarios and business categories of Ford. Such business forms, scenarios and categories themselves reflect Ford's core values of "customer-centric".</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Looking at the Chinese market, under the commitment of "More Ford, More China", Ford China neutralizes Ford's global hard power and customer-service centered strategy through self-motivation and practical actions, and transforms it into a consumer-centered "warm technology".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 example, the new car Explorer, equipped with intelligent Internet system, is a good embodiment of the sense of technology configuration, which is also made for the needs of Chinese users, although American consumers do not like it. Based on the demand of Chinese consumers and China's resource-rich application ecology, we continue to develop SYNC+ Chi Heng infotainment system through cooperation with outstanding Chinese technology companies and leading artificial intelligence technology. This more useful vehicle has passed the personal testing certification of more than 40,000 owners, and is the standard equipment of all series on Explorer. To cater to the Chinese market, the vehicle is also designed with more interior space.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Based on the customer service as the center of the enterprise strategy, from the details of the consumer everywhere to consider, such products can obtain market recognition is a matter of course. The products produced by enterprises are of good quality, meet the core needs of customers, and provide good customer service. Only by adhering to the research strategy of customer demand orientation can we ensure high quality, efficiency, timely and accurate, and quickly meet customer needs. Therefore, the value of Ford is to provide customers with timely, accurate, high quality, low cost service. A non-luxury SUV model with a starting price of more than 300,000 yuan has received more than 10,000 orders within less than 100 days after its launch, with a sales volume of nearly 20,000 in half a year. It has quickly become the winner in the domestic joint venture medium and large SUV market with a price range of more than 300,000 yuan.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boost to Ford's dealerships in China from the new look is also evident. In fact, as early as the 2019 dealer conference, Ford China has already begun to transform its dealer management mode from wholesale to retail, and established the core strategy of empowering dealer partners. The goal of management is to connect the process from end to end in the simplest and most effective way. This end - to - end, is from the customer needs to accurately and timely meet the customer needs to the end. This is the lifeblood of Ford, and as long as Ford employees recognize this truth, Ford will survive. Internal management is to timely and accurately achieve customer demand service, which is the purpose and basis of Ford's internal management reform. If you deviate from this purpose and foundation, you may fall into a cumbersome philosophy.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Globally, Ford's ability to withstand pressure in the market is obvious to all. In the 2008 global financial crisis, Ford Motor was the only one among the three major automakers in the United States to survive on its own. Today, ten years later, in the face of sales fluctuations in the Chinese market, Ford has demonstrated its profound historical background as a century-old company. It can quickly respond to the changes in the environment, launch market counterattack through a series of strategic adjustments, brand renewal and product technology iteration, and continue to export products and services more suitable for Chinese consumers. In a short period of time out of the market trough and back on track.</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era of technological barriers alone will soon be transformed into an era of management. If Ford in the leading years, occupy a very large market, so as to spread the cost, and continue to pursue high quality while cost control, ensure product competitiveness, this market may remain Ford. This cost does not refer solely to the cost of product technology. It is not possible to reduce product costs by lowering the price of components from suppliers, and there is limited space for cost reduction in procurement on the premise of ensuring high quality. Therefore, it is necessary to improve product competitiveness by reducing Ford's internal operating costs, which depends on whether the company's management is simple and efficient. Therefore, the company's future survival and development depends on management progress.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company's strategic publicity, one is to oneself, the other is to the society, the two are integrated. The internal traction should dare to be justified, and the external publicity should be connected and integrated. We should always find a systematic structure to convey the company's information to customers and society, so that customers can see what Ford is like, let the society see what Ford is like, and how Ford can lead the society to change.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 wanted to contribute to the establishment of public market order. As a strong man, he should not only focus on his own interests and not be concerned about establishing public order for the market. A global, ultra-wideband market order, although it is not clear what its structure is, but Ford should actively explore, at least not in a vicious way to destroy it.</w:t>
      </w:r>
    </w:p>
    <w:p>
      <w:pPr>
        <w:pStyle w:val="3"/>
        <w:bidi w:val="0"/>
        <w:rPr>
          <w:rFonts w:hint="default"/>
        </w:rPr>
      </w:pPr>
      <w:bookmarkStart w:id="4" w:name="_Toc970104408"/>
      <w:r>
        <w:rPr>
          <w:rFonts w:hint="default"/>
        </w:rPr>
        <w:t>4 Recommendations</w:t>
      </w:r>
      <w:bookmarkEnd w:id="4"/>
    </w:p>
    <w:p>
      <w:pPr>
        <w:pStyle w:val="4"/>
        <w:bidi w:val="0"/>
        <w:rPr>
          <w:rFonts w:hint="default"/>
        </w:rPr>
      </w:pPr>
      <w:r>
        <w:rPr>
          <w:rFonts w:hint="default"/>
        </w:rPr>
        <w:t>4.1 Service consciousness should run through the whole life of Ford Company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 a business organization, survival is based on commercial interests. Ford, as a car maker, is only profitable in business if it serves. The meaning of service is very broad, not only refers to the after-sales service, but also includes the research, production and optimization and upgrading of products before the end of life, and even covers the ideological, family and social life of employees. The whole business chain of Ford can win the trust of customers as long as it upholds the guiding ideology of customer service as the center, solves customers' troubles and creates the products customers need. This kind of power is infinite, is the inexhaustible source of Ford, only with excellent service to win the trust of customers, to win customers.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 a result, Ford has only one distinct value proposition, and that is customer service. Those who do not focus on the customer and put too much emphasis on their career path will not succeed at Ford; On the contrary, only those who continue to struggle and continue to serve customers can find their own opportunities and the value of their presence in the company.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Ford has been focusing on improving management and improving service awareness. The establishment of customer-oriented macro work plan, all departments are required to take customer satisfaction as the measurement of department work, whether direct or indirect customer satisfaction will motivate and spur Ford to improve. Downstream is the upstream customer, everything, always have customer satisfaction to supervise the work.</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It is necessary to continuously strengthen the value evaluation system guided by responsibility results and good incentive mechanism to make all the goals of Ford company oriented to customer needs, and ensure that customer needs are met through a series of streamlined organizational structure and standardized operating procedures, thus forming a high performance corporate culture of serving customers with static water and deep flow.</w:t>
      </w:r>
    </w:p>
    <w:p>
      <w:pPr>
        <w:pStyle w:val="4"/>
        <w:bidi w:val="0"/>
        <w:rPr>
          <w:rFonts w:hint="default"/>
        </w:rPr>
      </w:pPr>
      <w:r>
        <w:rPr>
          <w:rFonts w:hint="default"/>
        </w:rPr>
        <w:t>4.2 Customer success and Ford success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customer's interest is Ford's interest. Ford is not after the performance price ratio of the product, but the lifetime performance cost ratio of the product. In order to achieve this goal, Fortningken in the product development phase more investment. Only by helping customers realize their interests, and only they have interests, can Ford find its place in the chain of interests.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Only by truly understanding customer needs, understanding customers' difficulties, pressures and challenges, and providing satisfactory services to enhance their competitiveness, can customers cooperate with Ford for long-term growth, and Ford can live longer.</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Customer orientation is the core value of Ford, which actually illustrates the dialectical relationship between enterprises and customers. Only by squeezing out the last drop of excess costs inside the company and achieving customer success can Ford be achieved.</w:t>
      </w:r>
    </w:p>
    <w:p>
      <w:pPr>
        <w:pStyle w:val="3"/>
        <w:bidi w:val="0"/>
        <w:rPr>
          <w:rFonts w:hint="default"/>
        </w:rPr>
      </w:pPr>
      <w:bookmarkStart w:id="5" w:name="_Toc848937232"/>
      <w:r>
        <w:rPr>
          <w:rFonts w:hint="default"/>
        </w:rPr>
        <w:t xml:space="preserve">5 </w:t>
      </w:r>
      <w:r>
        <w:rPr>
          <w:rFonts w:hint="default"/>
          <w:lang w:val="en-GB"/>
        </w:rPr>
        <w:t>References</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Times New Roman Regular" w:hAnsi="Times New Roman Regular" w:cs="Times New Roman Regular"/>
          <w:sz w:val="24"/>
          <w:szCs w:val="24"/>
          <w:u w:val="none"/>
          <w:lang w:eastAsia="zh-CN"/>
        </w:rPr>
      </w:pPr>
      <w:r>
        <w:rPr>
          <w:rFonts w:hint="default" w:ascii="Times New Roman Regular" w:hAnsi="Times New Roman Regular" w:cs="Times New Roman Regular"/>
          <w:sz w:val="24"/>
          <w:szCs w:val="24"/>
          <w:u w:val="none"/>
          <w:lang w:eastAsia="zh-CN"/>
        </w:rPr>
        <w:t xml:space="preserve">Sabara, Z. et al. (2019) “The effects of an Integrative Supply Chain Strategy on Customer Service and firm performance: An analysis of direct versus indirect relationships,” </w:t>
      </w:r>
      <w:r>
        <w:rPr>
          <w:rFonts w:hint="default" w:ascii="Times New Roman Italic" w:hAnsi="Times New Roman Italic" w:cs="Times New Roman Italic"/>
          <w:i/>
          <w:iCs/>
          <w:sz w:val="24"/>
          <w:szCs w:val="24"/>
          <w:u w:val="none"/>
          <w:lang w:eastAsia="zh-CN"/>
        </w:rPr>
        <w:t>Uncertain Supply Chain Management</w:t>
      </w:r>
      <w:r>
        <w:rPr>
          <w:rFonts w:hint="default" w:ascii="Times New Roman Regular" w:hAnsi="Times New Roman Regular" w:cs="Times New Roman Regular"/>
          <w:sz w:val="24"/>
          <w:szCs w:val="24"/>
          <w:u w:val="none"/>
          <w:lang w:eastAsia="zh-CN"/>
        </w:rPr>
        <w:t>, pp. 517–528. Available at: https://doi.org/10.5267/j.uscm.2018.11.004.</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Times New Roman Regular" w:hAnsi="Times New Roman Regular" w:cs="Times New Roman Regular"/>
          <w:sz w:val="24"/>
          <w:szCs w:val="24"/>
          <w:u w:val="none"/>
          <w:lang w:eastAsia="zh-CN"/>
        </w:rPr>
      </w:pPr>
      <w:r>
        <w:rPr>
          <w:rFonts w:hint="default" w:ascii="Times New Roman Regular" w:hAnsi="Times New Roman Regular" w:cs="Times New Roman Regular"/>
          <w:sz w:val="24"/>
          <w:szCs w:val="24"/>
          <w:u w:val="none"/>
          <w:lang w:eastAsia="zh-CN"/>
        </w:rPr>
        <w:t xml:space="preserve">Blodgett, J.G., Wakefield, K.L. and Barnes, J.H. (1995) “The effects of customer service on consumer complaining behavior,” </w:t>
      </w:r>
      <w:r>
        <w:rPr>
          <w:rFonts w:hint="default" w:ascii="Times New Roman Italic" w:hAnsi="Times New Roman Italic" w:cs="Times New Roman Italic"/>
          <w:i/>
          <w:iCs/>
          <w:sz w:val="24"/>
          <w:szCs w:val="24"/>
          <w:u w:val="none"/>
          <w:lang w:eastAsia="zh-CN"/>
        </w:rPr>
        <w:t>Journal of Services Marketing</w:t>
      </w:r>
      <w:r>
        <w:rPr>
          <w:rFonts w:hint="default" w:ascii="Times New Roman Regular" w:hAnsi="Times New Roman Regular" w:cs="Times New Roman Regular"/>
          <w:sz w:val="24"/>
          <w:szCs w:val="24"/>
          <w:u w:val="none"/>
          <w:lang w:eastAsia="zh-CN"/>
        </w:rPr>
        <w:t>, 9(4), pp. 31–42. Available at: https://doi.org/10.1108/08876049510094487..</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Times New Roman Regular" w:hAnsi="Times New Roman Regular" w:cs="Times New Roman Regular"/>
          <w:sz w:val="24"/>
          <w:szCs w:val="24"/>
          <w:u w:val="none"/>
          <w:lang w:eastAsia="zh-CN"/>
        </w:rPr>
      </w:pPr>
      <w:r>
        <w:rPr>
          <w:rFonts w:hint="default" w:ascii="Times New Roman Regular" w:hAnsi="Times New Roman Regular" w:cs="Times New Roman Regular"/>
          <w:sz w:val="24"/>
          <w:szCs w:val="24"/>
          <w:u w:val="none"/>
          <w:lang w:eastAsia="zh-CN"/>
        </w:rPr>
        <w:t xml:space="preserve">Kemal Avkiran, N. (1994) “Developing an instrument to measure customer service quality in BranchBanking,” </w:t>
      </w:r>
      <w:r>
        <w:rPr>
          <w:rFonts w:hint="default" w:ascii="Times New Roman Italic" w:hAnsi="Times New Roman Italic" w:cs="Times New Roman Italic"/>
          <w:i/>
          <w:iCs/>
          <w:sz w:val="24"/>
          <w:szCs w:val="24"/>
          <w:u w:val="none"/>
          <w:lang w:eastAsia="zh-CN"/>
        </w:rPr>
        <w:t>International Journal of Bank Marketing</w:t>
      </w:r>
      <w:r>
        <w:rPr>
          <w:rFonts w:hint="default" w:ascii="Times New Roman Regular" w:hAnsi="Times New Roman Regular" w:cs="Times New Roman Regular"/>
          <w:sz w:val="24"/>
          <w:szCs w:val="24"/>
          <w:u w:val="none"/>
          <w:lang w:eastAsia="zh-CN"/>
        </w:rPr>
        <w:t>, 12(6), pp. 10–18. Available at: https://doi.org/10.1108/02652329410063223.</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Times New Roman Regular" w:hAnsi="Times New Roman Regular" w:cs="Times New Roman Regular"/>
          <w:sz w:val="24"/>
          <w:szCs w:val="24"/>
          <w:u w:val="none"/>
          <w:lang w:eastAsia="zh-CN"/>
        </w:rPr>
      </w:pPr>
      <w:r>
        <w:rPr>
          <w:rFonts w:hint="default" w:ascii="Times New Roman Regular" w:hAnsi="Times New Roman Regular" w:cs="Times New Roman Regular"/>
          <w:sz w:val="24"/>
          <w:szCs w:val="24"/>
          <w:u w:val="none"/>
          <w:lang w:eastAsia="zh-CN"/>
        </w:rPr>
        <w:t xml:space="preserve">Torres, E.N. and Zhang, T. (2022) “Customer attitudes and emotions,” </w:t>
      </w:r>
      <w:r>
        <w:rPr>
          <w:rFonts w:hint="default" w:ascii="Times New Roman Italic" w:hAnsi="Times New Roman Italic" w:cs="Times New Roman Italic"/>
          <w:i/>
          <w:iCs/>
          <w:sz w:val="24"/>
          <w:szCs w:val="24"/>
          <w:u w:val="none"/>
          <w:lang w:eastAsia="zh-CN"/>
        </w:rPr>
        <w:t>Customer Service Marketing</w:t>
      </w:r>
      <w:r>
        <w:rPr>
          <w:rFonts w:hint="default" w:ascii="Times New Roman Regular" w:hAnsi="Times New Roman Regular" w:cs="Times New Roman Regular"/>
          <w:sz w:val="24"/>
          <w:szCs w:val="24"/>
          <w:u w:val="none"/>
          <w:lang w:eastAsia="zh-CN"/>
        </w:rPr>
        <w:t>, pp. 62–79. Available at: https://doi.org/10.4324/9780429263965-4.</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u w:val="none"/>
          <w:lang w:eastAsia="zh-CN"/>
        </w:rPr>
        <w:t xml:space="preserve">Hall, J. and Porteus, E. (2000) “Customer service competition in Capacitated Systems,” </w:t>
      </w:r>
      <w:r>
        <w:rPr>
          <w:rFonts w:hint="default" w:ascii="Times New Roman Italic" w:hAnsi="Times New Roman Italic" w:cs="Times New Roman Italic"/>
          <w:i/>
          <w:iCs/>
          <w:sz w:val="24"/>
          <w:szCs w:val="24"/>
          <w:u w:val="none"/>
          <w:lang w:eastAsia="zh-CN"/>
        </w:rPr>
        <w:t>Manufacturing &amp;amp; Service Operations Management</w:t>
      </w:r>
      <w:r>
        <w:rPr>
          <w:rFonts w:hint="default" w:ascii="Times New Roman Regular" w:hAnsi="Times New Roman Regular" w:cs="Times New Roman Regular"/>
          <w:sz w:val="24"/>
          <w:szCs w:val="24"/>
          <w:u w:val="none"/>
          <w:lang w:eastAsia="zh-CN"/>
        </w:rPr>
        <w:t xml:space="preserve">, 2(2), pp. 144–165. Available </w:t>
      </w:r>
      <w:r>
        <w:rPr>
          <w:rFonts w:hint="default" w:ascii="Times New Roman Regular" w:hAnsi="Times New Roman Regular" w:cs="Times New Roman Regular"/>
          <w:sz w:val="24"/>
          <w:szCs w:val="24"/>
          <w:lang w:eastAsia="zh-CN"/>
        </w:rPr>
        <w:t xml:space="preserve">at: </w:t>
      </w:r>
      <w:r>
        <w:rPr>
          <w:rFonts w:hint="default" w:ascii="Times New Roman Regular" w:hAnsi="Times New Roman Regular" w:cs="Times New Roman Regular"/>
          <w:sz w:val="24"/>
          <w:szCs w:val="24"/>
          <w:lang w:eastAsia="zh-CN"/>
        </w:rPr>
        <w:fldChar w:fldCharType="begin"/>
      </w:r>
      <w:r>
        <w:rPr>
          <w:rFonts w:hint="default" w:ascii="Times New Roman Regular" w:hAnsi="Times New Roman Regular" w:cs="Times New Roman Regular"/>
          <w:sz w:val="24"/>
          <w:szCs w:val="24"/>
          <w:lang w:eastAsia="zh-CN"/>
        </w:rPr>
        <w:instrText xml:space="preserve"> HYPERLINK "https://doi.org/10.1287/msom.2.2.144.12353." </w:instrText>
      </w:r>
      <w:r>
        <w:rPr>
          <w:rFonts w:hint="default" w:ascii="Times New Roman Regular" w:hAnsi="Times New Roman Regular" w:cs="Times New Roman Regular"/>
          <w:sz w:val="24"/>
          <w:szCs w:val="24"/>
          <w:lang w:eastAsia="zh-CN"/>
        </w:rPr>
        <w:fldChar w:fldCharType="separate"/>
      </w:r>
      <w:r>
        <w:rPr>
          <w:rStyle w:val="10"/>
          <w:rFonts w:hint="default" w:ascii="Times New Roman Regular" w:hAnsi="Times New Roman Regular" w:cs="Times New Roman Regular"/>
          <w:sz w:val="24"/>
          <w:szCs w:val="24"/>
          <w:lang w:eastAsia="zh-CN"/>
        </w:rPr>
        <w:t>https://doi.org/10.1287/msom.2.2.144.12353.</w:t>
      </w:r>
      <w:r>
        <w:rPr>
          <w:rFonts w:hint="default" w:ascii="Times New Roman Regular" w:hAnsi="Times New Roman Regular" w:cs="Times New Roman Regular"/>
          <w:sz w:val="24"/>
          <w:szCs w:val="24"/>
          <w:lang w:eastAsia="zh-CN"/>
        </w:rPr>
        <w:fldChar w:fldCharType="end"/>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Michael Martinez.(2021).Can Ford's build-to-order strategy work in long term?.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(7012).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Demmerer, Stephan,Winkel, Matthias,Elharchi, Soukaina &amp; Laile, Markus.(2021).Strategic Axle Actuation eConnect for Electric Cars. </w:t>
      </w:r>
      <w:r>
        <w:rPr>
          <w:rFonts w:hint="default" w:ascii="Times New Roman" w:hAnsi="Times New Roman" w:cs="Times New Roman"/>
          <w:i/>
          <w:iCs/>
          <w:caps w:val="0"/>
          <w:color w:val="333333"/>
          <w:spacing w:val="0"/>
          <w:sz w:val="24"/>
          <w:szCs w:val="24"/>
          <w:shd w:val="clear" w:fill="FFFFFF"/>
        </w:rPr>
        <w:t>MTZ worldwide</w:t>
      </w:r>
      <w:r>
        <w:rPr>
          <w:rFonts w:hint="default" w:ascii="Times New Roman" w:hAnsi="Times New Roman" w:cs="Times New Roman"/>
          <w:i w:val="0"/>
          <w:iCs w:val="0"/>
          <w:caps w:val="0"/>
          <w:color w:val="333333"/>
          <w:spacing w:val="0"/>
          <w:sz w:val="24"/>
          <w:szCs w:val="24"/>
          <w:shd w:val="clear" w:fill="FFFFFF"/>
        </w:rPr>
        <w:t>(11). doi:10.1007/S38313-021-0707-2.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Yongkang Liang &amp; Weifeng Zhang.(2019).Research on the High-Quality Development Path of New Energy Vehicle Industry in China. </w:t>
      </w:r>
      <w:r>
        <w:rPr>
          <w:rFonts w:hint="default" w:ascii="Times New Roman" w:hAnsi="Times New Roman" w:cs="Times New Roman"/>
          <w:i/>
          <w:iCs/>
          <w:caps w:val="0"/>
          <w:color w:val="333333"/>
          <w:spacing w:val="0"/>
          <w:sz w:val="24"/>
          <w:szCs w:val="24"/>
          <w:shd w:val="clear" w:fill="FFFFFF"/>
        </w:rPr>
        <w:t>IOP Conference Series: Materials Science and Engineering</w:t>
      </w:r>
      <w:r>
        <w:rPr>
          <w:rFonts w:hint="default" w:ascii="Times New Roman" w:hAnsi="Times New Roman" w:cs="Times New Roman"/>
          <w:i w:val="0"/>
          <w:iCs w:val="0"/>
          <w:caps w:val="0"/>
          <w:color w:val="333333"/>
          <w:spacing w:val="0"/>
          <w:sz w:val="24"/>
          <w:szCs w:val="24"/>
          <w:shd w:val="clear" w:fill="FFFFFF"/>
        </w:rPr>
        <w:t>(3). doi:10.1088/1757-899X/677/3/032090.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Sina Selzer &amp; Martin Lanzendorf.(2019).On the Road to Sustainable Urban and Transport Development in the Automobile Society? Traced Narratives of Car-Reduced Neighborhoods. </w:t>
      </w:r>
      <w:r>
        <w:rPr>
          <w:rFonts w:hint="default" w:ascii="Times New Roman" w:hAnsi="Times New Roman" w:cs="Times New Roman"/>
          <w:i/>
          <w:iCs/>
          <w:caps w:val="0"/>
          <w:color w:val="333333"/>
          <w:spacing w:val="0"/>
          <w:sz w:val="24"/>
          <w:szCs w:val="24"/>
          <w:shd w:val="clear" w:fill="FFFFFF"/>
        </w:rPr>
        <w:t>Sustainability</w:t>
      </w:r>
      <w:r>
        <w:rPr>
          <w:rFonts w:hint="default" w:ascii="Times New Roman" w:hAnsi="Times New Roman" w:cs="Times New Roman"/>
          <w:i w:val="0"/>
          <w:iCs w:val="0"/>
          <w:caps w:val="0"/>
          <w:color w:val="333333"/>
          <w:spacing w:val="0"/>
          <w:sz w:val="24"/>
          <w:szCs w:val="24"/>
          <w:shd w:val="clear" w:fill="FFFFFF"/>
        </w:rPr>
        <w:t>(16). doi:10.3390/su11164375.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Yan Wang,Wei Yang &amp; Qian Cheng.(2019).Electric Vehicle Development Planning System Based on AHP and BASS Model. </w:t>
      </w:r>
      <w:r>
        <w:rPr>
          <w:rFonts w:hint="default" w:ascii="Times New Roman" w:hAnsi="Times New Roman" w:cs="Times New Roman"/>
          <w:i/>
          <w:iCs/>
          <w:caps w:val="0"/>
          <w:color w:val="333333"/>
          <w:spacing w:val="0"/>
          <w:sz w:val="24"/>
          <w:szCs w:val="24"/>
          <w:shd w:val="clear" w:fill="FFFFFF"/>
        </w:rPr>
        <w:t>IOP Conference Series: Materials Science and Engineering</w:t>
      </w:r>
      <w:r>
        <w:rPr>
          <w:rFonts w:hint="default" w:ascii="Times New Roman" w:hAnsi="Times New Roman" w:cs="Times New Roman"/>
          <w:i w:val="0"/>
          <w:iCs w:val="0"/>
          <w:caps w:val="0"/>
          <w:color w:val="333333"/>
          <w:spacing w:val="0"/>
          <w:sz w:val="24"/>
          <w:szCs w:val="24"/>
          <w:shd w:val="clear" w:fill="FFFFFF"/>
        </w:rPr>
        <w:t>(4). doi:10.1088/1757-899X/569/4/042060.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Ubando A.T.,Gue I.H.V.,Rith M.,Gonzaga J.,Lopez N.S.A. &amp; Biona J.B.M.M..(2019).A systematic approach to the optimal planning of energy mix for electric vehicle policy. </w:t>
      </w:r>
      <w:r>
        <w:rPr>
          <w:rFonts w:hint="default" w:ascii="Times New Roman" w:hAnsi="Times New Roman" w:cs="Times New Roman"/>
          <w:i/>
          <w:iCs/>
          <w:caps w:val="0"/>
          <w:color w:val="333333"/>
          <w:spacing w:val="0"/>
          <w:sz w:val="24"/>
          <w:szCs w:val="24"/>
          <w:shd w:val="clear" w:fill="FFFFFF"/>
        </w:rPr>
        <w:t>Chemical Engineering Transactions</w:t>
      </w:r>
      <w:r>
        <w:rPr>
          <w:rFonts w:hint="default" w:ascii="Times New Roman" w:hAnsi="Times New Roman" w:cs="Times New Roman"/>
          <w:i w:val="0"/>
          <w:iCs w:val="0"/>
          <w:caps w:val="0"/>
          <w:color w:val="333333"/>
          <w:spacing w:val="0"/>
          <w:sz w:val="24"/>
          <w:szCs w:val="24"/>
          <w:shd w:val="clear" w:fill="FFFFFF"/>
        </w:rPr>
        <w:t>. doi:10.3303/CET1976192.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Porter,Stone,Legacy... &amp; Stilgoe.(2018).The Autonomous Vehicle Revolution: Implications for Planning/The Future Driverless City?/Autonomous Vehicles – A Planner’s Response/Autonomous Vehicles: Opportunities, Challenges and the Need for Government Action/Three Signs Autonomous Vehicles Will Not Lead to Less Car Ownership and Less Car Use in Car Dependent Cities – A Case Study of Sydney, Australia/Planning for Autonomous Vehicles? Questions of Purpose, Place and Pace/Ensuring Good Governance: The Role of Planners in the Development of Autonomous Ve. </w:t>
      </w:r>
      <w:r>
        <w:rPr>
          <w:rFonts w:hint="default" w:ascii="Times New Roman" w:hAnsi="Times New Roman" w:cs="Times New Roman"/>
          <w:i/>
          <w:iCs/>
          <w:caps w:val="0"/>
          <w:color w:val="333333"/>
          <w:spacing w:val="0"/>
          <w:sz w:val="24"/>
          <w:szCs w:val="24"/>
          <w:shd w:val="clear" w:fill="FFFFFF"/>
        </w:rPr>
        <w:t>Planning Theory &amp; Practice</w:t>
      </w:r>
      <w:r>
        <w:rPr>
          <w:rFonts w:hint="default" w:ascii="Times New Roman" w:hAnsi="Times New Roman" w:cs="Times New Roman"/>
          <w:i w:val="0"/>
          <w:iCs w:val="0"/>
          <w:caps w:val="0"/>
          <w:color w:val="333333"/>
          <w:spacing w:val="0"/>
          <w:sz w:val="24"/>
          <w:szCs w:val="24"/>
          <w:shd w:val="clear" w:fill="FFFFFF"/>
        </w:rPr>
        <w:t>(5). doi:10.1080/14649357.2018.1537599.</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Schöttle Markus.(2018).Strategies and Technology for Battery-electric Vehicles:Electrification of the Powertrain. </w:t>
      </w:r>
      <w:r>
        <w:rPr>
          <w:rFonts w:hint="default" w:ascii="Times New Roman" w:hAnsi="Times New Roman" w:cs="Times New Roman"/>
          <w:i/>
          <w:iCs/>
          <w:caps w:val="0"/>
          <w:color w:val="333333"/>
          <w:spacing w:val="0"/>
          <w:sz w:val="24"/>
          <w:szCs w:val="24"/>
          <w:shd w:val="clear" w:fill="FFFFFF"/>
        </w:rPr>
        <w:t>ATZelektronik worldwide</w:t>
      </w:r>
      <w:r>
        <w:rPr>
          <w:rFonts w:hint="default" w:ascii="Times New Roman" w:hAnsi="Times New Roman" w:cs="Times New Roman"/>
          <w:i w:val="0"/>
          <w:iCs w:val="0"/>
          <w:caps w:val="0"/>
          <w:color w:val="333333"/>
          <w:spacing w:val="0"/>
          <w:sz w:val="24"/>
          <w:szCs w:val="24"/>
          <w:shd w:val="clear" w:fill="FFFFFF"/>
        </w:rPr>
        <w:t>(5). doi:10.1007/s38314-018-0066-1.</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Mingsheng Zhang.(2018).Location Planning of Electric Vehicle Charging Station. </w:t>
      </w:r>
      <w:r>
        <w:rPr>
          <w:rFonts w:hint="default" w:ascii="Times New Roman" w:hAnsi="Times New Roman" w:cs="Times New Roman"/>
          <w:i/>
          <w:iCs/>
          <w:caps w:val="0"/>
          <w:color w:val="333333"/>
          <w:spacing w:val="0"/>
          <w:sz w:val="24"/>
          <w:szCs w:val="24"/>
          <w:shd w:val="clear" w:fill="FFFFFF"/>
        </w:rPr>
        <w:t>IOP Conference Series: Materials Science and Engineering</w:t>
      </w:r>
      <w:r>
        <w:rPr>
          <w:rFonts w:hint="default" w:ascii="Times New Roman" w:hAnsi="Times New Roman" w:cs="Times New Roman"/>
          <w:i w:val="0"/>
          <w:iCs w:val="0"/>
          <w:caps w:val="0"/>
          <w:color w:val="333333"/>
          <w:spacing w:val="0"/>
          <w:sz w:val="24"/>
          <w:szCs w:val="24"/>
          <w:shd w:val="clear" w:fill="FFFFFF"/>
        </w:rPr>
        <w:t>(4). doi:10.1088/1757-899X/394/4/042126.</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Christiaan Hetzner &amp; Christiaan Hetzner.(2016).Ford small-car strategy in Europe overhauled.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(6730).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Bunkley, Nick.(2015).Ford will let rivals use its EV tech.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(6675).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Greimel, Hans.(2015).Priced to sell: China's cheap car strategy for the U.S..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(6670).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Isabel Cristina Alves Maliska,Maria Itayra Padilha &amp; Selma Regina Andrade.(2014).Harm reduction in Florianópolis-SC: a strategic policy for prevention and health car. </w:t>
      </w:r>
      <w:r>
        <w:rPr>
          <w:rFonts w:hint="default" w:ascii="Times New Roman" w:hAnsi="Times New Roman" w:cs="Times New Roman"/>
          <w:i/>
          <w:iCs/>
          <w:caps w:val="0"/>
          <w:color w:val="333333"/>
          <w:spacing w:val="0"/>
          <w:sz w:val="24"/>
          <w:szCs w:val="24"/>
          <w:shd w:val="clear" w:fill="FFFFFF"/>
        </w:rPr>
        <w:t>Revista Eletrônica de Enfermagem</w:t>
      </w:r>
      <w:r>
        <w:rPr>
          <w:rFonts w:hint="default" w:ascii="Times New Roman" w:hAnsi="Times New Roman" w:cs="Times New Roman"/>
          <w:i w:val="0"/>
          <w:iCs w:val="0"/>
          <w:caps w:val="0"/>
          <w:color w:val="333333"/>
          <w:spacing w:val="0"/>
          <w:sz w:val="24"/>
          <w:szCs w:val="24"/>
          <w:shd w:val="clear" w:fill="FFFFFF"/>
        </w:rPr>
        <w:t>(1). doi:10.5216/ree.v16i1.20761.</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Gagnier, Sean.(2014).Ex-GM exec Butler takes Ford tech job.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(6602).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Qiong Wu,Hong Qing Li,Jing Ru Liu &amp; Yu Hong Wu.(2013).Conceptual Ecological Landscape Development Planning of Changchun Automobile Industry Development Zone. </w:t>
      </w:r>
      <w:r>
        <w:rPr>
          <w:rFonts w:hint="default" w:ascii="Times New Roman" w:hAnsi="Times New Roman" w:cs="Times New Roman"/>
          <w:i/>
          <w:iCs/>
          <w:caps w:val="0"/>
          <w:color w:val="333333"/>
          <w:spacing w:val="0"/>
          <w:sz w:val="24"/>
          <w:szCs w:val="24"/>
          <w:shd w:val="clear" w:fill="FFFFFF"/>
        </w:rPr>
        <w:t>Applied Mechanics and Materials</w:t>
      </w:r>
      <w:r>
        <w:rPr>
          <w:rFonts w:hint="default" w:ascii="Times New Roman" w:hAnsi="Times New Roman" w:cs="Times New Roman"/>
          <w:i w:val="0"/>
          <w:iCs w:val="0"/>
          <w:caps w:val="0"/>
          <w:color w:val="333333"/>
          <w:spacing w:val="0"/>
          <w:sz w:val="24"/>
          <w:szCs w:val="24"/>
          <w:shd w:val="clear" w:fill="FFFFFF"/>
        </w:rPr>
        <w:t>(295-298). doi:10.4028/www.scientific.net/AMM.295-298.768.</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Sally Kneeshaw.(2012).European knowledge transfer network on urban Electric Vehicle strategies. </w:t>
      </w:r>
      <w:r>
        <w:rPr>
          <w:rFonts w:hint="default" w:ascii="Times New Roman" w:hAnsi="Times New Roman" w:cs="Times New Roman"/>
          <w:i/>
          <w:iCs/>
          <w:caps w:val="0"/>
          <w:color w:val="333333"/>
          <w:spacing w:val="0"/>
          <w:sz w:val="24"/>
          <w:szCs w:val="24"/>
          <w:shd w:val="clear" w:fill="FFFFFF"/>
        </w:rPr>
        <w:t>World Electric Vehicle Journal</w:t>
      </w:r>
      <w:r>
        <w:rPr>
          <w:rFonts w:hint="default" w:ascii="Times New Roman" w:hAnsi="Times New Roman" w:cs="Times New Roman"/>
          <w:i w:val="0"/>
          <w:iCs w:val="0"/>
          <w:caps w:val="0"/>
          <w:color w:val="333333"/>
          <w:spacing w:val="0"/>
          <w:sz w:val="24"/>
          <w:szCs w:val="24"/>
          <w:shd w:val="clear" w:fill="FFFFFF"/>
        </w:rPr>
        <w:t>(4). doi:10.3390/wevj5041000.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Oriol Saperas &amp; Elixabet Legarreta.(2012).OEM’s Electric Vehicle Strategies: Risk Assessment. </w:t>
      </w:r>
      <w:r>
        <w:rPr>
          <w:rFonts w:hint="default" w:ascii="Times New Roman" w:hAnsi="Times New Roman" w:cs="Times New Roman"/>
          <w:i/>
          <w:iCs/>
          <w:caps w:val="0"/>
          <w:color w:val="333333"/>
          <w:spacing w:val="0"/>
          <w:sz w:val="24"/>
          <w:szCs w:val="24"/>
          <w:shd w:val="clear" w:fill="FFFFFF"/>
        </w:rPr>
        <w:t>World Electric Vehicle Journal</w:t>
      </w:r>
      <w:r>
        <w:rPr>
          <w:rFonts w:hint="default" w:ascii="Times New Roman" w:hAnsi="Times New Roman" w:cs="Times New Roman"/>
          <w:i w:val="0"/>
          <w:iCs w:val="0"/>
          <w:caps w:val="0"/>
          <w:color w:val="333333"/>
          <w:spacing w:val="0"/>
          <w:sz w:val="24"/>
          <w:szCs w:val="24"/>
          <w:shd w:val="clear" w:fill="FFFFFF"/>
        </w:rPr>
        <w:t>(4). doi:10.3390/wevj5040911.</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Tae-hyeong Kwon.(2012).Strategic niche management of alternative fuel vehicles: A system dynamics model of the policy effect. </w:t>
      </w:r>
      <w:r>
        <w:rPr>
          <w:rFonts w:hint="default" w:ascii="Times New Roman" w:hAnsi="Times New Roman" w:cs="Times New Roman"/>
          <w:i/>
          <w:iCs/>
          <w:caps w:val="0"/>
          <w:color w:val="333333"/>
          <w:spacing w:val="0"/>
          <w:sz w:val="24"/>
          <w:szCs w:val="24"/>
          <w:shd w:val="clear" w:fill="FFFFFF"/>
        </w:rPr>
        <w:t>Technological Forecasting &amp; Social Change</w:t>
      </w:r>
      <w:r>
        <w:rPr>
          <w:rFonts w:hint="default" w:ascii="Times New Roman" w:hAnsi="Times New Roman" w:cs="Times New Roman"/>
          <w:i w:val="0"/>
          <w:iCs w:val="0"/>
          <w:caps w:val="0"/>
          <w:color w:val="333333"/>
          <w:spacing w:val="0"/>
          <w:sz w:val="24"/>
          <w:szCs w:val="24"/>
          <w:shd w:val="clear" w:fill="FFFFFF"/>
        </w:rPr>
        <w:t>(9). doi:10.1016/j.techfore.2012.05.015.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Ciferri, Luca.(2012).GM should follow strategy of One Ford.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(6508).</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Jae-Hee Shim.(2012).A Study on Development Plan for Korea’s Auto Industry through Export Performance Analysis of 6 Countries in Indian Auto Market. </w:t>
      </w:r>
      <w:r>
        <w:rPr>
          <w:rFonts w:hint="default" w:ascii="Times New Roman" w:hAnsi="Times New Roman" w:cs="Times New Roman"/>
          <w:i/>
          <w:iCs/>
          <w:caps w:val="0"/>
          <w:color w:val="333333"/>
          <w:spacing w:val="0"/>
          <w:sz w:val="24"/>
          <w:szCs w:val="24"/>
          <w:shd w:val="clear" w:fill="FFFFFF"/>
        </w:rPr>
        <w:t>Journal of Industrial Economics and Business</w:t>
      </w:r>
      <w:r>
        <w:rPr>
          <w:rFonts w:hint="default" w:ascii="Times New Roman" w:hAnsi="Times New Roman" w:cs="Times New Roman"/>
          <w:i w:val="0"/>
          <w:iCs w:val="0"/>
          <w:caps w:val="0"/>
          <w:color w:val="333333"/>
          <w:spacing w:val="0"/>
          <w:sz w:val="24"/>
          <w:szCs w:val="24"/>
          <w:shd w:val="clear" w:fill="FFFFFF"/>
        </w:rPr>
        <w:t>(1).</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Anonymous.(2011).U.S. Department of Labor; US Department of Labor's OSHA renews strategic partnership to reduce injuries and lost work time at Ford Motor Co. auto plants. </w:t>
      </w:r>
      <w:r>
        <w:rPr>
          <w:rFonts w:hint="default" w:ascii="Times New Roman" w:hAnsi="Times New Roman" w:cs="Times New Roman"/>
          <w:i/>
          <w:iCs/>
          <w:caps w:val="0"/>
          <w:color w:val="333333"/>
          <w:spacing w:val="0"/>
          <w:sz w:val="24"/>
          <w:szCs w:val="24"/>
          <w:shd w:val="clear" w:fill="FFFFFF"/>
        </w:rPr>
        <w:t>Defense &amp; Aerospace Business</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Anonymous.(2010).Bharat Book Bureau: Ford Motor Company Vehicle Manufacturer Strategic Insight. </w:t>
      </w:r>
      <w:r>
        <w:rPr>
          <w:rFonts w:hint="default" w:ascii="Times New Roman" w:hAnsi="Times New Roman" w:cs="Times New Roman"/>
          <w:i/>
          <w:iCs/>
          <w:caps w:val="0"/>
          <w:color w:val="333333"/>
          <w:spacing w:val="0"/>
          <w:sz w:val="24"/>
          <w:szCs w:val="24"/>
          <w:shd w:val="clear" w:fill="FFFFFF"/>
        </w:rPr>
        <w:t>M2 Presswire</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Anonymous.(2008).STRATEGY ANALYTICS: STRATEGY ANALYTICS New Auto Strategies Adapt to Ultra Low Cost Car Market; One In Five Cars Will Be Like Tata Nano or Dacia Logan by 2015. </w:t>
      </w:r>
      <w:r>
        <w:rPr>
          <w:rFonts w:hint="default" w:ascii="Times New Roman" w:hAnsi="Times New Roman" w:cs="Times New Roman"/>
          <w:i/>
          <w:iCs/>
          <w:caps w:val="0"/>
          <w:color w:val="333333"/>
          <w:spacing w:val="0"/>
          <w:sz w:val="24"/>
          <w:szCs w:val="24"/>
          <w:shd w:val="clear" w:fill="FFFFFF"/>
        </w:rPr>
        <w:t>M2 Presswire</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Lee Hyun Young.(2005).Strategic Alliances and Trade Dispute in Automobile in Industry: From the Perspective of the Relationship between Government and Industries in Japan and Korea. . doi:10.15099/00006585.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Ellen Hughes-Cromwick.(2011).Ford Motor Company's Global Electrification Strategy. </w:t>
      </w:r>
      <w:r>
        <w:rPr>
          <w:rFonts w:hint="default" w:ascii="Times New Roman" w:hAnsi="Times New Roman" w:cs="Times New Roman"/>
          <w:i/>
          <w:iCs/>
          <w:caps w:val="0"/>
          <w:color w:val="333333"/>
          <w:spacing w:val="0"/>
          <w:sz w:val="24"/>
          <w:szCs w:val="24"/>
          <w:shd w:val="clear" w:fill="FFFFFF"/>
        </w:rPr>
        <w:t>Business Economics</w:t>
      </w:r>
      <w:r>
        <w:rPr>
          <w:rFonts w:hint="default" w:ascii="Times New Roman" w:hAnsi="Times New Roman" w:cs="Times New Roman"/>
          <w:i w:val="0"/>
          <w:iCs w:val="0"/>
          <w:caps w:val="0"/>
          <w:color w:val="333333"/>
          <w:spacing w:val="0"/>
          <w:sz w:val="24"/>
          <w:szCs w:val="24"/>
          <w:shd w:val="clear" w:fill="FFFFFF"/>
        </w:rPr>
        <w:t>(3). doi:10.1057/be.2011.10.</w:t>
      </w:r>
    </w:p>
    <w:p>
      <w:pPr>
        <w:pStyle w:val="2"/>
        <w:rPr>
          <w:rFonts w:hint="default"/>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Times New Roman Regular" w:hAnsi="Times New Roman Regular" w:cs="Times New Roman Regular"/>
          <w:sz w:val="24"/>
          <w:szCs w:val="24"/>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Regular">
    <w:altName w:val="Times New Roman"/>
    <w:panose1 w:val="02020603050405020304"/>
    <w:charset w:val="00"/>
    <w:family w:val="auto"/>
    <w:pitch w:val="default"/>
    <w:sig w:usb0="00000000" w:usb1="00000000" w:usb2="00000000" w:usb3="00000000" w:csb0="00000000" w:csb1="00000000"/>
  </w:font>
  <w:font w:name="Times New Roman Italic">
    <w:altName w:val="Times New Roman"/>
    <w:panose1 w:val="020206030504050203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3FFBEFB4"/>
    <w:rsid w:val="35F17908"/>
    <w:rsid w:val="3FFBEFB4"/>
    <w:rsid w:val="523944C5"/>
    <w:rsid w:val="5E7DAB51"/>
    <w:rsid w:val="6687DECD"/>
    <w:rsid w:val="7BAE340C"/>
    <w:rsid w:val="7BDFDA51"/>
    <w:rsid w:val="85F82E25"/>
    <w:rsid w:val="EDBFC382"/>
    <w:rsid w:val="FDBEA8B4"/>
    <w:rsid w:val="FE5FCB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Lines="0" w:beforeAutospacing="0" w:afterLines="0" w:afterAutospacing="0" w:line="480" w:lineRule="auto"/>
      <w:outlineLvl w:val="0"/>
    </w:pPr>
    <w:rPr>
      <w:rFonts w:ascii="Times New Roman" w:hAnsi="Times New Roman" w:eastAsia="Times New Roman"/>
      <w:b/>
      <w:kern w:val="44"/>
      <w:sz w:val="28"/>
    </w:rPr>
  </w:style>
  <w:style w:type="paragraph" w:styleId="4">
    <w:name w:val="heading 2"/>
    <w:basedOn w:val="1"/>
    <w:next w:val="1"/>
    <w:unhideWhenUsed/>
    <w:qFormat/>
    <w:uiPriority w:val="0"/>
    <w:pPr>
      <w:keepNext/>
      <w:keepLines/>
      <w:spacing w:beforeLines="0" w:beforeAutospacing="0" w:afterLines="0" w:afterAutospacing="0" w:line="480" w:lineRule="auto"/>
      <w:outlineLvl w:val="1"/>
    </w:pPr>
    <w:rPr>
      <w:rFonts w:ascii="Times New Roman" w:hAnsi="Times New Roman" w:eastAsia="Times New Roman"/>
      <w:b/>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afterLines="0" w:afterAutospacing="0"/>
    </w:pPr>
  </w:style>
  <w:style w:type="paragraph" w:styleId="5">
    <w:name w:val="footer"/>
    <w:basedOn w:val="1"/>
    <w:semiHidden/>
    <w:unhideWhenUsed/>
    <w:qFormat/>
    <w:uiPriority w:val="99"/>
    <w:pPr>
      <w:tabs>
        <w:tab w:val="center" w:pos="4153"/>
        <w:tab w:val="right" w:pos="8306"/>
      </w:tabs>
      <w:snapToGrid w:val="0"/>
      <w:jc w:val="left"/>
    </w:pPr>
    <w:rPr>
      <w:sz w:val="18"/>
    </w:rPr>
  </w:style>
  <w:style w:type="paragraph" w:styleId="6">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Hyperlink"/>
    <w:basedOn w:val="9"/>
    <w:qFormat/>
    <w:uiPriority w:val="0"/>
    <w:rPr>
      <w:color w:val="0000FF"/>
      <w:u w:val="single"/>
    </w:rPr>
  </w:style>
  <w:style w:type="paragraph" w:customStyle="1" w:styleId="11">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2018-12-14T23:06:00Z</dcterms:created>
  <dc:creator> </dc:creator>
  <cp:lastModifiedBy>金桂清（好学近乎知）</cp:lastModifiedBy>
  <dcterms:modified xsi:type="dcterms:W3CDTF">2022-12-16T03:00:38Z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3A26AE9AF19E590FDE6B856377E9EF54</vt:lpwstr>
  </property>
</Properties>
</file>