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200" w:line="360" w:lineRule="auto"/>
        <w:jc w:val="both"/>
        <w:rPr/>
      </w:pPr>
      <w:r w:rsidDel="00000000" w:rsidR="00000000" w:rsidRPr="00000000">
        <w:rPr>
          <w:b w:val="1"/>
          <w:bCs w:val="1"/>
          <w:rtl w:val="0"/>
        </w:rPr>
        <w:t xml:space="preserve">University of Wales Trinity Saint David</w:t>
      </w:r>
      <w:r w:rsidDel="00000000" w:rsidR="00000000" w:rsidRPr="00000000">
        <w:rPr>
          <w:rtl w:val="0"/>
        </w:rPr>
      </w:r>
    </w:p>
    <w:p w:rsidR="00000000" w:rsidDel="00000000" w:rsidP="00000000" w:rsidRDefault="00000000" w:rsidRPr="00000000" w14:paraId="00000002">
      <w:pPr>
        <w:spacing w:after="200" w:line="360" w:lineRule="auto"/>
        <w:jc w:val="both"/>
        <w:rPr/>
      </w:pPr>
      <w:r w:rsidDel="00000000" w:rsidR="00000000" w:rsidRPr="00000000">
        <w:rPr>
          <w:b w:val="1"/>
          <w:bCs w:val="1"/>
          <w:rtl w:val="0"/>
        </w:rPr>
        <w:t xml:space="preserve">LCHS4003 Introduction to Health and Social Care</w:t>
      </w:r>
      <w:r w:rsidDel="00000000" w:rsidR="00000000" w:rsidRPr="00000000">
        <w:rPr>
          <w:rtl w:val="0"/>
        </w:rPr>
      </w:r>
    </w:p>
    <w:p w:rsidR="00000000" w:rsidDel="00000000" w:rsidP="00000000" w:rsidRDefault="00000000" w:rsidRPr="00000000" w14:paraId="00000003">
      <w:pPr>
        <w:spacing w:after="800" w:line="360" w:lineRule="auto"/>
        <w:jc w:val="both"/>
        <w:rPr/>
      </w:pPr>
      <w:r w:rsidDel="00000000" w:rsidR="00000000" w:rsidRPr="00000000">
        <w:rPr>
          <w:rtl w:val="0"/>
        </w:rPr>
        <w:t xml:space="preserve">Component 1: Coursework Portfolio</w:t>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6026"/>
        <w:tblGridChange w:id="0">
          <w:tblGrid>
            <w:gridCol w:w="3000"/>
            <w:gridCol w:w="6026"/>
          </w:tblGrid>
        </w:tblGridChange>
      </w:tblGrid>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4">
            <w:pPr>
              <w:spacing w:line="360" w:lineRule="auto"/>
              <w:jc w:val="both"/>
              <w:rPr/>
            </w:pPr>
            <w:r w:rsidDel="00000000" w:rsidR="00000000" w:rsidRPr="00000000">
              <w:rPr>
                <w:b w:val="1"/>
                <w:bCs w:val="1"/>
                <w:rtl w:val="0"/>
              </w:rPr>
              <w:t xml:space="preserve">Student name:</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5">
            <w:pPr>
              <w:spacing w:line="360" w:lineRule="auto"/>
              <w:jc w:val="both"/>
              <w:rPr/>
            </w:pPr>
            <w:r w:rsidDel="00000000" w:rsidR="00000000" w:rsidRPr="00000000">
              <w:rPr>
                <w:rtl w:val="0"/>
              </w:rPr>
              <w:t xml:space="preserve">Farrakh Bashir</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6">
            <w:pPr>
              <w:spacing w:line="360" w:lineRule="auto"/>
              <w:jc w:val="both"/>
              <w:rPr/>
            </w:pPr>
            <w:r w:rsidDel="00000000" w:rsidR="00000000" w:rsidRPr="00000000">
              <w:rPr>
                <w:b w:val="1"/>
                <w:bCs w:val="1"/>
                <w:rtl w:val="0"/>
              </w:rPr>
              <w:t xml:space="preserve">Student ID number:</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7">
            <w:pPr>
              <w:spacing w:line="360" w:lineRule="auto"/>
              <w:jc w:val="both"/>
              <w:rPr/>
            </w:pPr>
            <w:r w:rsidDel="00000000" w:rsidR="00000000" w:rsidRPr="00000000">
              <w:rPr>
                <w:rtl w:val="0"/>
              </w:rPr>
              <w:t xml:space="preserve">2542349</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8">
            <w:pPr>
              <w:spacing w:line="360" w:lineRule="auto"/>
              <w:jc w:val="both"/>
              <w:rPr/>
            </w:pPr>
            <w:r w:rsidDel="00000000" w:rsidR="00000000" w:rsidRPr="00000000">
              <w:rPr>
                <w:b w:val="1"/>
                <w:bCs w:val="1"/>
                <w:rtl w:val="0"/>
              </w:rPr>
              <w:t xml:space="preserve">Programme:</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9">
            <w:pPr>
              <w:spacing w:line="360" w:lineRule="auto"/>
              <w:jc w:val="both"/>
              <w:rPr/>
            </w:pPr>
            <w:r w:rsidDel="00000000" w:rsidR="00000000" w:rsidRPr="00000000">
              <w:rPr>
                <w:rtl w:val="0"/>
              </w:rPr>
              <w:t xml:space="preserve">Certificate of Higher Education Skills for the Workplace (Health &amp; Social Care)</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A">
            <w:pPr>
              <w:spacing w:line="360" w:lineRule="auto"/>
              <w:jc w:val="both"/>
              <w:rPr/>
            </w:pPr>
            <w:r w:rsidDel="00000000" w:rsidR="00000000" w:rsidRPr="00000000">
              <w:rPr>
                <w:b w:val="1"/>
                <w:bCs w:val="1"/>
                <w:rtl w:val="0"/>
              </w:rPr>
              <w:t xml:space="preserve">Module code and title:</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B">
            <w:pPr>
              <w:spacing w:line="360" w:lineRule="auto"/>
              <w:jc w:val="both"/>
              <w:rPr/>
            </w:pPr>
            <w:r w:rsidDel="00000000" w:rsidR="00000000" w:rsidRPr="00000000">
              <w:rPr>
                <w:rtl w:val="0"/>
              </w:rPr>
              <w:t xml:space="preserve">LCHS4003 Introduction to Health and Social Care</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C">
            <w:pPr>
              <w:spacing w:line="360" w:lineRule="auto"/>
              <w:jc w:val="both"/>
              <w:rPr/>
            </w:pPr>
            <w:r w:rsidDel="00000000" w:rsidR="00000000" w:rsidRPr="00000000">
              <w:rPr>
                <w:b w:val="1"/>
                <w:bCs w:val="1"/>
                <w:rtl w:val="0"/>
              </w:rPr>
              <w:t xml:space="preserve">Lecturer:</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D">
            <w:pPr>
              <w:spacing w:line="360" w:lineRule="auto"/>
              <w:jc w:val="both"/>
              <w:rPr/>
            </w:pPr>
            <w:r w:rsidDel="00000000" w:rsidR="00000000" w:rsidRPr="00000000">
              <w:rPr>
                <w:rtl w:val="0"/>
              </w:rPr>
              <w:t xml:space="preserve">Dr Helen Parsons (Module Lead)</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E">
            <w:pPr>
              <w:spacing w:line="360" w:lineRule="auto"/>
              <w:jc w:val="both"/>
              <w:rPr/>
            </w:pPr>
            <w:r w:rsidDel="00000000" w:rsidR="00000000" w:rsidRPr="00000000">
              <w:rPr>
                <w:b w:val="1"/>
                <w:bCs w:val="1"/>
                <w:rtl w:val="0"/>
              </w:rPr>
              <w:t xml:space="preserve">Assignment title:</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0F">
            <w:pPr>
              <w:spacing w:line="360" w:lineRule="auto"/>
              <w:jc w:val="both"/>
              <w:rPr/>
            </w:pPr>
            <w:r w:rsidDel="00000000" w:rsidR="00000000" w:rsidRPr="00000000">
              <w:rPr>
                <w:rtl w:val="0"/>
              </w:rPr>
              <w:t xml:space="preserve">Component 1: Coursework Portfolio (Written Assignment)</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10">
            <w:pPr>
              <w:spacing w:line="360" w:lineRule="auto"/>
              <w:jc w:val="both"/>
              <w:rPr/>
            </w:pPr>
            <w:r w:rsidDel="00000000" w:rsidR="00000000" w:rsidRPr="00000000">
              <w:rPr>
                <w:b w:val="1"/>
                <w:bCs w:val="1"/>
                <w:rtl w:val="0"/>
              </w:rPr>
              <w:t xml:space="preserve">Submission date:</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11">
            <w:pPr>
              <w:spacing w:line="360" w:lineRule="auto"/>
              <w:jc w:val="both"/>
              <w:rPr/>
            </w:pPr>
            <w:r w:rsidDel="00000000" w:rsidR="00000000" w:rsidRPr="00000000">
              <w:rPr>
                <w:rtl w:val="0"/>
              </w:rPr>
              <w:t xml:space="preserve">19 October 2026</w:t>
            </w:r>
          </w:p>
        </w:tc>
      </w:tr>
      <w:tr>
        <w:trPr>
          <w:cantSplit w:val="0"/>
          <w:tblHeader w:val="0"/>
        </w:trPr>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12">
            <w:pPr>
              <w:spacing w:line="360" w:lineRule="auto"/>
              <w:jc w:val="both"/>
              <w:rPr/>
            </w:pPr>
            <w:r w:rsidDel="00000000" w:rsidR="00000000" w:rsidRPr="00000000">
              <w:rPr>
                <w:b w:val="1"/>
                <w:bCs w:val="1"/>
                <w:rtl w:val="0"/>
              </w:rPr>
              <w:t xml:space="preserve">Word count:</w:t>
            </w:r>
            <w:r w:rsidDel="00000000" w:rsidR="00000000" w:rsidRPr="00000000">
              <w:rPr>
                <w:rtl w:val="0"/>
              </w:rPr>
            </w:r>
          </w:p>
        </w:tc>
        <w:tc>
          <w:tcPr>
            <w:tcBorders>
              <w:top w:color="7f7f7f" w:space="0" w:sz="4" w:val="single"/>
              <w:left w:color="7f7f7f" w:space="0" w:sz="4" w:val="single"/>
              <w:bottom w:color="7f7f7f" w:space="0" w:sz="4" w:val="single"/>
              <w:right w:color="7f7f7f" w:space="0" w:sz="4" w:val="single"/>
            </w:tcBorders>
            <w:tcMar>
              <w:top w:w="60.0" w:type="dxa"/>
              <w:left w:w="110.0" w:type="dxa"/>
              <w:bottom w:w="60.0" w:type="dxa"/>
              <w:right w:w="110.0" w:type="dxa"/>
            </w:tcMar>
          </w:tcPr>
          <w:p w:rsidR="00000000" w:rsidDel="00000000" w:rsidP="00000000" w:rsidRDefault="00000000" w:rsidRPr="00000000" w14:paraId="00000013">
            <w:pPr>
              <w:spacing w:line="360" w:lineRule="auto"/>
              <w:jc w:val="both"/>
              <w:rPr/>
            </w:pPr>
            <w:r w:rsidDel="00000000" w:rsidR="00000000" w:rsidRPr="00000000">
              <w:rPr>
                <w:rtl w:val="0"/>
              </w:rPr>
              <w:t xml:space="preserve">1,562 words</w:t>
            </w:r>
          </w:p>
        </w:tc>
      </w:tr>
    </w:tbl>
    <w:p w:rsidR="00000000" w:rsidDel="00000000" w:rsidP="00000000" w:rsidRDefault="00000000" w:rsidRPr="00000000" w14:paraId="00000014">
      <w:pPr>
        <w:spacing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after="240" w:line="360" w:lineRule="auto"/>
        <w:jc w:val="both"/>
        <w:rPr/>
      </w:pPr>
      <w:r w:rsidDel="00000000" w:rsidR="00000000" w:rsidRPr="00000000">
        <w:rPr>
          <w:b w:val="1"/>
          <w:bCs w:val="1"/>
          <w:rtl w:val="0"/>
        </w:rPr>
        <w:t xml:space="preserve">Contents</w:t>
      </w:r>
      <w:r w:rsidDel="00000000" w:rsidR="00000000" w:rsidRPr="00000000">
        <w:rPr>
          <w:rtl w:val="0"/>
        </w:rPr>
      </w:r>
    </w:p>
    <w:p w:rsidR="00000000" w:rsidDel="00000000" w:rsidP="00000000" w:rsidRDefault="00000000" w:rsidRPr="00000000" w14:paraId="00000016">
      <w:pPr>
        <w:tabs>
          <w:tab w:val="right" w:leader="none" w:pos="9026"/>
        </w:tabs>
        <w:spacing w:after="40" w:line="360" w:lineRule="auto"/>
        <w:jc w:val="both"/>
        <w:rPr/>
      </w:pPr>
      <w:r w:rsidDel="00000000" w:rsidR="00000000" w:rsidRPr="00000000">
        <w:rPr>
          <w:b w:val="1"/>
          <w:bCs w:val="1"/>
          <w:rtl w:val="0"/>
        </w:rPr>
        <w:t xml:space="preserve">Task 1: Guided Scenario Response</w:t>
      </w:r>
      <w:r w:rsidDel="00000000" w:rsidR="00000000" w:rsidRPr="00000000">
        <w:rPr>
          <w:rtl w:val="0"/>
        </w:rPr>
        <w:tab/>
        <w:t xml:space="preserve">3</w:t>
      </w:r>
    </w:p>
    <w:p w:rsidR="00000000" w:rsidDel="00000000" w:rsidP="00000000" w:rsidRDefault="00000000" w:rsidRPr="00000000" w14:paraId="00000017">
      <w:pPr>
        <w:tabs>
          <w:tab w:val="right" w:leader="none" w:pos="9026"/>
        </w:tabs>
        <w:spacing w:after="40" w:line="360" w:lineRule="auto"/>
        <w:ind w:left="440" w:firstLine="0"/>
        <w:jc w:val="both"/>
        <w:rPr/>
      </w:pPr>
      <w:r w:rsidDel="00000000" w:rsidR="00000000" w:rsidRPr="00000000">
        <w:rPr>
          <w:rtl w:val="0"/>
        </w:rPr>
        <w:t xml:space="preserve">Introduction of the Issue</w:t>
        <w:tab/>
        <w:t xml:space="preserve">3</w:t>
      </w:r>
    </w:p>
    <w:p w:rsidR="00000000" w:rsidDel="00000000" w:rsidP="00000000" w:rsidRDefault="00000000" w:rsidRPr="00000000" w14:paraId="00000018">
      <w:pPr>
        <w:tabs>
          <w:tab w:val="right" w:leader="none" w:pos="9026"/>
        </w:tabs>
        <w:spacing w:after="40" w:line="360" w:lineRule="auto"/>
        <w:ind w:left="440" w:firstLine="0"/>
        <w:jc w:val="both"/>
        <w:rPr/>
      </w:pPr>
      <w:r w:rsidDel="00000000" w:rsidR="00000000" w:rsidRPr="00000000">
        <w:rPr>
          <w:rtl w:val="0"/>
        </w:rPr>
        <w:t xml:space="preserve">Impact on the Community</w:t>
        <w:tab/>
        <w:t xml:space="preserve">4</w:t>
      </w:r>
    </w:p>
    <w:p w:rsidR="00000000" w:rsidDel="00000000" w:rsidP="00000000" w:rsidRDefault="00000000" w:rsidRPr="00000000" w14:paraId="00000019">
      <w:pPr>
        <w:tabs>
          <w:tab w:val="right" w:leader="none" w:pos="9026"/>
        </w:tabs>
        <w:spacing w:after="40" w:line="360" w:lineRule="auto"/>
        <w:ind w:left="440" w:firstLine="0"/>
        <w:jc w:val="both"/>
        <w:rPr/>
      </w:pPr>
      <w:r w:rsidDel="00000000" w:rsidR="00000000" w:rsidRPr="00000000">
        <w:rPr>
          <w:rtl w:val="0"/>
        </w:rPr>
        <w:t xml:space="preserve">Recommended Response</w:t>
        <w:tab/>
        <w:t xml:space="preserve">4</w:t>
      </w:r>
    </w:p>
    <w:p w:rsidR="00000000" w:rsidDel="00000000" w:rsidP="00000000" w:rsidRDefault="00000000" w:rsidRPr="00000000" w14:paraId="0000001A">
      <w:pPr>
        <w:tabs>
          <w:tab w:val="right" w:leader="none" w:pos="9026"/>
        </w:tabs>
        <w:spacing w:after="40" w:line="360" w:lineRule="auto"/>
        <w:ind w:left="440" w:firstLine="0"/>
        <w:jc w:val="both"/>
        <w:rPr/>
      </w:pPr>
      <w:r w:rsidDel="00000000" w:rsidR="00000000" w:rsidRPr="00000000">
        <w:rPr>
          <w:rtl w:val="0"/>
        </w:rPr>
        <w:t xml:space="preserve">Conclusion</w:t>
        <w:tab/>
        <w:t xml:space="preserve">5</w:t>
      </w:r>
    </w:p>
    <w:p w:rsidR="00000000" w:rsidDel="00000000" w:rsidP="00000000" w:rsidRDefault="00000000" w:rsidRPr="00000000" w14:paraId="0000001B">
      <w:pPr>
        <w:tabs>
          <w:tab w:val="right" w:leader="none" w:pos="9026"/>
        </w:tabs>
        <w:spacing w:after="40" w:line="360" w:lineRule="auto"/>
        <w:jc w:val="both"/>
        <w:rPr/>
      </w:pPr>
      <w:r w:rsidDel="00000000" w:rsidR="00000000" w:rsidRPr="00000000">
        <w:rPr>
          <w:b w:val="1"/>
          <w:bCs w:val="1"/>
          <w:rtl w:val="0"/>
        </w:rPr>
        <w:t xml:space="preserve">Task 2: Essay</w:t>
      </w:r>
      <w:r w:rsidDel="00000000" w:rsidR="00000000" w:rsidRPr="00000000">
        <w:rPr>
          <w:rtl w:val="0"/>
        </w:rPr>
        <w:tab/>
        <w:t xml:space="preserve">5</w:t>
      </w:r>
    </w:p>
    <w:p w:rsidR="00000000" w:rsidDel="00000000" w:rsidP="00000000" w:rsidRDefault="00000000" w:rsidRPr="00000000" w14:paraId="0000001C">
      <w:pPr>
        <w:tabs>
          <w:tab w:val="right" w:leader="none" w:pos="9026"/>
        </w:tabs>
        <w:spacing w:after="40" w:line="360" w:lineRule="auto"/>
        <w:jc w:val="both"/>
        <w:rPr/>
      </w:pPr>
      <w:r w:rsidDel="00000000" w:rsidR="00000000" w:rsidRPr="00000000">
        <w:rPr>
          <w:b w:val="1"/>
          <w:bCs w:val="1"/>
          <w:rtl w:val="0"/>
        </w:rPr>
        <w:t xml:space="preserve">References</w:t>
      </w:r>
      <w:r w:rsidDel="00000000" w:rsidR="00000000" w:rsidRPr="00000000">
        <w:rPr>
          <w:rtl w:val="0"/>
        </w:rPr>
        <w:tab/>
        <w:t xml:space="preserve">7</w:t>
      </w:r>
    </w:p>
    <w:p w:rsidR="00000000" w:rsidDel="00000000" w:rsidP="00000000" w:rsidRDefault="00000000" w:rsidRPr="00000000" w14:paraId="0000001D">
      <w:pPr>
        <w:spacing w:after="160" w:before="360" w:line="360" w:lineRule="auto"/>
        <w:jc w:val="both"/>
        <w:rPr/>
      </w:pPr>
      <w:r w:rsidDel="00000000" w:rsidR="00000000" w:rsidRPr="00000000">
        <w:rPr>
          <w:b w:val="1"/>
          <w:bCs w:val="1"/>
          <w:rtl w:val="0"/>
        </w:rPr>
        <w:t xml:space="preserve">List of Tables and Figures</w:t>
      </w:r>
      <w:r w:rsidDel="00000000" w:rsidR="00000000" w:rsidRPr="00000000">
        <w:rPr>
          <w:rtl w:val="0"/>
        </w:rPr>
      </w:r>
    </w:p>
    <w:p w:rsidR="00000000" w:rsidDel="00000000" w:rsidP="00000000" w:rsidRDefault="00000000" w:rsidRPr="00000000" w14:paraId="0000001E">
      <w:pPr>
        <w:tabs>
          <w:tab w:val="right" w:leader="none" w:pos="9026"/>
        </w:tabs>
        <w:spacing w:after="40" w:line="360" w:lineRule="auto"/>
        <w:ind w:left="440" w:firstLine="0"/>
        <w:jc w:val="both"/>
        <w:rPr/>
      </w:pPr>
      <w:r w:rsidDel="00000000" w:rsidR="00000000" w:rsidRPr="00000000">
        <w:rPr>
          <w:rtl w:val="0"/>
        </w:rPr>
        <w:t xml:space="preserve">Table 1: Adult social care workforce and demand indicators in England, 2025/26</w:t>
        <w:tab/>
        <w:t xml:space="preserve">3</w:t>
      </w:r>
    </w:p>
    <w:p w:rsidR="00000000" w:rsidDel="00000000" w:rsidP="00000000" w:rsidRDefault="00000000" w:rsidRPr="00000000" w14:paraId="0000001F">
      <w:pPr>
        <w:tabs>
          <w:tab w:val="right" w:leader="none" w:pos="9026"/>
        </w:tabs>
        <w:spacing w:after="40" w:line="360" w:lineRule="auto"/>
        <w:ind w:left="440" w:firstLine="0"/>
        <w:jc w:val="both"/>
        <w:rPr/>
      </w:pPr>
      <w:r w:rsidDel="00000000" w:rsidR="00000000" w:rsidRPr="00000000">
        <w:rPr>
          <w:rtl w:val="0"/>
        </w:rPr>
        <w:t xml:space="preserve">Table 2: Recommended actions linked to Care Act 2014 duties</w:t>
        <w:tab/>
        <w:t xml:space="preserve">4</w:t>
      </w:r>
    </w:p>
    <w:p w:rsidR="00000000" w:rsidDel="00000000" w:rsidP="00000000" w:rsidRDefault="00000000" w:rsidRPr="00000000" w14:paraId="00000020">
      <w:pPr>
        <w:tabs>
          <w:tab w:val="right" w:leader="none" w:pos="9026"/>
        </w:tabs>
        <w:spacing w:after="40" w:line="360" w:lineRule="auto"/>
        <w:ind w:left="440" w:firstLine="0"/>
        <w:jc w:val="both"/>
        <w:rPr/>
      </w:pPr>
      <w:r w:rsidDel="00000000" w:rsidR="00000000" w:rsidRPr="00000000">
        <w:rPr>
          <w:rtl w:val="0"/>
        </w:rPr>
        <w:t xml:space="preserve">Figure 1: Community pharmacies open in England, February 2016 to February 2026</w:t>
        <w:tab/>
        <w:t xml:space="preserve">6</w:t>
      </w:r>
    </w:p>
    <w:p w:rsidR="00000000" w:rsidDel="00000000" w:rsidP="00000000" w:rsidRDefault="00000000" w:rsidRPr="00000000" w14:paraId="00000021">
      <w:pPr>
        <w:spacing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after="120" w:line="360" w:lineRule="auto"/>
        <w:jc w:val="both"/>
        <w:rPr>
          <w:sz w:val="22"/>
          <w:szCs w:val="22"/>
        </w:rPr>
      </w:pPr>
      <w:r w:rsidDel="00000000" w:rsidR="00000000" w:rsidRPr="00000000">
        <w:rPr>
          <w:sz w:val="22"/>
          <w:szCs w:val="22"/>
          <w:rtl w:val="0"/>
        </w:rPr>
        <w:t xml:space="preserve">Task 1: Guided Scenario Response</w:t>
      </w:r>
    </w:p>
    <w:p w:rsidR="00000000" w:rsidDel="00000000" w:rsidP="00000000" w:rsidRDefault="00000000" w:rsidRPr="00000000" w14:paraId="00000023">
      <w:pPr>
        <w:pStyle w:val="Heading2"/>
        <w:spacing w:after="160" w:line="360" w:lineRule="auto"/>
        <w:jc w:val="both"/>
        <w:rPr>
          <w:sz w:val="22"/>
          <w:szCs w:val="22"/>
        </w:rPr>
      </w:pPr>
      <w:r w:rsidDel="00000000" w:rsidR="00000000" w:rsidRPr="00000000">
        <w:rPr>
          <w:sz w:val="22"/>
          <w:szCs w:val="22"/>
          <w:rtl w:val="0"/>
        </w:rPr>
        <w:t xml:space="preserve">The Shortage of Domiciliary Care in Birmingham</w:t>
      </w:r>
    </w:p>
    <w:p w:rsidR="00000000" w:rsidDel="00000000" w:rsidP="00000000" w:rsidRDefault="00000000" w:rsidRPr="00000000" w14:paraId="00000024">
      <w:pPr>
        <w:tabs>
          <w:tab w:val="left" w:leader="none" w:pos="1300"/>
        </w:tabs>
        <w:spacing w:line="360" w:lineRule="auto"/>
        <w:ind w:left="1300" w:hanging="1300"/>
        <w:jc w:val="both"/>
        <w:rPr/>
      </w:pPr>
      <w:r w:rsidDel="00000000" w:rsidR="00000000" w:rsidRPr="00000000">
        <w:rPr>
          <w:b w:val="1"/>
          <w:bCs w:val="1"/>
          <w:rtl w:val="0"/>
        </w:rPr>
        <w:t xml:space="preserve">To:</w:t>
      </w:r>
      <w:r w:rsidDel="00000000" w:rsidR="00000000" w:rsidRPr="00000000">
        <w:rPr>
          <w:rtl w:val="0"/>
        </w:rPr>
        <w:tab/>
        <w:t xml:space="preserve">Councillor Nosheen Khalid, Cabinet Member (Health and Social Care portfolio), Birmingham City Council</w:t>
      </w:r>
    </w:p>
    <w:p w:rsidR="00000000" w:rsidDel="00000000" w:rsidP="00000000" w:rsidRDefault="00000000" w:rsidRPr="00000000" w14:paraId="00000025">
      <w:pPr>
        <w:tabs>
          <w:tab w:val="left" w:leader="none" w:pos="1300"/>
        </w:tabs>
        <w:spacing w:line="360" w:lineRule="auto"/>
        <w:ind w:left="1300" w:hanging="1300"/>
        <w:jc w:val="both"/>
        <w:rPr/>
      </w:pPr>
      <w:r w:rsidDel="00000000" w:rsidR="00000000" w:rsidRPr="00000000">
        <w:rPr>
          <w:b w:val="1"/>
          <w:bCs w:val="1"/>
          <w:rtl w:val="0"/>
        </w:rPr>
        <w:t xml:space="preserve">From:</w:t>
      </w:r>
      <w:r w:rsidDel="00000000" w:rsidR="00000000" w:rsidRPr="00000000">
        <w:rPr>
          <w:rtl w:val="0"/>
        </w:rPr>
        <w:tab/>
        <w:t xml:space="preserve">Farrakh Bashir, Health and Social Care Student</w:t>
      </w:r>
    </w:p>
    <w:p w:rsidR="00000000" w:rsidDel="00000000" w:rsidP="00000000" w:rsidRDefault="00000000" w:rsidRPr="00000000" w14:paraId="00000026">
      <w:pPr>
        <w:tabs>
          <w:tab w:val="left" w:leader="none" w:pos="1300"/>
        </w:tabs>
        <w:spacing w:line="360" w:lineRule="auto"/>
        <w:ind w:left="1300" w:hanging="1300"/>
        <w:jc w:val="both"/>
        <w:rPr/>
      </w:pPr>
      <w:r w:rsidDel="00000000" w:rsidR="00000000" w:rsidRPr="00000000">
        <w:rPr>
          <w:b w:val="1"/>
          <w:bCs w:val="1"/>
          <w:rtl w:val="0"/>
        </w:rPr>
        <w:t xml:space="preserve">Date:</w:t>
      </w:r>
      <w:r w:rsidDel="00000000" w:rsidR="00000000" w:rsidRPr="00000000">
        <w:rPr>
          <w:rtl w:val="0"/>
        </w:rPr>
        <w:tab/>
        <w:t xml:space="preserve">19 October 2026</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 of the Issue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Home care (domiciliary care) is to support individuals to live safely in their own homes. Visiting care workers for washing, dressing, meals and medicines. These visits determine for many older and disabled people whether they can stay in their own homes or have to go into hospital or residential care. The Care Act 2014 (Part 1) has made individual wellbeing the principle of care and support (s.1). It also mandates for councils to prevent or delay needs (s.2), to promote a diverse and high-quality local market (s.5), to assess needs (s.9) and to meet eligible needs (s.18). If supply is not adequate, then the council is not able to fulfil these duties. The service is now fragile because of the reasons that are shown in Table 1.</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1: Adult social care workforce and demand indicators in England, 2025/26</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95"/>
        <w:gridCol w:w="2721"/>
        <w:tblGridChange w:id="0">
          <w:tblGrid>
            <w:gridCol w:w="6295"/>
            <w:gridCol w:w="2721"/>
          </w:tblGrid>
        </w:tblGridChange>
      </w:tblGrid>
      <w:tr>
        <w:trPr>
          <w:cantSplit w:val="0"/>
          <w:tblHeader w:val="0"/>
        </w:trPr>
        <w:tc>
          <w:tcPr/>
          <w:p w:rsidR="00000000" w:rsidDel="00000000" w:rsidP="00000000" w:rsidRDefault="00000000" w:rsidRPr="00000000" w14:paraId="0000002A">
            <w:pPr>
              <w:rPr/>
            </w:pPr>
            <w:r w:rsidDel="00000000" w:rsidR="00000000" w:rsidRPr="00000000">
              <w:rPr>
                <w:rFonts w:ascii="Arial" w:cs="Arial" w:eastAsia="Arial" w:hAnsi="Arial"/>
                <w:b w:val="1"/>
                <w:bCs w:val="1"/>
                <w:sz w:val="22"/>
                <w:szCs w:val="22"/>
                <w:rtl w:val="0"/>
              </w:rPr>
              <w:t xml:space="preserve">Indicator</w:t>
            </w:r>
            <w:r w:rsidDel="00000000" w:rsidR="00000000" w:rsidRPr="00000000">
              <w:rPr>
                <w:rtl w:val="0"/>
              </w:rPr>
            </w:r>
          </w:p>
        </w:tc>
        <w:tc>
          <w:tcPr/>
          <w:p w:rsidR="00000000" w:rsidDel="00000000" w:rsidP="00000000" w:rsidRDefault="00000000" w:rsidRPr="00000000" w14:paraId="0000002B">
            <w:pPr>
              <w:rPr/>
            </w:pPr>
            <w:r w:rsidDel="00000000" w:rsidR="00000000" w:rsidRPr="00000000">
              <w:rPr>
                <w:rFonts w:ascii="Arial" w:cs="Arial" w:eastAsia="Arial" w:hAnsi="Arial"/>
                <w:b w:val="1"/>
                <w:bCs w:val="1"/>
                <w:sz w:val="22"/>
                <w:szCs w:val="22"/>
                <w:rtl w:val="0"/>
              </w:rPr>
              <w:t xml:space="preserve">Figure</w:t>
            </w:r>
            <w:r w:rsidDel="00000000" w:rsidR="00000000" w:rsidRPr="00000000">
              <w:rPr>
                <w:rtl w:val="0"/>
              </w:rPr>
            </w:r>
          </w:p>
        </w:tc>
      </w:tr>
      <w:tr>
        <w:trPr>
          <w:cantSplit w:val="0"/>
          <w:tblHeader w:val="0"/>
        </w:trPr>
        <w:tc>
          <w:tcPr/>
          <w:p w:rsidR="00000000" w:rsidDel="00000000" w:rsidP="00000000" w:rsidRDefault="00000000" w:rsidRPr="00000000" w14:paraId="0000002C">
            <w:pPr>
              <w:rPr/>
            </w:pPr>
            <w:r w:rsidDel="00000000" w:rsidR="00000000" w:rsidRPr="00000000">
              <w:rPr>
                <w:rFonts w:ascii="Arial" w:cs="Arial" w:eastAsia="Arial" w:hAnsi="Arial"/>
                <w:sz w:val="22"/>
                <w:szCs w:val="22"/>
                <w:rtl w:val="0"/>
              </w:rPr>
              <w:t xml:space="preserve">Filled posts</w:t>
            </w:r>
            <w:r w:rsidDel="00000000" w:rsidR="00000000" w:rsidRPr="00000000">
              <w:rPr>
                <w:rtl w:val="0"/>
              </w:rPr>
            </w:r>
          </w:p>
        </w:tc>
        <w:tc>
          <w:tcPr/>
          <w:p w:rsidR="00000000" w:rsidDel="00000000" w:rsidP="00000000" w:rsidRDefault="00000000" w:rsidRPr="00000000" w14:paraId="0000002D">
            <w:pPr>
              <w:rPr/>
            </w:pPr>
            <w:r w:rsidDel="00000000" w:rsidR="00000000" w:rsidRPr="00000000">
              <w:rPr>
                <w:rFonts w:ascii="Arial" w:cs="Arial" w:eastAsia="Arial" w:hAnsi="Arial"/>
                <w:sz w:val="22"/>
                <w:szCs w:val="22"/>
                <w:rtl w:val="0"/>
              </w:rPr>
              <w:t xml:space="preserve">1.59 million</w:t>
            </w:r>
            <w:r w:rsidDel="00000000" w:rsidR="00000000" w:rsidRPr="00000000">
              <w:rPr>
                <w:rtl w:val="0"/>
              </w:rPr>
            </w:r>
          </w:p>
        </w:tc>
      </w:tr>
      <w:tr>
        <w:trPr>
          <w:cantSplit w:val="0"/>
          <w:tblHeader w:val="0"/>
        </w:trPr>
        <w:tc>
          <w:tcPr/>
          <w:p w:rsidR="00000000" w:rsidDel="00000000" w:rsidP="00000000" w:rsidRDefault="00000000" w:rsidRPr="00000000" w14:paraId="0000002E">
            <w:pPr>
              <w:rPr/>
            </w:pPr>
            <w:r w:rsidDel="00000000" w:rsidR="00000000" w:rsidRPr="00000000">
              <w:rPr>
                <w:rFonts w:ascii="Arial" w:cs="Arial" w:eastAsia="Arial" w:hAnsi="Arial"/>
                <w:sz w:val="22"/>
                <w:szCs w:val="22"/>
                <w:rtl w:val="0"/>
              </w:rPr>
              <w:t xml:space="preserve">Vacant posts</w:t>
            </w:r>
            <w:r w:rsidDel="00000000" w:rsidR="00000000" w:rsidRPr="00000000">
              <w:rPr>
                <w:rtl w:val="0"/>
              </w:rPr>
            </w:r>
          </w:p>
        </w:tc>
        <w:tc>
          <w:tcPr/>
          <w:p w:rsidR="00000000" w:rsidDel="00000000" w:rsidP="00000000" w:rsidRDefault="00000000" w:rsidRPr="00000000" w14:paraId="0000002F">
            <w:pPr>
              <w:rPr/>
            </w:pPr>
            <w:r w:rsidDel="00000000" w:rsidR="00000000" w:rsidRPr="00000000">
              <w:rPr>
                <w:rFonts w:ascii="Arial" w:cs="Arial" w:eastAsia="Arial" w:hAnsi="Arial"/>
                <w:sz w:val="22"/>
                <w:szCs w:val="22"/>
                <w:rtl w:val="0"/>
              </w:rPr>
              <w:t xml:space="preserve">96,000</w:t>
            </w:r>
            <w:r w:rsidDel="00000000" w:rsidR="00000000" w:rsidRPr="00000000">
              <w:rPr>
                <w:rtl w:val="0"/>
              </w:rPr>
            </w:r>
          </w:p>
        </w:tc>
      </w:tr>
      <w:tr>
        <w:trPr>
          <w:cantSplit w:val="0"/>
          <w:tblHeader w:val="0"/>
        </w:trPr>
        <w:tc>
          <w:tcPr/>
          <w:p w:rsidR="00000000" w:rsidDel="00000000" w:rsidP="00000000" w:rsidRDefault="00000000" w:rsidRPr="00000000" w14:paraId="00000030">
            <w:pPr>
              <w:rPr/>
            </w:pPr>
            <w:r w:rsidDel="00000000" w:rsidR="00000000" w:rsidRPr="00000000">
              <w:rPr>
                <w:rFonts w:ascii="Arial" w:cs="Arial" w:eastAsia="Arial" w:hAnsi="Arial"/>
                <w:sz w:val="22"/>
                <w:szCs w:val="22"/>
                <w:rtl w:val="0"/>
              </w:rPr>
              <w:t xml:space="preserve">Care and support worker turnover</w:t>
            </w:r>
            <w:r w:rsidDel="00000000" w:rsidR="00000000" w:rsidRPr="00000000">
              <w:rPr>
                <w:rtl w:val="0"/>
              </w:rPr>
            </w:r>
          </w:p>
        </w:tc>
        <w:tc>
          <w:tcPr/>
          <w:p w:rsidR="00000000" w:rsidDel="00000000" w:rsidP="00000000" w:rsidRDefault="00000000" w:rsidRPr="00000000" w14:paraId="00000031">
            <w:pPr>
              <w:rPr/>
            </w:pPr>
            <w:r w:rsidDel="00000000" w:rsidR="00000000" w:rsidRPr="00000000">
              <w:rPr>
                <w:rFonts w:ascii="Arial" w:cs="Arial" w:eastAsia="Arial" w:hAnsi="Arial"/>
                <w:sz w:val="22"/>
                <w:szCs w:val="22"/>
                <w:rtl w:val="0"/>
              </w:rPr>
              <w:t xml:space="preserve">26.9%</w:t>
            </w:r>
            <w:r w:rsidDel="00000000" w:rsidR="00000000" w:rsidRPr="00000000">
              <w:rPr>
                <w:rtl w:val="0"/>
              </w:rPr>
            </w:r>
          </w:p>
        </w:tc>
      </w:tr>
      <w:tr>
        <w:trPr>
          <w:cantSplit w:val="0"/>
          <w:tblHeader w:val="0"/>
        </w:trPr>
        <w:tc>
          <w:tcPr/>
          <w:p w:rsidR="00000000" w:rsidDel="00000000" w:rsidP="00000000" w:rsidRDefault="00000000" w:rsidRPr="00000000" w14:paraId="00000032">
            <w:pPr>
              <w:rPr/>
            </w:pPr>
            <w:r w:rsidDel="00000000" w:rsidR="00000000" w:rsidRPr="00000000">
              <w:rPr>
                <w:rFonts w:ascii="Arial" w:cs="Arial" w:eastAsia="Arial" w:hAnsi="Arial"/>
                <w:sz w:val="22"/>
                <w:szCs w:val="22"/>
                <w:rtl w:val="0"/>
              </w:rPr>
              <w:t xml:space="preserve">Zero-hours contracts, whole workforce</w:t>
            </w:r>
            <w:r w:rsidDel="00000000" w:rsidR="00000000" w:rsidRPr="00000000">
              <w:rPr>
                <w:rtl w:val="0"/>
              </w:rPr>
            </w:r>
          </w:p>
        </w:tc>
        <w:tc>
          <w:tcPr/>
          <w:p w:rsidR="00000000" w:rsidDel="00000000" w:rsidP="00000000" w:rsidRDefault="00000000" w:rsidRPr="00000000" w14:paraId="00000033">
            <w:pPr>
              <w:rPr/>
            </w:pPr>
            <w:r w:rsidDel="00000000" w:rsidR="00000000" w:rsidRPr="00000000">
              <w:rPr>
                <w:rFonts w:ascii="Arial" w:cs="Arial" w:eastAsia="Arial" w:hAnsi="Arial"/>
                <w:sz w:val="22"/>
                <w:szCs w:val="22"/>
                <w:rtl w:val="0"/>
              </w:rPr>
              <w:t xml:space="preserve">21%</w:t>
            </w:r>
            <w:r w:rsidDel="00000000" w:rsidR="00000000" w:rsidRPr="00000000">
              <w:rPr>
                <w:rtl w:val="0"/>
              </w:rPr>
            </w:r>
          </w:p>
        </w:tc>
      </w:tr>
      <w:tr>
        <w:trPr>
          <w:cantSplit w:val="0"/>
          <w:tblHeader w:val="0"/>
        </w:trPr>
        <w:tc>
          <w:tcPr/>
          <w:p w:rsidR="00000000" w:rsidDel="00000000" w:rsidP="00000000" w:rsidRDefault="00000000" w:rsidRPr="00000000" w14:paraId="00000034">
            <w:pPr>
              <w:rPr/>
            </w:pPr>
            <w:r w:rsidDel="00000000" w:rsidR="00000000" w:rsidRPr="00000000">
              <w:rPr>
                <w:rFonts w:ascii="Arial" w:cs="Arial" w:eastAsia="Arial" w:hAnsi="Arial"/>
                <w:sz w:val="22"/>
                <w:szCs w:val="22"/>
                <w:rtl w:val="0"/>
              </w:rPr>
              <w:t xml:space="preserve">Zero-hours contracts, domiciliary care workers</w:t>
            </w:r>
            <w:r w:rsidDel="00000000" w:rsidR="00000000" w:rsidRPr="00000000">
              <w:rPr>
                <w:rtl w:val="0"/>
              </w:rPr>
            </w:r>
          </w:p>
        </w:tc>
        <w:tc>
          <w:tcPr/>
          <w:p w:rsidR="00000000" w:rsidDel="00000000" w:rsidP="00000000" w:rsidRDefault="00000000" w:rsidRPr="00000000" w14:paraId="00000035">
            <w:pPr>
              <w:rPr/>
            </w:pPr>
            <w:r w:rsidDel="00000000" w:rsidR="00000000" w:rsidRPr="00000000">
              <w:rPr>
                <w:rFonts w:ascii="Arial" w:cs="Arial" w:eastAsia="Arial" w:hAnsi="Arial"/>
                <w:sz w:val="22"/>
                <w:szCs w:val="22"/>
                <w:rtl w:val="0"/>
              </w:rPr>
              <w:t xml:space="preserve">44%</w:t>
            </w:r>
            <w:r w:rsidDel="00000000" w:rsidR="00000000" w:rsidRPr="00000000">
              <w:rPr>
                <w:rtl w:val="0"/>
              </w:rPr>
            </w:r>
          </w:p>
        </w:tc>
      </w:tr>
      <w:tr>
        <w:trPr>
          <w:cantSplit w:val="0"/>
          <w:tblHeader w:val="0"/>
        </w:trPr>
        <w:tc>
          <w:tcPr/>
          <w:p w:rsidR="00000000" w:rsidDel="00000000" w:rsidP="00000000" w:rsidRDefault="00000000" w:rsidRPr="00000000" w14:paraId="00000036">
            <w:pPr>
              <w:rPr/>
            </w:pPr>
            <w:r w:rsidDel="00000000" w:rsidR="00000000" w:rsidRPr="00000000">
              <w:rPr>
                <w:rFonts w:ascii="Arial" w:cs="Arial" w:eastAsia="Arial" w:hAnsi="Arial"/>
                <w:sz w:val="22"/>
                <w:szCs w:val="22"/>
                <w:rtl w:val="0"/>
              </w:rPr>
              <w:t xml:space="preserve">People waiting for an assessment, care, a direct payment or a review</w:t>
            </w:r>
            <w:r w:rsidDel="00000000" w:rsidR="00000000" w:rsidRPr="00000000">
              <w:rPr>
                <w:rtl w:val="0"/>
              </w:rPr>
            </w:r>
          </w:p>
        </w:tc>
        <w:tc>
          <w:tcPr/>
          <w:p w:rsidR="00000000" w:rsidDel="00000000" w:rsidP="00000000" w:rsidRDefault="00000000" w:rsidRPr="00000000" w14:paraId="00000037">
            <w:pPr>
              <w:rPr/>
            </w:pPr>
            <w:r w:rsidDel="00000000" w:rsidR="00000000" w:rsidRPr="00000000">
              <w:rPr>
                <w:rFonts w:ascii="Arial" w:cs="Arial" w:eastAsia="Arial" w:hAnsi="Arial"/>
                <w:sz w:val="22"/>
                <w:szCs w:val="22"/>
                <w:rtl w:val="0"/>
              </w:rPr>
              <w:t xml:space="preserve">Over 400,000</w:t>
            </w:r>
            <w:r w:rsidDel="00000000" w:rsidR="00000000" w:rsidRPr="00000000">
              <w:rPr>
                <w:rtl w:val="0"/>
              </w:rPr>
            </w:r>
          </w:p>
        </w:tc>
      </w:tr>
    </w:tb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Source: Skills for Care (2026) and ADASS (2026).</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1 at first glance is reassuring. There are now 96,000 vacancies (Skills for Care 2026). The detail isn't as comforting. The proportion of care workers in domiciliary care with zero-hours contracts is more than double that of the workforce as a whole 44% compared to 21%  (Skills for Care, 2026). The proportion of care and support workers who are in turnover is 26.9% (Skills for Care, 2026). It is difficult to maintain regular visits due to insecure hours and frequent leavers. In the meantime, there are over 400,000 people awaiting an assessment, care, direct payment or review (ADASS, 2026). Then, the issue is not so much about recruiting staff but retaining them.</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Impact on the Community</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not just residents and families who are affected by the shortage, but hospitals and the council as well. Often families make up for missed visits or shorter visits. Carers UK (2025) identified that 42% of unpaid carers said that they had experienced a decline in physical health, and 35% of working carers had reduced their working hours. It is also a strain that is transmitted to the NHS. In January 2026, there were on average 13,750 patients per day who were medically fit to be discharged from acute hospitals but were not (Nuffield Trust, 2026). The main reason for these delays was the lack of capacity in onwards care, up to 2025 (Nuffield Trust, 2026). But councils are feeling the pinch as well. 80% of councils overspent on adult social care in 2025/26 (ADASS, 2026), so there is little headroom to cover the additional costs of a crisis.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Recommended Response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Rubery et al. (2015) identified that time-based council commissioning is a strict approach which leads to unpaid travelling time, zero-hour contracts and staff shortages in home care. Thus, there are real levers for change with the council. Table 2 makes the connection between four actions and Care Act 2014 duties. Actions 1 and 2 address this underlying issue. The guaranteed hours and paid travel time improve job security, which helps to retain staff. Action 3 comes after the prevention responsibility, as short-term reablement can help to restore people's day-to-day living skills and postpone longer-term needs. Action 4 is a response to the delay in discharges reported by the Nuffield Trust (2026). The cost of these steps is a challenge in the face of limited budgets (ADASS, 2026). A possibility would be to increase the hourly rates unconditionally. But, even with increased rates, better pay and/or hours may not be enough to reach workers, and conditions can be a more valuable addition to contracts. There are also costs associated with doing nothing, such as delayed discharges and emergency placements/carer breakdown.</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2: Recommended actions linked to Care Act 2014 duties</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45"/>
        <w:gridCol w:w="3171"/>
        <w:tblGridChange w:id="0">
          <w:tblGrid>
            <w:gridCol w:w="5845"/>
            <w:gridCol w:w="3171"/>
          </w:tblGrid>
        </w:tblGridChange>
      </w:tblGrid>
      <w:tr>
        <w:trPr>
          <w:cantSplit w:val="0"/>
          <w:tblHeader w:val="0"/>
        </w:trPr>
        <w:tc>
          <w:tcPr/>
          <w:p w:rsidR="00000000" w:rsidDel="00000000" w:rsidP="00000000" w:rsidRDefault="00000000" w:rsidRPr="00000000" w14:paraId="0000003F">
            <w:pPr>
              <w:rPr>
                <w:b w:val="1"/>
                <w:bCs w:val="1"/>
              </w:rPr>
            </w:pPr>
            <w:r w:rsidDel="00000000" w:rsidR="00000000" w:rsidRPr="00000000">
              <w:rPr>
                <w:rFonts w:ascii="Arial" w:cs="Arial" w:eastAsia="Arial" w:hAnsi="Arial"/>
                <w:b w:val="1"/>
                <w:bCs w:val="1"/>
                <w:sz w:val="22"/>
                <w:szCs w:val="22"/>
                <w:rtl w:val="0"/>
              </w:rPr>
              <w:t xml:space="preserve">Recommended action</w:t>
            </w:r>
            <w:r w:rsidDel="00000000" w:rsidR="00000000" w:rsidRPr="00000000">
              <w:rPr>
                <w:rtl w:val="0"/>
              </w:rPr>
            </w:r>
          </w:p>
        </w:tc>
        <w:tc>
          <w:tcPr/>
          <w:p w:rsidR="00000000" w:rsidDel="00000000" w:rsidP="00000000" w:rsidRDefault="00000000" w:rsidRPr="00000000" w14:paraId="00000040">
            <w:pPr>
              <w:rPr>
                <w:b w:val="1"/>
                <w:bCs w:val="1"/>
              </w:rPr>
            </w:pPr>
            <w:r w:rsidDel="00000000" w:rsidR="00000000" w:rsidRPr="00000000">
              <w:rPr>
                <w:rFonts w:ascii="Arial" w:cs="Arial" w:eastAsia="Arial" w:hAnsi="Arial"/>
                <w:b w:val="1"/>
                <w:bCs w:val="1"/>
                <w:sz w:val="22"/>
                <w:szCs w:val="22"/>
                <w:rtl w:val="0"/>
              </w:rPr>
              <w:t xml:space="preserve">Care Act 2014 duty</w:t>
            </w:r>
            <w:r w:rsidDel="00000000" w:rsidR="00000000" w:rsidRPr="00000000">
              <w:rPr>
                <w:rtl w:val="0"/>
              </w:rPr>
            </w:r>
          </w:p>
        </w:tc>
      </w:tr>
      <w:tr>
        <w:trPr>
          <w:cantSplit w:val="0"/>
          <w:tblHeader w:val="0"/>
        </w:trPr>
        <w:tc>
          <w:tcPr/>
          <w:p w:rsidR="00000000" w:rsidDel="00000000" w:rsidP="00000000" w:rsidRDefault="00000000" w:rsidRPr="00000000" w14:paraId="00000041">
            <w:pPr>
              <w:rPr>
                <w:b w:val="1"/>
                <w:bCs w:val="1"/>
              </w:rPr>
            </w:pPr>
            <w:r w:rsidDel="00000000" w:rsidR="00000000" w:rsidRPr="00000000">
              <w:rPr>
                <w:rFonts w:ascii="Arial" w:cs="Arial" w:eastAsia="Arial" w:hAnsi="Arial"/>
                <w:sz w:val="22"/>
                <w:szCs w:val="22"/>
                <w:rtl w:val="0"/>
              </w:rPr>
              <w:t xml:space="preserve">1. Commission by outcomes and fund travel time</w:t>
            </w:r>
            <w:r w:rsidDel="00000000" w:rsidR="00000000" w:rsidRPr="00000000">
              <w:rPr>
                <w:rtl w:val="0"/>
              </w:rPr>
            </w:r>
          </w:p>
        </w:tc>
        <w:tc>
          <w:tcPr/>
          <w:p w:rsidR="00000000" w:rsidDel="00000000" w:rsidP="00000000" w:rsidRDefault="00000000" w:rsidRPr="00000000" w14:paraId="00000042">
            <w:pPr>
              <w:rPr>
                <w:b w:val="1"/>
                <w:bCs w:val="1"/>
              </w:rPr>
            </w:pPr>
            <w:r w:rsidDel="00000000" w:rsidR="00000000" w:rsidRPr="00000000">
              <w:rPr>
                <w:rFonts w:ascii="Arial" w:cs="Arial" w:eastAsia="Arial" w:hAnsi="Arial"/>
                <w:sz w:val="22"/>
                <w:szCs w:val="22"/>
                <w:rtl w:val="0"/>
              </w:rPr>
              <w:t xml:space="preserve">s.5 market quality</w:t>
            </w:r>
            <w:r w:rsidDel="00000000" w:rsidR="00000000" w:rsidRPr="00000000">
              <w:rPr>
                <w:rtl w:val="0"/>
              </w:rPr>
            </w:r>
          </w:p>
        </w:tc>
      </w:tr>
      <w:tr>
        <w:trPr>
          <w:cantSplit w:val="0"/>
          <w:tblHeader w:val="0"/>
        </w:trPr>
        <w:tc>
          <w:tcPr/>
          <w:p w:rsidR="00000000" w:rsidDel="00000000" w:rsidP="00000000" w:rsidRDefault="00000000" w:rsidRPr="00000000" w14:paraId="00000043">
            <w:pPr>
              <w:rPr>
                <w:b w:val="1"/>
                <w:bCs w:val="1"/>
              </w:rPr>
            </w:pPr>
            <w:r w:rsidDel="00000000" w:rsidR="00000000" w:rsidRPr="00000000">
              <w:rPr>
                <w:rFonts w:ascii="Arial" w:cs="Arial" w:eastAsia="Arial" w:hAnsi="Arial"/>
                <w:sz w:val="22"/>
                <w:szCs w:val="22"/>
                <w:rtl w:val="0"/>
              </w:rPr>
              <w:t xml:space="preserve">2. Require guaranteed-hours contracts</w:t>
            </w:r>
            <w:r w:rsidDel="00000000" w:rsidR="00000000" w:rsidRPr="00000000">
              <w:rPr>
                <w:rtl w:val="0"/>
              </w:rPr>
            </w:r>
          </w:p>
        </w:tc>
        <w:tc>
          <w:tcPr/>
          <w:p w:rsidR="00000000" w:rsidDel="00000000" w:rsidP="00000000" w:rsidRDefault="00000000" w:rsidRPr="00000000" w14:paraId="00000044">
            <w:pPr>
              <w:rPr>
                <w:b w:val="1"/>
                <w:bCs w:val="1"/>
              </w:rPr>
            </w:pPr>
            <w:r w:rsidDel="00000000" w:rsidR="00000000" w:rsidRPr="00000000">
              <w:rPr>
                <w:rFonts w:ascii="Arial" w:cs="Arial" w:eastAsia="Arial" w:hAnsi="Arial"/>
                <w:sz w:val="22"/>
                <w:szCs w:val="22"/>
                <w:rtl w:val="0"/>
              </w:rPr>
              <w:t xml:space="preserve">s.1 wellbeing and s.5</w:t>
            </w:r>
            <w:r w:rsidDel="00000000" w:rsidR="00000000" w:rsidRPr="00000000">
              <w:rPr>
                <w:rtl w:val="0"/>
              </w:rPr>
            </w:r>
          </w:p>
        </w:tc>
      </w:tr>
      <w:tr>
        <w:trPr>
          <w:cantSplit w:val="0"/>
          <w:tblHeader w:val="0"/>
        </w:trPr>
        <w:tc>
          <w:tcPr/>
          <w:p w:rsidR="00000000" w:rsidDel="00000000" w:rsidP="00000000" w:rsidRDefault="00000000" w:rsidRPr="00000000" w14:paraId="00000045">
            <w:pPr>
              <w:rPr>
                <w:b w:val="1"/>
                <w:bCs w:val="1"/>
              </w:rPr>
            </w:pPr>
            <w:r w:rsidDel="00000000" w:rsidR="00000000" w:rsidRPr="00000000">
              <w:rPr>
                <w:rFonts w:ascii="Arial" w:cs="Arial" w:eastAsia="Arial" w:hAnsi="Arial"/>
                <w:sz w:val="22"/>
                <w:szCs w:val="22"/>
                <w:rtl w:val="0"/>
              </w:rPr>
              <w:t xml:space="preserve">3. Expand short-term reablement</w:t>
            </w:r>
            <w:r w:rsidDel="00000000" w:rsidR="00000000" w:rsidRPr="00000000">
              <w:rPr>
                <w:rtl w:val="0"/>
              </w:rPr>
            </w:r>
          </w:p>
        </w:tc>
        <w:tc>
          <w:tcPr/>
          <w:p w:rsidR="00000000" w:rsidDel="00000000" w:rsidP="00000000" w:rsidRDefault="00000000" w:rsidRPr="00000000" w14:paraId="00000046">
            <w:pPr>
              <w:rPr>
                <w:b w:val="1"/>
                <w:bCs w:val="1"/>
              </w:rPr>
            </w:pPr>
            <w:r w:rsidDel="00000000" w:rsidR="00000000" w:rsidRPr="00000000">
              <w:rPr>
                <w:rFonts w:ascii="Arial" w:cs="Arial" w:eastAsia="Arial" w:hAnsi="Arial"/>
                <w:sz w:val="22"/>
                <w:szCs w:val="22"/>
                <w:rtl w:val="0"/>
              </w:rPr>
              <w:t xml:space="preserve">s.2 preventing needs</w:t>
            </w:r>
            <w:r w:rsidDel="00000000" w:rsidR="00000000" w:rsidRPr="00000000">
              <w:rPr>
                <w:rtl w:val="0"/>
              </w:rPr>
            </w:r>
          </w:p>
        </w:tc>
      </w:tr>
      <w:tr>
        <w:trPr>
          <w:cantSplit w:val="0"/>
          <w:tblHeader w:val="0"/>
        </w:trPr>
        <w:tc>
          <w:tcPr/>
          <w:p w:rsidR="00000000" w:rsidDel="00000000" w:rsidP="00000000" w:rsidRDefault="00000000" w:rsidRPr="00000000" w14:paraId="00000047">
            <w:pPr>
              <w:rPr>
                <w:b w:val="1"/>
                <w:bCs w:val="1"/>
              </w:rPr>
            </w:pPr>
            <w:r w:rsidDel="00000000" w:rsidR="00000000" w:rsidRPr="00000000">
              <w:rPr>
                <w:rFonts w:ascii="Arial" w:cs="Arial" w:eastAsia="Arial" w:hAnsi="Arial"/>
                <w:sz w:val="22"/>
                <w:szCs w:val="22"/>
                <w:rtl w:val="0"/>
              </w:rPr>
              <w:t xml:space="preserve">4. Plan hospital discharge jointly with the NHS</w:t>
            </w:r>
            <w:r w:rsidDel="00000000" w:rsidR="00000000" w:rsidRPr="00000000">
              <w:rPr>
                <w:rtl w:val="0"/>
              </w:rPr>
            </w:r>
          </w:p>
        </w:tc>
        <w:tc>
          <w:tcPr/>
          <w:p w:rsidR="00000000" w:rsidDel="00000000" w:rsidP="00000000" w:rsidRDefault="00000000" w:rsidRPr="00000000" w14:paraId="00000048">
            <w:pPr>
              <w:rPr>
                <w:b w:val="1"/>
                <w:bCs w:val="1"/>
              </w:rPr>
            </w:pPr>
            <w:r w:rsidDel="00000000" w:rsidR="00000000" w:rsidRPr="00000000">
              <w:rPr>
                <w:rFonts w:ascii="Arial" w:cs="Arial" w:eastAsia="Arial" w:hAnsi="Arial"/>
                <w:sz w:val="22"/>
                <w:szCs w:val="22"/>
                <w:rtl w:val="0"/>
              </w:rPr>
              <w:t xml:space="preserve">ss.3 and 6 joint working</w:t>
            </w: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Source: Developed from the Care Act 2014 and Rubery et al. (2015).</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is evidence that the home care service is being undermined by insecure employment, the wait time and the increased pressure on carers and hospitals. Councillor Khalid is being requested to back four proposals: outcome-based commissioning, fairer outcome-based commissioning, guaranteed hours contracts and joint discharge planning with NHS partners and reablement. These would all contribute towards Birmingham City Council fulfilling its responsibilities under Part 1 of the Care Act 2014. They would also help to safeguard residents' welfare in their homes.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2: Essay</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Community Pharmacy Services in England: Origins, Function and Value</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Community pharmacies are one of the most readily available aspects of the NHS. Individuals are able to come in without an appointment and talk with a trained professional. Todd et al. (2014) estimated that 89.2% of the population of England had access to a community pharmacy within a 20-minute walk, with access being greatest in deprived areas. This essay illustrates the history of the service, its current operation and its usefulness to the quality of life of the users.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modern service came into being with the introduction of the NHS in 1948 and the introduction of free prescriptions for all. There were 13,000 pharmacies that dispensed 65 million prescriptions in 1937. By 1950 this had grown to almost 250 million (Anderson, 2007). The whole working day was filled with dispensing. As a consequence, the public health role of the pharmacist was almost lost sight of, according to Anderson (2007). From 1967 onwards, pharmacy was a graduate-entry profession, but the knowledge of graduates was not utilised much for the benefit of the public (Anderson, 2007). In 1986 it was then suggested in a report to the Nuffield Foundation that a broader role was required. This was followed by the contractual framework announced in 2005, where health promotion was one of the essential services (Anderson, 2007). Mossialos et al. (2015) call this transition from ‘retailers' to health care providers.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that job has grown, and the service is now under great stress. In 2024/25, a total of 1.16 billion prescription items were dispensed from community pharmacies (NHS Business Services Authority, 2025). Pharmacy First was launched on 31st January 2024 and enables pharmacists to treat a number of common conditions, such as earache in children aged 1-17 and UTI in women aged 16-64 (Balogun, 2026). From February 2024 to October 2025, pharmacies were able to claim payment for 4.5 million of these consultations (Balogun, 2026). It is still quite a limited scope. Out of conditions or age bands, patients still require a GP. With an investment of £3.0 billion in 2025/26, 47% of pharmacies were not profitable in their previous accounting year, according to Balogun (2026).</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Figure 1: Community pharmacies open in England, February 2016 to February 2026</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5715000" cy="2857500"/>
            <wp:effectExtent b="0" l="0" r="0" t="0"/>
            <wp:docPr descr="Line chart of community pharmacies open in England, 2016 to 2026, peaking at 11,804 in 2017 and falling to 10,526 in 2026." id="1" name="image1.png"/>
            <a:graphic>
              <a:graphicData uri="http://schemas.openxmlformats.org/drawingml/2006/picture">
                <pic:pic>
                  <pic:nvPicPr>
                    <pic:cNvPr descr="Line chart of community pharmacies open in England, 2016 to 2026, peaking at 11,804 in 2017 and falling to 10,526 in 2026." id="0" name="image1.png"/>
                    <pic:cNvPicPr preferRelativeResize="0"/>
                  </pic:nvPicPr>
                  <pic:blipFill>
                    <a:blip r:embed="rId6"/>
                    <a:srcRect b="0" l="0" r="0" t="0"/>
                    <a:stretch>
                      <a:fillRect/>
                    </a:stretch>
                  </pic:blipFill>
                  <pic:spPr>
                    <a:xfrm>
                      <a:off x="0" y="0"/>
                      <a:ext cx="5715000" cy="285750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Source: Balogun (2026), using NHS England data. Note: the vertical axis starts at 10,000.</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impact on the network is illustrated in Figure 1. The number of open pharmacies peaked at 11,804 in 2017 and then fell every year, reaching 10,526 in 2026 (Balogun, 2026). Between 2023 and 2024, the highest number of pharmacies was lost, with 435 pharmacies lost during this period (Balogun, 2026). There has not been adequate staffing. There were no changes in FTE staff per pharmacy in 2021 and 2024 (6.6) or in the number of pharmacists (1.8) (Robertson, 2026). This could lead to a reduction in the high level of access in deprived areas, as reported by Todd et al. (2014). There is a distinct conflict that ensues. Pharmacies are requested to provide more clinical services with fewer pharmacies and no additional staff per pharmacy.</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pressures are important due to what pharmacies have to offer to users. According to the WHOQOL Group (1995), quality of life is an individual's perception of their position in life in relation to their culture, values, goals and concerns. Pharmacy First addresses those concerns. A parent may take a child to a pharmacy for the earache to be assessed on the same day as opposed to waiting for a GP appointment (Balogun, 2026). Mossialos et al. (2015) also suggest that pharmacists have a greater role to play in the management of long-term conditions, such as supporting people to take their medicines optimally. The uptake of services has been highest in deprived areas (Todd et al., 2014), and pharmacies can be a gateway to services for those who are most deprived.</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community pharmacy, which has long been a very dispensing-heavy profession, the role has now shifted to a clinical role in primary care. Pharmacy First demonstrates the value the service can provide patients and an overstretched NHS. Closures, static staffing and financial pressure are indications of how tenuous that offer is. The network is vital to the communities who use it the most, and protecting the network would protect the people who use it the most, particularly in deprived areas. It would also enable the broader role envisioned in 1986 to be accomplished by pharmacies.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05A">
      <w:pPr>
        <w:spacing w:after="160" w:line="360" w:lineRule="auto"/>
        <w:jc w:val="both"/>
        <w:rPr/>
      </w:pPr>
      <w:r w:rsidDel="00000000" w:rsidR="00000000" w:rsidRPr="00000000">
        <w:rPr>
          <w:rtl w:val="0"/>
        </w:rPr>
        <w:t xml:space="preserve">ADASS (Association of Directors of Adult Social Services) (2026) </w:t>
      </w:r>
      <w:r w:rsidDel="00000000" w:rsidR="00000000" w:rsidRPr="00000000">
        <w:rPr>
          <w:i w:val="1"/>
          <w:iCs w:val="1"/>
          <w:rtl w:val="0"/>
        </w:rPr>
        <w:t xml:space="preserve">ADASS spring survey 2026</w:t>
      </w:r>
      <w:r w:rsidDel="00000000" w:rsidR="00000000" w:rsidRPr="00000000">
        <w:rPr>
          <w:rtl w:val="0"/>
        </w:rPr>
        <w:t xml:space="preserve">. London: ADASS. Available at: https://www.adass.org.uk/wp-content/uploads/2026/07/ADASS-Spring-Survey-2026-Final-1-1.pdf (Accessed: 17 October 2026).</w:t>
      </w:r>
    </w:p>
    <w:p w:rsidR="00000000" w:rsidDel="00000000" w:rsidP="00000000" w:rsidRDefault="00000000" w:rsidRPr="00000000" w14:paraId="0000005B">
      <w:pPr>
        <w:spacing w:after="160" w:line="360" w:lineRule="auto"/>
        <w:jc w:val="both"/>
        <w:rPr/>
      </w:pPr>
      <w:r w:rsidDel="00000000" w:rsidR="00000000" w:rsidRPr="00000000">
        <w:rPr>
          <w:rtl w:val="0"/>
        </w:rPr>
        <w:t xml:space="preserve">Anderson, S. (2007) ‘Community pharmacy and public health in Great Britain, 1936 to 2006: how a phoenix rose from the ashes’, </w:t>
      </w:r>
      <w:r w:rsidDel="00000000" w:rsidR="00000000" w:rsidRPr="00000000">
        <w:rPr>
          <w:i w:val="1"/>
          <w:iCs w:val="1"/>
          <w:rtl w:val="0"/>
        </w:rPr>
        <w:t xml:space="preserve">Journal of Epidemiology and Community Health</w:t>
      </w:r>
      <w:r w:rsidDel="00000000" w:rsidR="00000000" w:rsidRPr="00000000">
        <w:rPr>
          <w:rtl w:val="0"/>
        </w:rPr>
        <w:t xml:space="preserve">, 61(10), pp. 844–848. Available at: https://doi.org/10.1136/jech.2006.055442 (Accessed: 17 October 2026).</w:t>
      </w:r>
    </w:p>
    <w:p w:rsidR="00000000" w:rsidDel="00000000" w:rsidP="00000000" w:rsidRDefault="00000000" w:rsidRPr="00000000" w14:paraId="0000005C">
      <w:pPr>
        <w:spacing w:after="160" w:line="360" w:lineRule="auto"/>
        <w:jc w:val="both"/>
        <w:rPr/>
      </w:pPr>
      <w:r w:rsidDel="00000000" w:rsidR="00000000" w:rsidRPr="00000000">
        <w:rPr>
          <w:rtl w:val="0"/>
        </w:rPr>
        <w:t xml:space="preserve">Balogun, B. (2026) </w:t>
      </w:r>
      <w:r w:rsidDel="00000000" w:rsidR="00000000" w:rsidRPr="00000000">
        <w:rPr>
          <w:i w:val="1"/>
          <w:iCs w:val="1"/>
          <w:rtl w:val="0"/>
        </w:rPr>
        <w:t xml:space="preserve">Community pharmacy in England</w:t>
      </w:r>
      <w:r w:rsidDel="00000000" w:rsidR="00000000" w:rsidRPr="00000000">
        <w:rPr>
          <w:rtl w:val="0"/>
        </w:rPr>
        <w:t xml:space="preserve">. House of Commons Library Research Briefing CBP-9854. London: House of Commons Library. Available at: https://researchbriefings.files.parliament.uk/documents/CBP-9854/CBP-9854.pdf (Accessed: 16 October 2026).</w:t>
      </w:r>
    </w:p>
    <w:p w:rsidR="00000000" w:rsidDel="00000000" w:rsidP="00000000" w:rsidRDefault="00000000" w:rsidRPr="00000000" w14:paraId="0000005D">
      <w:pPr>
        <w:spacing w:after="160" w:line="360" w:lineRule="auto"/>
        <w:jc w:val="both"/>
        <w:rPr/>
      </w:pPr>
      <w:r w:rsidDel="00000000" w:rsidR="00000000" w:rsidRPr="00000000">
        <w:rPr>
          <w:rtl w:val="0"/>
        </w:rPr>
        <w:t xml:space="preserve">Care Act 2014, c. 23. Available at: https://www.legislation.gov.uk/ukpga/2014/23/contents (Accessed: 16 October 2026).</w:t>
      </w:r>
    </w:p>
    <w:p w:rsidR="00000000" w:rsidDel="00000000" w:rsidP="00000000" w:rsidRDefault="00000000" w:rsidRPr="00000000" w14:paraId="0000005E">
      <w:pPr>
        <w:spacing w:after="160" w:line="360" w:lineRule="auto"/>
        <w:jc w:val="both"/>
        <w:rPr/>
      </w:pPr>
      <w:r w:rsidDel="00000000" w:rsidR="00000000" w:rsidRPr="00000000">
        <w:rPr>
          <w:rtl w:val="0"/>
        </w:rPr>
        <w:t xml:space="preserve">Carers UK (2025) </w:t>
      </w:r>
      <w:r w:rsidDel="00000000" w:rsidR="00000000" w:rsidRPr="00000000">
        <w:rPr>
          <w:i w:val="1"/>
          <w:iCs w:val="1"/>
          <w:rtl w:val="0"/>
        </w:rPr>
        <w:t xml:space="preserve">State of caring 2025: the cost of caring. The impact of caring across carers’ lives</w:t>
      </w:r>
      <w:r w:rsidDel="00000000" w:rsidR="00000000" w:rsidRPr="00000000">
        <w:rPr>
          <w:rtl w:val="0"/>
        </w:rPr>
        <w:t xml:space="preserve">. London: Carers UK. Available at: https://www.carersuk.org/media/mtvkquhy/cuk-state-of-caring-2025-cost-of-caring-report-web.pdf (Accessed: 17 October 2026).</w:t>
      </w:r>
    </w:p>
    <w:p w:rsidR="00000000" w:rsidDel="00000000" w:rsidP="00000000" w:rsidRDefault="00000000" w:rsidRPr="00000000" w14:paraId="0000005F">
      <w:pPr>
        <w:spacing w:after="160" w:line="360" w:lineRule="auto"/>
        <w:jc w:val="both"/>
        <w:rPr/>
      </w:pPr>
      <w:r w:rsidDel="00000000" w:rsidR="00000000" w:rsidRPr="00000000">
        <w:rPr>
          <w:rtl w:val="0"/>
        </w:rPr>
        <w:t xml:space="preserve">Mossialos, E., Courtin, E., Naci, H., Benrimoj, S., Bouvy, M., Farris, K., Noyce, P. and Sketris, I. (2015) ‘From “retailers” to health care providers: transforming the role of community pharmacists in chronic disease management’, </w:t>
      </w:r>
      <w:r w:rsidDel="00000000" w:rsidR="00000000" w:rsidRPr="00000000">
        <w:rPr>
          <w:i w:val="1"/>
          <w:iCs w:val="1"/>
          <w:rtl w:val="0"/>
        </w:rPr>
        <w:t xml:space="preserve">Health Policy</w:t>
      </w:r>
      <w:r w:rsidDel="00000000" w:rsidR="00000000" w:rsidRPr="00000000">
        <w:rPr>
          <w:rtl w:val="0"/>
        </w:rPr>
        <w:t xml:space="preserve">, 119(5), pp. 628–639. Available at: https://doi.org/10.1016/j.healthpol.2015.02.007 (Accessed: 15 October 2026).</w:t>
      </w:r>
    </w:p>
    <w:p w:rsidR="00000000" w:rsidDel="00000000" w:rsidP="00000000" w:rsidRDefault="00000000" w:rsidRPr="00000000" w14:paraId="00000060">
      <w:pPr>
        <w:spacing w:after="160" w:line="360" w:lineRule="auto"/>
        <w:jc w:val="both"/>
        <w:rPr/>
      </w:pPr>
      <w:r w:rsidDel="00000000" w:rsidR="00000000" w:rsidRPr="00000000">
        <w:rPr>
          <w:rtl w:val="0"/>
        </w:rPr>
        <w:t xml:space="preserve">NHS Business Services Authority (2025) </w:t>
      </w:r>
      <w:r w:rsidDel="00000000" w:rsidR="00000000" w:rsidRPr="00000000">
        <w:rPr>
          <w:i w:val="1"/>
          <w:iCs w:val="1"/>
          <w:rtl w:val="0"/>
        </w:rPr>
        <w:t xml:space="preserve">General pharmaceutical services in England 2015/16 to 2024/25</w:t>
      </w:r>
      <w:r w:rsidDel="00000000" w:rsidR="00000000" w:rsidRPr="00000000">
        <w:rPr>
          <w:rtl w:val="0"/>
        </w:rPr>
        <w:t xml:space="preserve">. Newcastle upon Tyne: NHSBSA. Available at: https://www.nhsbsa.nhs.uk/statistical-collections/general-pharmaceutical-services-england/general-pharmaceutical-services-england-201516-202425 (Accessed: 16 October 2026).</w:t>
      </w:r>
    </w:p>
    <w:p w:rsidR="00000000" w:rsidDel="00000000" w:rsidP="00000000" w:rsidRDefault="00000000" w:rsidRPr="00000000" w14:paraId="00000061">
      <w:pPr>
        <w:spacing w:after="160" w:line="360" w:lineRule="auto"/>
        <w:jc w:val="both"/>
        <w:rPr/>
      </w:pPr>
      <w:r w:rsidDel="00000000" w:rsidR="00000000" w:rsidRPr="00000000">
        <w:rPr>
          <w:rtl w:val="0"/>
        </w:rPr>
        <w:t xml:space="preserve">Nuffield Trust (2026) </w:t>
      </w:r>
      <w:r w:rsidDel="00000000" w:rsidR="00000000" w:rsidRPr="00000000">
        <w:rPr>
          <w:i w:val="1"/>
          <w:iCs w:val="1"/>
          <w:rtl w:val="0"/>
        </w:rPr>
        <w:t xml:space="preserve">Delayed discharges from hospital</w:t>
      </w:r>
      <w:r w:rsidDel="00000000" w:rsidR="00000000" w:rsidRPr="00000000">
        <w:rPr>
          <w:rtl w:val="0"/>
        </w:rPr>
        <w:t xml:space="preserve">. London: Nuffield Trust. Available at: https://www.nuffieldtrust.org.uk/resource/delayed-discharges-from-hospital (Accessed: 16 October 2026).</w:t>
      </w:r>
    </w:p>
    <w:p w:rsidR="00000000" w:rsidDel="00000000" w:rsidP="00000000" w:rsidRDefault="00000000" w:rsidRPr="00000000" w14:paraId="00000062">
      <w:pPr>
        <w:spacing w:after="160" w:line="360" w:lineRule="auto"/>
        <w:jc w:val="both"/>
        <w:rPr/>
      </w:pPr>
      <w:r w:rsidDel="00000000" w:rsidR="00000000" w:rsidRPr="00000000">
        <w:rPr>
          <w:rtl w:val="0"/>
        </w:rPr>
        <w:t xml:space="preserve">Robertson, J. (2026) ‘Growth in Pharmacy First consultations “not sustainable”’, </w:t>
      </w:r>
      <w:r w:rsidDel="00000000" w:rsidR="00000000" w:rsidRPr="00000000">
        <w:rPr>
          <w:i w:val="1"/>
          <w:iCs w:val="1"/>
          <w:rtl w:val="0"/>
        </w:rPr>
        <w:t xml:space="preserve">The Pharmaceutical Journal</w:t>
      </w:r>
      <w:r w:rsidDel="00000000" w:rsidR="00000000" w:rsidRPr="00000000">
        <w:rPr>
          <w:rtl w:val="0"/>
        </w:rPr>
        <w:t xml:space="preserve">, 30 April. Available at: https://pharmaceutical-journal.com/article/news/growth-in-pharmacy-first-consultations-not-sustainable (Accessed: 16 October 2026).</w:t>
      </w:r>
    </w:p>
    <w:p w:rsidR="00000000" w:rsidDel="00000000" w:rsidP="00000000" w:rsidRDefault="00000000" w:rsidRPr="00000000" w14:paraId="00000063">
      <w:pPr>
        <w:spacing w:after="160" w:line="360" w:lineRule="auto"/>
        <w:jc w:val="both"/>
        <w:rPr/>
      </w:pPr>
      <w:r w:rsidDel="00000000" w:rsidR="00000000" w:rsidRPr="00000000">
        <w:rPr>
          <w:rtl w:val="0"/>
        </w:rPr>
        <w:t xml:space="preserve">Rubery, J., Grimshaw, D., Hebson, G. and Ugarte, S. (2015) ‘“It’s all about time”: time as contested terrain in the management and experience of domiciliary care work in England’, </w:t>
      </w:r>
      <w:r w:rsidDel="00000000" w:rsidR="00000000" w:rsidRPr="00000000">
        <w:rPr>
          <w:i w:val="1"/>
          <w:iCs w:val="1"/>
          <w:rtl w:val="0"/>
        </w:rPr>
        <w:t xml:space="preserve">Human Resource Management</w:t>
      </w:r>
      <w:r w:rsidDel="00000000" w:rsidR="00000000" w:rsidRPr="00000000">
        <w:rPr>
          <w:rtl w:val="0"/>
        </w:rPr>
        <w:t xml:space="preserve">, 54(5), pp. 753–772. Available at: https://doi.org/10.1002/hrm.21685 (Accessed: 17 October 2026).</w:t>
      </w:r>
    </w:p>
    <w:p w:rsidR="00000000" w:rsidDel="00000000" w:rsidP="00000000" w:rsidRDefault="00000000" w:rsidRPr="00000000" w14:paraId="00000064">
      <w:pPr>
        <w:spacing w:after="160" w:line="360" w:lineRule="auto"/>
        <w:jc w:val="both"/>
        <w:rPr/>
      </w:pPr>
      <w:r w:rsidDel="00000000" w:rsidR="00000000" w:rsidRPr="00000000">
        <w:rPr>
          <w:rtl w:val="0"/>
        </w:rPr>
        <w:t xml:space="preserve">Skills for Care (2026) </w:t>
      </w:r>
      <w:r w:rsidDel="00000000" w:rsidR="00000000" w:rsidRPr="00000000">
        <w:rPr>
          <w:i w:val="1"/>
          <w:iCs w:val="1"/>
          <w:rtl w:val="0"/>
        </w:rPr>
        <w:t xml:space="preserve">The state of the adult social care sector and workforce in England, 2026</w:t>
      </w:r>
      <w:r w:rsidDel="00000000" w:rsidR="00000000" w:rsidRPr="00000000">
        <w:rPr>
          <w:rtl w:val="0"/>
        </w:rPr>
        <w:t xml:space="preserve">. Leeds: Skills for Care. Available at: https://www.skillsforcare.org.uk/Adult-Social-Care-Workforce-Data/workforceintelligence/resources/Reports/National/The-state-of-the-adult-social-care-sector-and-workforce-in-England-2026.pdf (Accessed: 17 October 2026).</w:t>
      </w:r>
    </w:p>
    <w:p w:rsidR="00000000" w:rsidDel="00000000" w:rsidP="00000000" w:rsidRDefault="00000000" w:rsidRPr="00000000" w14:paraId="00000065">
      <w:pPr>
        <w:spacing w:after="160" w:line="360" w:lineRule="auto"/>
        <w:jc w:val="both"/>
        <w:rPr/>
      </w:pPr>
      <w:r w:rsidDel="00000000" w:rsidR="00000000" w:rsidRPr="00000000">
        <w:rPr>
          <w:rtl w:val="0"/>
        </w:rPr>
        <w:t xml:space="preserve">Todd, A., Copeland, A., Husband, A., Kasim, A. and Bambra, C. (2014) ‘The positive pharmacy care law: an area-level analysis of the relationship between community pharmacy distribution, urbanity and social deprivation in England’, </w:t>
      </w:r>
      <w:r w:rsidDel="00000000" w:rsidR="00000000" w:rsidRPr="00000000">
        <w:rPr>
          <w:i w:val="1"/>
          <w:iCs w:val="1"/>
          <w:rtl w:val="0"/>
        </w:rPr>
        <w:t xml:space="preserve">BMJ Open</w:t>
      </w:r>
      <w:r w:rsidDel="00000000" w:rsidR="00000000" w:rsidRPr="00000000">
        <w:rPr>
          <w:rtl w:val="0"/>
        </w:rPr>
        <w:t xml:space="preserve">, 4(8), e005764. Available at: https://doi.org/10.1136/bmjopen-2014-005764 (Accessed: 16 October 2026).</w:t>
      </w:r>
    </w:p>
    <w:p w:rsidR="00000000" w:rsidDel="00000000" w:rsidP="00000000" w:rsidRDefault="00000000" w:rsidRPr="00000000" w14:paraId="00000066">
      <w:pPr>
        <w:spacing w:after="160" w:line="360" w:lineRule="auto"/>
        <w:jc w:val="both"/>
        <w:rPr/>
      </w:pPr>
      <w:r w:rsidDel="00000000" w:rsidR="00000000" w:rsidRPr="00000000">
        <w:rPr>
          <w:rtl w:val="0"/>
        </w:rPr>
        <w:t xml:space="preserve">WHOQOL Group (1995) ‘The World Health Organization Quality of Life assessment (WHOQOL): position paper from the World Health Organization’, </w:t>
      </w:r>
      <w:r w:rsidDel="00000000" w:rsidR="00000000" w:rsidRPr="00000000">
        <w:rPr>
          <w:i w:val="1"/>
          <w:iCs w:val="1"/>
          <w:rtl w:val="0"/>
        </w:rPr>
        <w:t xml:space="preserve">Social Science &amp; Medicine</w:t>
      </w:r>
      <w:r w:rsidDel="00000000" w:rsidR="00000000" w:rsidRPr="00000000">
        <w:rPr>
          <w:rtl w:val="0"/>
        </w:rPr>
        <w:t xml:space="preserve">, 41(10), pp. 1403–1409. Available at: https://doi.org/10.1016/0277-9536(95)00112-K (Accessed: 17 October 2026).</w:t>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jc w:val="center"/>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rPr>
      <w:rFonts w:ascii="Calibri" w:cs="Calibri" w:eastAsia="Calibri" w:hAnsi="Calibri"/>
      <w:sz w:val="24"/>
      <w:szCs w:val="24"/>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