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D8B499B">
      <w:pPr>
        <w:spacing w:before="120" w:after="120"/>
        <w:jc w:val="center"/>
        <w:rPr>
          <w:rFonts w:eastAsia="Times New Roman" w:cs="Times New Roman"/>
          <w:b/>
          <w:bCs/>
          <w:color w:val="000000"/>
          <w:sz w:val="40"/>
          <w:szCs w:val="40"/>
          <w:lang w:eastAsia="en-IN"/>
        </w:rPr>
      </w:pPr>
    </w:p>
    <w:p w14:paraId="114BA83D">
      <w:pPr>
        <w:spacing w:before="120" w:after="120"/>
        <w:jc w:val="center"/>
        <w:rPr>
          <w:rFonts w:hint="default" w:eastAsia="Times New Roman" w:cs="Times New Roman"/>
          <w:b/>
          <w:bCs/>
          <w:color w:val="000000"/>
          <w:sz w:val="40"/>
          <w:szCs w:val="40"/>
          <w:lang w:val="en-US" w:eastAsia="en-IN"/>
        </w:rPr>
      </w:pPr>
      <w:bookmarkStart w:id="34" w:name="_GoBack"/>
      <w:r>
        <w:rPr>
          <w:rFonts w:hint="default" w:eastAsia="Times New Roman" w:cs="Times New Roman"/>
          <w:b/>
          <w:bCs/>
          <w:color w:val="000000"/>
          <w:sz w:val="40"/>
          <w:szCs w:val="40"/>
          <w:lang w:val="en-US" w:eastAsia="en-IN"/>
        </w:rPr>
        <w:drawing>
          <wp:inline distT="0" distB="0" distL="114300" distR="114300">
            <wp:extent cx="5730240" cy="2390775"/>
            <wp:effectExtent l="0" t="0" r="10160" b="9525"/>
            <wp:docPr id="1" name="Picture 1" descr="WhatsApp Image 2025-11-26 at 12.52.04 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sApp Image 2025-11-26 at 12.52.04 AM"/>
                    <pic:cNvPicPr>
                      <a:picLocks noChangeAspect="1"/>
                    </pic:cNvPicPr>
                  </pic:nvPicPr>
                  <pic:blipFill>
                    <a:blip r:embed="rId8"/>
                    <a:stretch>
                      <a:fillRect/>
                    </a:stretch>
                  </pic:blipFill>
                  <pic:spPr>
                    <a:xfrm>
                      <a:off x="0" y="0"/>
                      <a:ext cx="5730240" cy="2390775"/>
                    </a:xfrm>
                    <a:prstGeom prst="rect">
                      <a:avLst/>
                    </a:prstGeom>
                  </pic:spPr>
                </pic:pic>
              </a:graphicData>
            </a:graphic>
          </wp:inline>
        </w:drawing>
      </w:r>
      <w:bookmarkEnd w:id="34"/>
    </w:p>
    <w:p w14:paraId="2DCAF8F9">
      <w:pPr>
        <w:spacing w:before="120" w:after="120"/>
        <w:jc w:val="center"/>
        <w:rPr>
          <w:rFonts w:eastAsia="Times New Roman" w:cs="Times New Roman"/>
          <w:b/>
          <w:bCs/>
          <w:color w:val="000000"/>
          <w:sz w:val="40"/>
          <w:szCs w:val="40"/>
          <w:lang w:eastAsia="en-IN"/>
        </w:rPr>
      </w:pPr>
    </w:p>
    <w:p w14:paraId="1751B93F">
      <w:pPr>
        <w:spacing w:before="120" w:after="120"/>
        <w:jc w:val="center"/>
        <w:rPr>
          <w:rFonts w:eastAsia="Times New Roman" w:cs="Times New Roman"/>
          <w:b/>
          <w:bCs/>
          <w:color w:val="000000"/>
          <w:sz w:val="40"/>
          <w:szCs w:val="40"/>
          <w:lang w:eastAsia="en-IN"/>
        </w:rPr>
      </w:pPr>
      <w:r>
        <w:rPr>
          <w:rFonts w:eastAsia="Times New Roman" w:cs="Times New Roman"/>
          <w:b/>
          <w:bCs/>
          <w:color w:val="000000"/>
          <w:sz w:val="40"/>
          <w:szCs w:val="40"/>
          <w:lang w:eastAsia="en-IN"/>
        </w:rPr>
        <w:t>MASTER OF BUSINESS ADMINISTRATION</w:t>
      </w:r>
    </w:p>
    <w:p w14:paraId="7051D9E1">
      <w:pPr>
        <w:spacing w:before="120" w:after="120"/>
        <w:jc w:val="center"/>
        <w:rPr>
          <w:rFonts w:eastAsia="Times New Roman" w:cs="Times New Roman"/>
          <w:b/>
          <w:bCs/>
          <w:color w:val="000000"/>
          <w:sz w:val="40"/>
          <w:szCs w:val="40"/>
          <w:lang w:eastAsia="en-IN"/>
        </w:rPr>
      </w:pPr>
      <w:r>
        <w:rPr>
          <w:rFonts w:eastAsia="Times New Roman" w:cs="Times New Roman"/>
          <w:b/>
          <w:bCs/>
          <w:color w:val="000000"/>
          <w:sz w:val="40"/>
          <w:szCs w:val="40"/>
          <w:lang w:eastAsia="en-IN"/>
        </w:rPr>
        <w:t>MODULE: STRATEGIC MANAGEMENT</w:t>
      </w:r>
    </w:p>
    <w:p w14:paraId="23BF96CE">
      <w:pPr>
        <w:spacing w:before="120" w:after="120"/>
        <w:jc w:val="center"/>
        <w:rPr>
          <w:rFonts w:eastAsia="Times New Roman" w:cs="Times New Roman"/>
          <w:b/>
          <w:bCs/>
          <w:color w:val="000000"/>
          <w:sz w:val="40"/>
          <w:szCs w:val="40"/>
          <w:lang w:eastAsia="en-IN"/>
        </w:rPr>
      </w:pPr>
      <w:r>
        <w:rPr>
          <w:rFonts w:eastAsia="Times New Roman" w:cs="Times New Roman"/>
          <w:b/>
          <w:bCs/>
          <w:color w:val="000000"/>
          <w:sz w:val="40"/>
          <w:szCs w:val="40"/>
          <w:lang w:eastAsia="en-IN"/>
        </w:rPr>
        <w:t>MODULE CODE: LCMB7003</w:t>
      </w:r>
    </w:p>
    <w:p w14:paraId="1AEDA882">
      <w:pPr>
        <w:spacing w:before="120" w:after="120"/>
        <w:jc w:val="center"/>
        <w:rPr>
          <w:rFonts w:eastAsia="Times New Roman" w:cs="Times New Roman"/>
          <w:b/>
          <w:bCs/>
          <w:color w:val="000000"/>
          <w:sz w:val="40"/>
          <w:szCs w:val="40"/>
          <w:lang w:eastAsia="en-IN"/>
        </w:rPr>
      </w:pPr>
      <w:r>
        <w:rPr>
          <w:rFonts w:eastAsia="Times New Roman" w:cs="Times New Roman"/>
          <w:b/>
          <w:bCs/>
          <w:color w:val="000000"/>
          <w:sz w:val="40"/>
          <w:szCs w:val="40"/>
          <w:lang w:eastAsia="en-IN"/>
        </w:rPr>
        <w:t>ASSESSMENT COMPONENT: INDIVIDUAL REPORT</w:t>
      </w:r>
    </w:p>
    <w:p w14:paraId="08C140B3">
      <w:pPr>
        <w:spacing w:before="120" w:after="120"/>
        <w:jc w:val="left"/>
        <w:rPr>
          <w:rFonts w:eastAsia="Times New Roman" w:cs="Times New Roman"/>
          <w:b/>
          <w:bCs/>
          <w:color w:val="000000"/>
          <w:sz w:val="40"/>
          <w:szCs w:val="40"/>
          <w:lang w:eastAsia="en-IN"/>
        </w:rPr>
      </w:pPr>
      <w:r>
        <w:rPr>
          <w:rFonts w:eastAsia="Times New Roman" w:cs="Times New Roman"/>
          <w:b/>
          <w:bCs/>
          <w:color w:val="000000"/>
          <w:sz w:val="40"/>
          <w:szCs w:val="40"/>
          <w:lang w:eastAsia="en-IN"/>
        </w:rPr>
        <w:t xml:space="preserve">STUDENT NAME: </w:t>
      </w:r>
      <w:r>
        <w:rPr>
          <w:rFonts w:eastAsia="Times New Roman" w:cs="Times New Roman"/>
          <w:b/>
          <w:bCs/>
          <w:color w:val="000000"/>
          <w:sz w:val="40"/>
          <w:szCs w:val="40"/>
          <w:lang w:val="en-US" w:eastAsia="en-IN"/>
        </w:rPr>
        <w:t>Sabir Yakub Patel</w:t>
      </w:r>
    </w:p>
    <w:p w14:paraId="2E3C9D06">
      <w:pPr>
        <w:spacing w:before="120" w:after="120"/>
        <w:jc w:val="center"/>
        <w:rPr>
          <w:rFonts w:eastAsia="Times New Roman" w:cs="Times New Roman"/>
          <w:b/>
          <w:bCs/>
          <w:color w:val="000000"/>
          <w:sz w:val="40"/>
          <w:szCs w:val="40"/>
          <w:lang w:eastAsia="en-IN"/>
        </w:rPr>
      </w:pPr>
      <w:r>
        <w:rPr>
          <w:rFonts w:eastAsia="Times New Roman" w:cs="Times New Roman"/>
          <w:b/>
          <w:bCs/>
          <w:color w:val="000000"/>
          <w:sz w:val="40"/>
          <w:szCs w:val="40"/>
          <w:lang w:eastAsia="en-IN"/>
        </w:rPr>
        <w:t>STUDENT ID:</w:t>
      </w:r>
      <w:r>
        <w:rPr>
          <w:rFonts w:eastAsia="Times New Roman" w:cs="Times New Roman"/>
          <w:b/>
          <w:bCs/>
          <w:color w:val="000000"/>
          <w:sz w:val="40"/>
          <w:szCs w:val="40"/>
          <w:lang w:val="en-US" w:eastAsia="en-IN"/>
        </w:rPr>
        <w:t xml:space="preserve"> 2433542</w:t>
      </w:r>
    </w:p>
    <w:p w14:paraId="746C370E">
      <w:pPr>
        <w:spacing w:before="120" w:after="120"/>
        <w:jc w:val="center"/>
        <w:rPr>
          <w:rFonts w:hint="default" w:eastAsia="Times New Roman" w:cs="Times New Roman"/>
          <w:b/>
          <w:bCs/>
          <w:color w:val="000000"/>
          <w:sz w:val="40"/>
          <w:szCs w:val="40"/>
          <w:lang w:val="en-US" w:eastAsia="en-IN"/>
        </w:rPr>
      </w:pPr>
      <w:r>
        <w:rPr>
          <w:rFonts w:eastAsia="Times New Roman" w:cs="Times New Roman"/>
          <w:b/>
          <w:bCs/>
          <w:color w:val="000000"/>
          <w:sz w:val="40"/>
          <w:szCs w:val="40"/>
          <w:lang w:val="en-US" w:eastAsia="en-IN"/>
        </w:rPr>
        <w:t>Le</w:t>
      </w:r>
      <w:r>
        <w:rPr>
          <w:rFonts w:hint="default" w:eastAsia="Times New Roman" w:cs="Times New Roman"/>
          <w:b/>
          <w:bCs/>
          <w:color w:val="000000"/>
          <w:sz w:val="40"/>
          <w:szCs w:val="40"/>
          <w:lang w:val="en-US" w:eastAsia="en-IN"/>
        </w:rPr>
        <w:t xml:space="preserve">cturer: </w:t>
      </w:r>
      <w:r>
        <w:rPr>
          <w:rFonts w:hint="default" w:eastAsia="Times New Roman"/>
          <w:b/>
          <w:bCs/>
          <w:color w:val="000000"/>
          <w:sz w:val="40"/>
          <w:szCs w:val="40"/>
          <w:lang w:val="en-US" w:eastAsia="en-IN"/>
        </w:rPr>
        <w:t>Zulfiqar Khan (Birmingham Weekdays)</w:t>
      </w:r>
    </w:p>
    <w:p w14:paraId="4F2EE187">
      <w:pPr>
        <w:spacing w:before="120" w:after="120"/>
        <w:rPr>
          <w:rFonts w:eastAsia="Times New Roman" w:cs="Times New Roman"/>
          <w:b/>
          <w:bCs/>
          <w:color w:val="000000"/>
          <w:szCs w:val="24"/>
          <w:lang w:eastAsia="en-IN"/>
        </w:rPr>
      </w:pPr>
    </w:p>
    <w:p w14:paraId="75A00463">
      <w:pPr>
        <w:spacing w:line="259"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3A022FD3">
      <w:pPr>
        <w:pStyle w:val="25"/>
        <w:rPr>
          <w:rFonts w:ascii="Times New Roman" w:hAnsi="Times New Roman" w:cs="Times New Roman"/>
          <w:b w:val="0"/>
          <w:bCs w:val="0"/>
          <w:color w:val="000000"/>
          <w:sz w:val="24"/>
          <w:szCs w:val="24"/>
        </w:rPr>
      </w:pPr>
      <w:r>
        <w:rPr>
          <w:rFonts w:ascii="Times New Roman" w:hAnsi="Times New Roman" w:cs="Times New Roman"/>
          <w:b w:val="0"/>
          <w:bCs w:val="0"/>
          <w:color w:val="000000"/>
          <w:sz w:val="24"/>
          <w:szCs w:val="24"/>
        </w:rPr>
        <w:t>Table of Contents</w:t>
      </w:r>
    </w:p>
    <w:p w14:paraId="1F62C762">
      <w:pPr>
        <w:pStyle w:val="11"/>
        <w:tabs>
          <w:tab w:val="right" w:leader="dot" w:pos="9016"/>
        </w:tabs>
        <w:jc w:val="both"/>
        <w:rPr>
          <w:rFonts w:ascii="Times New Roman" w:hAnsi="Times New Roman" w:eastAsia="SimSun" w:cs="Times New Roman"/>
          <w:b w:val="0"/>
          <w:bCs w:val="0"/>
          <w:kern w:val="2"/>
          <w:sz w:val="24"/>
          <w:szCs w:val="24"/>
          <w:lang w:eastAsia="en-IN"/>
          <w14:ligatures w14:val="standardContextual"/>
        </w:rPr>
      </w:pPr>
      <w:r>
        <w:rPr>
          <w:rFonts w:ascii="Times New Roman" w:hAnsi="Times New Roman" w:cs="Times New Roman"/>
          <w:b w:val="0"/>
          <w:bCs w:val="0"/>
          <w:color w:val="000000"/>
          <w:sz w:val="24"/>
          <w:szCs w:val="24"/>
        </w:rPr>
        <w:fldChar w:fldCharType="begin"/>
      </w:r>
      <w:r>
        <w:rPr>
          <w:rFonts w:ascii="Times New Roman" w:hAnsi="Times New Roman" w:cs="Times New Roman"/>
          <w:b w:val="0"/>
          <w:bCs w:val="0"/>
          <w:color w:val="000000"/>
          <w:sz w:val="24"/>
          <w:szCs w:val="24"/>
        </w:rPr>
        <w:instrText xml:space="preserve"> TOC \o "1-3" \h \z \u </w:instrText>
      </w:r>
      <w:r>
        <w:rPr>
          <w:rFonts w:ascii="Times New Roman" w:hAnsi="Times New Roman" w:cs="Times New Roman"/>
          <w:b w:val="0"/>
          <w:bCs w:val="0"/>
          <w:color w:val="000000"/>
          <w:sz w:val="24"/>
          <w:szCs w:val="24"/>
        </w:rPr>
        <w:fldChar w:fldCharType="separate"/>
      </w:r>
      <w:r>
        <w:fldChar w:fldCharType="begin"/>
      </w:r>
      <w:r>
        <w:instrText xml:space="preserve"> HYPERLINK \l "_Toc214137661" </w:instrText>
      </w:r>
      <w:r>
        <w:fldChar w:fldCharType="separate"/>
      </w:r>
      <w:r>
        <w:rPr>
          <w:rStyle w:val="8"/>
          <w:rFonts w:ascii="Times New Roman" w:hAnsi="Times New Roman" w:cs="Times New Roman"/>
          <w:b w:val="0"/>
          <w:bCs w:val="0"/>
          <w:sz w:val="24"/>
          <w:szCs w:val="24"/>
        </w:rPr>
        <w:t>Introduction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_Toc214137661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3</w:t>
      </w:r>
      <w:r>
        <w:rPr>
          <w:rFonts w:ascii="Times New Roman" w:hAnsi="Times New Roman" w:cs="Times New Roman"/>
          <w:b w:val="0"/>
          <w:bCs w:val="0"/>
          <w:sz w:val="24"/>
          <w:szCs w:val="24"/>
        </w:rPr>
        <w:fldChar w:fldCharType="end"/>
      </w:r>
      <w:r>
        <w:fldChar w:fldCharType="end"/>
      </w:r>
    </w:p>
    <w:p w14:paraId="22F14735">
      <w:pPr>
        <w:pStyle w:val="11"/>
        <w:tabs>
          <w:tab w:val="right" w:leader="dot" w:pos="9016"/>
        </w:tabs>
        <w:jc w:val="both"/>
        <w:rPr>
          <w:rFonts w:ascii="Times New Roman" w:hAnsi="Times New Roman" w:eastAsia="SimSun" w:cs="Times New Roman"/>
          <w:b w:val="0"/>
          <w:bCs w:val="0"/>
          <w:kern w:val="2"/>
          <w:sz w:val="24"/>
          <w:szCs w:val="24"/>
          <w:lang w:eastAsia="en-IN"/>
          <w14:ligatures w14:val="standardContextual"/>
        </w:rPr>
      </w:pPr>
      <w:r>
        <w:fldChar w:fldCharType="begin"/>
      </w:r>
      <w:r>
        <w:instrText xml:space="preserve"> HYPERLINK \l "_Toc214137662" </w:instrText>
      </w:r>
      <w:r>
        <w:fldChar w:fldCharType="separate"/>
      </w:r>
      <w:r>
        <w:rPr>
          <w:rStyle w:val="8"/>
          <w:rFonts w:ascii="Times New Roman" w:hAnsi="Times New Roman" w:cs="Times New Roman"/>
          <w:b w:val="0"/>
          <w:bCs w:val="0"/>
          <w:sz w:val="24"/>
          <w:szCs w:val="24"/>
        </w:rPr>
        <w:t>Selection of the company and the target market</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_Toc214137662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4</w:t>
      </w:r>
      <w:r>
        <w:rPr>
          <w:rFonts w:ascii="Times New Roman" w:hAnsi="Times New Roman" w:cs="Times New Roman"/>
          <w:b w:val="0"/>
          <w:bCs w:val="0"/>
          <w:sz w:val="24"/>
          <w:szCs w:val="24"/>
        </w:rPr>
        <w:fldChar w:fldCharType="end"/>
      </w:r>
      <w:r>
        <w:fldChar w:fldCharType="end"/>
      </w:r>
    </w:p>
    <w:p w14:paraId="14FEEE5F">
      <w:pPr>
        <w:pStyle w:val="12"/>
        <w:tabs>
          <w:tab w:val="right" w:leader="dot" w:pos="9016"/>
        </w:tabs>
        <w:jc w:val="both"/>
        <w:rPr>
          <w:rFonts w:ascii="Times New Roman" w:hAnsi="Times New Roman" w:eastAsia="SimSun" w:cs="Times New Roman"/>
          <w:i w:val="0"/>
          <w:iCs w:val="0"/>
          <w:kern w:val="2"/>
          <w:sz w:val="24"/>
          <w:szCs w:val="24"/>
          <w:lang w:eastAsia="en-IN"/>
          <w14:ligatures w14:val="standardContextual"/>
        </w:rPr>
      </w:pPr>
      <w:r>
        <w:fldChar w:fldCharType="begin"/>
      </w:r>
      <w:r>
        <w:instrText xml:space="preserve"> HYPERLINK \l "_Toc214137663" </w:instrText>
      </w:r>
      <w:r>
        <w:fldChar w:fldCharType="separate"/>
      </w:r>
      <w:r>
        <w:rPr>
          <w:rStyle w:val="8"/>
          <w:rFonts w:ascii="Times New Roman" w:hAnsi="Times New Roman" w:cs="Times New Roman"/>
          <w:i w:val="0"/>
          <w:iCs w:val="0"/>
          <w:sz w:val="24"/>
          <w:szCs w:val="24"/>
        </w:rPr>
        <w:t>Company overview</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_Toc214137663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4</w:t>
      </w:r>
      <w:r>
        <w:rPr>
          <w:rFonts w:ascii="Times New Roman" w:hAnsi="Times New Roman" w:cs="Times New Roman"/>
          <w:i w:val="0"/>
          <w:iCs w:val="0"/>
          <w:sz w:val="24"/>
          <w:szCs w:val="24"/>
        </w:rPr>
        <w:fldChar w:fldCharType="end"/>
      </w:r>
      <w:r>
        <w:fldChar w:fldCharType="end"/>
      </w:r>
    </w:p>
    <w:p w14:paraId="58E4C7C5">
      <w:pPr>
        <w:pStyle w:val="12"/>
        <w:tabs>
          <w:tab w:val="right" w:leader="dot" w:pos="9016"/>
        </w:tabs>
        <w:jc w:val="both"/>
        <w:rPr>
          <w:rFonts w:ascii="Times New Roman" w:hAnsi="Times New Roman" w:eastAsia="SimSun" w:cs="Times New Roman"/>
          <w:i w:val="0"/>
          <w:iCs w:val="0"/>
          <w:kern w:val="2"/>
          <w:sz w:val="24"/>
          <w:szCs w:val="24"/>
          <w:lang w:eastAsia="en-IN"/>
          <w14:ligatures w14:val="standardContextual"/>
        </w:rPr>
      </w:pPr>
      <w:r>
        <w:fldChar w:fldCharType="begin"/>
      </w:r>
      <w:r>
        <w:instrText xml:space="preserve"> HYPERLINK \l "_Toc214137664" </w:instrText>
      </w:r>
      <w:r>
        <w:fldChar w:fldCharType="separate"/>
      </w:r>
      <w:r>
        <w:rPr>
          <w:rStyle w:val="8"/>
          <w:rFonts w:ascii="Times New Roman" w:hAnsi="Times New Roman" w:cs="Times New Roman"/>
          <w:i w:val="0"/>
          <w:iCs w:val="0"/>
          <w:sz w:val="24"/>
          <w:szCs w:val="24"/>
        </w:rPr>
        <w:t>Rationale for choosing Canada</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_Toc214137664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5</w:t>
      </w:r>
      <w:r>
        <w:rPr>
          <w:rFonts w:ascii="Times New Roman" w:hAnsi="Times New Roman" w:cs="Times New Roman"/>
          <w:i w:val="0"/>
          <w:iCs w:val="0"/>
          <w:sz w:val="24"/>
          <w:szCs w:val="24"/>
        </w:rPr>
        <w:fldChar w:fldCharType="end"/>
      </w:r>
      <w:r>
        <w:fldChar w:fldCharType="end"/>
      </w:r>
    </w:p>
    <w:p w14:paraId="7C839F06">
      <w:pPr>
        <w:pStyle w:val="11"/>
        <w:tabs>
          <w:tab w:val="right" w:leader="dot" w:pos="9016"/>
        </w:tabs>
        <w:jc w:val="both"/>
        <w:rPr>
          <w:rFonts w:ascii="Times New Roman" w:hAnsi="Times New Roman" w:eastAsia="SimSun" w:cs="Times New Roman"/>
          <w:b w:val="0"/>
          <w:bCs w:val="0"/>
          <w:kern w:val="2"/>
          <w:sz w:val="24"/>
          <w:szCs w:val="24"/>
          <w:lang w:eastAsia="en-IN"/>
          <w14:ligatures w14:val="standardContextual"/>
        </w:rPr>
      </w:pPr>
      <w:r>
        <w:fldChar w:fldCharType="begin"/>
      </w:r>
      <w:r>
        <w:instrText xml:space="preserve"> HYPERLINK \l "_Toc214137665" </w:instrText>
      </w:r>
      <w:r>
        <w:fldChar w:fldCharType="separate"/>
      </w:r>
      <w:r>
        <w:rPr>
          <w:rStyle w:val="8"/>
          <w:rFonts w:ascii="Times New Roman" w:hAnsi="Times New Roman" w:cs="Times New Roman"/>
          <w:b w:val="0"/>
          <w:bCs w:val="0"/>
          <w:sz w:val="24"/>
          <w:szCs w:val="24"/>
        </w:rPr>
        <w:t>Comprehensive strategic analysis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_Toc214137665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6</w:t>
      </w:r>
      <w:r>
        <w:rPr>
          <w:rFonts w:ascii="Times New Roman" w:hAnsi="Times New Roman" w:cs="Times New Roman"/>
          <w:b w:val="0"/>
          <w:bCs w:val="0"/>
          <w:sz w:val="24"/>
          <w:szCs w:val="24"/>
        </w:rPr>
        <w:fldChar w:fldCharType="end"/>
      </w:r>
      <w:r>
        <w:fldChar w:fldCharType="end"/>
      </w:r>
    </w:p>
    <w:p w14:paraId="74A1C44D">
      <w:pPr>
        <w:pStyle w:val="12"/>
        <w:tabs>
          <w:tab w:val="right" w:leader="dot" w:pos="9016"/>
        </w:tabs>
        <w:jc w:val="both"/>
        <w:rPr>
          <w:rFonts w:ascii="Times New Roman" w:hAnsi="Times New Roman" w:eastAsia="SimSun" w:cs="Times New Roman"/>
          <w:i w:val="0"/>
          <w:iCs w:val="0"/>
          <w:kern w:val="2"/>
          <w:sz w:val="24"/>
          <w:szCs w:val="24"/>
          <w:lang w:eastAsia="en-IN"/>
          <w14:ligatures w14:val="standardContextual"/>
        </w:rPr>
      </w:pPr>
      <w:r>
        <w:fldChar w:fldCharType="begin"/>
      </w:r>
      <w:r>
        <w:instrText xml:space="preserve"> HYPERLINK \l "_Toc214137666" </w:instrText>
      </w:r>
      <w:r>
        <w:fldChar w:fldCharType="separate"/>
      </w:r>
      <w:r>
        <w:rPr>
          <w:rStyle w:val="8"/>
          <w:rFonts w:ascii="Times New Roman" w:hAnsi="Times New Roman" w:cs="Times New Roman"/>
          <w:i w:val="0"/>
          <w:iCs w:val="0"/>
          <w:sz w:val="24"/>
          <w:szCs w:val="24"/>
        </w:rPr>
        <w:t>PESTLE ANALYSIS</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_Toc214137666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6</w:t>
      </w:r>
      <w:r>
        <w:rPr>
          <w:rFonts w:ascii="Times New Roman" w:hAnsi="Times New Roman" w:cs="Times New Roman"/>
          <w:i w:val="0"/>
          <w:iCs w:val="0"/>
          <w:sz w:val="24"/>
          <w:szCs w:val="24"/>
        </w:rPr>
        <w:fldChar w:fldCharType="end"/>
      </w:r>
      <w:r>
        <w:fldChar w:fldCharType="end"/>
      </w:r>
    </w:p>
    <w:p w14:paraId="6B27732D">
      <w:pPr>
        <w:pStyle w:val="12"/>
        <w:tabs>
          <w:tab w:val="right" w:leader="dot" w:pos="9016"/>
        </w:tabs>
        <w:jc w:val="both"/>
        <w:rPr>
          <w:rFonts w:ascii="Times New Roman" w:hAnsi="Times New Roman" w:eastAsia="SimSun" w:cs="Times New Roman"/>
          <w:i w:val="0"/>
          <w:iCs w:val="0"/>
          <w:kern w:val="2"/>
          <w:sz w:val="24"/>
          <w:szCs w:val="24"/>
          <w:lang w:eastAsia="en-IN"/>
          <w14:ligatures w14:val="standardContextual"/>
        </w:rPr>
      </w:pPr>
      <w:r>
        <w:fldChar w:fldCharType="begin"/>
      </w:r>
      <w:r>
        <w:instrText xml:space="preserve"> HYPERLINK \l "_Toc214137667" </w:instrText>
      </w:r>
      <w:r>
        <w:fldChar w:fldCharType="separate"/>
      </w:r>
      <w:r>
        <w:rPr>
          <w:rStyle w:val="8"/>
          <w:rFonts w:ascii="Times New Roman" w:hAnsi="Times New Roman" w:cs="Times New Roman"/>
          <w:i w:val="0"/>
          <w:iCs w:val="0"/>
          <w:sz w:val="24"/>
          <w:szCs w:val="24"/>
        </w:rPr>
        <w:t>PORTER FIVE FORCES</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_Toc214137667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8</w:t>
      </w:r>
      <w:r>
        <w:rPr>
          <w:rFonts w:ascii="Times New Roman" w:hAnsi="Times New Roman" w:cs="Times New Roman"/>
          <w:i w:val="0"/>
          <w:iCs w:val="0"/>
          <w:sz w:val="24"/>
          <w:szCs w:val="24"/>
        </w:rPr>
        <w:fldChar w:fldCharType="end"/>
      </w:r>
      <w:r>
        <w:fldChar w:fldCharType="end"/>
      </w:r>
    </w:p>
    <w:p w14:paraId="27BD768D">
      <w:pPr>
        <w:pStyle w:val="12"/>
        <w:tabs>
          <w:tab w:val="right" w:leader="dot" w:pos="9016"/>
        </w:tabs>
        <w:jc w:val="both"/>
        <w:rPr>
          <w:rFonts w:ascii="Times New Roman" w:hAnsi="Times New Roman" w:eastAsia="SimSun" w:cs="Times New Roman"/>
          <w:i w:val="0"/>
          <w:iCs w:val="0"/>
          <w:kern w:val="2"/>
          <w:sz w:val="24"/>
          <w:szCs w:val="24"/>
          <w:lang w:eastAsia="en-IN"/>
          <w14:ligatures w14:val="standardContextual"/>
        </w:rPr>
      </w:pPr>
      <w:r>
        <w:fldChar w:fldCharType="begin"/>
      </w:r>
      <w:r>
        <w:instrText xml:space="preserve"> HYPERLINK \l "_Toc214137668" </w:instrText>
      </w:r>
      <w:r>
        <w:fldChar w:fldCharType="separate"/>
      </w:r>
      <w:r>
        <w:rPr>
          <w:rStyle w:val="8"/>
          <w:rFonts w:ascii="Times New Roman" w:hAnsi="Times New Roman" w:cs="Times New Roman"/>
          <w:i w:val="0"/>
          <w:iCs w:val="0"/>
          <w:sz w:val="24"/>
          <w:szCs w:val="24"/>
        </w:rPr>
        <w:t>VRIO</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_Toc214137668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10</w:t>
      </w:r>
      <w:r>
        <w:rPr>
          <w:rFonts w:ascii="Times New Roman" w:hAnsi="Times New Roman" w:cs="Times New Roman"/>
          <w:i w:val="0"/>
          <w:iCs w:val="0"/>
          <w:sz w:val="24"/>
          <w:szCs w:val="24"/>
        </w:rPr>
        <w:fldChar w:fldCharType="end"/>
      </w:r>
      <w:r>
        <w:fldChar w:fldCharType="end"/>
      </w:r>
    </w:p>
    <w:p w14:paraId="6523E027">
      <w:pPr>
        <w:pStyle w:val="12"/>
        <w:tabs>
          <w:tab w:val="right" w:leader="dot" w:pos="9016"/>
        </w:tabs>
        <w:jc w:val="both"/>
        <w:rPr>
          <w:rFonts w:ascii="Times New Roman" w:hAnsi="Times New Roman" w:eastAsia="SimSun" w:cs="Times New Roman"/>
          <w:i w:val="0"/>
          <w:iCs w:val="0"/>
          <w:kern w:val="2"/>
          <w:sz w:val="24"/>
          <w:szCs w:val="24"/>
          <w:lang w:eastAsia="en-IN"/>
          <w14:ligatures w14:val="standardContextual"/>
        </w:rPr>
      </w:pPr>
      <w:r>
        <w:fldChar w:fldCharType="begin"/>
      </w:r>
      <w:r>
        <w:instrText xml:space="preserve"> HYPERLINK \l "_Toc214137669" </w:instrText>
      </w:r>
      <w:r>
        <w:fldChar w:fldCharType="separate"/>
      </w:r>
      <w:r>
        <w:rPr>
          <w:rStyle w:val="8"/>
          <w:rFonts w:ascii="Times New Roman" w:hAnsi="Times New Roman" w:cs="Times New Roman"/>
          <w:i w:val="0"/>
          <w:iCs w:val="0"/>
          <w:sz w:val="24"/>
          <w:szCs w:val="24"/>
        </w:rPr>
        <w:t>SWOT</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_Toc214137669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11</w:t>
      </w:r>
      <w:r>
        <w:rPr>
          <w:rFonts w:ascii="Times New Roman" w:hAnsi="Times New Roman" w:cs="Times New Roman"/>
          <w:i w:val="0"/>
          <w:iCs w:val="0"/>
          <w:sz w:val="24"/>
          <w:szCs w:val="24"/>
        </w:rPr>
        <w:fldChar w:fldCharType="end"/>
      </w:r>
      <w:r>
        <w:fldChar w:fldCharType="end"/>
      </w:r>
    </w:p>
    <w:p w14:paraId="0A2AC40E">
      <w:pPr>
        <w:pStyle w:val="11"/>
        <w:tabs>
          <w:tab w:val="right" w:leader="dot" w:pos="9016"/>
        </w:tabs>
        <w:jc w:val="both"/>
        <w:rPr>
          <w:rFonts w:ascii="Times New Roman" w:hAnsi="Times New Roman" w:eastAsia="SimSun" w:cs="Times New Roman"/>
          <w:b w:val="0"/>
          <w:bCs w:val="0"/>
          <w:kern w:val="2"/>
          <w:sz w:val="24"/>
          <w:szCs w:val="24"/>
          <w:lang w:eastAsia="en-IN"/>
          <w14:ligatures w14:val="standardContextual"/>
        </w:rPr>
      </w:pPr>
      <w:r>
        <w:fldChar w:fldCharType="begin"/>
      </w:r>
      <w:r>
        <w:instrText xml:space="preserve"> HYPERLINK \l "_Toc214137670" </w:instrText>
      </w:r>
      <w:r>
        <w:fldChar w:fldCharType="separate"/>
      </w:r>
      <w:r>
        <w:rPr>
          <w:rStyle w:val="8"/>
          <w:rFonts w:ascii="Times New Roman" w:hAnsi="Times New Roman" w:cs="Times New Roman"/>
          <w:b w:val="0"/>
          <w:bCs w:val="0"/>
          <w:sz w:val="24"/>
          <w:szCs w:val="24"/>
        </w:rPr>
        <w:t>Strategy development and formulation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_Toc214137670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13</w:t>
      </w:r>
      <w:r>
        <w:rPr>
          <w:rFonts w:ascii="Times New Roman" w:hAnsi="Times New Roman" w:cs="Times New Roman"/>
          <w:b w:val="0"/>
          <w:bCs w:val="0"/>
          <w:sz w:val="24"/>
          <w:szCs w:val="24"/>
        </w:rPr>
        <w:fldChar w:fldCharType="end"/>
      </w:r>
      <w:r>
        <w:fldChar w:fldCharType="end"/>
      </w:r>
    </w:p>
    <w:p w14:paraId="520290F9">
      <w:pPr>
        <w:pStyle w:val="12"/>
        <w:tabs>
          <w:tab w:val="right" w:leader="dot" w:pos="9016"/>
        </w:tabs>
        <w:jc w:val="both"/>
        <w:rPr>
          <w:rFonts w:ascii="Times New Roman" w:hAnsi="Times New Roman" w:eastAsia="SimSun" w:cs="Times New Roman"/>
          <w:i w:val="0"/>
          <w:iCs w:val="0"/>
          <w:kern w:val="2"/>
          <w:sz w:val="24"/>
          <w:szCs w:val="24"/>
          <w:lang w:eastAsia="en-IN"/>
          <w14:ligatures w14:val="standardContextual"/>
        </w:rPr>
      </w:pPr>
      <w:r>
        <w:fldChar w:fldCharType="begin"/>
      </w:r>
      <w:r>
        <w:instrText xml:space="preserve"> HYPERLINK \l "_Toc214137671" </w:instrText>
      </w:r>
      <w:r>
        <w:fldChar w:fldCharType="separate"/>
      </w:r>
      <w:r>
        <w:rPr>
          <w:rStyle w:val="8"/>
          <w:rFonts w:ascii="Times New Roman" w:hAnsi="Times New Roman" w:cs="Times New Roman"/>
          <w:i w:val="0"/>
          <w:iCs w:val="0"/>
          <w:sz w:val="24"/>
          <w:szCs w:val="24"/>
        </w:rPr>
        <w:t>Ansoff matrix</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_Toc214137671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13</w:t>
      </w:r>
      <w:r>
        <w:rPr>
          <w:rFonts w:ascii="Times New Roman" w:hAnsi="Times New Roman" w:cs="Times New Roman"/>
          <w:i w:val="0"/>
          <w:iCs w:val="0"/>
          <w:sz w:val="24"/>
          <w:szCs w:val="24"/>
        </w:rPr>
        <w:fldChar w:fldCharType="end"/>
      </w:r>
      <w:r>
        <w:fldChar w:fldCharType="end"/>
      </w:r>
    </w:p>
    <w:p w14:paraId="08E1525D">
      <w:pPr>
        <w:pStyle w:val="12"/>
        <w:tabs>
          <w:tab w:val="right" w:leader="dot" w:pos="9016"/>
        </w:tabs>
        <w:jc w:val="both"/>
        <w:rPr>
          <w:rFonts w:ascii="Times New Roman" w:hAnsi="Times New Roman" w:eastAsia="SimSun" w:cs="Times New Roman"/>
          <w:i w:val="0"/>
          <w:iCs w:val="0"/>
          <w:kern w:val="2"/>
          <w:sz w:val="24"/>
          <w:szCs w:val="24"/>
          <w:lang w:eastAsia="en-IN"/>
          <w14:ligatures w14:val="standardContextual"/>
        </w:rPr>
      </w:pPr>
      <w:r>
        <w:fldChar w:fldCharType="begin"/>
      </w:r>
      <w:r>
        <w:instrText xml:space="preserve"> HYPERLINK \l "_Toc214137672" </w:instrText>
      </w:r>
      <w:r>
        <w:fldChar w:fldCharType="separate"/>
      </w:r>
      <w:r>
        <w:rPr>
          <w:rStyle w:val="8"/>
          <w:rFonts w:ascii="Times New Roman" w:hAnsi="Times New Roman" w:cs="Times New Roman"/>
          <w:i w:val="0"/>
          <w:iCs w:val="0"/>
          <w:sz w:val="24"/>
          <w:szCs w:val="24"/>
        </w:rPr>
        <w:t>Porter's generic strategy</w:t>
      </w:r>
      <w:r>
        <w:rPr>
          <w:rFonts w:ascii="Times New Roman" w:hAnsi="Times New Roman" w:cs="Times New Roman"/>
          <w:i w:val="0"/>
          <w:iCs w:val="0"/>
          <w:sz w:val="24"/>
          <w:szCs w:val="24"/>
        </w:rPr>
        <w:tab/>
      </w:r>
      <w:r>
        <w:rPr>
          <w:rFonts w:ascii="Times New Roman" w:hAnsi="Times New Roman" w:cs="Times New Roman"/>
          <w:i w:val="0"/>
          <w:iCs w:val="0"/>
          <w:sz w:val="24"/>
          <w:szCs w:val="24"/>
        </w:rPr>
        <w:fldChar w:fldCharType="begin"/>
      </w:r>
      <w:r>
        <w:rPr>
          <w:rFonts w:ascii="Times New Roman" w:hAnsi="Times New Roman" w:cs="Times New Roman"/>
          <w:i w:val="0"/>
          <w:iCs w:val="0"/>
          <w:sz w:val="24"/>
          <w:szCs w:val="24"/>
        </w:rPr>
        <w:instrText xml:space="preserve"> PAGEREF _Toc214137672 \h </w:instrText>
      </w:r>
      <w:r>
        <w:rPr>
          <w:rFonts w:ascii="Times New Roman" w:hAnsi="Times New Roman" w:cs="Times New Roman"/>
          <w:i w:val="0"/>
          <w:iCs w:val="0"/>
          <w:sz w:val="24"/>
          <w:szCs w:val="24"/>
        </w:rPr>
        <w:fldChar w:fldCharType="separate"/>
      </w:r>
      <w:r>
        <w:rPr>
          <w:rFonts w:ascii="Times New Roman" w:hAnsi="Times New Roman" w:cs="Times New Roman"/>
          <w:i w:val="0"/>
          <w:iCs w:val="0"/>
          <w:sz w:val="24"/>
          <w:szCs w:val="24"/>
        </w:rPr>
        <w:t>15</w:t>
      </w:r>
      <w:r>
        <w:rPr>
          <w:rFonts w:ascii="Times New Roman" w:hAnsi="Times New Roman" w:cs="Times New Roman"/>
          <w:i w:val="0"/>
          <w:iCs w:val="0"/>
          <w:sz w:val="24"/>
          <w:szCs w:val="24"/>
        </w:rPr>
        <w:fldChar w:fldCharType="end"/>
      </w:r>
      <w:r>
        <w:fldChar w:fldCharType="end"/>
      </w:r>
    </w:p>
    <w:p w14:paraId="0F18D868">
      <w:pPr>
        <w:pStyle w:val="11"/>
        <w:tabs>
          <w:tab w:val="right" w:leader="dot" w:pos="9016"/>
        </w:tabs>
        <w:jc w:val="both"/>
        <w:rPr>
          <w:rFonts w:ascii="Times New Roman" w:hAnsi="Times New Roman" w:eastAsia="SimSun" w:cs="Times New Roman"/>
          <w:b w:val="0"/>
          <w:bCs w:val="0"/>
          <w:kern w:val="2"/>
          <w:sz w:val="24"/>
          <w:szCs w:val="24"/>
          <w:lang w:eastAsia="en-IN"/>
          <w14:ligatures w14:val="standardContextual"/>
        </w:rPr>
      </w:pPr>
      <w:r>
        <w:fldChar w:fldCharType="begin"/>
      </w:r>
      <w:r>
        <w:instrText xml:space="preserve"> HYPERLINK \l "_Toc214137673" </w:instrText>
      </w:r>
      <w:r>
        <w:fldChar w:fldCharType="separate"/>
      </w:r>
      <w:r>
        <w:rPr>
          <w:rStyle w:val="8"/>
          <w:rFonts w:ascii="Times New Roman" w:hAnsi="Times New Roman" w:cs="Times New Roman"/>
          <w:b w:val="0"/>
          <w:bCs w:val="0"/>
          <w:sz w:val="24"/>
          <w:szCs w:val="24"/>
        </w:rPr>
        <w:t>Market entry strategies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_Toc214137673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17</w:t>
      </w:r>
      <w:r>
        <w:rPr>
          <w:rFonts w:ascii="Times New Roman" w:hAnsi="Times New Roman" w:cs="Times New Roman"/>
          <w:b w:val="0"/>
          <w:bCs w:val="0"/>
          <w:sz w:val="24"/>
          <w:szCs w:val="24"/>
        </w:rPr>
        <w:fldChar w:fldCharType="end"/>
      </w:r>
      <w:r>
        <w:fldChar w:fldCharType="end"/>
      </w:r>
    </w:p>
    <w:p w14:paraId="21CC45EC">
      <w:pPr>
        <w:pStyle w:val="11"/>
        <w:tabs>
          <w:tab w:val="right" w:leader="dot" w:pos="9016"/>
        </w:tabs>
        <w:jc w:val="both"/>
        <w:rPr>
          <w:rFonts w:ascii="Times New Roman" w:hAnsi="Times New Roman" w:eastAsia="SimSun" w:cs="Times New Roman"/>
          <w:b w:val="0"/>
          <w:bCs w:val="0"/>
          <w:kern w:val="2"/>
          <w:sz w:val="24"/>
          <w:szCs w:val="24"/>
          <w:lang w:eastAsia="en-IN"/>
          <w14:ligatures w14:val="standardContextual"/>
        </w:rPr>
      </w:pPr>
      <w:r>
        <w:fldChar w:fldCharType="begin"/>
      </w:r>
      <w:r>
        <w:instrText xml:space="preserve"> HYPERLINK \l "_Toc214137674" </w:instrText>
      </w:r>
      <w:r>
        <w:fldChar w:fldCharType="separate"/>
      </w:r>
      <w:r>
        <w:rPr>
          <w:rStyle w:val="8"/>
          <w:rFonts w:ascii="Times New Roman" w:hAnsi="Times New Roman" w:cs="Times New Roman"/>
          <w:b w:val="0"/>
          <w:bCs w:val="0"/>
          <w:sz w:val="24"/>
          <w:szCs w:val="24"/>
        </w:rPr>
        <w:t>Performance evaluation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_Toc214137674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19</w:t>
      </w:r>
      <w:r>
        <w:rPr>
          <w:rFonts w:ascii="Times New Roman" w:hAnsi="Times New Roman" w:cs="Times New Roman"/>
          <w:b w:val="0"/>
          <w:bCs w:val="0"/>
          <w:sz w:val="24"/>
          <w:szCs w:val="24"/>
        </w:rPr>
        <w:fldChar w:fldCharType="end"/>
      </w:r>
      <w:r>
        <w:fldChar w:fldCharType="end"/>
      </w:r>
    </w:p>
    <w:p w14:paraId="6A81BAAF">
      <w:pPr>
        <w:pStyle w:val="11"/>
        <w:tabs>
          <w:tab w:val="right" w:leader="dot" w:pos="9016"/>
        </w:tabs>
        <w:jc w:val="both"/>
        <w:rPr>
          <w:rFonts w:ascii="Times New Roman" w:hAnsi="Times New Roman" w:eastAsia="SimSun" w:cs="Times New Roman"/>
          <w:b w:val="0"/>
          <w:bCs w:val="0"/>
          <w:kern w:val="2"/>
          <w:sz w:val="24"/>
          <w:szCs w:val="24"/>
          <w:lang w:eastAsia="en-IN"/>
          <w14:ligatures w14:val="standardContextual"/>
        </w:rPr>
      </w:pPr>
      <w:r>
        <w:fldChar w:fldCharType="begin"/>
      </w:r>
      <w:r>
        <w:instrText xml:space="preserve"> HYPERLINK \l "_Toc214137675" </w:instrText>
      </w:r>
      <w:r>
        <w:fldChar w:fldCharType="separate"/>
      </w:r>
      <w:r>
        <w:rPr>
          <w:rStyle w:val="8"/>
          <w:rFonts w:ascii="Times New Roman" w:hAnsi="Times New Roman" w:cs="Times New Roman"/>
          <w:b w:val="0"/>
          <w:bCs w:val="0"/>
          <w:sz w:val="24"/>
          <w:szCs w:val="24"/>
        </w:rPr>
        <w:t>Conclusion</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_Toc214137675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21</w:t>
      </w:r>
      <w:r>
        <w:rPr>
          <w:rFonts w:ascii="Times New Roman" w:hAnsi="Times New Roman" w:cs="Times New Roman"/>
          <w:b w:val="0"/>
          <w:bCs w:val="0"/>
          <w:sz w:val="24"/>
          <w:szCs w:val="24"/>
        </w:rPr>
        <w:fldChar w:fldCharType="end"/>
      </w:r>
      <w:r>
        <w:fldChar w:fldCharType="end"/>
      </w:r>
    </w:p>
    <w:p w14:paraId="3BCBDAE4">
      <w:pPr>
        <w:pStyle w:val="11"/>
        <w:tabs>
          <w:tab w:val="right" w:leader="dot" w:pos="9016"/>
        </w:tabs>
        <w:jc w:val="both"/>
        <w:rPr>
          <w:rFonts w:ascii="Times New Roman" w:hAnsi="Times New Roman" w:eastAsia="SimSun" w:cs="Times New Roman"/>
          <w:b w:val="0"/>
          <w:bCs w:val="0"/>
          <w:kern w:val="2"/>
          <w:sz w:val="24"/>
          <w:szCs w:val="24"/>
          <w:lang w:eastAsia="en-IN"/>
          <w14:ligatures w14:val="standardContextual"/>
        </w:rPr>
      </w:pPr>
      <w:r>
        <w:fldChar w:fldCharType="begin"/>
      </w:r>
      <w:r>
        <w:instrText xml:space="preserve"> HYPERLINK \l "_Toc214137676" </w:instrText>
      </w:r>
      <w:r>
        <w:fldChar w:fldCharType="separate"/>
      </w:r>
      <w:r>
        <w:rPr>
          <w:rStyle w:val="8"/>
          <w:rFonts w:ascii="Times New Roman" w:hAnsi="Times New Roman" w:cs="Times New Roman"/>
          <w:b w:val="0"/>
          <w:bCs w:val="0"/>
          <w:sz w:val="24"/>
          <w:szCs w:val="24"/>
        </w:rPr>
        <w:t>References</w:t>
      </w:r>
      <w:r>
        <w:rPr>
          <w:rFonts w:ascii="Times New Roman" w:hAnsi="Times New Roman" w:cs="Times New Roman"/>
          <w:b w:val="0"/>
          <w:bCs w:val="0"/>
          <w:sz w:val="24"/>
          <w:szCs w:val="24"/>
        </w:rPr>
        <w:tab/>
      </w:r>
      <w:r>
        <w:rPr>
          <w:rFonts w:ascii="Times New Roman" w:hAnsi="Times New Roman" w:cs="Times New Roman"/>
          <w:b w:val="0"/>
          <w:bCs w:val="0"/>
          <w:sz w:val="24"/>
          <w:szCs w:val="24"/>
        </w:rPr>
        <w:fldChar w:fldCharType="begin"/>
      </w:r>
      <w:r>
        <w:rPr>
          <w:rFonts w:ascii="Times New Roman" w:hAnsi="Times New Roman" w:cs="Times New Roman"/>
          <w:b w:val="0"/>
          <w:bCs w:val="0"/>
          <w:sz w:val="24"/>
          <w:szCs w:val="24"/>
        </w:rPr>
        <w:instrText xml:space="preserve"> PAGEREF _Toc214137676 \h </w:instrText>
      </w:r>
      <w:r>
        <w:rPr>
          <w:rFonts w:ascii="Times New Roman" w:hAnsi="Times New Roman" w:cs="Times New Roman"/>
          <w:b w:val="0"/>
          <w:bCs w:val="0"/>
          <w:sz w:val="24"/>
          <w:szCs w:val="24"/>
        </w:rPr>
        <w:fldChar w:fldCharType="separate"/>
      </w:r>
      <w:r>
        <w:rPr>
          <w:rFonts w:ascii="Times New Roman" w:hAnsi="Times New Roman" w:cs="Times New Roman"/>
          <w:b w:val="0"/>
          <w:bCs w:val="0"/>
          <w:sz w:val="24"/>
          <w:szCs w:val="24"/>
        </w:rPr>
        <w:t>23</w:t>
      </w:r>
      <w:r>
        <w:rPr>
          <w:rFonts w:ascii="Times New Roman" w:hAnsi="Times New Roman" w:cs="Times New Roman"/>
          <w:b w:val="0"/>
          <w:bCs w:val="0"/>
          <w:sz w:val="24"/>
          <w:szCs w:val="24"/>
        </w:rPr>
        <w:fldChar w:fldCharType="end"/>
      </w:r>
      <w:r>
        <w:fldChar w:fldCharType="end"/>
      </w:r>
    </w:p>
    <w:p w14:paraId="68B1FCD0">
      <w:r>
        <w:rPr>
          <w:rFonts w:cs="Times New Roman"/>
          <w:color w:val="000000"/>
          <w:szCs w:val="24"/>
        </w:rPr>
        <w:fldChar w:fldCharType="end"/>
      </w:r>
    </w:p>
    <w:p w14:paraId="096EBBA3">
      <w:pPr>
        <w:spacing w:line="259"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594C99B5">
      <w:pPr>
        <w:pStyle w:val="2"/>
      </w:pPr>
      <w:bookmarkStart w:id="0" w:name="_Toc214137661"/>
      <w:r>
        <w:t>Introduction</w:t>
      </w:r>
      <w:bookmarkEnd w:id="0"/>
      <w:r>
        <w:t> </w:t>
      </w:r>
    </w:p>
    <w:p w14:paraId="58842266">
      <w:pPr>
        <w:spacing w:before="120" w:after="120"/>
        <w:rPr>
          <w:rFonts w:eastAsia="Times New Roman" w:cs="Times New Roman"/>
          <w:color w:val="000000"/>
          <w:szCs w:val="24"/>
          <w:lang w:eastAsia="en-IN"/>
        </w:rPr>
      </w:pPr>
      <w:r>
        <w:rPr>
          <w:rFonts w:eastAsia="Times New Roman" w:cs="Times New Roman"/>
          <w:color w:val="000000"/>
          <w:szCs w:val="24"/>
          <w:lang w:eastAsia="en-IN"/>
        </w:rPr>
        <w:t>Aldi is considered one of the significant players in the Global retail industry, which focuses on providing affordability and simplicity in its products to sustain the attraction of consumers (</w:t>
      </w:r>
      <w:r>
        <w:rPr>
          <w:rFonts w:cs="Times New Roman"/>
          <w:szCs w:val="24"/>
        </w:rPr>
        <w:t>Fabric Academy, 2025</w:t>
      </w:r>
      <w:r>
        <w:rPr>
          <w:rFonts w:eastAsia="Times New Roman" w:cs="Times New Roman"/>
          <w:color w:val="000000"/>
          <w:szCs w:val="24"/>
          <w:lang w:eastAsia="en-IN"/>
        </w:rPr>
        <w:t>). Apart from that, the organisation has almost 12000 stores across the globe, and emphasis on sustainability and value through the services helps the organisation to secure a significant position in the Global market. Through shaping concern on limiting the product range by focusing on private level brands helps in shaping operation and efficiency, alongside maintaining quality standards to remain in the competition.</w:t>
      </w:r>
    </w:p>
    <w:p w14:paraId="16F01EAE">
      <w:pPr>
        <w:spacing w:before="120" w:after="120"/>
        <w:jc w:val="center"/>
      </w:pPr>
      <w:r>
        <w:drawing>
          <wp:inline distT="0" distB="0" distL="0" distR="0">
            <wp:extent cx="3956685" cy="2967990"/>
            <wp:effectExtent l="0" t="0" r="5715" b="3810"/>
            <wp:docPr id="1026" name="Picture 1" descr="Aldi sets its sights on cutting food waste by 90% after smashing previous  target | Retail Week"/>
            <wp:cNvGraphicFramePr/>
            <a:graphic xmlns:a="http://schemas.openxmlformats.org/drawingml/2006/main">
              <a:graphicData uri="http://schemas.openxmlformats.org/drawingml/2006/picture">
                <pic:pic xmlns:pic="http://schemas.openxmlformats.org/drawingml/2006/picture">
                  <pic:nvPicPr>
                    <pic:cNvPr id="1026" name="Picture 1" descr="Aldi sets its sights on cutting food waste by 90% after smashing previous  target | Retail Week"/>
                    <pic:cNvPicPr/>
                  </pic:nvPicPr>
                  <pic:blipFill>
                    <a:blip r:embed="rId9" cstate="print"/>
                    <a:srcRect/>
                    <a:stretch>
                      <a:fillRect/>
                    </a:stretch>
                  </pic:blipFill>
                  <pic:spPr>
                    <a:xfrm>
                      <a:off x="0" y="0"/>
                      <a:ext cx="3957161" cy="2968090"/>
                    </a:xfrm>
                    <a:prstGeom prst="rect">
                      <a:avLst/>
                    </a:prstGeom>
                    <a:ln>
                      <a:noFill/>
                    </a:ln>
                  </pic:spPr>
                </pic:pic>
              </a:graphicData>
            </a:graphic>
          </wp:inline>
        </w:drawing>
      </w:r>
    </w:p>
    <w:p w14:paraId="00914159">
      <w:pPr>
        <w:spacing w:before="120" w:after="120"/>
        <w:jc w:val="center"/>
        <w:rPr>
          <w:b/>
          <w:bCs/>
        </w:rPr>
      </w:pPr>
      <w:r>
        <w:rPr>
          <w:b/>
          <w:bCs/>
        </w:rPr>
        <w:t>Figure 1: Aldi</w:t>
      </w:r>
    </w:p>
    <w:p w14:paraId="6B2068E6">
      <w:pPr>
        <w:spacing w:before="120" w:after="120"/>
        <w:jc w:val="center"/>
        <w:rPr>
          <w:rFonts w:eastAsia="Times New Roman" w:cs="Times New Roman"/>
          <w:color w:val="000000"/>
          <w:szCs w:val="24"/>
          <w:lang w:eastAsia="en-IN"/>
        </w:rPr>
      </w:pPr>
      <w:r>
        <w:t>Source: (Robinson, n.d.)</w:t>
      </w:r>
    </w:p>
    <w:p w14:paraId="0A0A8A3A">
      <w:pPr>
        <w:spacing w:before="120" w:after="120"/>
        <w:rPr>
          <w:rFonts w:eastAsia="Times New Roman" w:cs="Times New Roman"/>
          <w:color w:val="000000"/>
          <w:szCs w:val="24"/>
          <w:lang w:eastAsia="en-IN"/>
        </w:rPr>
      </w:pPr>
      <w:r>
        <w:rPr>
          <w:rFonts w:eastAsia="Times New Roman" w:cs="Times New Roman"/>
          <w:color w:val="000000"/>
          <w:szCs w:val="24"/>
          <w:lang w:eastAsia="en-IN"/>
        </w:rPr>
        <w:t>Concerning expanding business growth into Canada, it helps Aldi to maintain stable development, and it also helps in increasing consumer concern. As consumers in Canada focus on purchasing affordable products, it provides an opportunity for the organisation to expand and grow by gaining awareness about changing consumer preferences (</w:t>
      </w:r>
      <w:r>
        <w:rPr>
          <w:rFonts w:cs="Times New Roman"/>
          <w:i/>
          <w:iCs/>
          <w:szCs w:val="24"/>
        </w:rPr>
        <w:t>Santander trade, 2025</w:t>
      </w:r>
      <w:r>
        <w:rPr>
          <w:rFonts w:eastAsia="Times New Roman" w:cs="Times New Roman"/>
          <w:color w:val="000000"/>
          <w:szCs w:val="24"/>
          <w:lang w:eastAsia="en-IN"/>
        </w:rPr>
        <w:t>). Sustaining concern on elevating awareness about consumer preferences by focusing on providing attractive offerings helps to maintain success through expanding business. Apart from that, concerning shaping operation and efficiency, Aldi could focus on attracting cost-conscious consumers, which also contributes to a beneficial impact to create a significant position in the Canadian market. The primary purpose of the report is to focus on analysing the strategic approach of Aldi in expanding business growth to the Canadian market. Apart from that, analysing diverse analytical frameworks and theories helps in evaluating the approach of entering into the Canadian market and the ability to create a significant position in the market.</w:t>
      </w:r>
    </w:p>
    <w:p w14:paraId="59A43AD9">
      <w:pPr>
        <w:pStyle w:val="2"/>
      </w:pPr>
      <w:bookmarkStart w:id="1" w:name="_Toc214137662"/>
      <w:r>
        <w:t>Selection of the company and the target market</w:t>
      </w:r>
      <w:bookmarkEnd w:id="1"/>
    </w:p>
    <w:p w14:paraId="0A1D3201">
      <w:pPr>
        <w:pStyle w:val="3"/>
      </w:pPr>
      <w:bookmarkStart w:id="2" w:name="_Toc214137663"/>
      <w:r>
        <w:t>Company overview</w:t>
      </w:r>
      <w:bookmarkEnd w:id="2"/>
      <w:r>
        <w:t> </w:t>
      </w:r>
    </w:p>
    <w:p w14:paraId="2BFED7D7">
      <w:pPr>
        <w:spacing w:before="120" w:after="120"/>
        <w:rPr>
          <w:rFonts w:eastAsia="Times New Roman" w:cs="Times New Roman"/>
          <w:color w:val="000000"/>
          <w:szCs w:val="24"/>
          <w:lang w:eastAsia="en-IN"/>
        </w:rPr>
      </w:pPr>
      <w:r>
        <w:rPr>
          <w:rFonts w:eastAsia="Times New Roman" w:cs="Times New Roman"/>
          <w:color w:val="000000"/>
          <w:szCs w:val="24"/>
          <w:lang w:eastAsia="en-IN"/>
        </w:rPr>
        <w:t>Aldi is known for its discount offering and different identities in the retail industry, which also contribute significant benefits to the organisation in creating long-term relationships with consumers (</w:t>
      </w:r>
      <w:r>
        <w:rPr>
          <w:rFonts w:cs="Times New Roman"/>
          <w:szCs w:val="24"/>
        </w:rPr>
        <w:t>Kumar, 2024</w:t>
      </w:r>
      <w:r>
        <w:rPr>
          <w:rFonts w:eastAsia="Times New Roman" w:cs="Times New Roman"/>
          <w:color w:val="000000"/>
          <w:szCs w:val="24"/>
          <w:lang w:eastAsia="en-IN"/>
        </w:rPr>
        <w:t>). The organisation starts from a family-run grocery store, and it then expands business growth and creates one of the significant identities in the Global market by focusing on cost management and sustaining values in the consumer services. One of the significant philosophies which helps the organisation to retain its successful position in the Global market is to deliver quality products by sustaining high operational efficiency.</w:t>
      </w:r>
    </w:p>
    <w:p w14:paraId="2EB452EC">
      <w:pPr>
        <w:spacing w:before="120" w:after="120"/>
        <w:rPr>
          <w:rFonts w:eastAsia="Times New Roman" w:cs="Times New Roman"/>
          <w:color w:val="000000"/>
          <w:szCs w:val="24"/>
          <w:lang w:eastAsia="en-IN"/>
        </w:rPr>
      </w:pPr>
      <w:r>
        <w:rPr>
          <w:rFonts w:eastAsia="Times New Roman" w:cs="Times New Roman"/>
          <w:color w:val="000000"/>
          <w:szCs w:val="24"/>
          <w:lang w:eastAsia="en-IN"/>
        </w:rPr>
        <w:t>The organisation emphasises a limited product range by focusing on sustaining quality standards, which helps them to attract consumers due to affordability. Apart from that, the approach of the organisation in controlling the quality of the products and price range helps in maintaining streamlined efficiency, along with collaboration with manufacturers, strengthening work consistency. Maintaining consistency in the quality of the product helps in strengthening the cost-saving approach and delivering it to consumers (</w:t>
      </w:r>
      <w:r>
        <w:rPr>
          <w:rFonts w:cs="Times New Roman"/>
          <w:color w:val="222222"/>
          <w:szCs w:val="24"/>
          <w:shd w:val="clear" w:color="auto" w:fill="FFFFFF"/>
        </w:rPr>
        <w:t>Singh et al., 2023</w:t>
      </w:r>
      <w:r>
        <w:rPr>
          <w:rFonts w:eastAsia="Times New Roman" w:cs="Times New Roman"/>
          <w:color w:val="000000"/>
          <w:szCs w:val="24"/>
          <w:lang w:eastAsia="en-IN"/>
        </w:rPr>
        <w:t>).</w:t>
      </w:r>
    </w:p>
    <w:p w14:paraId="1A29852B">
      <w:pPr>
        <w:spacing w:before="120" w:after="120"/>
        <w:rPr>
          <w:rFonts w:eastAsia="Times New Roman" w:cs="Times New Roman"/>
          <w:color w:val="000000"/>
          <w:szCs w:val="24"/>
          <w:lang w:eastAsia="en-IN"/>
        </w:rPr>
      </w:pPr>
      <w:r>
        <w:rPr>
          <w:rFonts w:eastAsia="Times New Roman" w:cs="Times New Roman"/>
          <w:color w:val="000000"/>
          <w:szCs w:val="24"/>
          <w:lang w:eastAsia="en-IN"/>
        </w:rPr>
        <w:t>Concerning maintaining operational efficiency by focusing on creating a simple store structure, focusing on a cost-saving approach helps Aldi to sustain consumer retention. Considering that a simple store layout helps the organisation to minimise employee needs and also controls operational waste, which saves economic costs and fosters sustainability in the development and growth. Apart from that, integrating a sustainable approach also helps the organisation to identify changes in the packaging process, along with identifying resources which not only help in creating a significant brand identity but also add value in the consumer services.</w:t>
      </w:r>
    </w:p>
    <w:p w14:paraId="63AB7038">
      <w:pPr>
        <w:spacing w:before="120" w:after="120"/>
        <w:rPr>
          <w:rFonts w:eastAsia="Times New Roman" w:cs="Times New Roman"/>
          <w:color w:val="000000"/>
          <w:szCs w:val="24"/>
          <w:lang w:eastAsia="en-IN"/>
        </w:rPr>
      </w:pPr>
      <w:r>
        <w:rPr>
          <w:rFonts w:eastAsia="Times New Roman" w:cs="Times New Roman"/>
          <w:color w:val="000000"/>
          <w:szCs w:val="24"/>
          <w:lang w:eastAsia="en-IN"/>
        </w:rPr>
        <w:t>As the organisation has over 12000 stores around the globe, it emphasises adaptability for sustaining its work operation (</w:t>
      </w:r>
      <w:r>
        <w:rPr>
          <w:rFonts w:cs="Times New Roman"/>
          <w:color w:val="222222"/>
          <w:szCs w:val="24"/>
          <w:shd w:val="clear" w:color="auto" w:fill="FFFFFF"/>
        </w:rPr>
        <w:t>Ajibola, 2022</w:t>
      </w:r>
      <w:r>
        <w:rPr>
          <w:rFonts w:eastAsia="Times New Roman" w:cs="Times New Roman"/>
          <w:color w:val="000000"/>
          <w:szCs w:val="24"/>
          <w:lang w:eastAsia="en-IN"/>
        </w:rPr>
        <w:t>). Considering that emphasis on adopting diverse consumer preferences in different regions reflects a beneficial impact on economic growth, it shapes a cost-saving approach. As the organisation focuses on maintaining a cost-saving approach by not compromising with product quality, it helps in strengthening consumer engagement, and it expands opportunities for sustaining significant positions in the Global market. Aldi mainly targets middle-class families, along with people who are concerned about purchasing affordable products.</w:t>
      </w:r>
    </w:p>
    <w:p w14:paraId="4B45C7D8">
      <w:pPr>
        <w:spacing w:before="120" w:after="120"/>
        <w:rPr>
          <w:rFonts w:eastAsia="Times New Roman" w:cs="Times New Roman"/>
          <w:color w:val="000000"/>
          <w:szCs w:val="24"/>
          <w:lang w:eastAsia="en-IN"/>
        </w:rPr>
      </w:pPr>
      <w:r>
        <w:rPr>
          <w:rFonts w:eastAsia="Times New Roman" w:cs="Times New Roman"/>
          <w:color w:val="000000"/>
          <w:szCs w:val="24"/>
          <w:lang w:eastAsia="en-IN"/>
        </w:rPr>
        <w:t>The approach of Aldi by focusing on emphasising a low-cost structure helps in maintaining simplicity, along with integrating innovation in the work process. Apart from that, the organisation emphasises digital transformation, which enhances operational efficiency, along with maintaining consumer engagement by providing contactless payment. Investing in sustainable approaches also helps the organisation to maintain CSR goals by focusing on integrating robust regulatory aspects.</w:t>
      </w:r>
    </w:p>
    <w:p w14:paraId="62A2C14A">
      <w:pPr>
        <w:spacing w:before="120" w:after="120"/>
        <w:rPr>
          <w:rFonts w:eastAsia="Times New Roman" w:cs="Times New Roman"/>
          <w:color w:val="000000"/>
          <w:szCs w:val="24"/>
          <w:lang w:eastAsia="en-IN"/>
        </w:rPr>
      </w:pPr>
      <w:r>
        <w:rPr>
          <w:rFonts w:eastAsia="Times New Roman" w:cs="Times New Roman"/>
          <w:color w:val="000000"/>
          <w:szCs w:val="24"/>
          <w:lang w:eastAsia="en-IN"/>
        </w:rPr>
        <w:t>So Aldi has a differentiation approach of standing consumer relations on one side, in expanding business growth to the international market (</w:t>
      </w:r>
      <w:r>
        <w:rPr>
          <w:rFonts w:cs="Times New Roman"/>
          <w:color w:val="222222"/>
          <w:szCs w:val="24"/>
          <w:shd w:val="clear" w:color="auto" w:fill="FFFFFF"/>
        </w:rPr>
        <w:t>Wu, 2025</w:t>
      </w:r>
      <w:r>
        <w:rPr>
          <w:rFonts w:eastAsia="Times New Roman" w:cs="Times New Roman"/>
          <w:color w:val="000000"/>
          <w:szCs w:val="24"/>
          <w:lang w:eastAsia="en-IN"/>
        </w:rPr>
        <w:t>). Apart from that, the organisation also emphasises adaptability to incorporate change by focusing on the market conditions, which also helps in shaping financial performance and in maintaining brand recognition.</w:t>
      </w:r>
    </w:p>
    <w:p w14:paraId="015E18BF">
      <w:pPr>
        <w:pStyle w:val="3"/>
      </w:pPr>
      <w:bookmarkStart w:id="3" w:name="_Toc214137664"/>
      <w:r>
        <w:t>Rationale for choosing Canada</w:t>
      </w:r>
      <w:bookmarkEnd w:id="3"/>
    </w:p>
    <w:p w14:paraId="5A782ECF">
      <w:pPr>
        <w:spacing w:before="120" w:after="120"/>
        <w:rPr>
          <w:rFonts w:eastAsia="Times New Roman" w:cs="Times New Roman"/>
          <w:color w:val="000000"/>
          <w:szCs w:val="24"/>
          <w:lang w:eastAsia="en-IN"/>
        </w:rPr>
      </w:pPr>
      <w:r>
        <w:rPr>
          <w:rFonts w:eastAsia="Times New Roman" w:cs="Times New Roman"/>
          <w:color w:val="000000"/>
          <w:szCs w:val="24"/>
          <w:lang w:eastAsia="en-IN"/>
        </w:rPr>
        <w:t>Canada provides significant opportunities to an organisation for creating long-term development by focusing on stabilising the economic structure alongside increasing price-sensitive consumers and the innovative retail industry (</w:t>
      </w:r>
      <w:r>
        <w:rPr>
          <w:rFonts w:cs="Times New Roman"/>
          <w:szCs w:val="24"/>
        </w:rPr>
        <w:t>LinkedIn, 2025</w:t>
      </w:r>
      <w:r>
        <w:rPr>
          <w:rFonts w:eastAsia="Times New Roman" w:cs="Times New Roman"/>
          <w:color w:val="000000"/>
          <w:szCs w:val="24"/>
          <w:lang w:eastAsia="en-IN"/>
        </w:rPr>
        <w:t>). As the retail market of Canada is valued at over CAD120 billion, it also has significant players who focus on creating a robust operation structure to sustain in price competition. Apart from that, inflation also significantly impacts the pressure for developing consumer awareness and sustaining demand for purchasing affordable grocery options. Considering that this structure contributes a beneficial impact to the expansion of Aldi by focusing on low-cost business models.</w:t>
      </w:r>
    </w:p>
    <w:p w14:paraId="2226D4AE">
      <w:pPr>
        <w:spacing w:before="120" w:after="120"/>
        <w:rPr>
          <w:rFonts w:eastAsia="Times New Roman" w:cs="Times New Roman"/>
          <w:color w:val="000000"/>
          <w:szCs w:val="24"/>
          <w:lang w:eastAsia="en-IN"/>
        </w:rPr>
      </w:pPr>
      <w:r>
        <w:rPr>
          <w:rFonts w:eastAsia="Times New Roman" w:cs="Times New Roman"/>
          <w:color w:val="000000"/>
          <w:szCs w:val="24"/>
          <w:lang w:eastAsia="en-IN"/>
        </w:rPr>
        <w:t>Canada has stabilised political conditions alongside strong economic resilience, which provides an opportunity for several organisations to expand business growth within this country (</w:t>
      </w:r>
      <w:r>
        <w:rPr>
          <w:rFonts w:cs="Times New Roman"/>
          <w:color w:val="222222"/>
          <w:szCs w:val="24"/>
          <w:shd w:val="clear" w:color="auto" w:fill="FFFFFF"/>
        </w:rPr>
        <w:t>Ressin, 2024</w:t>
      </w:r>
      <w:r>
        <w:rPr>
          <w:rFonts w:eastAsia="Times New Roman" w:cs="Times New Roman"/>
          <w:color w:val="000000"/>
          <w:szCs w:val="24"/>
          <w:lang w:eastAsia="en-IN"/>
        </w:rPr>
        <w:t>). Economic resilience helps an organisation to incorporate innovation while providing significant offerings to the consumers. As per the report, the expected population of Canada by 2030 will be 42 million. The diverse region of Canada sustains diversity in the demography, which also refers to enhancing budget-friendly consumers.</w:t>
      </w:r>
    </w:p>
    <w:p w14:paraId="7F4B7412">
      <w:pPr>
        <w:spacing w:before="120" w:after="120"/>
        <w:rPr>
          <w:rFonts w:eastAsia="Times New Roman" w:cs="Times New Roman"/>
          <w:color w:val="000000"/>
          <w:szCs w:val="24"/>
          <w:lang w:eastAsia="en-IN"/>
        </w:rPr>
      </w:pPr>
      <w:r>
        <w:rPr>
          <w:rFonts w:eastAsia="Times New Roman" w:cs="Times New Roman"/>
          <w:color w:val="000000"/>
          <w:szCs w:val="24"/>
          <w:lang w:eastAsia="en-IN"/>
        </w:rPr>
        <w:t>As Canada has an increasing number of budget-conscious people, this expands the opportunity for Aldi to create a significant position in the market by focusing on creating long-term relationships with consumers. So the organisation needs to focus on gaining awareness about cultural diversity and consumer preferences for engineering relationships, while fostering operational growth.</w:t>
      </w:r>
    </w:p>
    <w:p w14:paraId="1C52CDD3">
      <w:pPr>
        <w:spacing w:before="120" w:after="120"/>
        <w:rPr>
          <w:rFonts w:eastAsia="Times New Roman" w:cs="Times New Roman"/>
          <w:color w:val="000000"/>
          <w:szCs w:val="24"/>
          <w:lang w:eastAsia="en-IN"/>
        </w:rPr>
      </w:pPr>
      <w:r>
        <w:rPr>
          <w:rFonts w:eastAsia="Times New Roman" w:cs="Times New Roman"/>
          <w:color w:val="000000"/>
          <w:szCs w:val="24"/>
          <w:lang w:eastAsia="en-IN"/>
        </w:rPr>
        <w:t>As Canada focuses on a Sustainable approach and ethical consumption, which also requires an organisation to integrate significant sustainable infrastructure by focusing on shaping the actions in the work process. Consumers increase their concern towards environmental aspects, which also requires organisations to focus on. Aldi integrated sustainable approaches, including recycling and choosing eco-friendly packaging, alongside minimising food wastage, which can contribute a beneficial impact in providing value to the local people, and shape the opportunity of creating a different identity in the market.</w:t>
      </w:r>
    </w:p>
    <w:p w14:paraId="2F629E1C">
      <w:pPr>
        <w:spacing w:before="120" w:after="120"/>
        <w:rPr>
          <w:rFonts w:eastAsia="Times New Roman" w:cs="Times New Roman"/>
          <w:color w:val="000000"/>
          <w:szCs w:val="24"/>
          <w:lang w:eastAsia="en-IN"/>
        </w:rPr>
      </w:pPr>
      <w:r>
        <w:rPr>
          <w:rFonts w:eastAsia="Times New Roman" w:cs="Times New Roman"/>
          <w:color w:val="000000"/>
          <w:szCs w:val="24"/>
          <w:lang w:eastAsia="en-IN"/>
        </w:rPr>
        <w:t>As Canada provides significant benefits in the logistic operation, which expands the opportunity for an organisation to create a significant presence in the geographical structure, along with shipping distribution efficiency. Considering that these opportunities also contribute a beneficial impact to Aldi's development and growth, they also help to mitigate logistical challenges and manage expenses. Apart from that, Canada provides a competitive retail landscape where organisations are required to provide a significant discount to not only strengthen relationships with consumers but also create significant positions in the market. Considering that Aldi emphasises providing discounts to consumers by sustaining quality standards of the products, which helps to strengthen its position in the market, alongside expanding opportunities for maintaining competitive advantages in the Canadian market.</w:t>
      </w:r>
    </w:p>
    <w:p w14:paraId="1DC95DCE">
      <w:pPr>
        <w:spacing w:before="120" w:after="120"/>
        <w:rPr>
          <w:rFonts w:eastAsia="Times New Roman" w:cs="Times New Roman"/>
          <w:color w:val="000000"/>
          <w:szCs w:val="24"/>
          <w:lang w:eastAsia="en-IN"/>
        </w:rPr>
      </w:pPr>
      <w:r>
        <w:rPr>
          <w:rFonts w:eastAsia="Times New Roman" w:cs="Times New Roman"/>
          <w:color w:val="000000"/>
          <w:szCs w:val="24"/>
          <w:lang w:eastAsia="en-IN"/>
        </w:rPr>
        <w:t>As consumers are concerned about affordability, organisations' approach to shape pricing strategy to sustain consumer retention, which also reflects on maintaining brand reputation in the Global market (</w:t>
      </w:r>
      <w:r>
        <w:rPr>
          <w:rFonts w:cs="Times New Roman"/>
          <w:szCs w:val="24"/>
        </w:rPr>
        <w:t>Van Glabeke, 2024</w:t>
      </w:r>
      <w:r>
        <w:rPr>
          <w:rFonts w:eastAsia="Times New Roman" w:cs="Times New Roman"/>
          <w:color w:val="000000"/>
          <w:szCs w:val="24"/>
          <w:lang w:eastAsia="en-IN"/>
        </w:rPr>
        <w:t>). Apart from that, the robust regulatory structure of Canada helps to not just support consumer privacy but also expand opportunities for foreign investment. Considering that the Canadian market provides an opportunity for the international brand to elevate business growth within the country by focusing on fostering innovation. Aldi imposes a significant strategic structure for entering the Canadian market, which can also contribute a beneficial impact to the target price-sensitive audiences through generating service values. So these approaches help organisations to create long-term presence in the market by focusing on creating consumer attention.</w:t>
      </w:r>
    </w:p>
    <w:p w14:paraId="21A5EA51">
      <w:pPr>
        <w:pStyle w:val="2"/>
      </w:pPr>
      <w:bookmarkStart w:id="4" w:name="_Toc214137665"/>
      <w:r>
        <w:t>Comprehensive strategic analysis</w:t>
      </w:r>
      <w:bookmarkEnd w:id="4"/>
    </w:p>
    <w:p w14:paraId="5250F8BF">
      <w:pPr>
        <w:pStyle w:val="3"/>
      </w:pPr>
      <w:bookmarkStart w:id="5" w:name="_Toc214137666"/>
      <w:r>
        <w:t>PESTLE ANALYSIS</w:t>
      </w:r>
      <w:bookmarkEnd w:id="5"/>
    </w:p>
    <w:p w14:paraId="075E2F71">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Political </w:t>
      </w:r>
    </w:p>
    <w:p w14:paraId="2C4B8617">
      <w:pPr>
        <w:spacing w:before="120" w:after="120"/>
        <w:rPr>
          <w:rFonts w:eastAsia="Times New Roman" w:cs="Times New Roman"/>
          <w:color w:val="000000"/>
          <w:szCs w:val="24"/>
          <w:lang w:eastAsia="en-IN"/>
        </w:rPr>
      </w:pPr>
      <w:r>
        <w:rPr>
          <w:rFonts w:eastAsia="Times New Roman" w:cs="Times New Roman"/>
          <w:color w:val="000000"/>
          <w:szCs w:val="24"/>
          <w:lang w:eastAsia="en-IN"/>
        </w:rPr>
        <w:t>Political stability enhances the attraction of global retailers to expand business growth in Canada, alongside its significant democratic system, which helps in creating a robust regulatory framework (</w:t>
      </w:r>
      <w:r>
        <w:rPr>
          <w:rFonts w:cs="Times New Roman"/>
          <w:color w:val="222222"/>
          <w:szCs w:val="24"/>
          <w:shd w:val="clear" w:color="auto" w:fill="FFFFFF"/>
        </w:rPr>
        <w:t>Hale and Anderson, eds., 2021</w:t>
      </w:r>
      <w:r>
        <w:rPr>
          <w:rFonts w:eastAsia="Times New Roman" w:cs="Times New Roman"/>
          <w:color w:val="000000"/>
          <w:szCs w:val="24"/>
          <w:lang w:eastAsia="en-IN"/>
        </w:rPr>
        <w:t>). Considering that a robust regulatory framework helps retail organisations like Aldi to sustain development growth by focusing on maintaining safety for consumers, alongside operational work. Apart from that, it also fosters low corruption along with enhancing opportunity by focusing on the trade agreements, which help to attract foreign investment.</w:t>
      </w:r>
    </w:p>
    <w:p w14:paraId="4B8CB2D3">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Economical </w:t>
      </w:r>
    </w:p>
    <w:p w14:paraId="49C360DA">
      <w:pPr>
        <w:spacing w:before="120" w:after="120"/>
        <w:rPr>
          <w:rFonts w:eastAsia="Times New Roman" w:cs="Times New Roman"/>
          <w:color w:val="000000"/>
          <w:szCs w:val="24"/>
          <w:lang w:eastAsia="en-IN"/>
        </w:rPr>
      </w:pPr>
      <w:r>
        <w:rPr>
          <w:rFonts w:eastAsia="Times New Roman" w:cs="Times New Roman"/>
          <w:color w:val="000000"/>
          <w:szCs w:val="24"/>
          <w:lang w:eastAsia="en-IN"/>
        </w:rPr>
        <w:t>Canada is considered one of the economically developed countries which focuses on economic trends alongside shaping consumer purchasing power. As per the report, the GDPR of Canada in 2024 was 2241.25 billion US dollars (</w:t>
      </w:r>
      <w:r>
        <w:rPr>
          <w:rFonts w:cs="Times New Roman"/>
          <w:szCs w:val="24"/>
        </w:rPr>
        <w:t>TRADING ECONOMICS, 2025</w:t>
      </w:r>
      <w:r>
        <w:rPr>
          <w:rFonts w:eastAsia="Times New Roman" w:cs="Times New Roman"/>
          <w:color w:val="000000"/>
          <w:szCs w:val="24"/>
          <w:lang w:eastAsia="en-IN"/>
        </w:rPr>
        <w:t>). Canada has a competitive retail grocery sector, along with an emphasis on the players, including Metro and Loblaw. Though the inflation enhances pressure on the food prices, it is consistently concerned towards providing value in the services to the consumer, which expands the opportunity for Aldi to sustain in the competition.</w:t>
      </w:r>
    </w:p>
    <w:p w14:paraId="51BD52FD">
      <w:pPr>
        <w:spacing w:before="120" w:after="120"/>
        <w:jc w:val="center"/>
      </w:pPr>
      <w:r>
        <w:drawing>
          <wp:inline distT="0" distB="0" distL="0" distR="0">
            <wp:extent cx="4580890" cy="2921000"/>
            <wp:effectExtent l="0" t="0" r="3810" b="0"/>
            <wp:docPr id="1027" name="Picture 2" descr="Understanding Canada's Economy: What's Happening and Why It Matters? -  GETMONEYRICH"/>
            <wp:cNvGraphicFramePr/>
            <a:graphic xmlns:a="http://schemas.openxmlformats.org/drawingml/2006/main">
              <a:graphicData uri="http://schemas.openxmlformats.org/drawingml/2006/picture">
                <pic:pic xmlns:pic="http://schemas.openxmlformats.org/drawingml/2006/picture">
                  <pic:nvPicPr>
                    <pic:cNvPr id="1027" name="Picture 2" descr="Understanding Canada's Economy: What's Happening and Why It Matters? -  GETMONEYRICH"/>
                    <pic:cNvPicPr/>
                  </pic:nvPicPr>
                  <pic:blipFill>
                    <a:blip r:embed="rId10" cstate="print"/>
                    <a:srcRect/>
                    <a:stretch>
                      <a:fillRect/>
                    </a:stretch>
                  </pic:blipFill>
                  <pic:spPr>
                    <a:xfrm>
                      <a:off x="0" y="0"/>
                      <a:ext cx="4581373" cy="2921095"/>
                    </a:xfrm>
                    <a:prstGeom prst="rect">
                      <a:avLst/>
                    </a:prstGeom>
                    <a:ln>
                      <a:noFill/>
                    </a:ln>
                  </pic:spPr>
                </pic:pic>
              </a:graphicData>
            </a:graphic>
          </wp:inline>
        </w:drawing>
      </w:r>
    </w:p>
    <w:p w14:paraId="79DB8625">
      <w:pPr>
        <w:spacing w:before="120" w:after="120"/>
        <w:jc w:val="center"/>
        <w:rPr>
          <w:b/>
          <w:bCs/>
        </w:rPr>
      </w:pPr>
      <w:r>
        <w:rPr>
          <w:b/>
          <w:bCs/>
        </w:rPr>
        <w:t xml:space="preserve">Figure 2: Economy of Canada </w:t>
      </w:r>
    </w:p>
    <w:p w14:paraId="67D85441">
      <w:pPr>
        <w:spacing w:before="120" w:after="120"/>
        <w:jc w:val="center"/>
        <w:rPr>
          <w:rFonts w:eastAsia="Times New Roman" w:cs="Times New Roman"/>
          <w:color w:val="000000"/>
          <w:szCs w:val="24"/>
          <w:lang w:eastAsia="en-IN"/>
        </w:rPr>
      </w:pPr>
      <w:r>
        <w:t>Source: (MANI, 2024)</w:t>
      </w:r>
    </w:p>
    <w:p w14:paraId="47AE6BCD">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Social</w:t>
      </w:r>
    </w:p>
    <w:p w14:paraId="2B6E4C94">
      <w:pPr>
        <w:spacing w:before="120" w:after="120"/>
        <w:rPr>
          <w:rFonts w:eastAsia="Times New Roman" w:cs="Times New Roman"/>
          <w:color w:val="000000"/>
          <w:szCs w:val="24"/>
          <w:lang w:eastAsia="en-IN"/>
        </w:rPr>
      </w:pPr>
      <w:r>
        <w:rPr>
          <w:rFonts w:eastAsia="Times New Roman" w:cs="Times New Roman"/>
          <w:color w:val="000000"/>
          <w:szCs w:val="24"/>
          <w:lang w:eastAsia="en-IN"/>
        </w:rPr>
        <w:t>Canada has cultural diversity, which also enhances the concern towards changing consumer preferences due to urbanisation (</w:t>
      </w:r>
      <w:r>
        <w:rPr>
          <w:rFonts w:cs="Times New Roman"/>
          <w:color w:val="222222"/>
          <w:szCs w:val="24"/>
          <w:shd w:val="clear" w:color="auto" w:fill="FFFFFF"/>
        </w:rPr>
        <w:t>Lévesque, 2025</w:t>
      </w:r>
      <w:r>
        <w:rPr>
          <w:rFonts w:eastAsia="Times New Roman" w:cs="Times New Roman"/>
          <w:color w:val="000000"/>
          <w:szCs w:val="24"/>
          <w:lang w:eastAsia="en-IN"/>
        </w:rPr>
        <w:t>). The increasing concern of consumers about affordability and private label products helps Aldi to create a significant position in the market by focusing on strengthening consumer retention. For strengthening brand reputation through expanding business growth into different countries, which requires elevating awareness about the brand's approach to consumers. As Canadian people are inclined to the International brand, which requires Aldi to integrate the approach for developing education about the price and work values to the consumers for sustaining engagement.</w:t>
      </w:r>
    </w:p>
    <w:p w14:paraId="3D19134F">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Technological</w:t>
      </w:r>
    </w:p>
    <w:p w14:paraId="5FB88E42">
      <w:pPr>
        <w:spacing w:before="120" w:after="120"/>
        <w:rPr>
          <w:rFonts w:eastAsia="Times New Roman" w:cs="Times New Roman"/>
          <w:color w:val="000000"/>
          <w:szCs w:val="24"/>
          <w:lang w:eastAsia="en-IN"/>
        </w:rPr>
      </w:pPr>
      <w:r>
        <w:rPr>
          <w:rFonts w:eastAsia="Times New Roman" w:cs="Times New Roman"/>
          <w:color w:val="000000"/>
          <w:szCs w:val="24"/>
          <w:lang w:eastAsia="en-IN"/>
        </w:rPr>
        <w:t>Canada has a robust digital infrastructure, which helps retail grocery organisations to integrate automation for providing efficient services to the consumers in strengthening engagement (</w:t>
      </w:r>
      <w:r>
        <w:rPr>
          <w:rFonts w:cs="Times New Roman"/>
          <w:color w:val="222222"/>
          <w:szCs w:val="24"/>
          <w:shd w:val="clear" w:color="auto" w:fill="FFFFFF"/>
        </w:rPr>
        <w:t>Rekogama and Bodasingh, 2024</w:t>
      </w:r>
      <w:r>
        <w:rPr>
          <w:rFonts w:eastAsia="Times New Roman" w:cs="Times New Roman"/>
          <w:color w:val="000000"/>
          <w:szCs w:val="24"/>
          <w:lang w:eastAsia="en-IN"/>
        </w:rPr>
        <w:t>). Integrating data analytics along with automation contributes a fruitful impact to the retail organisations in creating a significant digital presence. Considering that it will also help Aldi to create an efficient supply chain framework by focusing on providing streamlined services to the consumers, to meet the expectations of the consumers, and to strengthen its position in the Global market.</w:t>
      </w:r>
    </w:p>
    <w:p w14:paraId="23CD97EE">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Legal</w:t>
      </w:r>
    </w:p>
    <w:p w14:paraId="40B71DB5">
      <w:pPr>
        <w:spacing w:before="120" w:after="120"/>
        <w:rPr>
          <w:rFonts w:eastAsia="Times New Roman" w:cs="Times New Roman"/>
          <w:color w:val="000000"/>
          <w:szCs w:val="24"/>
          <w:lang w:eastAsia="en-IN"/>
        </w:rPr>
      </w:pPr>
      <w:r>
        <w:rPr>
          <w:rFonts w:eastAsia="Times New Roman" w:cs="Times New Roman"/>
          <w:color w:val="000000"/>
          <w:szCs w:val="24"/>
          <w:lang w:eastAsia="en-IN"/>
        </w:rPr>
        <w:t>Canada has a robust legal framework which helps provide safety to the retail grocery sector by focusing on meeting labelling requirements, alongside an emphasis on labour protection. Conjuring that these frameworks contribute a beneficial impact on Aldi's work performance, alongside sustaining employee satisfaction.</w:t>
      </w:r>
    </w:p>
    <w:p w14:paraId="5FDE95FF">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Environmental </w:t>
      </w:r>
    </w:p>
    <w:p w14:paraId="1DCD74D4">
      <w:pPr>
        <w:spacing w:before="120" w:after="120"/>
        <w:rPr>
          <w:rFonts w:eastAsia="Times New Roman" w:cs="Times New Roman"/>
          <w:color w:val="000000"/>
          <w:szCs w:val="24"/>
          <w:lang w:eastAsia="en-IN"/>
        </w:rPr>
      </w:pPr>
      <w:r>
        <w:rPr>
          <w:rFonts w:eastAsia="Times New Roman" w:cs="Times New Roman"/>
          <w:color w:val="000000"/>
          <w:szCs w:val="24"/>
          <w:lang w:eastAsia="en-IN"/>
        </w:rPr>
        <w:t>Canada imposes robust regulations in maintaining responsibility towards the environment. Considering that a sustainable approach helps an organisation like Aldi to incorporate change in not just the packaging but also in the work operation to minimise carbon emission and reduce wastage, which contributes a beneficial impact in shaping competitive advantages.</w:t>
      </w:r>
    </w:p>
    <w:p w14:paraId="162F5C6F">
      <w:pPr>
        <w:pStyle w:val="3"/>
      </w:pPr>
      <w:bookmarkStart w:id="6" w:name="_Toc214137667"/>
      <w:r>
        <w:t>PORTER FIVE FORCES</w:t>
      </w:r>
      <w:bookmarkEnd w:id="6"/>
    </w:p>
    <w:p w14:paraId="2607A0EF">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Threat of new entrants </w:t>
      </w:r>
    </w:p>
    <w:p w14:paraId="04DEEF77">
      <w:pPr>
        <w:spacing w:before="120" w:after="120"/>
        <w:rPr>
          <w:rFonts w:eastAsia="Times New Roman" w:cs="Times New Roman"/>
          <w:color w:val="000000"/>
          <w:szCs w:val="24"/>
          <w:lang w:eastAsia="en-IN"/>
        </w:rPr>
      </w:pPr>
      <w:r>
        <w:rPr>
          <w:rFonts w:eastAsia="Times New Roman" w:cs="Times New Roman"/>
          <w:color w:val="000000"/>
          <w:szCs w:val="24"/>
          <w:lang w:eastAsia="en-IN"/>
        </w:rPr>
        <w:t>In Canada, the rate of new entrants is low because of its robust regulatory framework alongside the requirement of investment into not just the work operation but also in the supply chain. Apart from that, the requirement for purchasing quality products at an affordable price enhances concern for the organisation, like Aldi, which already has a brand reputation and financial stability, helping in meeting consumer demands. Apart from that, a low-cost approach strengthens relationships with consumers, which makes it difficult for a new enterprise to create a presence in the retail grocery sector.</w:t>
      </w:r>
    </w:p>
    <w:p w14:paraId="5F5C2EB5">
      <w:pPr>
        <w:spacing w:before="120" w:after="120"/>
        <w:jc w:val="center"/>
      </w:pPr>
      <w:r>
        <w:drawing>
          <wp:inline distT="0" distB="0" distL="0" distR="0">
            <wp:extent cx="3803015" cy="3083560"/>
            <wp:effectExtent l="0" t="0" r="0" b="2540"/>
            <wp:docPr id="1028" name="Picture 3" descr="Porter's Five Forces"/>
            <wp:cNvGraphicFramePr/>
            <a:graphic xmlns:a="http://schemas.openxmlformats.org/drawingml/2006/main">
              <a:graphicData uri="http://schemas.openxmlformats.org/drawingml/2006/picture">
                <pic:pic xmlns:pic="http://schemas.openxmlformats.org/drawingml/2006/picture">
                  <pic:nvPicPr>
                    <pic:cNvPr id="1028" name="Picture 3" descr="Porter's Five Forces"/>
                    <pic:cNvPicPr/>
                  </pic:nvPicPr>
                  <pic:blipFill>
                    <a:blip r:embed="rId11" cstate="print"/>
                    <a:srcRect/>
                    <a:stretch>
                      <a:fillRect/>
                    </a:stretch>
                  </pic:blipFill>
                  <pic:spPr>
                    <a:xfrm>
                      <a:off x="0" y="0"/>
                      <a:ext cx="3803122" cy="3083874"/>
                    </a:xfrm>
                    <a:prstGeom prst="rect">
                      <a:avLst/>
                    </a:prstGeom>
                    <a:ln>
                      <a:noFill/>
                    </a:ln>
                  </pic:spPr>
                </pic:pic>
              </a:graphicData>
            </a:graphic>
          </wp:inline>
        </w:drawing>
      </w:r>
    </w:p>
    <w:p w14:paraId="7AF6B4F5">
      <w:pPr>
        <w:spacing w:before="120" w:after="120"/>
        <w:jc w:val="center"/>
        <w:rPr>
          <w:b/>
          <w:bCs/>
        </w:rPr>
      </w:pPr>
      <w:r>
        <w:rPr>
          <w:b/>
          <w:bCs/>
        </w:rPr>
        <w:t>Figure 3: P5F analysis</w:t>
      </w:r>
    </w:p>
    <w:p w14:paraId="2902011A">
      <w:pPr>
        <w:spacing w:before="120" w:after="120"/>
        <w:jc w:val="center"/>
        <w:rPr>
          <w:rFonts w:eastAsia="Times New Roman" w:cs="Times New Roman"/>
          <w:color w:val="000000"/>
          <w:szCs w:val="24"/>
          <w:lang w:eastAsia="en-IN"/>
        </w:rPr>
      </w:pPr>
      <w:r>
        <w:t>Source: (Hessing, 2021)</w:t>
      </w:r>
    </w:p>
    <w:p w14:paraId="692A6443">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Bargaining power of suppliers</w:t>
      </w:r>
    </w:p>
    <w:p w14:paraId="1C7E7D74">
      <w:pPr>
        <w:spacing w:before="120" w:after="120"/>
        <w:rPr>
          <w:rFonts w:eastAsia="Times New Roman" w:cs="Times New Roman"/>
          <w:color w:val="000000"/>
          <w:szCs w:val="24"/>
          <w:lang w:eastAsia="en-IN"/>
        </w:rPr>
      </w:pPr>
      <w:r>
        <w:rPr>
          <w:rFonts w:eastAsia="Times New Roman" w:cs="Times New Roman"/>
          <w:color w:val="000000"/>
          <w:szCs w:val="24"/>
          <w:lang w:eastAsia="en-IN"/>
        </w:rPr>
        <w:t>The bargaining power of the suppliers mainly lies in the product category range. Concerning the national manufacturer and producer of food, the power mainly lies with them rather than the suppliers (</w:t>
      </w:r>
      <w:r>
        <w:rPr>
          <w:rFonts w:cs="Times New Roman"/>
          <w:color w:val="222222"/>
          <w:szCs w:val="24"/>
          <w:shd w:val="clear" w:color="auto" w:fill="FFFFFF"/>
        </w:rPr>
        <w:t>Muller et al., 2021</w:t>
      </w:r>
      <w:r>
        <w:rPr>
          <w:rFonts w:eastAsia="Times New Roman" w:cs="Times New Roman"/>
          <w:color w:val="000000"/>
          <w:szCs w:val="24"/>
          <w:lang w:eastAsia="en-IN"/>
        </w:rPr>
        <w:t>). The retail grocery organisation Aldi emphasises private label sourcing, which also sustains flexibility and reduces the power of the suppliers by negotiating with substitutes. Focusing on maintaining collaboration with suppliers helps to mitigate the dominating power of the suppliers.</w:t>
      </w:r>
    </w:p>
    <w:p w14:paraId="6AAF881B">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Bargaining power of buyers</w:t>
      </w:r>
    </w:p>
    <w:p w14:paraId="61ABAE52">
      <w:pPr>
        <w:spacing w:before="120" w:after="120"/>
        <w:rPr>
          <w:rFonts w:eastAsia="Times New Roman" w:cs="Times New Roman"/>
          <w:color w:val="000000"/>
          <w:szCs w:val="24"/>
          <w:lang w:eastAsia="en-IN"/>
        </w:rPr>
      </w:pPr>
      <w:r>
        <w:rPr>
          <w:rFonts w:eastAsia="Times New Roman" w:cs="Times New Roman"/>
          <w:color w:val="000000"/>
          <w:szCs w:val="24"/>
          <w:lang w:eastAsia="en-IN"/>
        </w:rPr>
        <w:t>Canada has a multicultural society which fosters diverse perceptions among consumers. Considering that it reflects the high power of the consumers. By focusing on providing significant discounts to consumers while maintaining the quality standards, it helps to strengthen consumer retention, alongside providing an opportunity for Aldi to retain consumer trust.</w:t>
      </w:r>
    </w:p>
    <w:p w14:paraId="61C33EB9">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Threat of substitute </w:t>
      </w:r>
    </w:p>
    <w:p w14:paraId="28484202">
      <w:pPr>
        <w:spacing w:before="120" w:after="120"/>
        <w:rPr>
          <w:rFonts w:eastAsia="Times New Roman" w:cs="Times New Roman"/>
          <w:color w:val="000000"/>
          <w:szCs w:val="24"/>
          <w:lang w:eastAsia="en-IN"/>
        </w:rPr>
      </w:pPr>
      <w:r>
        <w:rPr>
          <w:rFonts w:eastAsia="Times New Roman" w:cs="Times New Roman"/>
          <w:color w:val="000000"/>
          <w:szCs w:val="24"/>
          <w:lang w:eastAsia="en-IN"/>
        </w:rPr>
        <w:t>The threat of substitutes is moderate in the Canadian market because of its ability to match the value of a service to an organisation like Aldi. The increasing ratio of e-commerce requires grocery organisations to integrate automation for providing efficient services to the consumers and strengthening expansion growth (</w:t>
      </w:r>
      <w:r>
        <w:rPr>
          <w:rFonts w:cs="Times New Roman"/>
          <w:color w:val="222222"/>
          <w:szCs w:val="24"/>
          <w:shd w:val="clear" w:color="auto" w:fill="FFFFFF"/>
        </w:rPr>
        <w:t>Charlebois, Juhasz and Music, 2021</w:t>
      </w:r>
      <w:r>
        <w:rPr>
          <w:rFonts w:eastAsia="Times New Roman" w:cs="Times New Roman"/>
          <w:color w:val="000000"/>
          <w:szCs w:val="24"/>
          <w:lang w:eastAsia="en-IN"/>
        </w:rPr>
        <w:t>).</w:t>
      </w:r>
    </w:p>
    <w:p w14:paraId="41D6A983">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Competitive rivalry</w:t>
      </w:r>
    </w:p>
    <w:p w14:paraId="54E1B97B">
      <w:pPr>
        <w:spacing w:before="120" w:after="120"/>
        <w:rPr>
          <w:rFonts w:eastAsia="Times New Roman" w:cs="Times New Roman"/>
          <w:color w:val="000000"/>
          <w:szCs w:val="24"/>
          <w:lang w:eastAsia="en-IN"/>
        </w:rPr>
      </w:pPr>
      <w:r>
        <w:rPr>
          <w:rFonts w:eastAsia="Times New Roman" w:cs="Times New Roman"/>
          <w:color w:val="000000"/>
          <w:szCs w:val="24"/>
          <w:lang w:eastAsia="en-IN"/>
        </w:rPr>
        <w:t>The retail grocery sector has intense competition in Canada, which poses challenges for new entrants like Aldi. Several players are present in the Canadian market, which creates difficulty for new entries, including Metro, Walmart and Costco. Considering that these organisations emphasise pricing strategy along with distributional challenges, which enhance growth for achieving development goals. For sustaining competitive advantages, Aldi needs to sustain differentiation in the market.</w:t>
      </w:r>
    </w:p>
    <w:p w14:paraId="6A733ED7">
      <w:pPr>
        <w:pStyle w:val="3"/>
      </w:pPr>
      <w:bookmarkStart w:id="7" w:name="_Toc214137668"/>
      <w:r>
        <w:t>VRIO</w:t>
      </w:r>
      <w:bookmarkEnd w:id="7"/>
    </w:p>
    <w:tbl>
      <w:tblPr>
        <w:tblStyle w:val="5"/>
        <w:tblW w:w="9026" w:type="dxa"/>
        <w:tblInd w:w="0" w:type="dxa"/>
        <w:tblLayout w:type="autofit"/>
        <w:tblCellMar>
          <w:top w:w="15" w:type="dxa"/>
          <w:left w:w="15" w:type="dxa"/>
          <w:bottom w:w="15" w:type="dxa"/>
          <w:right w:w="15" w:type="dxa"/>
        </w:tblCellMar>
      </w:tblPr>
      <w:tblGrid>
        <w:gridCol w:w="1856"/>
        <w:gridCol w:w="1121"/>
        <w:gridCol w:w="1180"/>
        <w:gridCol w:w="1267"/>
        <w:gridCol w:w="1659"/>
        <w:gridCol w:w="1943"/>
      </w:tblGrid>
      <w:tr w14:paraId="5DE972C1">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19187C">
            <w:pPr>
              <w:spacing w:before="120" w:after="120"/>
              <w:rPr>
                <w:rFonts w:eastAsia="Times New Roman" w:cs="Times New Roman"/>
                <w:szCs w:val="24"/>
                <w:lang w:eastAsia="en-IN"/>
              </w:rPr>
            </w:pPr>
            <w:r>
              <w:rPr>
                <w:rFonts w:eastAsia="Times New Roman" w:cs="Times New Roman"/>
                <w:b/>
                <w:bCs/>
                <w:szCs w:val="24"/>
                <w:lang w:eastAsia="en-IN"/>
              </w:rPr>
              <w:t>Resource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3D5DB5C">
            <w:pPr>
              <w:spacing w:before="120" w:after="120"/>
              <w:rPr>
                <w:rFonts w:eastAsia="Times New Roman" w:cs="Times New Roman"/>
                <w:szCs w:val="24"/>
                <w:lang w:eastAsia="en-IN"/>
              </w:rPr>
            </w:pPr>
            <w:r>
              <w:rPr>
                <w:rFonts w:eastAsia="Times New Roman" w:cs="Times New Roman"/>
                <w:b/>
                <w:bCs/>
                <w:szCs w:val="24"/>
                <w:lang w:eastAsia="en-IN"/>
              </w:rPr>
              <w:t>Valuable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6B7444">
            <w:pPr>
              <w:spacing w:before="120" w:after="120"/>
              <w:rPr>
                <w:rFonts w:eastAsia="Times New Roman" w:cs="Times New Roman"/>
                <w:szCs w:val="24"/>
                <w:lang w:eastAsia="en-IN"/>
              </w:rPr>
            </w:pPr>
            <w:r>
              <w:rPr>
                <w:rFonts w:eastAsia="Times New Roman" w:cs="Times New Roman"/>
                <w:b/>
                <w:bCs/>
                <w:szCs w:val="24"/>
                <w:lang w:eastAsia="en-IN"/>
              </w:rPr>
              <w:t>Rare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68B40C2">
            <w:pPr>
              <w:spacing w:before="120" w:after="120"/>
              <w:rPr>
                <w:rFonts w:eastAsia="Times New Roman" w:cs="Times New Roman"/>
                <w:szCs w:val="24"/>
                <w:lang w:eastAsia="en-IN"/>
              </w:rPr>
            </w:pPr>
            <w:r>
              <w:rPr>
                <w:rFonts w:eastAsia="Times New Roman" w:cs="Times New Roman"/>
                <w:b/>
                <w:bCs/>
                <w:szCs w:val="24"/>
                <w:lang w:eastAsia="en-IN"/>
              </w:rPr>
              <w:t>Inimitable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A26B2F5">
            <w:pPr>
              <w:spacing w:before="120" w:after="120"/>
              <w:rPr>
                <w:rFonts w:eastAsia="Times New Roman" w:cs="Times New Roman"/>
                <w:szCs w:val="24"/>
                <w:lang w:eastAsia="en-IN"/>
              </w:rPr>
            </w:pPr>
            <w:r>
              <w:rPr>
                <w:rFonts w:eastAsia="Times New Roman" w:cs="Times New Roman"/>
                <w:b/>
                <w:bCs/>
                <w:szCs w:val="24"/>
                <w:lang w:eastAsia="en-IN"/>
              </w:rPr>
              <w:t>Organised to exploit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6F460D5">
            <w:pPr>
              <w:spacing w:before="120" w:after="120"/>
              <w:rPr>
                <w:rFonts w:eastAsia="Times New Roman" w:cs="Times New Roman"/>
                <w:szCs w:val="24"/>
                <w:lang w:eastAsia="en-IN"/>
              </w:rPr>
            </w:pPr>
            <w:r>
              <w:rPr>
                <w:rFonts w:eastAsia="Times New Roman" w:cs="Times New Roman"/>
                <w:b/>
                <w:bCs/>
                <w:szCs w:val="24"/>
                <w:lang w:eastAsia="en-IN"/>
              </w:rPr>
              <w:t>Competitive advantages</w:t>
            </w:r>
            <w:r>
              <w:rPr>
                <w:rFonts w:eastAsia="Times New Roman" w:cs="Times New Roman"/>
                <w:szCs w:val="24"/>
                <w:lang w:eastAsia="en-IN"/>
              </w:rPr>
              <w:t> </w:t>
            </w:r>
          </w:p>
        </w:tc>
      </w:tr>
      <w:tr w14:paraId="77927ADA">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92D98FB">
            <w:pPr>
              <w:spacing w:before="120" w:after="120"/>
              <w:rPr>
                <w:rFonts w:eastAsia="Times New Roman" w:cs="Times New Roman"/>
                <w:szCs w:val="24"/>
                <w:lang w:eastAsia="en-IN"/>
              </w:rPr>
            </w:pPr>
            <w:r>
              <w:rPr>
                <w:rFonts w:eastAsia="Times New Roman" w:cs="Times New Roman"/>
                <w:szCs w:val="24"/>
                <w:lang w:eastAsia="en-IN"/>
              </w:rPr>
              <w:t>Private label on product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ACB110">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5D0DA65">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1B9B88">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E3B4AD1">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07CBB3C">
            <w:pPr>
              <w:spacing w:before="120" w:after="120"/>
              <w:rPr>
                <w:rFonts w:eastAsia="Times New Roman" w:cs="Times New Roman"/>
                <w:szCs w:val="24"/>
                <w:lang w:eastAsia="en-IN"/>
              </w:rPr>
            </w:pPr>
            <w:r>
              <w:rPr>
                <w:rFonts w:eastAsia="Times New Roman" w:cs="Times New Roman"/>
                <w:szCs w:val="24"/>
                <w:lang w:eastAsia="en-IN"/>
              </w:rPr>
              <w:t>Strong</w:t>
            </w:r>
          </w:p>
        </w:tc>
      </w:tr>
      <w:tr w14:paraId="1B9B6619">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292D3B8">
            <w:pPr>
              <w:spacing w:before="120" w:after="120"/>
              <w:rPr>
                <w:rFonts w:eastAsia="Times New Roman" w:cs="Times New Roman"/>
                <w:szCs w:val="24"/>
                <w:lang w:eastAsia="en-IN"/>
              </w:rPr>
            </w:pPr>
            <w:r>
              <w:rPr>
                <w:rFonts w:eastAsia="Times New Roman" w:cs="Times New Roman"/>
                <w:szCs w:val="24"/>
                <w:lang w:eastAsia="en-IN"/>
              </w:rPr>
              <w:t>Low-cost operation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DCBF4E5">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5BF029A">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E79D448">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6B3CC41">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CF05651">
            <w:pPr>
              <w:spacing w:before="120" w:after="120"/>
              <w:rPr>
                <w:rFonts w:eastAsia="Times New Roman" w:cs="Times New Roman"/>
                <w:szCs w:val="24"/>
                <w:lang w:eastAsia="en-IN"/>
              </w:rPr>
            </w:pPr>
            <w:r>
              <w:rPr>
                <w:rFonts w:eastAsia="Times New Roman" w:cs="Times New Roman"/>
                <w:szCs w:val="24"/>
                <w:lang w:eastAsia="en-IN"/>
              </w:rPr>
              <w:t>Sustainable </w:t>
            </w:r>
          </w:p>
        </w:tc>
      </w:tr>
      <w:tr w14:paraId="21A1F690">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C636B6B">
            <w:pPr>
              <w:spacing w:before="120" w:after="120"/>
              <w:rPr>
                <w:rFonts w:eastAsia="Times New Roman" w:cs="Times New Roman"/>
                <w:szCs w:val="24"/>
                <w:lang w:eastAsia="en-IN"/>
              </w:rPr>
            </w:pPr>
            <w:r>
              <w:rPr>
                <w:rFonts w:eastAsia="Times New Roman" w:cs="Times New Roman"/>
                <w:szCs w:val="24"/>
                <w:lang w:eastAsia="en-IN"/>
              </w:rPr>
              <w:t>Lean format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14587FE">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24F19AB">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6767FBF">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94E7E07">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2541784">
            <w:pPr>
              <w:spacing w:before="120" w:after="120"/>
              <w:rPr>
                <w:rFonts w:eastAsia="Times New Roman" w:cs="Times New Roman"/>
                <w:szCs w:val="24"/>
                <w:lang w:eastAsia="en-IN"/>
              </w:rPr>
            </w:pPr>
            <w:r>
              <w:rPr>
                <w:rFonts w:eastAsia="Times New Roman" w:cs="Times New Roman"/>
                <w:szCs w:val="24"/>
                <w:lang w:eastAsia="en-IN"/>
              </w:rPr>
              <w:t>Competitive </w:t>
            </w:r>
          </w:p>
        </w:tc>
      </w:tr>
      <w:tr w14:paraId="4D4669E1">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6AD57F">
            <w:pPr>
              <w:spacing w:before="120" w:after="120"/>
              <w:rPr>
                <w:rFonts w:eastAsia="Times New Roman" w:cs="Times New Roman"/>
                <w:szCs w:val="24"/>
                <w:lang w:eastAsia="en-IN"/>
              </w:rPr>
            </w:pPr>
            <w:r>
              <w:rPr>
                <w:rFonts w:eastAsia="Times New Roman" w:cs="Times New Roman"/>
                <w:szCs w:val="24"/>
                <w:lang w:eastAsia="en-IN"/>
              </w:rPr>
              <w:t>Efficient supply chain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2E52CC7">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FD4BE18">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9E2001B">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C0B519F">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32F265B">
            <w:pPr>
              <w:spacing w:before="120" w:after="120"/>
              <w:rPr>
                <w:rFonts w:eastAsia="Times New Roman" w:cs="Times New Roman"/>
                <w:szCs w:val="24"/>
                <w:lang w:eastAsia="en-IN"/>
              </w:rPr>
            </w:pPr>
            <w:r>
              <w:rPr>
                <w:rFonts w:eastAsia="Times New Roman" w:cs="Times New Roman"/>
                <w:szCs w:val="24"/>
                <w:lang w:eastAsia="en-IN"/>
              </w:rPr>
              <w:t>Sustainable </w:t>
            </w:r>
          </w:p>
        </w:tc>
      </w:tr>
      <w:tr w14:paraId="6A7C9AB6">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9CA59B1">
            <w:pPr>
              <w:spacing w:before="120" w:after="120"/>
              <w:rPr>
                <w:rFonts w:eastAsia="Times New Roman" w:cs="Times New Roman"/>
                <w:szCs w:val="24"/>
                <w:lang w:eastAsia="en-IN"/>
              </w:rPr>
            </w:pPr>
            <w:r>
              <w:rPr>
                <w:rFonts w:eastAsia="Times New Roman" w:cs="Times New Roman"/>
                <w:szCs w:val="24"/>
                <w:lang w:eastAsia="en-IN"/>
              </w:rPr>
              <w:t>Brand reputation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11CC069">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26D637D">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99BFFE">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A584CDC">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50913D7">
            <w:pPr>
              <w:spacing w:before="120" w:after="120"/>
              <w:rPr>
                <w:rFonts w:eastAsia="Times New Roman" w:cs="Times New Roman"/>
                <w:szCs w:val="24"/>
                <w:lang w:eastAsia="en-IN"/>
              </w:rPr>
            </w:pPr>
            <w:r>
              <w:rPr>
                <w:rFonts w:eastAsia="Times New Roman" w:cs="Times New Roman"/>
                <w:szCs w:val="24"/>
                <w:lang w:eastAsia="en-IN"/>
              </w:rPr>
              <w:t>Temporary </w:t>
            </w:r>
          </w:p>
        </w:tc>
      </w:tr>
      <w:tr w14:paraId="06A0D37A">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9360E9E">
            <w:pPr>
              <w:spacing w:before="120" w:after="120"/>
              <w:rPr>
                <w:rFonts w:eastAsia="Times New Roman" w:cs="Times New Roman"/>
                <w:szCs w:val="24"/>
                <w:lang w:eastAsia="en-IN"/>
              </w:rPr>
            </w:pPr>
            <w:r>
              <w:rPr>
                <w:rFonts w:eastAsia="Times New Roman" w:cs="Times New Roman"/>
                <w:szCs w:val="24"/>
                <w:lang w:eastAsia="en-IN"/>
              </w:rPr>
              <w:t>Global procurement sale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10857F">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9A3B262">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16C2176">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AF93926">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D00B6EB">
            <w:pPr>
              <w:spacing w:before="120" w:after="120"/>
              <w:rPr>
                <w:rFonts w:eastAsia="Times New Roman" w:cs="Times New Roman"/>
                <w:szCs w:val="24"/>
                <w:lang w:eastAsia="en-IN"/>
              </w:rPr>
            </w:pPr>
            <w:r>
              <w:rPr>
                <w:rFonts w:eastAsia="Times New Roman" w:cs="Times New Roman"/>
                <w:szCs w:val="24"/>
                <w:lang w:eastAsia="en-IN"/>
              </w:rPr>
              <w:t>Strong</w:t>
            </w:r>
          </w:p>
        </w:tc>
      </w:tr>
      <w:tr w14:paraId="44269144">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0A93F46">
            <w:pPr>
              <w:spacing w:before="120" w:after="120"/>
              <w:rPr>
                <w:rFonts w:eastAsia="Times New Roman" w:cs="Times New Roman"/>
                <w:szCs w:val="24"/>
                <w:lang w:eastAsia="en-IN"/>
              </w:rPr>
            </w:pPr>
            <w:r>
              <w:rPr>
                <w:rFonts w:eastAsia="Times New Roman" w:cs="Times New Roman"/>
                <w:szCs w:val="24"/>
                <w:lang w:eastAsia="en-IN"/>
              </w:rPr>
              <w:t>Operational efficiency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351FBF5">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A7820EF">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DF8AE0">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1D05F29">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FB5D43E">
            <w:pPr>
              <w:spacing w:before="120" w:after="120"/>
              <w:rPr>
                <w:rFonts w:eastAsia="Times New Roman" w:cs="Times New Roman"/>
                <w:szCs w:val="24"/>
                <w:lang w:eastAsia="en-IN"/>
              </w:rPr>
            </w:pPr>
            <w:r>
              <w:rPr>
                <w:rFonts w:eastAsia="Times New Roman" w:cs="Times New Roman"/>
                <w:szCs w:val="24"/>
                <w:lang w:eastAsia="en-IN"/>
              </w:rPr>
              <w:t>Sustainable</w:t>
            </w:r>
          </w:p>
        </w:tc>
      </w:tr>
      <w:tr w14:paraId="77DEFD6C">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727EE0E">
            <w:pPr>
              <w:spacing w:before="120" w:after="120"/>
              <w:rPr>
                <w:rFonts w:eastAsia="Times New Roman" w:cs="Times New Roman"/>
                <w:szCs w:val="24"/>
                <w:lang w:eastAsia="en-IN"/>
              </w:rPr>
            </w:pPr>
            <w:r>
              <w:rPr>
                <w:rFonts w:eastAsia="Times New Roman" w:cs="Times New Roman"/>
                <w:szCs w:val="24"/>
                <w:lang w:eastAsia="en-IN"/>
              </w:rPr>
              <w:t>Standard global process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6B4954E">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F39C63A">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8521F0E">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5DB13DA">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5C139B8">
            <w:pPr>
              <w:spacing w:before="120" w:after="120"/>
              <w:rPr>
                <w:rFonts w:eastAsia="Times New Roman" w:cs="Times New Roman"/>
                <w:szCs w:val="24"/>
                <w:lang w:eastAsia="en-IN"/>
              </w:rPr>
            </w:pPr>
            <w:r>
              <w:rPr>
                <w:rFonts w:eastAsia="Times New Roman" w:cs="Times New Roman"/>
                <w:szCs w:val="24"/>
                <w:lang w:eastAsia="en-IN"/>
              </w:rPr>
              <w:t>Strong</w:t>
            </w:r>
          </w:p>
        </w:tc>
      </w:tr>
      <w:tr w14:paraId="5DC4CB11">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E7EEEC9">
            <w:pPr>
              <w:spacing w:before="120" w:after="120"/>
              <w:rPr>
                <w:rFonts w:eastAsia="Times New Roman" w:cs="Times New Roman"/>
                <w:szCs w:val="24"/>
                <w:lang w:eastAsia="en-IN"/>
              </w:rPr>
            </w:pPr>
            <w:r>
              <w:rPr>
                <w:rFonts w:eastAsia="Times New Roman" w:cs="Times New Roman"/>
                <w:szCs w:val="24"/>
                <w:lang w:eastAsia="en-IN"/>
              </w:rPr>
              <w:t>Data-driven decision</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2689644">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586AEE7">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9E3660">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9712A74">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2074A2E">
            <w:pPr>
              <w:spacing w:before="120" w:after="120"/>
              <w:rPr>
                <w:rFonts w:eastAsia="Times New Roman" w:cs="Times New Roman"/>
                <w:szCs w:val="24"/>
                <w:lang w:eastAsia="en-IN"/>
              </w:rPr>
            </w:pPr>
            <w:r>
              <w:rPr>
                <w:rFonts w:eastAsia="Times New Roman" w:cs="Times New Roman"/>
                <w:szCs w:val="24"/>
                <w:lang w:eastAsia="en-IN"/>
              </w:rPr>
              <w:t>Temporary </w:t>
            </w:r>
          </w:p>
        </w:tc>
      </w:tr>
      <w:tr w14:paraId="5DF10236">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2C26646">
            <w:pPr>
              <w:spacing w:before="120" w:after="120"/>
              <w:rPr>
                <w:rFonts w:eastAsia="Times New Roman" w:cs="Times New Roman"/>
                <w:szCs w:val="24"/>
                <w:lang w:eastAsia="en-IN"/>
              </w:rPr>
            </w:pPr>
            <w:r>
              <w:rPr>
                <w:rFonts w:eastAsia="Times New Roman" w:cs="Times New Roman"/>
                <w:szCs w:val="24"/>
                <w:lang w:eastAsia="en-IN"/>
              </w:rPr>
              <w:t>Real estate efficiency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74AC902">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B423FE2">
            <w:pPr>
              <w:spacing w:before="120" w:after="120"/>
              <w:rPr>
                <w:rFonts w:eastAsia="Times New Roman" w:cs="Times New Roman"/>
                <w:szCs w:val="24"/>
                <w:lang w:eastAsia="en-IN"/>
              </w:rPr>
            </w:pPr>
            <w:r>
              <w:rPr>
                <w:rFonts w:eastAsia="Times New Roman" w:cs="Times New Roman"/>
                <w:szCs w:val="24"/>
                <w:lang w:eastAsia="en-IN"/>
              </w:rPr>
              <w:t>Moderate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543F888">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BFE3DD1">
            <w:pPr>
              <w:spacing w:before="120" w:after="120"/>
              <w:rPr>
                <w:rFonts w:eastAsia="Times New Roman" w:cs="Times New Roman"/>
                <w:szCs w:val="24"/>
                <w:lang w:eastAsia="en-IN"/>
              </w:rPr>
            </w:pPr>
            <w:r>
              <w:rPr>
                <w:rFonts w:eastAsia="Times New Roman" w:cs="Times New Roman"/>
                <w:szCs w:val="24"/>
                <w:lang w:eastAsia="en-IN"/>
              </w:rPr>
              <w:t>Yes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3CA70F">
            <w:pPr>
              <w:spacing w:before="120" w:after="120"/>
              <w:rPr>
                <w:rFonts w:eastAsia="Times New Roman" w:cs="Times New Roman"/>
                <w:szCs w:val="24"/>
                <w:lang w:eastAsia="en-IN"/>
              </w:rPr>
            </w:pPr>
            <w:r>
              <w:rPr>
                <w:rFonts w:eastAsia="Times New Roman" w:cs="Times New Roman"/>
                <w:szCs w:val="24"/>
                <w:lang w:eastAsia="en-IN"/>
              </w:rPr>
              <w:t>Competitive </w:t>
            </w:r>
          </w:p>
        </w:tc>
      </w:tr>
    </w:tbl>
    <w:p w14:paraId="03D1E3F2">
      <w:pPr>
        <w:spacing w:before="120" w:after="120"/>
        <w:jc w:val="center"/>
        <w:rPr>
          <w:rFonts w:eastAsia="Times New Roman" w:cs="Times New Roman"/>
          <w:b/>
          <w:bCs/>
          <w:color w:val="000000"/>
          <w:szCs w:val="24"/>
          <w:lang w:eastAsia="en-IN"/>
        </w:rPr>
      </w:pPr>
      <w:r>
        <w:rPr>
          <w:rFonts w:eastAsia="Times New Roman" w:cs="Times New Roman"/>
          <w:b/>
          <w:bCs/>
          <w:color w:val="000000"/>
          <w:szCs w:val="24"/>
          <w:lang w:eastAsia="en-IN"/>
        </w:rPr>
        <w:t>Table 1: VRIO analysis</w:t>
      </w:r>
    </w:p>
    <w:p w14:paraId="6B631B04">
      <w:pPr>
        <w:spacing w:before="120" w:after="120"/>
        <w:jc w:val="center"/>
        <w:rPr>
          <w:rFonts w:eastAsia="Times New Roman" w:cs="Times New Roman"/>
          <w:szCs w:val="24"/>
          <w:lang w:eastAsia="en-IN"/>
        </w:rPr>
      </w:pPr>
      <w:r>
        <w:rPr>
          <w:rFonts w:eastAsia="Times New Roman" w:cs="Times New Roman"/>
          <w:color w:val="000000"/>
          <w:szCs w:val="24"/>
          <w:lang w:eastAsia="en-IN"/>
        </w:rPr>
        <w:t>Source: (Developed by the author)</w:t>
      </w:r>
    </w:p>
    <w:p w14:paraId="53DEECAA">
      <w:pPr>
        <w:spacing w:before="120" w:after="120"/>
        <w:rPr>
          <w:rFonts w:eastAsia="Times New Roman" w:cs="Times New Roman"/>
          <w:color w:val="000000"/>
          <w:szCs w:val="24"/>
          <w:lang w:eastAsia="en-IN"/>
        </w:rPr>
      </w:pPr>
      <w:r>
        <w:rPr>
          <w:rFonts w:eastAsia="Times New Roman" w:cs="Times New Roman"/>
          <w:color w:val="000000"/>
          <w:szCs w:val="24"/>
          <w:lang w:eastAsia="en-IN"/>
        </w:rPr>
        <w:t>The table focuses on significant advantages for Aldi in shaping a low-cost operation approach, along with a structured supply chain and a significant organisational process. Considering that these aspects help the organisation to create progressive expansion in the Canadian market by focusing on maintaining competitive advantages. Apart from that, the approaches of the organisation help in creating different identities in the competitive environment; alongside that, it helps to foster consistent work approaches by focusing on strengthening approaches to create a significant presence in the Canadian market.</w:t>
      </w:r>
    </w:p>
    <w:p w14:paraId="7B605A3D">
      <w:pPr>
        <w:spacing w:before="120" w:after="120"/>
        <w:rPr>
          <w:rFonts w:eastAsia="Times New Roman" w:cs="Times New Roman"/>
          <w:color w:val="000000"/>
          <w:szCs w:val="24"/>
          <w:lang w:eastAsia="en-IN"/>
        </w:rPr>
      </w:pPr>
      <w:r>
        <w:rPr>
          <w:rFonts w:eastAsia="Times New Roman" w:cs="Times New Roman"/>
          <w:color w:val="000000"/>
          <w:szCs w:val="24"/>
          <w:lang w:eastAsia="en-IN"/>
        </w:rPr>
        <w:t>Focusing on identifying significant resources and shaping brand recognition helps in creating brand advantages. As Aldi is focusing on entering the Canadian market, it needs to focus on creating long-term efficiency in the operation of logistics and integrated cost leadership, which not only contributes to shaping its strategic position but also maintains sustainable development.</w:t>
      </w:r>
    </w:p>
    <w:p w14:paraId="0244570E">
      <w:pPr>
        <w:pStyle w:val="3"/>
      </w:pPr>
      <w:bookmarkStart w:id="8" w:name="_Toc214137669"/>
      <w:r>
        <w:t>SWOT</w:t>
      </w:r>
      <w:bookmarkEnd w:id="8"/>
    </w:p>
    <w:tbl>
      <w:tblPr>
        <w:tblStyle w:val="5"/>
        <w:tblW w:w="9026" w:type="dxa"/>
        <w:tblInd w:w="0" w:type="dxa"/>
        <w:tblLayout w:type="autofit"/>
        <w:tblCellMar>
          <w:top w:w="15" w:type="dxa"/>
          <w:left w:w="15" w:type="dxa"/>
          <w:bottom w:w="15" w:type="dxa"/>
          <w:right w:w="15" w:type="dxa"/>
        </w:tblCellMar>
      </w:tblPr>
      <w:tblGrid>
        <w:gridCol w:w="4878"/>
        <w:gridCol w:w="4148"/>
      </w:tblGrid>
      <w:tr w14:paraId="7649E6B2">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C745ECE">
            <w:pPr>
              <w:spacing w:before="120" w:after="120"/>
              <w:rPr>
                <w:rFonts w:eastAsia="Times New Roman" w:cs="Times New Roman"/>
                <w:szCs w:val="24"/>
                <w:lang w:eastAsia="en-IN"/>
              </w:rPr>
            </w:pPr>
            <w:r>
              <w:rPr>
                <w:rFonts w:eastAsia="Times New Roman" w:cs="Times New Roman"/>
                <w:b/>
                <w:bCs/>
                <w:szCs w:val="24"/>
                <w:lang w:eastAsia="en-IN"/>
              </w:rPr>
              <w:t>Strengths</w:t>
            </w:r>
          </w:p>
          <w:p w14:paraId="387EDFDF">
            <w:pPr>
              <w:numPr>
                <w:ilvl w:val="0"/>
                <w:numId w:val="1"/>
              </w:numPr>
              <w:spacing w:before="120" w:after="120"/>
              <w:textAlignment w:val="baseline"/>
              <w:rPr>
                <w:rFonts w:eastAsia="Times New Roman" w:cs="Times New Roman"/>
                <w:szCs w:val="24"/>
                <w:lang w:eastAsia="en-IN"/>
              </w:rPr>
            </w:pPr>
            <w:r>
              <w:rPr>
                <w:rFonts w:eastAsia="Times New Roman" w:cs="Times New Roman"/>
                <w:szCs w:val="24"/>
                <w:lang w:eastAsia="en-IN"/>
              </w:rPr>
              <w:t>The approach of a low-cost operating model helps Aldi to meet the ongoing demand of consumers for sustaining stable development (</w:t>
            </w:r>
            <w:r>
              <w:rPr>
                <w:rFonts w:cs="Times New Roman"/>
                <w:szCs w:val="24"/>
              </w:rPr>
              <w:t>Sherman, 2025</w:t>
            </w:r>
            <w:r>
              <w:rPr>
                <w:rFonts w:eastAsia="Times New Roman" w:cs="Times New Roman"/>
                <w:szCs w:val="24"/>
                <w:lang w:eastAsia="en-IN"/>
              </w:rPr>
              <w:t>).</w:t>
            </w:r>
          </w:p>
          <w:p w14:paraId="5519B96A">
            <w:pPr>
              <w:numPr>
                <w:ilvl w:val="0"/>
                <w:numId w:val="2"/>
              </w:numPr>
              <w:spacing w:before="120" w:after="120"/>
              <w:textAlignment w:val="baseline"/>
              <w:rPr>
                <w:rFonts w:eastAsia="Times New Roman" w:cs="Times New Roman"/>
                <w:szCs w:val="24"/>
                <w:lang w:eastAsia="en-IN"/>
              </w:rPr>
            </w:pPr>
            <w:r>
              <w:rPr>
                <w:rFonts w:eastAsia="Times New Roman" w:cs="Times New Roman"/>
                <w:szCs w:val="24"/>
                <w:lang w:eastAsia="en-IN"/>
              </w:rPr>
              <w:t>The approach of maintaining private label products enhances authenticity, and it also strengthens the approach towards maintaining competitive advantages. Considering that it also helps an organisation to create a different identity and sustain values in the services.</w:t>
            </w:r>
          </w:p>
          <w:p w14:paraId="0F6C293B">
            <w:pPr>
              <w:numPr>
                <w:ilvl w:val="0"/>
                <w:numId w:val="3"/>
              </w:numPr>
              <w:spacing w:before="120" w:after="120"/>
              <w:textAlignment w:val="baseline"/>
              <w:rPr>
                <w:rFonts w:eastAsia="Times New Roman" w:cs="Times New Roman"/>
                <w:szCs w:val="24"/>
                <w:lang w:eastAsia="en-IN"/>
              </w:rPr>
            </w:pPr>
            <w:r>
              <w:rPr>
                <w:rFonts w:eastAsia="Times New Roman" w:cs="Times New Roman"/>
                <w:szCs w:val="24"/>
                <w:lang w:eastAsia="en-IN"/>
              </w:rPr>
              <w:t>The lean store format helps in minimising operational costs and streamlining the supply chain by focusing on shaping a consistent work process.</w:t>
            </w:r>
          </w:p>
          <w:p w14:paraId="1A92A4B9">
            <w:pPr>
              <w:spacing w:before="120" w:after="120"/>
              <w:rPr>
                <w:rFonts w:eastAsia="Times New Roman" w:cs="Times New Roman"/>
                <w:szCs w:val="24"/>
                <w:lang w:eastAsia="en-IN"/>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4C90684">
            <w:pPr>
              <w:spacing w:before="120" w:after="120"/>
              <w:rPr>
                <w:rFonts w:eastAsia="Times New Roman" w:cs="Times New Roman"/>
                <w:szCs w:val="24"/>
                <w:lang w:eastAsia="en-IN"/>
              </w:rPr>
            </w:pPr>
            <w:r>
              <w:rPr>
                <w:rFonts w:eastAsia="Times New Roman" w:cs="Times New Roman"/>
                <w:b/>
                <w:bCs/>
                <w:szCs w:val="24"/>
                <w:lang w:eastAsia="en-IN"/>
              </w:rPr>
              <w:t>Weaknesses</w:t>
            </w:r>
          </w:p>
          <w:p w14:paraId="246F9BF8">
            <w:pPr>
              <w:numPr>
                <w:ilvl w:val="0"/>
                <w:numId w:val="4"/>
              </w:numPr>
              <w:spacing w:before="120" w:after="120"/>
              <w:textAlignment w:val="baseline"/>
              <w:rPr>
                <w:rFonts w:eastAsia="Times New Roman" w:cs="Times New Roman"/>
                <w:b/>
                <w:bCs/>
                <w:szCs w:val="24"/>
                <w:lang w:eastAsia="en-IN"/>
              </w:rPr>
            </w:pPr>
            <w:r>
              <w:rPr>
                <w:rFonts w:eastAsia="Times New Roman" w:cs="Times New Roman"/>
                <w:b/>
                <w:bCs/>
                <w:szCs w:val="24"/>
                <w:lang w:eastAsia="en-IN"/>
              </w:rPr>
              <w:t> </w:t>
            </w:r>
            <w:r>
              <w:rPr>
                <w:rFonts w:eastAsia="Times New Roman" w:cs="Times New Roman"/>
                <w:szCs w:val="24"/>
                <w:lang w:eastAsia="en-IN"/>
              </w:rPr>
              <w:t>Low recognition in the Canadian market requires incorporating significant actions for shaping competitive advantages in the intense competition of the retail grocery sector, and it also needs to invest in marketing.</w:t>
            </w:r>
          </w:p>
          <w:p w14:paraId="5148E205">
            <w:pPr>
              <w:numPr>
                <w:ilvl w:val="0"/>
                <w:numId w:val="5"/>
              </w:numPr>
              <w:spacing w:before="120" w:after="120"/>
              <w:textAlignment w:val="baseline"/>
              <w:rPr>
                <w:rFonts w:eastAsia="Times New Roman" w:cs="Times New Roman"/>
                <w:szCs w:val="24"/>
                <w:lang w:eastAsia="en-IN"/>
              </w:rPr>
            </w:pPr>
            <w:r>
              <w:rPr>
                <w:rFonts w:eastAsia="Times New Roman" w:cs="Times New Roman"/>
                <w:szCs w:val="24"/>
                <w:lang w:eastAsia="en-IN"/>
              </w:rPr>
              <w:t>The limitations in the product range draw consumers' attention as they are used to choosing between diverse options of different brands.</w:t>
            </w:r>
          </w:p>
          <w:p w14:paraId="5DD167B6">
            <w:pPr>
              <w:numPr>
                <w:ilvl w:val="0"/>
                <w:numId w:val="6"/>
              </w:numPr>
              <w:spacing w:before="120" w:after="120"/>
              <w:textAlignment w:val="baseline"/>
              <w:rPr>
                <w:rFonts w:eastAsia="Times New Roman" w:cs="Times New Roman"/>
                <w:b/>
                <w:bCs/>
                <w:szCs w:val="24"/>
                <w:lang w:eastAsia="en-IN"/>
              </w:rPr>
            </w:pPr>
            <w:r>
              <w:rPr>
                <w:rFonts w:eastAsia="Times New Roman" w:cs="Times New Roman"/>
                <w:szCs w:val="24"/>
                <w:lang w:eastAsia="en-IN"/>
              </w:rPr>
              <w:t>The dependency on private label products for strengthening consumer trust and loyalty can decrease the development growth, mainly in the intensely competitive market</w:t>
            </w:r>
            <w:r>
              <w:rPr>
                <w:rFonts w:eastAsia="Times New Roman" w:cs="Times New Roman"/>
                <w:b/>
                <w:bCs/>
                <w:szCs w:val="24"/>
                <w:lang w:eastAsia="en-IN"/>
              </w:rPr>
              <w:t>.</w:t>
            </w:r>
          </w:p>
        </w:tc>
      </w:tr>
      <w:tr w14:paraId="07E12E39">
        <w:tblPrEx>
          <w:tblCellMar>
            <w:top w:w="15" w:type="dxa"/>
            <w:left w:w="15" w:type="dxa"/>
            <w:bottom w:w="15" w:type="dxa"/>
            <w:right w:w="15" w:type="dxa"/>
          </w:tblCellMar>
        </w:tblPrEx>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EBB7D6B">
            <w:pPr>
              <w:spacing w:before="120" w:after="120"/>
              <w:rPr>
                <w:rFonts w:eastAsia="Times New Roman" w:cs="Times New Roman"/>
                <w:szCs w:val="24"/>
                <w:lang w:eastAsia="en-IN"/>
              </w:rPr>
            </w:pPr>
            <w:r>
              <w:rPr>
                <w:rFonts w:eastAsia="Times New Roman" w:cs="Times New Roman"/>
                <w:b/>
                <w:bCs/>
                <w:szCs w:val="24"/>
                <w:lang w:eastAsia="en-IN"/>
              </w:rPr>
              <w:t>Opportunities </w:t>
            </w:r>
          </w:p>
          <w:p w14:paraId="0B7DDE35">
            <w:pPr>
              <w:numPr>
                <w:ilvl w:val="0"/>
                <w:numId w:val="7"/>
              </w:numPr>
              <w:spacing w:before="120" w:after="120"/>
              <w:textAlignment w:val="baseline"/>
              <w:rPr>
                <w:rFonts w:eastAsia="Times New Roman" w:cs="Times New Roman"/>
                <w:szCs w:val="24"/>
                <w:lang w:eastAsia="en-IN"/>
              </w:rPr>
            </w:pPr>
            <w:r>
              <w:rPr>
                <w:rFonts w:eastAsia="Times New Roman" w:cs="Times New Roman"/>
                <w:szCs w:val="24"/>
                <w:lang w:eastAsia="en-IN"/>
              </w:rPr>
              <w:t>The low-cost model helps the organisation to identify affordable consumers to sustain attraction and enhance development growth.</w:t>
            </w:r>
          </w:p>
          <w:p w14:paraId="2DA2CE70">
            <w:pPr>
              <w:numPr>
                <w:ilvl w:val="0"/>
                <w:numId w:val="8"/>
              </w:numPr>
              <w:spacing w:before="120" w:after="120"/>
              <w:textAlignment w:val="baseline"/>
              <w:rPr>
                <w:rFonts w:eastAsia="Times New Roman" w:cs="Times New Roman"/>
                <w:szCs w:val="24"/>
                <w:lang w:eastAsia="en-IN"/>
              </w:rPr>
            </w:pPr>
            <w:r>
              <w:rPr>
                <w:rFonts w:eastAsia="Times New Roman" w:cs="Times New Roman"/>
                <w:szCs w:val="24"/>
                <w:lang w:eastAsia="en-IN"/>
              </w:rPr>
              <w:t>Concerning private label products, helping the organisation Aldi to sustain quality standards and enhance opportunity, creating significant brand identities successfully (</w:t>
            </w:r>
            <w:r>
              <w:rPr>
                <w:rFonts w:cs="Times New Roman"/>
                <w:color w:val="222222"/>
                <w:szCs w:val="24"/>
                <w:shd w:val="clear" w:color="auto" w:fill="FFFFFF"/>
              </w:rPr>
              <w:t>Warnery-Daugy, 2025</w:t>
            </w:r>
            <w:r>
              <w:rPr>
                <w:rFonts w:eastAsia="Times New Roman" w:cs="Times New Roman"/>
                <w:szCs w:val="24"/>
                <w:lang w:eastAsia="en-IN"/>
              </w:rPr>
              <w:t>).</w:t>
            </w:r>
          </w:p>
          <w:p w14:paraId="311014A4">
            <w:pPr>
              <w:numPr>
                <w:ilvl w:val="0"/>
                <w:numId w:val="9"/>
              </w:numPr>
              <w:spacing w:before="120" w:after="120"/>
              <w:textAlignment w:val="baseline"/>
              <w:rPr>
                <w:rFonts w:eastAsia="Times New Roman" w:cs="Times New Roman"/>
                <w:szCs w:val="24"/>
                <w:lang w:eastAsia="en-IN"/>
              </w:rPr>
            </w:pPr>
            <w:r>
              <w:rPr>
                <w:rFonts w:eastAsia="Times New Roman" w:cs="Times New Roman"/>
                <w:szCs w:val="24"/>
                <w:lang w:eastAsia="en-IN"/>
              </w:rPr>
              <w:t>By focusing on providing customised offerings while maintaining affordability, it enhances the attraction of the eco-conscious consumers and creates a robust brand identity in the competitive market.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BDBF17B">
            <w:pPr>
              <w:spacing w:before="120" w:after="120"/>
              <w:rPr>
                <w:rFonts w:eastAsia="Times New Roman" w:cs="Times New Roman"/>
                <w:szCs w:val="24"/>
                <w:lang w:eastAsia="en-IN"/>
              </w:rPr>
            </w:pPr>
            <w:r>
              <w:rPr>
                <w:rFonts w:eastAsia="Times New Roman" w:cs="Times New Roman"/>
                <w:b/>
                <w:bCs/>
                <w:szCs w:val="24"/>
                <w:lang w:eastAsia="en-IN"/>
              </w:rPr>
              <w:t>Threats</w:t>
            </w:r>
          </w:p>
          <w:p w14:paraId="2278A3A2">
            <w:pPr>
              <w:numPr>
                <w:ilvl w:val="0"/>
                <w:numId w:val="10"/>
              </w:numPr>
              <w:spacing w:before="120" w:after="120"/>
              <w:textAlignment w:val="baseline"/>
              <w:rPr>
                <w:rFonts w:eastAsia="Times New Roman" w:cs="Times New Roman"/>
                <w:szCs w:val="24"/>
                <w:lang w:eastAsia="en-IN"/>
              </w:rPr>
            </w:pPr>
            <w:r>
              <w:rPr>
                <w:rFonts w:eastAsia="Times New Roman" w:cs="Times New Roman"/>
                <w:szCs w:val="24"/>
                <w:lang w:eastAsia="en-IN"/>
              </w:rPr>
              <w:t>The Canadian market has intense competition, and approaches to organising the Loyalty program could restrict Aldi's approach to expanding business growth within the market.</w:t>
            </w:r>
          </w:p>
          <w:p w14:paraId="1C4B81BA">
            <w:pPr>
              <w:numPr>
                <w:ilvl w:val="0"/>
                <w:numId w:val="11"/>
              </w:numPr>
              <w:spacing w:before="120" w:after="120"/>
              <w:textAlignment w:val="baseline"/>
              <w:rPr>
                <w:rFonts w:eastAsia="Times New Roman" w:cs="Times New Roman"/>
                <w:szCs w:val="24"/>
                <w:lang w:eastAsia="en-IN"/>
              </w:rPr>
            </w:pPr>
            <w:r>
              <w:rPr>
                <w:rFonts w:eastAsia="Times New Roman" w:cs="Times New Roman"/>
                <w:szCs w:val="24"/>
                <w:lang w:eastAsia="en-IN"/>
              </w:rPr>
              <w:t>The increasing operation of Canada, along with the regulatory barriers, poses a threat to Aldi's ability to protect development growth.</w:t>
            </w:r>
          </w:p>
          <w:p w14:paraId="2C38C277">
            <w:pPr>
              <w:numPr>
                <w:ilvl w:val="0"/>
                <w:numId w:val="12"/>
              </w:numPr>
              <w:spacing w:before="120" w:after="120"/>
              <w:textAlignment w:val="baseline"/>
              <w:rPr>
                <w:rFonts w:eastAsia="Times New Roman" w:cs="Times New Roman"/>
                <w:szCs w:val="24"/>
                <w:lang w:eastAsia="en-IN"/>
              </w:rPr>
            </w:pPr>
            <w:r>
              <w:rPr>
                <w:rFonts w:eastAsia="Times New Roman" w:cs="Times New Roman"/>
                <w:szCs w:val="24"/>
                <w:lang w:eastAsia="en-IN"/>
              </w:rPr>
              <w:t>The increasing development of e-commerce requires Aldi to shift from the traditional model and adopt changes to meet the expectations of the industry.</w:t>
            </w:r>
          </w:p>
        </w:tc>
      </w:tr>
    </w:tbl>
    <w:p w14:paraId="0534CBF7">
      <w:pPr>
        <w:spacing w:before="120" w:after="120"/>
        <w:jc w:val="center"/>
        <w:rPr>
          <w:rFonts w:eastAsia="Times New Roman" w:cs="Times New Roman"/>
          <w:b/>
          <w:bCs/>
          <w:color w:val="000000"/>
          <w:szCs w:val="24"/>
          <w:lang w:eastAsia="en-IN"/>
        </w:rPr>
      </w:pPr>
      <w:r>
        <w:rPr>
          <w:rFonts w:eastAsia="Times New Roman" w:cs="Times New Roman"/>
          <w:b/>
          <w:bCs/>
          <w:color w:val="000000"/>
          <w:szCs w:val="24"/>
          <w:lang w:eastAsia="en-IN"/>
        </w:rPr>
        <w:t>Table 2: SWOT analysis</w:t>
      </w:r>
    </w:p>
    <w:p w14:paraId="3E7AEB28">
      <w:pPr>
        <w:spacing w:before="120" w:after="120"/>
        <w:jc w:val="center"/>
        <w:rPr>
          <w:rFonts w:eastAsia="Times New Roman" w:cs="Times New Roman"/>
          <w:szCs w:val="24"/>
          <w:lang w:eastAsia="en-IN"/>
        </w:rPr>
      </w:pPr>
      <w:r>
        <w:rPr>
          <w:rFonts w:eastAsia="Times New Roman" w:cs="Times New Roman"/>
          <w:color w:val="000000"/>
          <w:szCs w:val="24"/>
          <w:lang w:eastAsia="en-IN"/>
        </w:rPr>
        <w:t>Source: (Developed by the author)</w:t>
      </w:r>
    </w:p>
    <w:p w14:paraId="21C19FE2">
      <w:pPr>
        <w:pStyle w:val="2"/>
      </w:pPr>
      <w:bookmarkStart w:id="9" w:name="_Toc214137670"/>
      <w:r>
        <w:t>Strategy development and formulation</w:t>
      </w:r>
      <w:bookmarkEnd w:id="9"/>
      <w:r>
        <w:t> </w:t>
      </w:r>
    </w:p>
    <w:p w14:paraId="4B5A3A28">
      <w:pPr>
        <w:pStyle w:val="3"/>
      </w:pPr>
      <w:bookmarkStart w:id="10" w:name="_Toc214137671"/>
      <w:r>
        <w:t>Ansoff matrix</w:t>
      </w:r>
      <w:bookmarkEnd w:id="10"/>
    </w:p>
    <w:p w14:paraId="7A4B5F58">
      <w:pPr>
        <w:jc w:val="center"/>
      </w:pPr>
      <w:r>
        <w:drawing>
          <wp:inline distT="0" distB="0" distL="0" distR="0">
            <wp:extent cx="4291965" cy="3216275"/>
            <wp:effectExtent l="0" t="0" r="635" b="0"/>
            <wp:docPr id="1029" name="Picture 4" descr="Analysis and Advantages of Ansoff Matrix"/>
            <wp:cNvGraphicFramePr/>
            <a:graphic xmlns:a="http://schemas.openxmlformats.org/drawingml/2006/main">
              <a:graphicData uri="http://schemas.openxmlformats.org/drawingml/2006/picture">
                <pic:pic xmlns:pic="http://schemas.openxmlformats.org/drawingml/2006/picture">
                  <pic:nvPicPr>
                    <pic:cNvPr id="1029" name="Picture 4" descr="Analysis and Advantages of Ansoff Matrix"/>
                    <pic:cNvPicPr/>
                  </pic:nvPicPr>
                  <pic:blipFill>
                    <a:blip r:embed="rId12" cstate="print"/>
                    <a:srcRect/>
                    <a:stretch>
                      <a:fillRect/>
                    </a:stretch>
                  </pic:blipFill>
                  <pic:spPr>
                    <a:xfrm>
                      <a:off x="0" y="0"/>
                      <a:ext cx="4292009" cy="3216867"/>
                    </a:xfrm>
                    <a:prstGeom prst="rect">
                      <a:avLst/>
                    </a:prstGeom>
                    <a:ln>
                      <a:noFill/>
                    </a:ln>
                  </pic:spPr>
                </pic:pic>
              </a:graphicData>
            </a:graphic>
          </wp:inline>
        </w:drawing>
      </w:r>
    </w:p>
    <w:p w14:paraId="0FA98D96">
      <w:pPr>
        <w:jc w:val="center"/>
        <w:rPr>
          <w:b/>
          <w:bCs/>
        </w:rPr>
      </w:pPr>
      <w:r>
        <w:rPr>
          <w:b/>
          <w:bCs/>
        </w:rPr>
        <w:t>Figure 4: Ansoff matrix</w:t>
      </w:r>
    </w:p>
    <w:p w14:paraId="7FD8EC21">
      <w:pPr>
        <w:jc w:val="center"/>
        <w:rPr>
          <w:lang w:eastAsia="en-IN"/>
        </w:rPr>
      </w:pPr>
      <w:r>
        <w:t>Source: (VanZandt, 2023)</w:t>
      </w:r>
    </w:p>
    <w:p w14:paraId="2768F370">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Market penetration </w:t>
      </w:r>
    </w:p>
    <w:p w14:paraId="33D51EA3">
      <w:pPr>
        <w:spacing w:before="120" w:after="120"/>
        <w:rPr>
          <w:rFonts w:eastAsia="Times New Roman" w:cs="Times New Roman"/>
          <w:color w:val="000000"/>
          <w:szCs w:val="24"/>
          <w:lang w:eastAsia="en-IN"/>
        </w:rPr>
      </w:pPr>
      <w:r>
        <w:rPr>
          <w:rFonts w:eastAsia="Times New Roman" w:cs="Times New Roman"/>
          <w:color w:val="000000"/>
          <w:szCs w:val="24"/>
          <w:lang w:eastAsia="en-IN"/>
        </w:rPr>
        <w:t>Market penetration strategy helps an organisation to not just focus on identifying paths for development, but it also expands the scope for attracting consumers to create competitive advantages (</w:t>
      </w:r>
      <w:r>
        <w:rPr>
          <w:rFonts w:cs="Times New Roman"/>
          <w:color w:val="222222"/>
          <w:szCs w:val="24"/>
          <w:shd w:val="clear" w:color="auto" w:fill="FFFFFF"/>
        </w:rPr>
        <w:t>Lubis and Muniapan, 2024</w:t>
      </w:r>
      <w:r>
        <w:rPr>
          <w:rFonts w:eastAsia="Times New Roman" w:cs="Times New Roman"/>
          <w:color w:val="000000"/>
          <w:szCs w:val="24"/>
          <w:lang w:eastAsia="en-IN"/>
        </w:rPr>
        <w:t>). As Aldo is a new entrant in the Canadian market, it needs to incorporate a penetration strategy to sustain the attraction of consumers by distracting from the significant players in the market, including Walmart and Costco. By focusing on integrating a low-cost model, the organisation can sustain the attraction of the price-sensitive consumers, and it can also help to maintain development in the increasing food costs.</w:t>
      </w:r>
    </w:p>
    <w:p w14:paraId="69A62323">
      <w:pPr>
        <w:spacing w:before="120" w:after="120"/>
        <w:rPr>
          <w:rFonts w:eastAsia="Times New Roman" w:cs="Times New Roman"/>
          <w:color w:val="000000"/>
          <w:szCs w:val="24"/>
          <w:lang w:eastAsia="en-IN"/>
        </w:rPr>
      </w:pPr>
      <w:r>
        <w:rPr>
          <w:rFonts w:eastAsia="Times New Roman" w:cs="Times New Roman"/>
          <w:color w:val="000000"/>
          <w:szCs w:val="24"/>
          <w:lang w:eastAsia="en-IN"/>
        </w:rPr>
        <w:t>A significant strategy for shaping marketing campaigns helps in reaching out to broader audiences, and it will contribute a beneficial impact to build trust and awareness among consumers. Considering that this strategy will help in attracting not only urban areas or dense population areas, but it also identifies potential consumers to sustain high performance growth. Apart from that, emphasis on providing loyalty-based points will also help an organisation to maintain development.</w:t>
      </w:r>
    </w:p>
    <w:p w14:paraId="779E8FF2">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Market development </w:t>
      </w:r>
    </w:p>
    <w:p w14:paraId="739647D1">
      <w:pPr>
        <w:spacing w:before="120" w:after="120"/>
        <w:rPr>
          <w:rFonts w:eastAsia="Times New Roman" w:cs="Times New Roman"/>
          <w:color w:val="000000"/>
          <w:szCs w:val="24"/>
          <w:lang w:eastAsia="en-IN"/>
        </w:rPr>
      </w:pPr>
      <w:r>
        <w:rPr>
          <w:rFonts w:eastAsia="Times New Roman" w:cs="Times New Roman"/>
          <w:color w:val="000000"/>
          <w:szCs w:val="24"/>
          <w:lang w:eastAsia="en-IN"/>
        </w:rPr>
        <w:t>Market development strategy contributes a beneficial impact to a new entrant by focusing on analysing the cultural scope of a development through assessing the consumer preferences (</w:t>
      </w:r>
      <w:r>
        <w:rPr>
          <w:rFonts w:cs="Times New Roman"/>
          <w:color w:val="222222"/>
          <w:szCs w:val="24"/>
          <w:shd w:val="clear" w:color="auto" w:fill="FFFFFF"/>
        </w:rPr>
        <w:t>Attah et al., 2024</w:t>
      </w:r>
      <w:r>
        <w:rPr>
          <w:rFonts w:eastAsia="Times New Roman" w:cs="Times New Roman"/>
          <w:color w:val="000000"/>
          <w:szCs w:val="24"/>
          <w:lang w:eastAsia="en-IN"/>
        </w:rPr>
        <w:t>). As Canada has a multicultural society, it provides an opportunity for Aldi to provide significant offerings to the diverse audience, which also contributes to a positive impact in targeting potential audiences, along with encouraging repeat purchasing. Apart from that, the approach of private label products requires the organisation to adopt changes quickly to maintain relevance in the food items.</w:t>
      </w:r>
    </w:p>
    <w:p w14:paraId="4518BEEF">
      <w:pPr>
        <w:spacing w:before="120" w:after="120"/>
        <w:rPr>
          <w:rFonts w:eastAsia="Times New Roman" w:cs="Times New Roman"/>
          <w:color w:val="000000"/>
          <w:szCs w:val="24"/>
          <w:lang w:eastAsia="en-IN"/>
        </w:rPr>
      </w:pPr>
      <w:r>
        <w:rPr>
          <w:rFonts w:eastAsia="Times New Roman" w:cs="Times New Roman"/>
          <w:color w:val="000000"/>
          <w:szCs w:val="24"/>
          <w:lang w:eastAsia="en-IN"/>
        </w:rPr>
        <w:t>Concerning future scope, it helps the organisation to create long-term development alongside fostering opportunities for strengthening collaboration with local suppliers. Considering that collaborating with local partners not only helps in maintaining supply chain efficiency but also reduces conflict with them.</w:t>
      </w:r>
    </w:p>
    <w:p w14:paraId="7794C8E4">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Product development </w:t>
      </w:r>
    </w:p>
    <w:p w14:paraId="322BD1C8">
      <w:pPr>
        <w:spacing w:before="120" w:after="120"/>
        <w:rPr>
          <w:rFonts w:eastAsia="Times New Roman" w:cs="Times New Roman"/>
          <w:color w:val="000000"/>
          <w:szCs w:val="24"/>
          <w:lang w:eastAsia="en-IN"/>
        </w:rPr>
      </w:pPr>
      <w:r>
        <w:rPr>
          <w:rFonts w:eastAsia="Times New Roman" w:cs="Times New Roman"/>
          <w:color w:val="000000"/>
          <w:szCs w:val="24"/>
          <w:lang w:eastAsia="en-IN"/>
        </w:rPr>
        <w:t>Product development strategy helps an organisation to enhance the approach of gaining understanding about consumer preferences and local taste for sustaining expansion progress. For expanding business growth, Aldi needs to focus on adopting not only private label items but also elevating understanding about local preferences in manufacturing the products, which helps in not just creating brand identity in the market but also creates different identities in the market.</w:t>
      </w:r>
    </w:p>
    <w:p w14:paraId="170437A1">
      <w:pPr>
        <w:spacing w:before="120" w:after="120"/>
        <w:rPr>
          <w:rFonts w:eastAsia="Times New Roman" w:cs="Times New Roman"/>
          <w:color w:val="000000"/>
          <w:szCs w:val="24"/>
          <w:lang w:eastAsia="en-IN"/>
        </w:rPr>
      </w:pPr>
      <w:r>
        <w:rPr>
          <w:rFonts w:eastAsia="Times New Roman" w:cs="Times New Roman"/>
          <w:color w:val="000000"/>
          <w:szCs w:val="24"/>
          <w:lang w:eastAsia="en-IN"/>
        </w:rPr>
        <w:t>The organisation needs to focus on the infusion of regional taste, along with integrating sustainable approaches. Considering that a sustainable approach by focusing on incorporating change in the packaging and supply chain process can contribute to Aldi's work approaches and consumer engagement.</w:t>
      </w:r>
    </w:p>
    <w:p w14:paraId="354ACA40">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Diversification</w:t>
      </w:r>
    </w:p>
    <w:p w14:paraId="20124223">
      <w:pPr>
        <w:spacing w:before="120" w:after="120"/>
        <w:rPr>
          <w:rFonts w:eastAsia="Times New Roman" w:cs="Times New Roman"/>
          <w:color w:val="000000"/>
          <w:szCs w:val="24"/>
          <w:lang w:eastAsia="en-IN"/>
        </w:rPr>
      </w:pPr>
      <w:r>
        <w:rPr>
          <w:rFonts w:eastAsia="Times New Roman" w:cs="Times New Roman"/>
          <w:color w:val="000000"/>
          <w:szCs w:val="24"/>
          <w:lang w:eastAsia="en-IN"/>
        </w:rPr>
        <w:t>A diversification strategy helps an organisation to sustain progress in expansion, and it helps in meeting the expectations of a market (</w:t>
      </w:r>
      <w:r>
        <w:rPr>
          <w:rFonts w:cs="Times New Roman"/>
          <w:szCs w:val="24"/>
        </w:rPr>
        <w:t>LinkedIn, 2024</w:t>
      </w:r>
      <w:r>
        <w:rPr>
          <w:rFonts w:eastAsia="Times New Roman" w:cs="Times New Roman"/>
          <w:color w:val="000000"/>
          <w:szCs w:val="24"/>
          <w:lang w:eastAsia="en-IN"/>
        </w:rPr>
        <w:t>). As Aldi emphasises, expanding into the Canadian market requires integrating digital transformation. Digital transformation helps in providing efficient services to consumers and increases the opportunity of meeting consumer preferences by providing service value to them.</w:t>
      </w:r>
    </w:p>
    <w:p w14:paraId="02D15B8D">
      <w:pPr>
        <w:spacing w:before="120" w:after="120"/>
        <w:rPr>
          <w:rFonts w:eastAsia="Times New Roman" w:cs="Times New Roman"/>
          <w:color w:val="000000"/>
          <w:szCs w:val="24"/>
          <w:lang w:eastAsia="en-IN"/>
        </w:rPr>
      </w:pPr>
      <w:r>
        <w:rPr>
          <w:rFonts w:eastAsia="Times New Roman" w:cs="Times New Roman"/>
          <w:color w:val="000000"/>
          <w:szCs w:val="24"/>
          <w:lang w:eastAsia="en-IN"/>
        </w:rPr>
        <w:t>Market penetration strategy will enhance benefits to Aldi by not only shaping development growth by focusing on building trust among consumers. Apart from that, this strategy helps in shaping development by integrating cost leadership and contributes to efficient impact in successful expansion.</w:t>
      </w:r>
    </w:p>
    <w:p w14:paraId="3C2D2A9F">
      <w:pPr>
        <w:pStyle w:val="3"/>
      </w:pPr>
      <w:bookmarkStart w:id="11" w:name="_Toc214137672"/>
      <w:r>
        <w:t>Porter's generic strategy</w:t>
      </w:r>
      <w:bookmarkEnd w:id="11"/>
    </w:p>
    <w:p w14:paraId="45557F42">
      <w:pPr>
        <w:spacing w:before="120" w:after="120"/>
        <w:rPr>
          <w:rFonts w:eastAsia="Times New Roman" w:cs="Times New Roman"/>
          <w:color w:val="000000"/>
          <w:szCs w:val="24"/>
          <w:lang w:eastAsia="en-IN"/>
        </w:rPr>
      </w:pPr>
      <w:r>
        <w:rPr>
          <w:rFonts w:eastAsia="Times New Roman" w:cs="Times New Roman"/>
          <w:color w:val="000000"/>
          <w:szCs w:val="24"/>
          <w:lang w:eastAsia="en-IN"/>
        </w:rPr>
        <w:t>This strategy helps in assessing Aldi's approach to sustaining competitive advantages in the intense retail grocery market of Canada. Through analysing significant strategic options including differentiation, cost leadership, focus differentiation and focused cost leadership. Considering that analysing these strategic options contributes a beneficial impact to Aldi's expansion progress by focusing on shaping consumer behaviour and competitive advantages.</w:t>
      </w:r>
    </w:p>
    <w:p w14:paraId="63ABB041">
      <w:pPr>
        <w:spacing w:before="120" w:after="120"/>
        <w:jc w:val="center"/>
      </w:pPr>
      <w:r>
        <w:drawing>
          <wp:inline distT="0" distB="0" distL="0" distR="0">
            <wp:extent cx="5731510" cy="3221355"/>
            <wp:effectExtent l="0" t="0" r="0" b="4445"/>
            <wp:docPr id="1030" name="Picture 5" descr="Porter's Generic Strategies EXPLAINED with EXAMPLES | B2U"/>
            <wp:cNvGraphicFramePr/>
            <a:graphic xmlns:a="http://schemas.openxmlformats.org/drawingml/2006/main">
              <a:graphicData uri="http://schemas.openxmlformats.org/drawingml/2006/picture">
                <pic:pic xmlns:pic="http://schemas.openxmlformats.org/drawingml/2006/picture">
                  <pic:nvPicPr>
                    <pic:cNvPr id="1030" name="Picture 5" descr="Porter's Generic Strategies EXPLAINED with EXAMPLES | B2U"/>
                    <pic:cNvPicPr/>
                  </pic:nvPicPr>
                  <pic:blipFill>
                    <a:blip r:embed="rId13" cstate="print"/>
                    <a:srcRect/>
                    <a:stretch>
                      <a:fillRect/>
                    </a:stretch>
                  </pic:blipFill>
                  <pic:spPr>
                    <a:xfrm>
                      <a:off x="0" y="0"/>
                      <a:ext cx="5731510" cy="3221355"/>
                    </a:xfrm>
                    <a:prstGeom prst="rect">
                      <a:avLst/>
                    </a:prstGeom>
                    <a:ln>
                      <a:noFill/>
                    </a:ln>
                  </pic:spPr>
                </pic:pic>
              </a:graphicData>
            </a:graphic>
          </wp:inline>
        </w:drawing>
      </w:r>
    </w:p>
    <w:p w14:paraId="7E6C75EA">
      <w:pPr>
        <w:spacing w:before="120" w:after="120"/>
        <w:jc w:val="center"/>
        <w:rPr>
          <w:b/>
          <w:bCs/>
        </w:rPr>
      </w:pPr>
      <w:r>
        <w:rPr>
          <w:b/>
          <w:bCs/>
        </w:rPr>
        <w:t>Figure 5: Porter's generic strategy</w:t>
      </w:r>
    </w:p>
    <w:p w14:paraId="3062B9D6">
      <w:pPr>
        <w:spacing w:before="120" w:after="120"/>
        <w:jc w:val="center"/>
        <w:rPr>
          <w:rFonts w:eastAsia="Times New Roman" w:cs="Times New Roman"/>
          <w:color w:val="000000"/>
          <w:szCs w:val="24"/>
          <w:lang w:eastAsia="en-IN"/>
        </w:rPr>
      </w:pPr>
      <w:r>
        <w:t>Source: (de Bruin, 2021)</w:t>
      </w:r>
    </w:p>
    <w:p w14:paraId="0EE5987E">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Cost leadership </w:t>
      </w:r>
    </w:p>
    <w:p w14:paraId="2E5DFA67">
      <w:pPr>
        <w:spacing w:before="120" w:after="120"/>
        <w:rPr>
          <w:rFonts w:eastAsia="Times New Roman" w:cs="Times New Roman"/>
          <w:color w:val="000000"/>
          <w:szCs w:val="24"/>
          <w:lang w:eastAsia="en-IN"/>
        </w:rPr>
      </w:pPr>
      <w:r>
        <w:rPr>
          <w:rFonts w:eastAsia="Times New Roman" w:cs="Times New Roman"/>
          <w:color w:val="000000"/>
          <w:szCs w:val="24"/>
          <w:lang w:eastAsia="en-IN"/>
        </w:rPr>
        <w:t>Cost leadership strategy helps an organisation to create a dominating strategic approach for sustaining the competitive advantages by focusing on the Global Business model. The approach of Aldi by integrating low-cost operation, which contributes significant benefit in shaping business structure, alongside the lean store design and minimal employee store, alongside the private label products also contributes beneficial impact in sustaining competitive advantages in the Canadian market as the significant players of the Canadian market emphasise marketing and promotions, Aldi is mainly concerned with the low cost model, which enhances value efficiency, and it will shape competitive advantage in the market.</w:t>
      </w:r>
    </w:p>
    <w:p w14:paraId="5E5C4FE3">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Differentiation </w:t>
      </w:r>
    </w:p>
    <w:p w14:paraId="26BD5DAA">
      <w:pPr>
        <w:spacing w:before="120" w:after="120"/>
        <w:rPr>
          <w:rFonts w:eastAsia="Times New Roman" w:cs="Times New Roman"/>
          <w:color w:val="000000"/>
          <w:szCs w:val="24"/>
          <w:lang w:eastAsia="en-IN"/>
        </w:rPr>
      </w:pPr>
      <w:r>
        <w:rPr>
          <w:rFonts w:eastAsia="Times New Roman" w:cs="Times New Roman"/>
          <w:color w:val="000000"/>
          <w:szCs w:val="24"/>
          <w:lang w:eastAsia="en-IN"/>
        </w:rPr>
        <w:t>Differentiation strategy fosters uniqueness in an organisation's approach for not only creating different identities in the market but also fosters efficiency in the brand reputation (</w:t>
      </w:r>
      <w:r>
        <w:rPr>
          <w:rFonts w:cs="Times New Roman"/>
          <w:color w:val="222222"/>
          <w:szCs w:val="24"/>
          <w:shd w:val="clear" w:color="auto" w:fill="FFFFFF"/>
        </w:rPr>
        <w:t>Noor, Till and Hafeez, 2025</w:t>
      </w:r>
      <w:r>
        <w:rPr>
          <w:rFonts w:eastAsia="Times New Roman" w:cs="Times New Roman"/>
          <w:color w:val="000000"/>
          <w:szCs w:val="24"/>
          <w:lang w:eastAsia="en-IN"/>
        </w:rPr>
        <w:t>). The traditional retailers are mainly concerned towards integrating premium prices along with innovation, which poses limitations in achieving success. As Canada has a diverse consumer base, organisations need to foster innovation in sustaining the premium quality of products by maintaining a price strategy. So Aldi needs to focus on maintaining a differentiation approach by emphasising private labelling along with integrating sustainable practices. The sustainable practice can help the organisation incorporate changes in the packaging alongside minimising waste and enhancing concern towards renewable energy, which sustains the attraction of the consumers and helps in shifting towards another country for development.</w:t>
      </w:r>
    </w:p>
    <w:p w14:paraId="0100314C">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Focused cost leadership </w:t>
      </w:r>
    </w:p>
    <w:p w14:paraId="1475A240">
      <w:pPr>
        <w:spacing w:before="120" w:after="120"/>
        <w:rPr>
          <w:rFonts w:eastAsia="Times New Roman" w:cs="Times New Roman"/>
          <w:color w:val="000000"/>
          <w:szCs w:val="24"/>
          <w:lang w:eastAsia="en-IN"/>
        </w:rPr>
      </w:pPr>
      <w:r>
        <w:rPr>
          <w:rFonts w:eastAsia="Times New Roman" w:cs="Times New Roman"/>
          <w:color w:val="000000"/>
          <w:szCs w:val="24"/>
          <w:lang w:eastAsia="en-IN"/>
        </w:rPr>
        <w:t>A focused cost leadership strategy is highly acceptable in expanding business growth to other countries because it helps an organisation to sustain concern towards a specific consumer segment rather than the entire nation (</w:t>
      </w:r>
      <w:r>
        <w:rPr>
          <w:rFonts w:cs="Times New Roman"/>
          <w:color w:val="222222"/>
          <w:szCs w:val="24"/>
          <w:shd w:val="clear" w:color="auto" w:fill="FFFFFF"/>
        </w:rPr>
        <w:t>Jerab and Mabrouk, 2023</w:t>
      </w:r>
      <w:r>
        <w:rPr>
          <w:rFonts w:eastAsia="Times New Roman" w:cs="Times New Roman"/>
          <w:color w:val="000000"/>
          <w:szCs w:val="24"/>
          <w:lang w:eastAsia="en-IN"/>
        </w:rPr>
        <w:t>). Considering that this approach will help Aldi in analysing specific segment consumer preferences, it also provides an understanding of potential consumers within Canadian cities, as it has a diverse culture. Focusing on identifying budget-friendly consumers by fostering innovation in the pricing strategy and sustaining openness to private label alternatives will help in creating a beneficial impact in building brand reputation. Brand reputation enhances the opportunity for strengthening long-term relationships with consumers and creating competitive advantages.</w:t>
      </w:r>
    </w:p>
    <w:p w14:paraId="4A24177A">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Focused differentiation</w:t>
      </w:r>
    </w:p>
    <w:p w14:paraId="2EC537C3">
      <w:pPr>
        <w:spacing w:before="120" w:after="120"/>
        <w:rPr>
          <w:rFonts w:eastAsia="Times New Roman" w:cs="Times New Roman"/>
          <w:color w:val="000000"/>
          <w:szCs w:val="24"/>
          <w:lang w:eastAsia="en-IN"/>
        </w:rPr>
      </w:pPr>
      <w:r>
        <w:rPr>
          <w:rFonts w:eastAsia="Times New Roman" w:cs="Times New Roman"/>
          <w:color w:val="000000"/>
          <w:szCs w:val="24"/>
          <w:lang w:eastAsia="en-IN"/>
        </w:rPr>
        <w:t>Focused differentiation helps an organisation to gain awareness about diverse consumer preferences of specific segments and enhances the opportunity for providing unique offerings, which not only helps in strengthening the relationship with them but also creates long-term loyalty. This strategy helps Aldi target potential audiences by providing significant discounts and innovative approaches to sustain attention. Apart from that, for sustaining differentiation, the organisation needs to enhance productivity and shape the value proposition in the Canadian market.</w:t>
      </w:r>
    </w:p>
    <w:p w14:paraId="10D91DF8">
      <w:pPr>
        <w:spacing w:before="120" w:after="120"/>
        <w:rPr>
          <w:rFonts w:eastAsia="Times New Roman" w:cs="Times New Roman"/>
          <w:color w:val="000000"/>
          <w:szCs w:val="24"/>
          <w:lang w:eastAsia="en-IN"/>
        </w:rPr>
      </w:pPr>
      <w:r>
        <w:rPr>
          <w:rFonts w:eastAsia="Times New Roman" w:cs="Times New Roman"/>
          <w:color w:val="000000"/>
          <w:szCs w:val="24"/>
          <w:lang w:eastAsia="en-IN"/>
        </w:rPr>
        <w:t>For shaping long-term development growth by focusing on expanding business development in the Canadian market, Aldi needs to integrate the cost leadership approach. Considering that this approach will have a beneficial impact in addressing price-sensitive consumers and create long-term competitive advantages.</w:t>
      </w:r>
    </w:p>
    <w:p w14:paraId="0021FEBC">
      <w:pPr>
        <w:pStyle w:val="2"/>
      </w:pPr>
      <w:bookmarkStart w:id="12" w:name="_Toc214137673"/>
      <w:r>
        <w:t>Market entry strategies</w:t>
      </w:r>
      <w:bookmarkEnd w:id="12"/>
    </w:p>
    <w:p w14:paraId="31097071">
      <w:pPr>
        <w:spacing w:before="120" w:after="120"/>
        <w:rPr>
          <w:rFonts w:eastAsia="Times New Roman" w:cs="Times New Roman"/>
          <w:color w:val="000000"/>
          <w:szCs w:val="24"/>
          <w:lang w:eastAsia="en-IN"/>
        </w:rPr>
      </w:pPr>
      <w:r>
        <w:rPr>
          <w:rFonts w:eastAsia="Times New Roman" w:cs="Times New Roman"/>
          <w:color w:val="000000"/>
          <w:szCs w:val="24"/>
          <w:lang w:eastAsia="en-IN"/>
        </w:rPr>
        <w:t xml:space="preserve">Focusing on evaluating strategic options for entering new markets helps in shaping business growth and operational development. Canada provides significant opportunities, along with barriers, in meeting consumer demands for shaping affordable products. </w:t>
      </w:r>
    </w:p>
    <w:p w14:paraId="72AE357B">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Greenfield investment </w:t>
      </w:r>
    </w:p>
    <w:p w14:paraId="5AE4F66C">
      <w:pPr>
        <w:spacing w:before="120" w:after="120"/>
        <w:rPr>
          <w:rFonts w:eastAsia="Times New Roman" w:cs="Times New Roman"/>
          <w:color w:val="000000"/>
          <w:szCs w:val="24"/>
          <w:lang w:eastAsia="en-IN"/>
        </w:rPr>
      </w:pPr>
      <w:r>
        <w:rPr>
          <w:rFonts w:eastAsia="Times New Roman" w:cs="Times New Roman"/>
          <w:color w:val="000000"/>
          <w:szCs w:val="24"/>
          <w:lang w:eastAsia="en-IN"/>
        </w:rPr>
        <w:t>Greenfield investment provides opportunities to an organisation in expanding business growth efficiently into other countries (</w:t>
      </w:r>
      <w:r>
        <w:rPr>
          <w:rFonts w:cs="Times New Roman"/>
          <w:color w:val="222222"/>
          <w:szCs w:val="24"/>
          <w:shd w:val="clear" w:color="auto" w:fill="FFFFFF"/>
        </w:rPr>
        <w:t>Ti, Ng, and Rasiah, 2023</w:t>
      </w:r>
      <w:r>
        <w:rPr>
          <w:rFonts w:eastAsia="Times New Roman" w:cs="Times New Roman"/>
          <w:color w:val="000000"/>
          <w:szCs w:val="24"/>
          <w:lang w:eastAsia="en-IN"/>
        </w:rPr>
        <w:t xml:space="preserve">). Apart from that, this strategy will help Aldi in shaping the most straightforward store layout with minimum staffing, and it will help in fostering innovation in the pricing strategy. Aldi can also focus on identifying urban areas to gain awareness about consumer preferences. Gaining awareness about consumer choices helps in meeting the demands of price-sensitive audiences; apart from that, it also significantly contributes to achieving long-term benefits. So the Greenfield investment enhances a detailed understanding of the requirements of operational regulations. </w:t>
      </w:r>
    </w:p>
    <w:p w14:paraId="160E0708">
      <w:pPr>
        <w:spacing w:before="120" w:after="120"/>
        <w:jc w:val="center"/>
      </w:pPr>
      <w:r>
        <w:drawing>
          <wp:inline distT="0" distB="0" distL="0" distR="0">
            <wp:extent cx="4854575" cy="2656840"/>
            <wp:effectExtent l="0" t="0" r="0" b="0"/>
            <wp:docPr id="1031" name="Picture 6" descr="Greenfield Investment: Meaning, Pros, and Cons"/>
            <wp:cNvGraphicFramePr/>
            <a:graphic xmlns:a="http://schemas.openxmlformats.org/drawingml/2006/main">
              <a:graphicData uri="http://schemas.openxmlformats.org/drawingml/2006/picture">
                <pic:pic xmlns:pic="http://schemas.openxmlformats.org/drawingml/2006/picture">
                  <pic:nvPicPr>
                    <pic:cNvPr id="1031" name="Picture 6" descr="Greenfield Investment: Meaning, Pros, and Cons"/>
                    <pic:cNvPicPr/>
                  </pic:nvPicPr>
                  <pic:blipFill>
                    <a:blip r:embed="rId14" cstate="print"/>
                    <a:srcRect/>
                    <a:stretch>
                      <a:fillRect/>
                    </a:stretch>
                  </pic:blipFill>
                  <pic:spPr>
                    <a:xfrm>
                      <a:off x="0" y="0"/>
                      <a:ext cx="4854793" cy="2657066"/>
                    </a:xfrm>
                    <a:prstGeom prst="rect">
                      <a:avLst/>
                    </a:prstGeom>
                    <a:ln>
                      <a:noFill/>
                    </a:ln>
                  </pic:spPr>
                </pic:pic>
              </a:graphicData>
            </a:graphic>
          </wp:inline>
        </w:drawing>
      </w:r>
    </w:p>
    <w:p w14:paraId="159F8056">
      <w:pPr>
        <w:spacing w:before="120" w:after="120"/>
        <w:jc w:val="center"/>
        <w:rPr>
          <w:b/>
          <w:bCs/>
        </w:rPr>
      </w:pPr>
      <w:r>
        <w:rPr>
          <w:b/>
          <w:bCs/>
        </w:rPr>
        <w:t xml:space="preserve">Figure 6: Greenfield investment </w:t>
      </w:r>
    </w:p>
    <w:p w14:paraId="76991A02">
      <w:pPr>
        <w:spacing w:before="120" w:after="120"/>
        <w:jc w:val="center"/>
        <w:rPr>
          <w:rFonts w:eastAsia="Times New Roman" w:cs="Times New Roman"/>
          <w:color w:val="000000"/>
          <w:szCs w:val="24"/>
          <w:lang w:eastAsia="en-IN"/>
        </w:rPr>
      </w:pPr>
      <w:r>
        <w:t>Source: (Malhotra, 2023)</w:t>
      </w:r>
    </w:p>
    <w:p w14:paraId="7C2B9F51">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Joint ventures </w:t>
      </w:r>
    </w:p>
    <w:p w14:paraId="35BA1882">
      <w:pPr>
        <w:spacing w:before="120" w:after="120"/>
        <w:rPr>
          <w:rFonts w:eastAsia="Times New Roman" w:cs="Times New Roman"/>
          <w:color w:val="000000"/>
          <w:szCs w:val="24"/>
          <w:lang w:eastAsia="en-IN"/>
        </w:rPr>
      </w:pPr>
      <w:r>
        <w:rPr>
          <w:rFonts w:eastAsia="Times New Roman" w:cs="Times New Roman"/>
          <w:color w:val="000000"/>
          <w:szCs w:val="24"/>
          <w:lang w:eastAsia="en-IN"/>
        </w:rPr>
        <w:t>Joint ventures help an organisation to share responsibility along with risks (</w:t>
      </w:r>
      <w:r>
        <w:rPr>
          <w:rFonts w:cs="Times New Roman"/>
          <w:color w:val="222222"/>
          <w:szCs w:val="24"/>
          <w:shd w:val="clear" w:color="auto" w:fill="FFFFFF"/>
        </w:rPr>
        <w:t>Do, Nguyen, and Likhitruangsilp, 2023</w:t>
      </w:r>
      <w:r>
        <w:rPr>
          <w:rFonts w:eastAsia="Times New Roman" w:cs="Times New Roman"/>
          <w:color w:val="000000"/>
          <w:szCs w:val="24"/>
          <w:lang w:eastAsia="en-IN"/>
        </w:rPr>
        <w:t xml:space="preserve">). Apart from that, Joint ventures shape consistency in work operations, but they reflect inconsistency in work operations. Considering that shared responsibility could disrupt Aldi in shaping its cost leadership strategy, it also enhances the slow pace in the decision-making process. Considering that it significantly impacts shaping risk factors by sharing the challenges. </w:t>
      </w:r>
    </w:p>
    <w:p w14:paraId="3070A409">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Acquisition </w:t>
      </w:r>
    </w:p>
    <w:p w14:paraId="4E074F50">
      <w:pPr>
        <w:spacing w:before="120" w:after="120"/>
        <w:rPr>
          <w:rFonts w:eastAsia="Times New Roman" w:cs="Times New Roman"/>
          <w:color w:val="000000"/>
          <w:szCs w:val="24"/>
          <w:lang w:eastAsia="en-IN"/>
        </w:rPr>
      </w:pPr>
      <w:r>
        <w:rPr>
          <w:rFonts w:eastAsia="Times New Roman" w:cs="Times New Roman"/>
          <w:color w:val="000000"/>
          <w:szCs w:val="24"/>
          <w:lang w:eastAsia="en-IN"/>
        </w:rPr>
        <w:t xml:space="preserve">Focusing on acquiring a small or mid-sized regional retail grocery chain could help in shaping the approach to Aldi in maintaining relationships with suppliers. Apart from that, this approach needs to be integrated into the national footprints. However, the store structure of Aldi focuses on shaping quality standards along with maintaining affordability in pricing. So, focusing on restructuring the cost structure elevates the cost ratio and declines desirable options. Considering that it impacts sustaining consumer engagement, along with shaping brand reputation. </w:t>
      </w:r>
    </w:p>
    <w:p w14:paraId="39DB64E3">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Franchising</w:t>
      </w:r>
    </w:p>
    <w:p w14:paraId="4955A7AF">
      <w:pPr>
        <w:spacing w:before="120" w:after="120"/>
        <w:rPr>
          <w:rFonts w:eastAsia="Times New Roman" w:cs="Times New Roman"/>
          <w:color w:val="000000"/>
          <w:szCs w:val="24"/>
          <w:lang w:eastAsia="en-IN"/>
        </w:rPr>
      </w:pPr>
      <w:r>
        <w:rPr>
          <w:rFonts w:eastAsia="Times New Roman" w:cs="Times New Roman"/>
          <w:color w:val="000000"/>
          <w:szCs w:val="24"/>
          <w:lang w:eastAsia="en-IN"/>
        </w:rPr>
        <w:t>Franchising needs to invest minimally, which helps in promoting significant development. On the other hand, franchising also enhances disruption to maintain efficient operation and growth for Aldi. Apart from that, focusing on shaping the cos management practice along with integrating change in the store layout also has a significant impact on the expansion of a business. The franchising strategy elevates risk factors in shaping the consistency of maintaining brand identity.</w:t>
      </w:r>
    </w:p>
    <w:p w14:paraId="22F392A9">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Gradual organic Expansion</w:t>
      </w:r>
    </w:p>
    <w:p w14:paraId="7FB8700E">
      <w:pPr>
        <w:spacing w:before="120" w:after="120"/>
        <w:rPr>
          <w:rFonts w:eastAsia="Times New Roman" w:cs="Times New Roman"/>
          <w:color w:val="000000"/>
          <w:szCs w:val="24"/>
          <w:lang w:eastAsia="en-IN"/>
        </w:rPr>
      </w:pPr>
      <w:r>
        <w:rPr>
          <w:rFonts w:eastAsia="Times New Roman" w:cs="Times New Roman"/>
          <w:color w:val="000000"/>
          <w:szCs w:val="24"/>
          <w:lang w:eastAsia="en-IN"/>
        </w:rPr>
        <w:t>Gradual organic expansion provides an opportunity for Aldi to not only shape the development of stores but also help minimise the risk factors by elevating awareness about consumer preferences. Considering that gaining understanding about consumer preferences also expands the opportunity to shape the change of the store location and layout, which also creates a fruitful impact in shaping efficient development. So the organisation can focus towards managing the supply chain process by fostering cost efficiency, which not only meets organisational requirements but also strengthens relationships with consumers.</w:t>
      </w:r>
    </w:p>
    <w:p w14:paraId="2FC4A133">
      <w:pPr>
        <w:spacing w:before="120" w:after="120"/>
        <w:rPr>
          <w:rFonts w:eastAsia="Times New Roman" w:cs="Times New Roman"/>
          <w:color w:val="000000"/>
          <w:szCs w:val="24"/>
          <w:lang w:eastAsia="en-IN"/>
        </w:rPr>
      </w:pPr>
      <w:r>
        <w:rPr>
          <w:rFonts w:eastAsia="Times New Roman" w:cs="Times New Roman"/>
          <w:color w:val="000000"/>
          <w:szCs w:val="24"/>
          <w:lang w:eastAsia="en-IN"/>
        </w:rPr>
        <w:t>Through focusing on integrating the Greenfield investment strategy for entering the Canadian market, Aldi will enhance its benefits; apart from that, it also helps in strengthening the benefit of cost leadership and enhances the opportunity for integrating change to meet the competitive advantages in the retail grocery industry.</w:t>
      </w:r>
    </w:p>
    <w:p w14:paraId="7B7DFD47">
      <w:pPr>
        <w:pStyle w:val="2"/>
      </w:pPr>
      <w:bookmarkStart w:id="13" w:name="_Toc214137674"/>
      <w:r>
        <w:t>Performance evaluation</w:t>
      </w:r>
      <w:bookmarkEnd w:id="13"/>
      <w:r>
        <w:t> </w:t>
      </w:r>
    </w:p>
    <w:p w14:paraId="22792043">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Tripple bottom-line</w:t>
      </w:r>
    </w:p>
    <w:p w14:paraId="0D2680AF">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People</w:t>
      </w:r>
    </w:p>
    <w:p w14:paraId="7869883F">
      <w:pPr>
        <w:spacing w:before="120" w:after="120"/>
        <w:rPr>
          <w:rFonts w:eastAsia="Times New Roman" w:cs="Times New Roman"/>
          <w:color w:val="000000"/>
          <w:szCs w:val="24"/>
          <w:lang w:eastAsia="en-IN"/>
        </w:rPr>
      </w:pPr>
      <w:r>
        <w:rPr>
          <w:rFonts w:eastAsia="Times New Roman" w:cs="Times New Roman"/>
          <w:color w:val="000000"/>
          <w:szCs w:val="24"/>
          <w:lang w:eastAsia="en-IN"/>
        </w:rPr>
        <w:t>As Aldi commits to a sustainable approach, it will help in creating a beneficial impact in shaping its reputation in the Canadian market by focusing on trending relationships with consumers and employees. Apart from that, Canadian market posters place a high value on developing inclusivity and ethical treatment, which significantly helps in meeting consumer expectations and fostering engagement by shaping consumer services.</w:t>
      </w:r>
    </w:p>
    <w:p w14:paraId="334C0EC1">
      <w:pPr>
        <w:spacing w:before="120" w:after="120"/>
        <w:rPr>
          <w:rFonts w:eastAsia="Times New Roman" w:cs="Times New Roman"/>
          <w:color w:val="000000"/>
          <w:szCs w:val="24"/>
          <w:lang w:eastAsia="en-IN"/>
        </w:rPr>
      </w:pPr>
      <w:r>
        <w:rPr>
          <w:rFonts w:eastAsia="Times New Roman" w:cs="Times New Roman"/>
          <w:color w:val="000000"/>
          <w:szCs w:val="24"/>
          <w:lang w:eastAsia="en-IN"/>
        </w:rPr>
        <w:t>As Canada has a robust regulatory framework for shaping the rights of the labourers, the organisation needs to focus on integrating significant approaches for meeting stakeholder needs. Apart from that, emphasis on investing in the pay structure of the employees, along with focusing on the training program, will help the organisation to shape encouragement among the stakeholders, along with strengthening loyalty.</w:t>
      </w:r>
    </w:p>
    <w:p w14:paraId="228AA490">
      <w:pPr>
        <w:spacing w:before="120" w:after="120"/>
        <w:rPr>
          <w:rFonts w:eastAsia="Times New Roman" w:cs="Times New Roman"/>
          <w:color w:val="000000"/>
          <w:szCs w:val="24"/>
          <w:lang w:eastAsia="en-IN"/>
        </w:rPr>
      </w:pPr>
      <w:r>
        <w:rPr>
          <w:rFonts w:eastAsia="Times New Roman" w:cs="Times New Roman"/>
          <w:color w:val="000000"/>
          <w:szCs w:val="24"/>
          <w:lang w:eastAsia="en-IN"/>
        </w:rPr>
        <w:t>As Canada has a multicultural community sector, it requires an organisation to emphasise providing diverse offerings and initiatives to sustain community engagement (</w:t>
      </w:r>
      <w:r>
        <w:rPr>
          <w:rFonts w:cs="Times New Roman"/>
          <w:color w:val="222222"/>
          <w:szCs w:val="24"/>
          <w:shd w:val="clear" w:color="auto" w:fill="FFFFFF"/>
        </w:rPr>
        <w:t>Henderson et al., 2023</w:t>
      </w:r>
      <w:r>
        <w:rPr>
          <w:rFonts w:eastAsia="Times New Roman" w:cs="Times New Roman"/>
          <w:color w:val="000000"/>
          <w:szCs w:val="24"/>
          <w:lang w:eastAsia="en-IN"/>
        </w:rPr>
        <w:t>). Aldi needs to focus on developing trust in the community by collaborating with local partners, which not only supports generating progress through expansion but also contributes significantly to community development.</w:t>
      </w:r>
    </w:p>
    <w:p w14:paraId="181CE374">
      <w:pPr>
        <w:spacing w:before="120" w:after="120"/>
        <w:rPr>
          <w:rFonts w:eastAsia="Times New Roman" w:cs="Times New Roman"/>
          <w:color w:val="000000"/>
          <w:szCs w:val="24"/>
          <w:lang w:eastAsia="en-IN"/>
        </w:rPr>
      </w:pPr>
      <w:r>
        <w:rPr>
          <w:rFonts w:eastAsia="Times New Roman" w:cs="Times New Roman"/>
          <w:color w:val="000000"/>
          <w:szCs w:val="24"/>
          <w:lang w:eastAsia="en-IN"/>
        </w:rPr>
        <w:t>Aldi focuses on maintaining affordability with quality standards, which contribute to a beneficial impact in strengthening relationships with consumers. Considering that it is also the shape transparency in the labelling and in providing healthy options to the consumers, which not only shape significant relationships with consumers but also create different identities among them.</w:t>
      </w:r>
    </w:p>
    <w:p w14:paraId="5622BF80">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Planet</w:t>
      </w:r>
    </w:p>
    <w:p w14:paraId="3A9043BA">
      <w:pPr>
        <w:spacing w:before="120" w:after="120"/>
        <w:rPr>
          <w:rFonts w:eastAsia="Times New Roman" w:cs="Times New Roman"/>
          <w:color w:val="000000"/>
          <w:szCs w:val="24"/>
          <w:lang w:eastAsia="en-IN"/>
        </w:rPr>
      </w:pPr>
      <w:r>
        <w:rPr>
          <w:rFonts w:eastAsia="Times New Roman" w:cs="Times New Roman"/>
          <w:color w:val="000000"/>
          <w:szCs w:val="24"/>
          <w:lang w:eastAsia="en-IN"/>
        </w:rPr>
        <w:t>Canada emphasises environmental sustainability by focusing on providing significant policies for organisations. The sustainable approach not only helps in meeting consumer expectations but also tends to create a different identity in the eco-conscious market.</w:t>
      </w:r>
    </w:p>
    <w:p w14:paraId="0F7DCB2E">
      <w:pPr>
        <w:spacing w:before="120" w:after="120"/>
        <w:rPr>
          <w:rFonts w:eastAsia="Times New Roman" w:cs="Times New Roman"/>
          <w:color w:val="000000"/>
          <w:szCs w:val="24"/>
          <w:lang w:eastAsia="en-IN"/>
        </w:rPr>
      </w:pPr>
      <w:r>
        <w:rPr>
          <w:rFonts w:eastAsia="Times New Roman" w:cs="Times New Roman"/>
          <w:color w:val="000000"/>
          <w:szCs w:val="24"/>
          <w:lang w:eastAsia="en-IN"/>
        </w:rPr>
        <w:t>Aldi focuses on integrating energy-efficient refrigerators to contribute beneficially in maintaining an environmentally sustainable approach, including minimising carbon emissions and helping to achieve environmental goals in Canada. Apart from that, emphasis on integrating a renewable energy approach by investing in solar panels will also help the organisation to maintain a significant brand reputation in the market by shaping competitive advantages.</w:t>
      </w:r>
    </w:p>
    <w:p w14:paraId="3A72FF3F">
      <w:pPr>
        <w:spacing w:before="120" w:after="120"/>
        <w:rPr>
          <w:rFonts w:eastAsia="Times New Roman" w:cs="Times New Roman"/>
          <w:color w:val="000000"/>
          <w:szCs w:val="24"/>
          <w:lang w:eastAsia="en-IN"/>
        </w:rPr>
      </w:pPr>
      <w:r>
        <w:rPr>
          <w:rFonts w:eastAsia="Times New Roman" w:cs="Times New Roman"/>
          <w:color w:val="000000"/>
          <w:szCs w:val="24"/>
          <w:lang w:eastAsia="en-IN"/>
        </w:rPr>
        <w:t>The sustainable approach is also reflected in minimising wastage and integrating change in the packaging process. Considering that these approaches will help Aldi in not just meeting expectations of the consumers but also creating a positive brand image in the competitive market. Apart from that, collaborating with local partners also helps the organisation to minimise food wastage, and it provides an opportunity to strengthen the approach to integrate significant compliances.</w:t>
      </w:r>
    </w:p>
    <w:p w14:paraId="3E75D6FF">
      <w:pPr>
        <w:spacing w:before="120" w:after="120"/>
        <w:rPr>
          <w:rFonts w:eastAsia="Times New Roman" w:cs="Times New Roman"/>
          <w:color w:val="000000"/>
          <w:szCs w:val="24"/>
          <w:lang w:eastAsia="en-IN"/>
        </w:rPr>
      </w:pPr>
      <w:r>
        <w:rPr>
          <w:rFonts w:eastAsia="Times New Roman" w:cs="Times New Roman"/>
          <w:color w:val="000000"/>
          <w:szCs w:val="24"/>
          <w:lang w:eastAsia="en-IN"/>
        </w:rPr>
        <w:t>Aldi can focus on integrating sustainable sourcing, which helps to provide quality standards in the product, alongside minimising carbon emissions, to meet the sustainable expectations of the Canadian market.</w:t>
      </w:r>
    </w:p>
    <w:p w14:paraId="4FE8F29E">
      <w:pPr>
        <w:spacing w:before="120" w:after="120"/>
        <w:rPr>
          <w:rFonts w:eastAsia="Times New Roman" w:cs="Times New Roman"/>
          <w:color w:val="000000"/>
          <w:szCs w:val="24"/>
          <w:lang w:eastAsia="en-IN"/>
        </w:rPr>
      </w:pPr>
      <w:r>
        <w:rPr>
          <w:rFonts w:eastAsia="Times New Roman" w:cs="Times New Roman"/>
          <w:b/>
          <w:bCs/>
          <w:color w:val="000000"/>
          <w:szCs w:val="24"/>
          <w:lang w:eastAsia="en-IN"/>
        </w:rPr>
        <w:t>Profit</w:t>
      </w:r>
    </w:p>
    <w:p w14:paraId="019199D4">
      <w:pPr>
        <w:spacing w:before="120" w:after="120"/>
        <w:rPr>
          <w:rFonts w:eastAsia="Times New Roman" w:cs="Times New Roman"/>
          <w:color w:val="000000"/>
          <w:szCs w:val="24"/>
          <w:lang w:eastAsia="en-IN"/>
        </w:rPr>
      </w:pPr>
      <w:r>
        <w:rPr>
          <w:rFonts w:eastAsia="Times New Roman" w:cs="Times New Roman"/>
          <w:color w:val="000000"/>
          <w:szCs w:val="24"/>
          <w:lang w:eastAsia="en-IN"/>
        </w:rPr>
        <w:t>The long-term success mainly refers to an organisation's resilience to shape economic performance. Considering that it also reflects in the approach of Aldi to achieve long-term growth in the Canadian market.</w:t>
      </w:r>
    </w:p>
    <w:p w14:paraId="178AF910">
      <w:pPr>
        <w:spacing w:before="120" w:after="120"/>
        <w:rPr>
          <w:rFonts w:eastAsia="Times New Roman" w:cs="Times New Roman"/>
          <w:color w:val="000000"/>
          <w:szCs w:val="24"/>
          <w:lang w:eastAsia="en-IN"/>
        </w:rPr>
      </w:pPr>
      <w:r>
        <w:rPr>
          <w:rFonts w:eastAsia="Times New Roman" w:cs="Times New Roman"/>
          <w:color w:val="000000"/>
          <w:szCs w:val="24"/>
          <w:lang w:eastAsia="en-IN"/>
        </w:rPr>
        <w:t>Aldi emphasises operational efficiency, which will help the organisation to generate profitability and long-term success. Concerning maintaining a private label model also contributes a beneficial impact in achieving comparative advantages, and it reflects a positive impact in achieving brand reputation. Apart from that, integrating affordability as the code component will help Aldi to attract price-sensitive audiences and create significant value in the Canadian market.</w:t>
      </w:r>
    </w:p>
    <w:p w14:paraId="46135500">
      <w:pPr>
        <w:spacing w:before="120" w:after="120"/>
        <w:rPr>
          <w:rFonts w:eastAsia="Times New Roman" w:cs="Times New Roman"/>
          <w:color w:val="000000"/>
          <w:szCs w:val="24"/>
          <w:lang w:eastAsia="en-IN"/>
        </w:rPr>
      </w:pPr>
      <w:r>
        <w:rPr>
          <w:rFonts w:eastAsia="Times New Roman" w:cs="Times New Roman"/>
          <w:color w:val="000000"/>
          <w:szCs w:val="24"/>
          <w:lang w:eastAsia="en-IN"/>
        </w:rPr>
        <w:t>The increasing demand of the Canadian market required the organisation to shift to a new strategic plan, which helps in maximising the benefit while reducing risk factors. Apart from that, generating robust performance will also support the organisation to elevate development growth.</w:t>
      </w:r>
    </w:p>
    <w:p w14:paraId="23B3BE45">
      <w:pPr>
        <w:spacing w:before="120" w:after="120"/>
        <w:rPr>
          <w:rFonts w:eastAsia="Times New Roman" w:cs="Times New Roman"/>
          <w:color w:val="000000"/>
          <w:szCs w:val="24"/>
          <w:lang w:eastAsia="en-IN"/>
        </w:rPr>
      </w:pPr>
      <w:r>
        <w:rPr>
          <w:rFonts w:eastAsia="Times New Roman" w:cs="Times New Roman"/>
          <w:color w:val="000000"/>
          <w:szCs w:val="24"/>
          <w:lang w:eastAsia="en-IN"/>
        </w:rPr>
        <w:t>Aldi needs to focus on shaping risk management, which will help in minimising supply chain disruption and help achieve development growth. Diversifying the supply chain strategy also helps the organisation to impose a significant pricing approach and enhances economic resilience, which also shapes the profitability. Focusing on aligning profitability with ethical practices helps an organisation to achieve long-term development, and it contributes a beneficial impact in meeting consumer expectations.</w:t>
      </w:r>
    </w:p>
    <w:p w14:paraId="530887C6">
      <w:pPr>
        <w:spacing w:before="120" w:after="120"/>
        <w:rPr>
          <w:rFonts w:eastAsia="Times New Roman" w:cs="Times New Roman"/>
          <w:color w:val="000000"/>
          <w:szCs w:val="24"/>
          <w:lang w:eastAsia="en-IN"/>
        </w:rPr>
      </w:pPr>
      <w:r>
        <w:rPr>
          <w:rFonts w:eastAsia="Times New Roman" w:cs="Times New Roman"/>
          <w:color w:val="000000"/>
          <w:szCs w:val="24"/>
          <w:lang w:eastAsia="en-IN"/>
        </w:rPr>
        <w:t>So focusing on analysing the Framework can reflect the concern towards integrating sustainable cost leadership for the expansion progress of Aldi. Considering that it will help in strengthening the low-cost approach by focusing on maintaining sustainable responsibility in the work operation. Apart from this, the strategy also helps the organisation to enhance its approach towards shaping competitive prices for meeting consumer expectations, while creating long-term competitive advantages.</w:t>
      </w:r>
    </w:p>
    <w:p w14:paraId="223A22AC">
      <w:pPr>
        <w:pStyle w:val="2"/>
      </w:pPr>
      <w:bookmarkStart w:id="14" w:name="_Toc214137675"/>
      <w:r>
        <w:t>Conclusion</w:t>
      </w:r>
      <w:bookmarkEnd w:id="14"/>
    </w:p>
    <w:p w14:paraId="0CB91AB7">
      <w:pPr>
        <w:spacing w:before="120" w:after="120"/>
        <w:rPr>
          <w:rFonts w:eastAsia="Times New Roman" w:cs="Times New Roman"/>
          <w:color w:val="000000"/>
          <w:szCs w:val="24"/>
          <w:lang w:eastAsia="en-IN"/>
        </w:rPr>
      </w:pPr>
      <w:r>
        <w:rPr>
          <w:rFonts w:eastAsia="Times New Roman" w:cs="Times New Roman"/>
          <w:color w:val="000000"/>
          <w:szCs w:val="24"/>
          <w:lang w:eastAsia="en-IN"/>
        </w:rPr>
        <w:t>However, the analysis has a significant impact on the strategic options for an organisation in expanding to different countries. Aldi emphasises Cost leadership to shape the demands of Canadian consumers, which helps in maintaining sustainable development. Apart from that analysing external factors along with Porter's five forces helps in assessing the opportunities along with the challenges to maintain sustainable progress into the Canadian market, and it also reflects the fact of increasing price-sensitive consumers. VRIO also focuses on analysing significant comparative advantages which elevate the difficulty or challenges for competitors to sustain in the competition. SWOT analysis reflects Aldi's not just strengths and weaknesses, but it also provides an analysis of opportunities and threats in expanding to the Canadian market. Through analysing the Ansoff matrix, Aldi also enhances concern on market penetration strategy for collaborating with local partners in the product development process, which also strengthens the approach to sustain in the competition. Through analysing market entry strategies and recommending Greenfield investment, it also contributes a beneficial impact to the expansion progress by focusing on adapting a sustainable approach. Considering that it helps to create long-term benefits to the organisation in shaping competitive advantages, alongside meeting consumer expectations.</w:t>
      </w:r>
    </w:p>
    <w:p w14:paraId="6B2729DB"/>
    <w:p w14:paraId="37D871DC">
      <w:pPr>
        <w:spacing w:before="120" w:after="120"/>
        <w:rPr>
          <w:rFonts w:eastAsia="Times New Roman" w:cs="Times New Roman"/>
          <w:color w:val="000000"/>
          <w:szCs w:val="24"/>
          <w:lang w:eastAsia="en-IN"/>
        </w:rPr>
      </w:pPr>
    </w:p>
    <w:p w14:paraId="44EAA35E">
      <w:pPr>
        <w:spacing w:line="259" w:lineRule="auto"/>
        <w:jc w:val="left"/>
        <w:rPr>
          <w:rFonts w:eastAsia="Times New Roman" w:cs="Times New Roman"/>
          <w:b/>
          <w:bCs/>
          <w:color w:val="000000"/>
          <w:szCs w:val="24"/>
          <w:lang w:eastAsia="en-IN"/>
        </w:rPr>
      </w:pPr>
      <w:r>
        <w:rPr>
          <w:rFonts w:eastAsia="Times New Roman" w:cs="Times New Roman"/>
          <w:b/>
          <w:bCs/>
          <w:color w:val="000000"/>
          <w:szCs w:val="24"/>
          <w:lang w:eastAsia="en-IN"/>
        </w:rPr>
        <w:br w:type="page"/>
      </w:r>
    </w:p>
    <w:p w14:paraId="3D6427CE">
      <w:pPr>
        <w:pStyle w:val="2"/>
      </w:pPr>
      <w:bookmarkStart w:id="15" w:name="_Toc214137676"/>
      <w:r>
        <w:t>References</w:t>
      </w:r>
      <w:bookmarkEnd w:id="15"/>
    </w:p>
    <w:p w14:paraId="4A802004">
      <w:bookmarkStart w:id="16" w:name="_Hlk214043419"/>
      <w:r>
        <w:rPr>
          <w:color w:val="222222"/>
          <w:shd w:val="clear" w:color="auto" w:fill="FFFFFF"/>
        </w:rPr>
        <w:t>Ajibola, E.B., 2022</w:t>
      </w:r>
      <w:bookmarkEnd w:id="16"/>
      <w:r>
        <w:rPr>
          <w:color w:val="222222"/>
          <w:shd w:val="clear" w:color="auto" w:fill="FFFFFF"/>
        </w:rPr>
        <w:t>. </w:t>
      </w:r>
      <w:r>
        <w:rPr>
          <w:i/>
          <w:iCs/>
        </w:rPr>
        <w:t>An investigation into talent management in the Irish retail sector: a case of Tesco, Aldi and Super Valu</w:t>
      </w:r>
      <w:r>
        <w:t> (Doctoral dissertation, Dublin, National College of Ireland).</w:t>
      </w:r>
    </w:p>
    <w:p w14:paraId="36DD5B09">
      <w:bookmarkStart w:id="17" w:name="_Hlk214045079"/>
      <w:r>
        <w:rPr>
          <w:color w:val="222222"/>
          <w:shd w:val="clear" w:color="auto" w:fill="FFFFFF"/>
        </w:rPr>
        <w:t>Attah</w:t>
      </w:r>
      <w:bookmarkEnd w:id="17"/>
      <w:r>
        <w:rPr>
          <w:color w:val="222222"/>
          <w:shd w:val="clear" w:color="auto" w:fill="FFFFFF"/>
        </w:rPr>
        <w:t>, R.U., Garba, B.M.P., Gil-Ozoudeh, I. and Iwuanyanwu, O., 2024. Best Practices in Project Management for Technology-Driven Initiatives: A Systematic Review of Market Expansion and Product Development Technique. </w:t>
      </w:r>
      <w:r>
        <w:rPr>
          <w:i/>
          <w:iCs/>
        </w:rPr>
        <w:t>Int J Eng Res Dev</w:t>
      </w:r>
      <w:r>
        <w:t>, </w:t>
      </w:r>
      <w:r>
        <w:rPr>
          <w:i/>
          <w:iCs/>
        </w:rPr>
        <w:t>20</w:t>
      </w:r>
      <w:r>
        <w:t>(11), pp.1350-61.</w:t>
      </w:r>
    </w:p>
    <w:p w14:paraId="03CC7DDE">
      <w:bookmarkStart w:id="18" w:name="_Hlk214044685"/>
      <w:r>
        <w:rPr>
          <w:color w:val="222222"/>
          <w:shd w:val="clear" w:color="auto" w:fill="FFFFFF"/>
        </w:rPr>
        <w:t>Charlebois, S., Juhasz, M. and Music, J., 2021</w:t>
      </w:r>
      <w:bookmarkEnd w:id="18"/>
      <w:r>
        <w:rPr>
          <w:color w:val="222222"/>
          <w:shd w:val="clear" w:color="auto" w:fill="FFFFFF"/>
        </w:rPr>
        <w:t>. Supply chain responsiveness to a (post)-pandemic grocery and food service E-commerce economy: An exploratory Canadian case study. </w:t>
      </w:r>
      <w:r>
        <w:rPr>
          <w:i/>
          <w:iCs/>
        </w:rPr>
        <w:t>Businesses</w:t>
      </w:r>
      <w:r>
        <w:t>, </w:t>
      </w:r>
      <w:r>
        <w:rPr>
          <w:i/>
          <w:iCs/>
        </w:rPr>
        <w:t>1</w:t>
      </w:r>
      <w:r>
        <w:t>(2), pp.72-90.</w:t>
      </w:r>
    </w:p>
    <w:p w14:paraId="7407EE86">
      <w:pPr>
        <w:spacing w:after="240"/>
        <w:rPr>
          <w:rFonts w:eastAsia="Times New Roman" w:cs="Times New Roman"/>
          <w:szCs w:val="24"/>
          <w:lang w:eastAsia="en-GB"/>
        </w:rPr>
      </w:pPr>
      <w:r>
        <w:rPr>
          <w:rFonts w:eastAsia="Times New Roman" w:cs="Times New Roman"/>
          <w:szCs w:val="24"/>
          <w:lang w:eastAsia="en-GB"/>
        </w:rPr>
        <w:t xml:space="preserve">de Bruin, L., 2021. </w:t>
      </w:r>
      <w:r>
        <w:rPr>
          <w:rFonts w:eastAsia="Times New Roman" w:cs="Times New Roman"/>
          <w:i/>
          <w:iCs/>
          <w:szCs w:val="24"/>
          <w:lang w:eastAsia="en-GB"/>
        </w:rPr>
        <w:t>Porter’s Generic Strategies: Differentiation, Cost Leadership and Focus</w:t>
      </w:r>
      <w:r>
        <w:rPr>
          <w:rFonts w:eastAsia="Times New Roman" w:cs="Times New Roman"/>
          <w:szCs w:val="24"/>
          <w:lang w:eastAsia="en-GB"/>
        </w:rPr>
        <w:t>. [online] B2U - Business-to-you.com. Available at: &lt;https://www.business-to-you.com/porter-generic-strategies-differentiation-cost-leadership-focus/&gt;. [Accessed 14 November 2025].</w:t>
      </w:r>
    </w:p>
    <w:p w14:paraId="09E45976">
      <w:bookmarkStart w:id="19" w:name="_Hlk214045421"/>
      <w:r>
        <w:rPr>
          <w:color w:val="222222"/>
          <w:shd w:val="clear" w:color="auto" w:fill="FFFFFF"/>
        </w:rPr>
        <w:t>Do, S.T., Nguyen, V.T. and Likhitruangsilp, V., 2023</w:t>
      </w:r>
      <w:bookmarkEnd w:id="19"/>
      <w:r>
        <w:rPr>
          <w:color w:val="222222"/>
          <w:shd w:val="clear" w:color="auto" w:fill="FFFFFF"/>
        </w:rPr>
        <w:t>. RSIAM risk profile for managing risk factors of international construction joint ventures. </w:t>
      </w:r>
      <w:r>
        <w:rPr>
          <w:i/>
          <w:iCs/>
        </w:rPr>
        <w:t>International Journal of Construction Management</w:t>
      </w:r>
      <w:r>
        <w:t>, </w:t>
      </w:r>
      <w:r>
        <w:rPr>
          <w:i/>
          <w:iCs/>
        </w:rPr>
        <w:t>23</w:t>
      </w:r>
      <w:r>
        <w:t>(7), pp.1148-1162.</w:t>
      </w:r>
    </w:p>
    <w:p w14:paraId="3E9BB98B">
      <w:r>
        <w:t xml:space="preserve">Fabric Academy, 2025. </w:t>
      </w:r>
      <w:r>
        <w:rPr>
          <w:i/>
          <w:iCs/>
        </w:rPr>
        <w:t>Behind Aldi’s marketing strategy</w:t>
      </w:r>
      <w:r>
        <w:t>. [online] www.fabric-academy.com. Available at: &lt;</w:t>
      </w:r>
      <w:r>
        <w:rPr>
          <w:rStyle w:val="20"/>
          <w:rFonts w:cs="Times New Roman"/>
          <w:szCs w:val="24"/>
        </w:rPr>
        <w:t>https://fabric-academy.com/insights-tools/aldi-marketing-strategy</w:t>
      </w:r>
      <w:r>
        <w:t xml:space="preserve">&gt;. </w:t>
      </w:r>
      <w:r>
        <w:rPr>
          <w:rFonts w:eastAsia="Times New Roman" w:cs="Times New Roman"/>
          <w:szCs w:val="24"/>
          <w:lang w:eastAsia="en-GB"/>
        </w:rPr>
        <w:t>[Accessed 14 November 2025].</w:t>
      </w:r>
    </w:p>
    <w:p w14:paraId="20004113">
      <w:bookmarkStart w:id="20" w:name="_Hlk214043949"/>
      <w:r>
        <w:rPr>
          <w:color w:val="222222"/>
          <w:shd w:val="clear" w:color="auto" w:fill="FFFFFF"/>
        </w:rPr>
        <w:t>Hale, G. and Anderson, G. eds., 2021</w:t>
      </w:r>
      <w:bookmarkEnd w:id="20"/>
      <w:r>
        <w:rPr>
          <w:color w:val="222222"/>
          <w:shd w:val="clear" w:color="auto" w:fill="FFFFFF"/>
        </w:rPr>
        <w:t>. </w:t>
      </w:r>
      <w:r>
        <w:rPr>
          <w:i/>
          <w:iCs/>
        </w:rPr>
        <w:t>Navigating a Changing World: Canada's International Policies in an Age of Uncertainties</w:t>
      </w:r>
      <w:r>
        <w:t>. University of Toronto Press.</w:t>
      </w:r>
    </w:p>
    <w:p w14:paraId="4E0E316F">
      <w:bookmarkStart w:id="21" w:name="_Hlk214045526"/>
      <w:r>
        <w:rPr>
          <w:color w:val="222222"/>
          <w:shd w:val="clear" w:color="auto" w:fill="FFFFFF"/>
        </w:rPr>
        <w:t>Henderson</w:t>
      </w:r>
      <w:bookmarkEnd w:id="21"/>
      <w:r>
        <w:rPr>
          <w:color w:val="222222"/>
          <w:shd w:val="clear" w:color="auto" w:fill="FFFFFF"/>
        </w:rPr>
        <w:t>, J.L., Chiodo, D., Varatharasan, N., Andari, S., Luce, J. and Wolfe, J., 2023. Youth Wellness Hubs Ontario: Development and initial implementation of integrated youth services in Ontario, Canada. </w:t>
      </w:r>
      <w:r>
        <w:rPr>
          <w:i/>
          <w:iCs/>
        </w:rPr>
        <w:t>Early Intervention in Psychiatry</w:t>
      </w:r>
      <w:r>
        <w:t>, </w:t>
      </w:r>
      <w:r>
        <w:rPr>
          <w:i/>
          <w:iCs/>
        </w:rPr>
        <w:t>17</w:t>
      </w:r>
      <w:r>
        <w:t>(1), pp.107-114.</w:t>
      </w:r>
    </w:p>
    <w:p w14:paraId="1625F5BA">
      <w:pPr>
        <w:spacing w:after="240"/>
        <w:rPr>
          <w:rFonts w:eastAsia="Times New Roman" w:cs="Times New Roman"/>
          <w:szCs w:val="24"/>
          <w:lang w:eastAsia="en-GB"/>
        </w:rPr>
      </w:pPr>
      <w:r>
        <w:rPr>
          <w:rFonts w:eastAsia="Times New Roman" w:cs="Times New Roman"/>
          <w:szCs w:val="24"/>
          <w:lang w:eastAsia="en-GB"/>
        </w:rPr>
        <w:t xml:space="preserve">Hessing, T., 2021. </w:t>
      </w:r>
      <w:r>
        <w:rPr>
          <w:rFonts w:eastAsia="Times New Roman" w:cs="Times New Roman"/>
          <w:i/>
          <w:iCs/>
          <w:szCs w:val="24"/>
          <w:lang w:eastAsia="en-GB"/>
        </w:rPr>
        <w:t>Porter’s Five Forces</w:t>
      </w:r>
      <w:r>
        <w:rPr>
          <w:rFonts w:eastAsia="Times New Roman" w:cs="Times New Roman"/>
          <w:szCs w:val="24"/>
          <w:lang w:eastAsia="en-GB"/>
        </w:rPr>
        <w:t>. [online] Six Sigma Study Guide. Available at: &lt;https://sixsigmastudyguide.com/porters-five-forces/&gt;. [Accessed 14 November 2025].</w:t>
      </w:r>
    </w:p>
    <w:p w14:paraId="11499AD4">
      <w:bookmarkStart w:id="22" w:name="_Hlk214045301"/>
      <w:r>
        <w:rPr>
          <w:color w:val="222222"/>
          <w:shd w:val="clear" w:color="auto" w:fill="FFFFFF"/>
        </w:rPr>
        <w:t>Jerab, D. and Mabrouk, T., 2023</w:t>
      </w:r>
      <w:bookmarkEnd w:id="22"/>
      <w:r>
        <w:rPr>
          <w:color w:val="222222"/>
          <w:shd w:val="clear" w:color="auto" w:fill="FFFFFF"/>
        </w:rPr>
        <w:t>. Achieving competitive advantage through cost leadership strategy: Strategies for Sustainable Success. </w:t>
      </w:r>
      <w:r>
        <w:rPr>
          <w:i/>
          <w:iCs/>
        </w:rPr>
        <w:t>Available at SSRN 4574945</w:t>
      </w:r>
      <w:r>
        <w:t>.</w:t>
      </w:r>
    </w:p>
    <w:p w14:paraId="4CD798D1">
      <w:bookmarkStart w:id="23" w:name="_Hlk214043254"/>
      <w:r>
        <w:t>Kumar, P., 2024</w:t>
      </w:r>
      <w:bookmarkEnd w:id="23"/>
      <w:r>
        <w:t xml:space="preserve">. </w:t>
      </w:r>
      <w:r>
        <w:rPr>
          <w:i/>
          <w:iCs/>
        </w:rPr>
        <w:t>Crafting global success Stories: lessons from Aldi’s business model ....</w:t>
      </w:r>
      <w:r>
        <w:t xml:space="preserve"> [online] Available at: &lt;</w:t>
      </w:r>
      <w:r>
        <w:rPr>
          <w:rStyle w:val="20"/>
          <w:rFonts w:cs="Times New Roman"/>
          <w:szCs w:val="24"/>
        </w:rPr>
        <w:t>https://www.linkedin.com/pulse/crafting-global-success-stories-lessons-from-aldis-business-kumar-eetcc</w:t>
      </w:r>
      <w:r>
        <w:t xml:space="preserve">&gt;. </w:t>
      </w:r>
      <w:r>
        <w:rPr>
          <w:rFonts w:eastAsia="Times New Roman" w:cs="Times New Roman"/>
          <w:szCs w:val="24"/>
          <w:lang w:eastAsia="en-GB"/>
        </w:rPr>
        <w:t>[Accessed 14 November 2025].</w:t>
      </w:r>
    </w:p>
    <w:p w14:paraId="5D64944B">
      <w:bookmarkStart w:id="24" w:name="_Hlk214044095"/>
      <w:r>
        <w:rPr>
          <w:color w:val="222222"/>
          <w:shd w:val="clear" w:color="auto" w:fill="FFFFFF"/>
        </w:rPr>
        <w:t>Lévesque, E., 2025</w:t>
      </w:r>
      <w:bookmarkEnd w:id="24"/>
      <w:r>
        <w:rPr>
          <w:color w:val="222222"/>
          <w:shd w:val="clear" w:color="auto" w:fill="FFFFFF"/>
        </w:rPr>
        <w:t>. Exploring the Geographical Diversity of Canada: Landscapes, Climate, and Human Interaction. </w:t>
      </w:r>
      <w:r>
        <w:rPr>
          <w:i/>
          <w:iCs/>
        </w:rPr>
        <w:t>OTS Canadian Journal</w:t>
      </w:r>
      <w:r>
        <w:t>, </w:t>
      </w:r>
      <w:r>
        <w:rPr>
          <w:i/>
          <w:iCs/>
        </w:rPr>
        <w:t>4</w:t>
      </w:r>
      <w:r>
        <w:t>(5), pp.82-90.</w:t>
      </w:r>
    </w:p>
    <w:p w14:paraId="0DC03D83">
      <w:r>
        <w:t xml:space="preserve">Linkedin, 2024. </w:t>
      </w:r>
      <w:r>
        <w:rPr>
          <w:i/>
          <w:iCs/>
        </w:rPr>
        <w:t>How do you measure the success of your market diversification strategies?</w:t>
      </w:r>
      <w:r>
        <w:t xml:space="preserve"> [online] Available at: &lt;</w:t>
      </w:r>
      <w:r>
        <w:rPr>
          <w:rStyle w:val="20"/>
          <w:rFonts w:cs="Times New Roman"/>
          <w:szCs w:val="24"/>
        </w:rPr>
        <w:t>https://www.linkedin.com/advice/3/how-do-you-measure-success-your-market-diversification-rutqe</w:t>
      </w:r>
      <w:r>
        <w:t xml:space="preserve">&gt;. </w:t>
      </w:r>
      <w:r>
        <w:rPr>
          <w:rFonts w:eastAsia="Times New Roman" w:cs="Times New Roman"/>
          <w:szCs w:val="24"/>
          <w:lang w:eastAsia="en-GB"/>
        </w:rPr>
        <w:t>[Accessed 14 November 2025].</w:t>
      </w:r>
    </w:p>
    <w:p w14:paraId="0A577B25">
      <w:r>
        <w:t xml:space="preserve">LinkedIn, 2025. </w:t>
      </w:r>
      <w:r>
        <w:rPr>
          <w:i/>
          <w:iCs/>
        </w:rPr>
        <w:t>Canada Organized Retail Market Forecast &amp; Strategic Insights (2026–2033)</w:t>
      </w:r>
      <w:r>
        <w:t>. [online] Available at: &lt;</w:t>
      </w:r>
      <w:r>
        <w:rPr>
          <w:rStyle w:val="20"/>
          <w:rFonts w:cs="Times New Roman"/>
          <w:szCs w:val="24"/>
        </w:rPr>
        <w:t>https://www.linkedin.com/pulse/canada-organized-retail-market-forecast-strategic-insights-nywdc/</w:t>
      </w:r>
      <w:r>
        <w:t xml:space="preserve">&gt;. </w:t>
      </w:r>
      <w:r>
        <w:rPr>
          <w:rFonts w:eastAsia="Times New Roman" w:cs="Times New Roman"/>
          <w:szCs w:val="24"/>
          <w:lang w:eastAsia="en-GB"/>
        </w:rPr>
        <w:t>[Accessed 14 November 2025].</w:t>
      </w:r>
    </w:p>
    <w:p w14:paraId="14DD47C0">
      <w:bookmarkStart w:id="25" w:name="_Hlk214045022"/>
      <w:r>
        <w:rPr>
          <w:color w:val="222222"/>
          <w:shd w:val="clear" w:color="auto" w:fill="FFFFFF"/>
        </w:rPr>
        <w:t>Lubis, M. and Muniapan, B., 2024</w:t>
      </w:r>
      <w:bookmarkEnd w:id="25"/>
      <w:r>
        <w:rPr>
          <w:color w:val="222222"/>
          <w:shd w:val="clear" w:color="auto" w:fill="FFFFFF"/>
        </w:rPr>
        <w:t>. International Market Development Strategies for Enhancing Global Expansion in the Export Industry. </w:t>
      </w:r>
      <w:r>
        <w:rPr>
          <w:i/>
          <w:iCs/>
        </w:rPr>
        <w:t>Involvement International Journal of Business</w:t>
      </w:r>
      <w:r>
        <w:t>, </w:t>
      </w:r>
      <w:r>
        <w:rPr>
          <w:i/>
          <w:iCs/>
        </w:rPr>
        <w:t>1</w:t>
      </w:r>
      <w:r>
        <w:t>(1), pp.14-28.</w:t>
      </w:r>
    </w:p>
    <w:p w14:paraId="154DE13D">
      <w:pPr>
        <w:spacing w:after="240"/>
        <w:rPr>
          <w:rFonts w:eastAsia="Times New Roman" w:cs="Times New Roman"/>
          <w:szCs w:val="24"/>
          <w:lang w:eastAsia="en-GB"/>
        </w:rPr>
      </w:pPr>
      <w:r>
        <w:rPr>
          <w:rFonts w:eastAsia="Times New Roman" w:cs="Times New Roman"/>
          <w:szCs w:val="24"/>
          <w:lang w:eastAsia="en-GB"/>
        </w:rPr>
        <w:t xml:space="preserve">Malhotra, R., 2023. </w:t>
      </w:r>
      <w:r>
        <w:rPr>
          <w:rFonts w:eastAsia="Times New Roman" w:cs="Times New Roman"/>
          <w:i/>
          <w:iCs/>
          <w:szCs w:val="24"/>
          <w:lang w:eastAsia="en-GB"/>
        </w:rPr>
        <w:t>Greenfield Investments: Meaning, Pros, and Cons Explained</w:t>
      </w:r>
      <w:r>
        <w:rPr>
          <w:rFonts w:eastAsia="Times New Roman" w:cs="Times New Roman"/>
          <w:szCs w:val="24"/>
          <w:lang w:eastAsia="en-GB"/>
        </w:rPr>
        <w:t>. [online] StockGro Blogs. Available at: &lt;https://www.stockgro.club/blogs/stock-market-101/greenfield-investment/&gt; [Accessed 14 November 2025].</w:t>
      </w:r>
    </w:p>
    <w:p w14:paraId="35323E7B">
      <w:pPr>
        <w:spacing w:after="240"/>
        <w:rPr>
          <w:rFonts w:eastAsia="Times New Roman" w:cs="Times New Roman"/>
          <w:szCs w:val="24"/>
          <w:lang w:eastAsia="en-GB"/>
        </w:rPr>
      </w:pPr>
      <w:r>
        <w:rPr>
          <w:rFonts w:eastAsia="Times New Roman" w:cs="Times New Roman"/>
          <w:szCs w:val="24"/>
          <w:lang w:eastAsia="en-GB"/>
        </w:rPr>
        <w:t xml:space="preserve">MANI, 2024. </w:t>
      </w:r>
      <w:r>
        <w:rPr>
          <w:rFonts w:eastAsia="Times New Roman" w:cs="Times New Roman"/>
          <w:i/>
          <w:iCs/>
          <w:szCs w:val="24"/>
          <w:lang w:eastAsia="en-GB"/>
        </w:rPr>
        <w:t>Understanding Canada’s Economy: What’s Happening and Why It Matters? - GETMONEYRICH</w:t>
      </w:r>
      <w:r>
        <w:rPr>
          <w:rFonts w:eastAsia="Times New Roman" w:cs="Times New Roman"/>
          <w:szCs w:val="24"/>
          <w:lang w:eastAsia="en-GB"/>
        </w:rPr>
        <w:t>. [online] GETMONEYRICH. Available at: &lt;https://getmoneyrich.com/understanding-canadas-economy-whats-happening-and-why-it-matters/&gt;. [Accessed 14 November 2025].</w:t>
      </w:r>
    </w:p>
    <w:p w14:paraId="4733799E">
      <w:bookmarkStart w:id="26" w:name="_Hlk214044609"/>
      <w:r>
        <w:rPr>
          <w:color w:val="222222"/>
          <w:shd w:val="clear" w:color="auto" w:fill="FFFFFF"/>
        </w:rPr>
        <w:t>Muller</w:t>
      </w:r>
      <w:bookmarkEnd w:id="26"/>
      <w:r>
        <w:rPr>
          <w:color w:val="222222"/>
          <w:shd w:val="clear" w:color="auto" w:fill="FFFFFF"/>
        </w:rPr>
        <w:t>, P., Böhm, M., Csillag, P., Donati, M., Drut, M., Ferrer-Pérez, H., Gauvrit, L., Gil, J.M., Hoang, V., Malak-Rawlikowska, A. and Mattas, K., 2021. Are certified supply chains more socially sustainable? A bargaining power analysis. </w:t>
      </w:r>
      <w:r>
        <w:rPr>
          <w:i/>
          <w:iCs/>
        </w:rPr>
        <w:t>Journal of Agricultural &amp; Food Industrial Organization</w:t>
      </w:r>
      <w:r>
        <w:t>, </w:t>
      </w:r>
      <w:r>
        <w:rPr>
          <w:i/>
          <w:iCs/>
        </w:rPr>
        <w:t>19</w:t>
      </w:r>
      <w:r>
        <w:t>(2), pp.177-192.</w:t>
      </w:r>
    </w:p>
    <w:p w14:paraId="7D1E93CC">
      <w:bookmarkStart w:id="27" w:name="_Hlk214045214"/>
      <w:r>
        <w:rPr>
          <w:color w:val="222222"/>
          <w:shd w:val="clear" w:color="auto" w:fill="FFFFFF"/>
        </w:rPr>
        <w:t>Noor, N.A.M., Till, B. and Hafeez, K., 2025</w:t>
      </w:r>
      <w:bookmarkEnd w:id="27"/>
      <w:r>
        <w:rPr>
          <w:color w:val="222222"/>
          <w:shd w:val="clear" w:color="auto" w:fill="FFFFFF"/>
        </w:rPr>
        <w:t>. Differentiation Strategies in Competitive Markets. </w:t>
      </w:r>
      <w:r>
        <w:rPr>
          <w:i/>
          <w:iCs/>
        </w:rPr>
        <w:t>Copyright© 2025 Eurasian Research Institute</w:t>
      </w:r>
      <w:r>
        <w:t>, p.184.</w:t>
      </w:r>
    </w:p>
    <w:p w14:paraId="61B5FBB3">
      <w:bookmarkStart w:id="28" w:name="_Hlk214044435"/>
      <w:r>
        <w:rPr>
          <w:color w:val="222222"/>
          <w:shd w:val="clear" w:color="auto" w:fill="FFFFFF"/>
        </w:rPr>
        <w:t>Rekogama, K.E. and Bodasingh, L.R., 2024</w:t>
      </w:r>
      <w:bookmarkEnd w:id="28"/>
      <w:r>
        <w:rPr>
          <w:color w:val="222222"/>
          <w:shd w:val="clear" w:color="auto" w:fill="FFFFFF"/>
        </w:rPr>
        <w:t>. </w:t>
      </w:r>
      <w:r>
        <w:rPr>
          <w:i/>
          <w:iCs/>
        </w:rPr>
        <w:t>Enhancing supply chain efficiency: Digitalization case study of a Canadian private limited company with challenges and roadmap</w:t>
      </w:r>
      <w:r>
        <w:t> (Doctoral dissertation, University Canada West).</w:t>
      </w:r>
    </w:p>
    <w:p w14:paraId="4F2C02F5">
      <w:bookmarkStart w:id="29" w:name="_Hlk214043668"/>
      <w:r>
        <w:rPr>
          <w:color w:val="222222"/>
          <w:shd w:val="clear" w:color="auto" w:fill="FFFFFF"/>
        </w:rPr>
        <w:t>Ressin, M., 2024</w:t>
      </w:r>
      <w:bookmarkEnd w:id="29"/>
      <w:r>
        <w:rPr>
          <w:color w:val="222222"/>
          <w:shd w:val="clear" w:color="auto" w:fill="FFFFFF"/>
        </w:rPr>
        <w:t>. Small business development in stabilizing Alberta’s economy (Canada). </w:t>
      </w:r>
      <w:r>
        <w:rPr>
          <w:i/>
          <w:iCs/>
        </w:rPr>
        <w:t>Humanities and Social Sciences Communications</w:t>
      </w:r>
      <w:r>
        <w:t>, </w:t>
      </w:r>
      <w:r>
        <w:rPr>
          <w:i/>
          <w:iCs/>
        </w:rPr>
        <w:t>11</w:t>
      </w:r>
      <w:r>
        <w:t>(1), pp.1-8.</w:t>
      </w:r>
    </w:p>
    <w:p w14:paraId="37D51D91">
      <w:pPr>
        <w:spacing w:after="240"/>
        <w:rPr>
          <w:rFonts w:eastAsia="Times New Roman" w:cs="Times New Roman"/>
          <w:szCs w:val="24"/>
          <w:lang w:eastAsia="en-GB"/>
        </w:rPr>
      </w:pPr>
      <w:r>
        <w:rPr>
          <w:rFonts w:eastAsia="Times New Roman" w:cs="Times New Roman"/>
          <w:szCs w:val="24"/>
          <w:lang w:eastAsia="en-GB"/>
        </w:rPr>
        <w:t xml:space="preserve">Robinson , M., n.d. </w:t>
      </w:r>
      <w:r>
        <w:rPr>
          <w:rFonts w:eastAsia="Times New Roman" w:cs="Times New Roman"/>
          <w:i/>
          <w:iCs/>
          <w:szCs w:val="24"/>
          <w:lang w:eastAsia="en-GB"/>
        </w:rPr>
        <w:t>Aldi cuts food waste by almost 60%</w:t>
      </w:r>
      <w:r>
        <w:rPr>
          <w:rFonts w:eastAsia="Times New Roman" w:cs="Times New Roman"/>
          <w:szCs w:val="24"/>
          <w:lang w:eastAsia="en-GB"/>
        </w:rPr>
        <w:t>. [online] Retail Week. Available at: &lt;https://www.retail-week.com/grocery/aldi-cuts-food-waste-by-almost-60/7045265.article&gt;. [Accessed 14 November 2025].</w:t>
      </w:r>
    </w:p>
    <w:p w14:paraId="0AF3DCB1">
      <w:r>
        <w:t>Santander trade</w:t>
      </w:r>
      <w:r>
        <w:rPr>
          <w:i/>
          <w:iCs/>
        </w:rPr>
        <w:t>,</w:t>
      </w:r>
      <w:r>
        <w:t xml:space="preserve"> 2025. </w:t>
      </w:r>
      <w:r>
        <w:rPr>
          <w:i/>
          <w:iCs/>
        </w:rPr>
        <w:t>Reaching the Canadian consumer - Santandertrade.com</w:t>
      </w:r>
      <w:r>
        <w:t>. [online] Available at: &lt;</w:t>
      </w:r>
      <w:r>
        <w:rPr>
          <w:rStyle w:val="20"/>
          <w:rFonts w:cs="Times New Roman"/>
          <w:szCs w:val="24"/>
        </w:rPr>
        <w:t>https://santandertrade.com/en/portal/analyse-markets/canada/reaching-the-consumers</w:t>
      </w:r>
      <w:r>
        <w:t xml:space="preserve">&gt;. </w:t>
      </w:r>
      <w:r>
        <w:rPr>
          <w:rFonts w:eastAsia="Times New Roman" w:cs="Times New Roman"/>
          <w:szCs w:val="24"/>
          <w:lang w:eastAsia="en-GB"/>
        </w:rPr>
        <w:t>[Accessed 14 November 2025].</w:t>
      </w:r>
    </w:p>
    <w:p w14:paraId="11674557">
      <w:r>
        <w:t xml:space="preserve">Sherman, M., 2025. </w:t>
      </w:r>
      <w:r>
        <w:rPr>
          <w:i/>
          <w:iCs/>
        </w:rPr>
        <w:t>Aldi’s Mission, Vision, Purpose &amp; Core Values</w:t>
      </w:r>
      <w:r>
        <w:t>. [online] Panmore. Available at: &lt;</w:t>
      </w:r>
      <w:r>
        <w:rPr>
          <w:rStyle w:val="20"/>
          <w:rFonts w:cs="Times New Roman"/>
          <w:szCs w:val="24"/>
        </w:rPr>
        <w:t>https://panmore.com/aldi-mission-vision-purpose-core-values</w:t>
      </w:r>
      <w:r>
        <w:t xml:space="preserve">&gt;. </w:t>
      </w:r>
      <w:r>
        <w:rPr>
          <w:rFonts w:eastAsia="Times New Roman" w:cs="Times New Roman"/>
          <w:szCs w:val="24"/>
          <w:lang w:eastAsia="en-GB"/>
        </w:rPr>
        <w:t>[Accessed 14 November 2025].</w:t>
      </w:r>
    </w:p>
    <w:p w14:paraId="24C1C123">
      <w:bookmarkStart w:id="30" w:name="_Hlk214043319"/>
      <w:r>
        <w:rPr>
          <w:color w:val="222222"/>
          <w:shd w:val="clear" w:color="auto" w:fill="FFFFFF"/>
        </w:rPr>
        <w:t>Singh</w:t>
      </w:r>
      <w:bookmarkEnd w:id="30"/>
      <w:r>
        <w:rPr>
          <w:color w:val="222222"/>
          <w:shd w:val="clear" w:color="auto" w:fill="FFFFFF"/>
        </w:rPr>
        <w:t>, V., Sharma, M.P., Jayapriya, K., Kumar, B.K., Chander, M.A.R.N. and Kumar, B.R., 2023. Service quality, customer satisfaction and customer loyalty: A comprehensive literature review. </w:t>
      </w:r>
      <w:r>
        <w:rPr>
          <w:i/>
          <w:iCs/>
        </w:rPr>
        <w:t>Journal of Survey in Fisheries Sciences</w:t>
      </w:r>
      <w:r>
        <w:t>, </w:t>
      </w:r>
      <w:r>
        <w:rPr>
          <w:i/>
          <w:iCs/>
        </w:rPr>
        <w:t>10</w:t>
      </w:r>
      <w:r>
        <w:t>(4S), pp.3457-3464.</w:t>
      </w:r>
    </w:p>
    <w:p w14:paraId="0A7DFABA">
      <w:bookmarkStart w:id="31" w:name="_Hlk214045363"/>
      <w:r>
        <w:rPr>
          <w:color w:val="222222"/>
          <w:shd w:val="clear" w:color="auto" w:fill="FFFFFF"/>
        </w:rPr>
        <w:t>Ti, L.L., Ng, B.K. and Rasiah, R., 2023</w:t>
      </w:r>
      <w:bookmarkEnd w:id="31"/>
      <w:r>
        <w:rPr>
          <w:color w:val="222222"/>
          <w:shd w:val="clear" w:color="auto" w:fill="FFFFFF"/>
        </w:rPr>
        <w:t>. Motivations behind SME greenfield investment in emerging markets. </w:t>
      </w:r>
      <w:r>
        <w:rPr>
          <w:i/>
          <w:iCs/>
        </w:rPr>
        <w:t>Management Decision</w:t>
      </w:r>
      <w:r>
        <w:t>, </w:t>
      </w:r>
      <w:r>
        <w:rPr>
          <w:i/>
          <w:iCs/>
        </w:rPr>
        <w:t>61</w:t>
      </w:r>
      <w:r>
        <w:t>(6), pp.1656-1676.</w:t>
      </w:r>
    </w:p>
    <w:p w14:paraId="0587F56F">
      <w:pPr>
        <w:spacing w:after="240"/>
        <w:rPr>
          <w:rFonts w:eastAsia="Times New Roman" w:cs="Times New Roman"/>
          <w:szCs w:val="24"/>
          <w:lang w:eastAsia="en-GB"/>
        </w:rPr>
      </w:pPr>
      <w:r>
        <w:t xml:space="preserve">TRADING ECONOMICS, 2025. </w:t>
      </w:r>
      <w:r>
        <w:rPr>
          <w:i/>
          <w:iCs/>
        </w:rPr>
        <w:t>Canada GDP</w:t>
      </w:r>
      <w:r>
        <w:t>. [online] TRADING ECONOMICS. Available at: &lt;</w:t>
      </w:r>
      <w:r>
        <w:rPr>
          <w:rStyle w:val="20"/>
          <w:rFonts w:cs="Times New Roman"/>
          <w:szCs w:val="24"/>
        </w:rPr>
        <w:t>https://tradingeconomics.com/canada/gdp</w:t>
      </w:r>
      <w:r>
        <w:t xml:space="preserve">&gt;. </w:t>
      </w:r>
      <w:r>
        <w:rPr>
          <w:rFonts w:eastAsia="Times New Roman" w:cs="Times New Roman"/>
          <w:szCs w:val="24"/>
          <w:lang w:eastAsia="en-GB"/>
        </w:rPr>
        <w:t>[Accessed 14 November 2025].</w:t>
      </w:r>
    </w:p>
    <w:p w14:paraId="51A67D5C">
      <w:pPr>
        <w:spacing w:after="240"/>
        <w:rPr>
          <w:rFonts w:eastAsia="Times New Roman" w:cs="Times New Roman"/>
          <w:szCs w:val="24"/>
          <w:lang w:eastAsia="en-GB"/>
        </w:rPr>
      </w:pPr>
      <w:bookmarkStart w:id="32" w:name="_Hlk214043840"/>
      <w:r>
        <w:t>Van Glabeke, P., 2024</w:t>
      </w:r>
      <w:bookmarkEnd w:id="32"/>
      <w:r>
        <w:t xml:space="preserve">. </w:t>
      </w:r>
      <w:r>
        <w:rPr>
          <w:i/>
          <w:iCs/>
        </w:rPr>
        <w:t>Pricing strategies for customer acquisition and retention</w:t>
      </w:r>
      <w:r>
        <w:t>. [online] Available at: &lt;</w:t>
      </w:r>
      <w:r>
        <w:rPr>
          <w:rStyle w:val="20"/>
          <w:rFonts w:cs="Times New Roman"/>
          <w:szCs w:val="24"/>
        </w:rPr>
        <w:t>https://www.linkedin.com/pulse/pricing-strategies-customer-acquisition-retention-pascal-van-glabeke-nswje</w:t>
      </w:r>
      <w:r>
        <w:t xml:space="preserve">&gt;. </w:t>
      </w:r>
      <w:r>
        <w:rPr>
          <w:rFonts w:eastAsia="Times New Roman" w:cs="Times New Roman"/>
          <w:szCs w:val="24"/>
          <w:lang w:eastAsia="en-GB"/>
        </w:rPr>
        <w:t>[Accessed 14 November 2025].</w:t>
      </w:r>
    </w:p>
    <w:p w14:paraId="08184A37">
      <w:pPr>
        <w:spacing w:after="240"/>
        <w:rPr>
          <w:rFonts w:eastAsia="Times New Roman" w:cs="Times New Roman"/>
          <w:szCs w:val="24"/>
          <w:lang w:eastAsia="en-GB"/>
        </w:rPr>
      </w:pPr>
      <w:r>
        <w:rPr>
          <w:rFonts w:eastAsia="Times New Roman" w:cs="Times New Roman"/>
          <w:szCs w:val="24"/>
          <w:lang w:eastAsia="en-GB"/>
        </w:rPr>
        <w:t xml:space="preserve">VanZandt, P., 2023. </w:t>
      </w:r>
      <w:r>
        <w:rPr>
          <w:rFonts w:eastAsia="Times New Roman" w:cs="Times New Roman"/>
          <w:i/>
          <w:iCs/>
          <w:szCs w:val="24"/>
          <w:lang w:eastAsia="en-GB"/>
        </w:rPr>
        <w:t>Analysis and Advantages of Ansoff Matrix</w:t>
      </w:r>
      <w:r>
        <w:rPr>
          <w:rFonts w:eastAsia="Times New Roman" w:cs="Times New Roman"/>
          <w:szCs w:val="24"/>
          <w:lang w:eastAsia="en-GB"/>
        </w:rPr>
        <w:t>. [online] IdeaScale. Available at: &lt;https://ideascale.com/blog/analysis-and-advantages-of-ansoff-matrix/&gt;. [Accessed 14 November 2025].</w:t>
      </w:r>
    </w:p>
    <w:p w14:paraId="070C9F48">
      <w:r>
        <w:rPr>
          <w:color w:val="222222"/>
          <w:shd w:val="clear" w:color="auto" w:fill="FFFFFF"/>
        </w:rPr>
        <w:t>Warnery-Daugy, A., 2025. Decoding the success of private labels in the FMCG industry: a study of brand equity dimensions from the consumer perspective.</w:t>
      </w:r>
    </w:p>
    <w:p w14:paraId="3FDA1D56">
      <w:bookmarkStart w:id="33" w:name="_Hlk214043481"/>
      <w:r>
        <w:rPr>
          <w:color w:val="222222"/>
          <w:shd w:val="clear" w:color="auto" w:fill="FFFFFF"/>
        </w:rPr>
        <w:t>Wu, X., 2025</w:t>
      </w:r>
      <w:bookmarkEnd w:id="33"/>
      <w:r>
        <w:rPr>
          <w:color w:val="222222"/>
          <w:shd w:val="clear" w:color="auto" w:fill="FFFFFF"/>
        </w:rPr>
        <w:t>. An analysis of the international differentiated marketing strategy pattern of multinational supermarket brands: A case study of Aldi. In </w:t>
      </w:r>
      <w:r>
        <w:rPr>
          <w:i/>
          <w:iCs/>
        </w:rPr>
        <w:t>Global Dialogue on Media Dynamics, Trends and Perspectives on Public Relations and Communication</w:t>
      </w:r>
      <w:r>
        <w:t> (pp. 540-546). CRC Press.</w:t>
      </w:r>
    </w:p>
    <w:p w14:paraId="251A4956"/>
    <w:p w14:paraId="07D023D8">
      <w:pPr>
        <w:spacing w:before="120" w:after="120"/>
        <w:rPr>
          <w:rFonts w:cs="Times New Roman"/>
          <w:szCs w:val="24"/>
        </w:rPr>
      </w:pPr>
    </w:p>
    <w:sectPr>
      <w:footerReference r:id="rId5" w:type="default"/>
      <w:footerReference r:id="rId6" w:type="even"/>
      <w:pgSz w:w="11906" w:h="16838"/>
      <w:pgMar w:top="1440" w:right="1440" w:bottom="1440" w:left="1440" w:header="708" w:footer="708" w:gutter="0"/>
      <w:pgBorders w:offsetFrom="page">
        <w:top w:val="threeDEngrave" w:color="auto" w:sz="6" w:space="24"/>
        <w:left w:val="threeDEngrave" w:color="auto" w:sz="6" w:space="24"/>
        <w:bottom w:val="threeDEmboss" w:color="auto" w:sz="6" w:space="24"/>
        <w:right w:val="threeDEmboss" w:color="auto" w:sz="6" w:space="24"/>
      </w:pgBorders>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D1FB383">
    <w:pPr>
      <w:pStyle w:val="6"/>
      <w:framePr w:wrap="auto" w:vAnchor="text" w:hAnchor="margin" w:xAlign="right" w:y="1"/>
      <w:rPr>
        <w:rStyle w:val="10"/>
      </w:rPr>
    </w:pPr>
    <w:r>
      <w:rPr>
        <w:rStyle w:val="10"/>
      </w:rPr>
      <w:fldChar w:fldCharType="begin"/>
    </w:r>
    <w:r>
      <w:rPr>
        <w:rStyle w:val="10"/>
      </w:rPr>
      <w:instrText xml:space="preserve"> PAGE </w:instrText>
    </w:r>
    <w:r>
      <w:rPr>
        <w:rStyle w:val="10"/>
      </w:rPr>
      <w:fldChar w:fldCharType="separate"/>
    </w:r>
    <w:r>
      <w:rPr>
        <w:rStyle w:val="10"/>
      </w:rPr>
      <w:t>2</w:t>
    </w:r>
    <w:r>
      <w:rPr>
        <w:rStyle w:val="10"/>
      </w:rPr>
      <w:fldChar w:fldCharType="end"/>
    </w:r>
  </w:p>
  <w:p w14:paraId="6E7E5ED1">
    <w:pPr>
      <w:pStyle w:val="6"/>
      <w:ind w:right="360"/>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696655C">
    <w:pPr>
      <w:pStyle w:val="6"/>
      <w:framePr w:wrap="auto" w:vAnchor="text" w:hAnchor="margin" w:xAlign="right" w:y="1"/>
      <w:rPr>
        <w:rStyle w:val="10"/>
      </w:rPr>
    </w:pPr>
    <w:r>
      <w:rPr>
        <w:rStyle w:val="10"/>
      </w:rPr>
      <w:fldChar w:fldCharType="begin"/>
    </w:r>
    <w:r>
      <w:rPr>
        <w:rStyle w:val="10"/>
      </w:rPr>
      <w:instrText xml:space="preserve"> PAGE </w:instrText>
    </w:r>
    <w:r>
      <w:rPr>
        <w:rStyle w:val="10"/>
      </w:rPr>
      <w:fldChar w:fldCharType="separate"/>
    </w:r>
    <w:r>
      <w:rPr>
        <w:rStyle w:val="10"/>
      </w:rPr>
      <w:fldChar w:fldCharType="end"/>
    </w:r>
  </w:p>
  <w:p w14:paraId="617F52F3">
    <w:pPr>
      <w:pStyle w:val="6"/>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0"/>
    <w:multiLevelType w:val="multilevel"/>
    <w:tmpl w:val="00000000"/>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
    <w:nsid w:val="00000001"/>
    <w:multiLevelType w:val="multilevel"/>
    <w:tmpl w:val="00000001"/>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2">
    <w:nsid w:val="00000002"/>
    <w:multiLevelType w:val="multilevel"/>
    <w:tmpl w:val="00000002"/>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3">
    <w:nsid w:val="00000003"/>
    <w:multiLevelType w:val="multilevel"/>
    <w:tmpl w:val="0000000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4">
    <w:nsid w:val="00000004"/>
    <w:multiLevelType w:val="multilevel"/>
    <w:tmpl w:val="00000004"/>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5">
    <w:nsid w:val="00000005"/>
    <w:multiLevelType w:val="multilevel"/>
    <w:tmpl w:val="00000005"/>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6">
    <w:nsid w:val="00000006"/>
    <w:multiLevelType w:val="multilevel"/>
    <w:tmpl w:val="0000000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7">
    <w:nsid w:val="00000007"/>
    <w:multiLevelType w:val="multilevel"/>
    <w:tmpl w:val="0000000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8">
    <w:nsid w:val="00000008"/>
    <w:multiLevelType w:val="multilevel"/>
    <w:tmpl w:val="0000000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9">
    <w:nsid w:val="00000009"/>
    <w:multiLevelType w:val="multilevel"/>
    <w:tmpl w:val="00000009"/>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0">
    <w:nsid w:val="0000000A"/>
    <w:multiLevelType w:val="multilevel"/>
    <w:tmpl w:val="0000000A"/>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1">
    <w:nsid w:val="0000000B"/>
    <w:multiLevelType w:val="multilevel"/>
    <w:tmpl w:val="0000000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2"/>
  </w:num>
  <w:num w:numId="2">
    <w:abstractNumId w:val="4"/>
  </w:num>
  <w:num w:numId="3">
    <w:abstractNumId w:val="6"/>
  </w:num>
  <w:num w:numId="4">
    <w:abstractNumId w:val="8"/>
  </w:num>
  <w:num w:numId="5">
    <w:abstractNumId w:val="7"/>
  </w:num>
  <w:num w:numId="6">
    <w:abstractNumId w:val="9"/>
  </w:num>
  <w:num w:numId="7">
    <w:abstractNumId w:val="10"/>
  </w:num>
  <w:num w:numId="8">
    <w:abstractNumId w:val="1"/>
  </w:num>
  <w:num w:numId="9">
    <w:abstractNumId w:val="11"/>
  </w:num>
  <w:num w:numId="10">
    <w:abstractNumId w:val="5"/>
  </w:num>
  <w:num w:numId="11">
    <w:abstractNumId w:val="3"/>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8"/>
  <w:removePersonalInformation/>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35BA399F"/>
    <w:rsid w:val="445500E1"/>
    <w:rsid w:val="7E8111F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SimSu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unhideWhenUsed="0" w:uiPriority="39" w:semiHidden="0" w:name="toc 2"/>
    <w:lsdException w:qFormat="1" w:unhideWhenUsed="0" w:uiPriority="39" w:semiHidden="0" w:name="toc 3"/>
    <w:lsdException w:qFormat="1" w:unhideWhenUsed="0" w:uiPriority="39" w:semiHidden="0" w:name="toc 4"/>
    <w:lsdException w:qFormat="1" w:unhideWhenUsed="0" w:uiPriority="39" w:semiHidden="0" w:name="toc 5"/>
    <w:lsdException w:qFormat="1" w:unhideWhenUsed="0" w:uiPriority="39" w:semiHidden="0" w:name="toc 6"/>
    <w:lsdException w:qFormat="1" w:unhideWhenUsed="0" w:uiPriority="39" w:semiHidden="0" w:name="toc 7"/>
    <w:lsdException w:qFormat="1" w:unhideWhenUsed="0" w:uiPriority="39" w:semiHidden="0" w:name="toc 8"/>
    <w:lsdException w:qFormat="1" w:unhideWhenUsed="0" w:uiPriority="39"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99" w:semiHidden="0" w:name="header"/>
    <w:lsdException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qFormat="1" w:unhideWhenUsed="0" w:uiPriority="99"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99"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Calibri" w:cs="SimSun"/>
      <w:sz w:val="24"/>
      <w:szCs w:val="22"/>
      <w:lang w:val="en-IN" w:eastAsia="en-US" w:bidi="ar-SA"/>
    </w:rPr>
  </w:style>
  <w:style w:type="paragraph" w:styleId="2">
    <w:name w:val="heading 1"/>
    <w:basedOn w:val="1"/>
    <w:next w:val="1"/>
    <w:link w:val="23"/>
    <w:qFormat/>
    <w:uiPriority w:val="9"/>
    <w:pPr>
      <w:spacing w:before="120" w:after="120"/>
      <w:outlineLvl w:val="0"/>
    </w:pPr>
    <w:rPr>
      <w:rFonts w:eastAsia="Times New Roman" w:cs="Times New Roman"/>
      <w:b/>
      <w:bCs/>
      <w:color w:val="000000"/>
      <w:sz w:val="28"/>
      <w:szCs w:val="28"/>
      <w:lang w:eastAsia="en-IN"/>
    </w:rPr>
  </w:style>
  <w:style w:type="paragraph" w:styleId="3">
    <w:name w:val="heading 2"/>
    <w:basedOn w:val="1"/>
    <w:next w:val="1"/>
    <w:link w:val="24"/>
    <w:qFormat/>
    <w:uiPriority w:val="9"/>
    <w:pPr>
      <w:spacing w:before="120" w:after="120"/>
      <w:outlineLvl w:val="1"/>
    </w:pPr>
    <w:rPr>
      <w:rFonts w:eastAsia="Times New Roman" w:cs="Times New Roman"/>
      <w:b/>
      <w:bCs/>
      <w:color w:val="000000"/>
      <w:szCs w:val="24"/>
      <w:lang w:eastAsia="en-IN"/>
    </w:rPr>
  </w:style>
  <w:style w:type="character" w:default="1" w:styleId="4">
    <w:name w:val="Default Paragraph Font"/>
    <w:uiPriority w:val="1"/>
  </w:style>
  <w:style w:type="table" w:default="1" w:styleId="5">
    <w:name w:val="Normal Table"/>
    <w:qFormat/>
    <w:uiPriority w:val="99"/>
    <w:tblPr>
      <w:tblCellMar>
        <w:top w:w="0" w:type="dxa"/>
        <w:left w:w="108" w:type="dxa"/>
        <w:bottom w:w="0" w:type="dxa"/>
        <w:right w:w="108" w:type="dxa"/>
      </w:tblCellMar>
    </w:tblPr>
  </w:style>
  <w:style w:type="paragraph" w:styleId="6">
    <w:name w:val="footer"/>
    <w:basedOn w:val="1"/>
    <w:link w:val="22"/>
    <w:uiPriority w:val="99"/>
    <w:pPr>
      <w:tabs>
        <w:tab w:val="center" w:pos="4513"/>
        <w:tab w:val="right" w:pos="9026"/>
      </w:tabs>
      <w:spacing w:after="0" w:line="240" w:lineRule="auto"/>
    </w:pPr>
  </w:style>
  <w:style w:type="paragraph" w:styleId="7">
    <w:name w:val="header"/>
    <w:basedOn w:val="1"/>
    <w:link w:val="21"/>
    <w:uiPriority w:val="99"/>
    <w:pPr>
      <w:tabs>
        <w:tab w:val="center" w:pos="4513"/>
        <w:tab w:val="right" w:pos="9026"/>
      </w:tabs>
      <w:spacing w:after="0" w:line="240" w:lineRule="auto"/>
    </w:pPr>
  </w:style>
  <w:style w:type="character" w:styleId="8">
    <w:name w:val="Hyperlink"/>
    <w:basedOn w:val="4"/>
    <w:qFormat/>
    <w:uiPriority w:val="99"/>
    <w:rPr>
      <w:color w:val="0563C1"/>
      <w:u w:val="single"/>
    </w:rPr>
  </w:style>
  <w:style w:type="paragraph" w:styleId="9">
    <w:name w:val="Normal (Web)"/>
    <w:basedOn w:val="1"/>
    <w:qFormat/>
    <w:uiPriority w:val="99"/>
    <w:pPr>
      <w:spacing w:before="100" w:beforeAutospacing="1" w:after="100" w:afterAutospacing="1" w:line="240" w:lineRule="auto"/>
    </w:pPr>
    <w:rPr>
      <w:rFonts w:eastAsia="Times New Roman" w:cs="Times New Roman"/>
      <w:szCs w:val="24"/>
      <w:lang w:eastAsia="en-IN"/>
    </w:rPr>
  </w:style>
  <w:style w:type="character" w:styleId="10">
    <w:name w:val="page number"/>
    <w:basedOn w:val="4"/>
    <w:qFormat/>
    <w:uiPriority w:val="99"/>
  </w:style>
  <w:style w:type="paragraph" w:styleId="11">
    <w:name w:val="toc 1"/>
    <w:basedOn w:val="1"/>
    <w:next w:val="1"/>
    <w:qFormat/>
    <w:uiPriority w:val="39"/>
    <w:pPr>
      <w:spacing w:before="240" w:after="120"/>
      <w:jc w:val="left"/>
    </w:pPr>
    <w:rPr>
      <w:rFonts w:ascii="Calibri" w:hAnsi="Calibri" w:cs="Calibri"/>
      <w:b/>
      <w:bCs/>
      <w:sz w:val="20"/>
      <w:szCs w:val="20"/>
    </w:rPr>
  </w:style>
  <w:style w:type="paragraph" w:styleId="12">
    <w:name w:val="toc 2"/>
    <w:basedOn w:val="1"/>
    <w:next w:val="1"/>
    <w:uiPriority w:val="39"/>
    <w:pPr>
      <w:spacing w:before="120" w:after="0"/>
      <w:ind w:left="240"/>
      <w:jc w:val="left"/>
    </w:pPr>
    <w:rPr>
      <w:rFonts w:ascii="Calibri" w:hAnsi="Calibri" w:cs="Calibri"/>
      <w:i/>
      <w:iCs/>
      <w:sz w:val="20"/>
      <w:szCs w:val="20"/>
    </w:rPr>
  </w:style>
  <w:style w:type="paragraph" w:styleId="13">
    <w:name w:val="toc 3"/>
    <w:basedOn w:val="1"/>
    <w:next w:val="1"/>
    <w:qFormat/>
    <w:uiPriority w:val="39"/>
    <w:pPr>
      <w:spacing w:after="0"/>
      <w:ind w:left="480"/>
      <w:jc w:val="left"/>
    </w:pPr>
    <w:rPr>
      <w:rFonts w:ascii="Calibri" w:hAnsi="Calibri" w:cs="Calibri"/>
      <w:sz w:val="20"/>
      <w:szCs w:val="20"/>
    </w:rPr>
  </w:style>
  <w:style w:type="paragraph" w:styleId="14">
    <w:name w:val="toc 4"/>
    <w:basedOn w:val="1"/>
    <w:next w:val="1"/>
    <w:qFormat/>
    <w:uiPriority w:val="39"/>
    <w:pPr>
      <w:spacing w:after="0"/>
      <w:ind w:left="720"/>
      <w:jc w:val="left"/>
    </w:pPr>
    <w:rPr>
      <w:rFonts w:ascii="Calibri" w:hAnsi="Calibri" w:cs="Calibri"/>
      <w:sz w:val="20"/>
      <w:szCs w:val="20"/>
    </w:rPr>
  </w:style>
  <w:style w:type="paragraph" w:styleId="15">
    <w:name w:val="toc 5"/>
    <w:basedOn w:val="1"/>
    <w:next w:val="1"/>
    <w:qFormat/>
    <w:uiPriority w:val="39"/>
    <w:pPr>
      <w:spacing w:after="0"/>
      <w:ind w:left="960"/>
      <w:jc w:val="left"/>
    </w:pPr>
    <w:rPr>
      <w:rFonts w:ascii="Calibri" w:hAnsi="Calibri" w:cs="Calibri"/>
      <w:sz w:val="20"/>
      <w:szCs w:val="20"/>
    </w:rPr>
  </w:style>
  <w:style w:type="paragraph" w:styleId="16">
    <w:name w:val="toc 6"/>
    <w:basedOn w:val="1"/>
    <w:next w:val="1"/>
    <w:qFormat/>
    <w:uiPriority w:val="39"/>
    <w:pPr>
      <w:spacing w:after="0"/>
      <w:ind w:left="1200"/>
      <w:jc w:val="left"/>
    </w:pPr>
    <w:rPr>
      <w:rFonts w:ascii="Calibri" w:hAnsi="Calibri" w:cs="Calibri"/>
      <w:sz w:val="20"/>
      <w:szCs w:val="20"/>
    </w:rPr>
  </w:style>
  <w:style w:type="paragraph" w:styleId="17">
    <w:name w:val="toc 7"/>
    <w:basedOn w:val="1"/>
    <w:next w:val="1"/>
    <w:qFormat/>
    <w:uiPriority w:val="39"/>
    <w:pPr>
      <w:spacing w:after="0"/>
      <w:ind w:left="1440"/>
      <w:jc w:val="left"/>
    </w:pPr>
    <w:rPr>
      <w:rFonts w:ascii="Calibri" w:hAnsi="Calibri" w:cs="Calibri"/>
      <w:sz w:val="20"/>
      <w:szCs w:val="20"/>
    </w:rPr>
  </w:style>
  <w:style w:type="paragraph" w:styleId="18">
    <w:name w:val="toc 8"/>
    <w:basedOn w:val="1"/>
    <w:next w:val="1"/>
    <w:qFormat/>
    <w:uiPriority w:val="39"/>
    <w:pPr>
      <w:spacing w:after="0"/>
      <w:ind w:left="1680"/>
      <w:jc w:val="left"/>
    </w:pPr>
    <w:rPr>
      <w:rFonts w:ascii="Calibri" w:hAnsi="Calibri" w:cs="Calibri"/>
      <w:sz w:val="20"/>
      <w:szCs w:val="20"/>
    </w:rPr>
  </w:style>
  <w:style w:type="paragraph" w:styleId="19">
    <w:name w:val="toc 9"/>
    <w:basedOn w:val="1"/>
    <w:next w:val="1"/>
    <w:qFormat/>
    <w:uiPriority w:val="39"/>
    <w:pPr>
      <w:spacing w:after="0"/>
      <w:ind w:left="1920"/>
      <w:jc w:val="left"/>
    </w:pPr>
    <w:rPr>
      <w:rFonts w:ascii="Calibri" w:hAnsi="Calibri" w:cs="Calibri"/>
      <w:sz w:val="20"/>
      <w:szCs w:val="20"/>
    </w:rPr>
  </w:style>
  <w:style w:type="character" w:customStyle="1" w:styleId="20">
    <w:name w:val="url"/>
    <w:basedOn w:val="4"/>
    <w:qFormat/>
    <w:uiPriority w:val="0"/>
  </w:style>
  <w:style w:type="character" w:customStyle="1" w:styleId="21">
    <w:name w:val="Header Char_a551df35-fe9a-4b95-9d0b-bb3851bafffe"/>
    <w:basedOn w:val="4"/>
    <w:link w:val="7"/>
    <w:qFormat/>
    <w:uiPriority w:val="99"/>
    <w:rPr>
      <w:rFonts w:ascii="Times New Roman" w:hAnsi="Times New Roman"/>
      <w:sz w:val="24"/>
    </w:rPr>
  </w:style>
  <w:style w:type="character" w:customStyle="1" w:styleId="22">
    <w:name w:val="Footer Char_f3bf6aa9-4a7f-48e5-bda7-f2f00b19fa12"/>
    <w:basedOn w:val="4"/>
    <w:link w:val="6"/>
    <w:uiPriority w:val="99"/>
    <w:rPr>
      <w:rFonts w:ascii="Times New Roman" w:hAnsi="Times New Roman"/>
      <w:sz w:val="24"/>
    </w:rPr>
  </w:style>
  <w:style w:type="character" w:customStyle="1" w:styleId="23">
    <w:name w:val="Heading 1 Char_e2e413a6-9369-4f44-807e-e384ce2b72f1"/>
    <w:basedOn w:val="4"/>
    <w:link w:val="2"/>
    <w:uiPriority w:val="9"/>
    <w:rPr>
      <w:rFonts w:ascii="Times New Roman" w:hAnsi="Times New Roman" w:eastAsia="Times New Roman" w:cs="Times New Roman"/>
      <w:b/>
      <w:bCs/>
      <w:color w:val="000000"/>
      <w:sz w:val="28"/>
      <w:szCs w:val="28"/>
      <w:lang w:eastAsia="en-IN"/>
    </w:rPr>
  </w:style>
  <w:style w:type="character" w:customStyle="1" w:styleId="24">
    <w:name w:val="Heading 2 Char_a244df1e-2fa2-456b-8bbe-1bde679032f1"/>
    <w:basedOn w:val="4"/>
    <w:link w:val="3"/>
    <w:qFormat/>
    <w:uiPriority w:val="9"/>
    <w:rPr>
      <w:rFonts w:ascii="Times New Roman" w:hAnsi="Times New Roman" w:eastAsia="Times New Roman" w:cs="Times New Roman"/>
      <w:b/>
      <w:bCs/>
      <w:color w:val="000000"/>
      <w:sz w:val="24"/>
      <w:szCs w:val="24"/>
      <w:lang w:eastAsia="en-IN"/>
    </w:rPr>
  </w:style>
  <w:style w:type="paragraph" w:customStyle="1" w:styleId="25">
    <w:name w:val="TOC Heading"/>
    <w:basedOn w:val="2"/>
    <w:next w:val="1"/>
    <w:qFormat/>
    <w:uiPriority w:val="39"/>
    <w:pPr>
      <w:keepNext/>
      <w:keepLines/>
      <w:spacing w:before="480" w:after="0" w:line="276" w:lineRule="auto"/>
      <w:jc w:val="left"/>
      <w:outlineLvl w:val="9"/>
    </w:pPr>
    <w:rPr>
      <w:rFonts w:ascii="Calibri Light" w:hAnsi="Calibri Light" w:eastAsia="SimSun" w:cs="SimSun"/>
      <w:color w:val="2F5496"/>
      <w:lang w:val="en-US" w:eastAsia="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jpe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1.xml"/><Relationship Id="rId15" Type="http://schemas.openxmlformats.org/officeDocument/2006/relationships/numbering" Target="numbering.xml"/><Relationship Id="rId14" Type="http://schemas.openxmlformats.org/officeDocument/2006/relationships/image" Target="media/image7.png"/><Relationship Id="rId13" Type="http://schemas.openxmlformats.org/officeDocument/2006/relationships/image" Target="media/image6.png"/><Relationship Id="rId12" Type="http://schemas.openxmlformats.org/officeDocument/2006/relationships/image" Target="media/image5.png"/><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C11860-EF17-9C4A-8AF3-77D82914F251}">
  <ds:schemaRefs/>
</ds:datastoreItem>
</file>

<file path=docProps/app.xml><?xml version="1.0" encoding="utf-8"?>
<Properties xmlns="http://schemas.openxmlformats.org/officeDocument/2006/extended-properties" xmlns:vt="http://schemas.openxmlformats.org/officeDocument/2006/docPropsVTypes">
  <Template>Normal</Template>
  <Pages>26</Pages>
  <Words>5953</Words>
  <Characters>37894</Characters>
  <Paragraphs>294</Paragraphs>
  <TotalTime>6</TotalTime>
  <ScaleCrop>false</ScaleCrop>
  <LinksUpToDate>false</LinksUpToDate>
  <CharactersWithSpaces>43631</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2025-11-15T16:51:00Z</dcterms:created>
  <dcterms:modified xsi:type="dcterms:W3CDTF">2025-11-26T00:57:01Z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DCACC742A29A4D04A0EEC6A5ECB4E0C2_13</vt:lpwstr>
  </property>
  <property fmtid="{D5CDD505-2E9C-101B-9397-08002B2CF9AE}" pid="3" name="KSOProductBuildVer">
    <vt:lpwstr>1033-12.2.0.23155</vt:lpwstr>
  </property>
</Properties>
</file>