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C2BE59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C0C8C">
        <w:rPr>
          <w:rStyle w:val="Strong"/>
          <w:rFonts w:ascii="Arial" w:hAnsi="Arial" w:cs="Arial"/>
          <w:color w:val="1D2125"/>
          <w:sz w:val="32"/>
          <w:szCs w:val="32"/>
        </w:rPr>
        <w:t xml:space="preserve"> Ramsey Nakazibwe</w:t>
      </w:r>
    </w:p>
    <w:p w14:paraId="227AC82E" w14:textId="36CA7668"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C0C8C">
        <w:rPr>
          <w:rStyle w:val="Strong"/>
          <w:rFonts w:ascii="Arial" w:hAnsi="Arial" w:cs="Arial"/>
          <w:color w:val="1D2125"/>
          <w:sz w:val="32"/>
          <w:szCs w:val="32"/>
        </w:rPr>
        <w:t xml:space="preserve"> 2315008</w:t>
      </w:r>
    </w:p>
    <w:p w14:paraId="5B5E64AD" w14:textId="41D41DA5"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C0C8C">
        <w:rPr>
          <w:rStyle w:val="Strong"/>
          <w:rFonts w:ascii="Arial" w:hAnsi="Arial" w:cs="Arial"/>
          <w:color w:val="1D2125"/>
          <w:sz w:val="32"/>
          <w:szCs w:val="32"/>
        </w:rPr>
        <w:t xml:space="preserve"> </w:t>
      </w:r>
      <w:r w:rsidR="004712DF">
        <w:rPr>
          <w:rStyle w:val="Strong"/>
          <w:rFonts w:ascii="Arial" w:hAnsi="Arial" w:cs="Arial"/>
          <w:color w:val="1D2125"/>
          <w:sz w:val="32"/>
          <w:szCs w:val="32"/>
        </w:rPr>
        <w:t>Laila S</w:t>
      </w:r>
      <w:r w:rsidR="004F6AA7">
        <w:rPr>
          <w:rStyle w:val="Strong"/>
          <w:rFonts w:ascii="Arial" w:hAnsi="Arial" w:cs="Arial"/>
          <w:color w:val="1D2125"/>
          <w:sz w:val="32"/>
          <w:szCs w:val="32"/>
        </w:rPr>
        <w:t>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74DC3DC0" w14:textId="7F4B252E" w:rsidR="00AC0C8C"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06D377F2" w14:textId="77777777" w:rsidR="00AC0C8C" w:rsidRPr="008375B5" w:rsidRDefault="00AC0C8C" w:rsidP="008375B5">
      <w:pPr>
        <w:pStyle w:val="NormalWeb"/>
        <w:spacing w:line="360" w:lineRule="auto"/>
        <w:rPr>
          <w:rFonts w:ascii="Arial" w:hAnsi="Arial" w:cs="Arial"/>
          <w:b/>
          <w:bCs/>
          <w:color w:val="000000"/>
          <w:sz w:val="28"/>
          <w:szCs w:val="28"/>
        </w:rPr>
      </w:pPr>
    </w:p>
    <w:p w14:paraId="6997D827" w14:textId="6FE2ABC2" w:rsidR="008375B5" w:rsidRDefault="008A471C" w:rsidP="008375B5">
      <w:pPr>
        <w:pStyle w:val="NormalWeb"/>
        <w:spacing w:line="360" w:lineRule="auto"/>
        <w:rPr>
          <w:rFonts w:ascii="Arial" w:hAnsi="Arial" w:cs="Arial"/>
          <w:b/>
          <w:bCs/>
          <w:color w:val="000000"/>
        </w:rPr>
      </w:pPr>
      <w:r>
        <w:rPr>
          <w:rFonts w:ascii="Arial" w:hAnsi="Arial" w:cs="Arial"/>
          <w:b/>
          <w:bCs/>
          <w:color w:val="000000"/>
        </w:rPr>
        <w:t xml:space="preserve">Introduction </w:t>
      </w:r>
    </w:p>
    <w:p w14:paraId="7AEBB911" w14:textId="0043CA27" w:rsidR="008A471C" w:rsidRDefault="008A471C" w:rsidP="008375B5">
      <w:pPr>
        <w:pStyle w:val="NormalWeb"/>
        <w:spacing w:line="360" w:lineRule="auto"/>
        <w:rPr>
          <w:rFonts w:ascii="Arial" w:hAnsi="Arial" w:cs="Arial"/>
          <w:b/>
          <w:bCs/>
          <w:color w:val="000000"/>
        </w:rPr>
      </w:pPr>
      <w:r>
        <w:rPr>
          <w:rFonts w:ascii="Arial" w:hAnsi="Arial" w:cs="Arial"/>
          <w:b/>
          <w:bCs/>
          <w:color w:val="000000"/>
        </w:rPr>
        <w:t>Impact on work force</w:t>
      </w:r>
    </w:p>
    <w:p w14:paraId="271C58EC" w14:textId="0C752EB5" w:rsidR="008A471C" w:rsidRDefault="008A471C" w:rsidP="008375B5">
      <w:pPr>
        <w:pStyle w:val="NormalWeb"/>
        <w:spacing w:line="360" w:lineRule="auto"/>
        <w:rPr>
          <w:rFonts w:ascii="Arial" w:hAnsi="Arial" w:cs="Arial"/>
          <w:b/>
          <w:bCs/>
          <w:color w:val="000000"/>
        </w:rPr>
      </w:pPr>
      <w:r>
        <w:rPr>
          <w:rFonts w:ascii="Arial" w:hAnsi="Arial" w:cs="Arial"/>
          <w:b/>
          <w:bCs/>
          <w:color w:val="000000"/>
        </w:rPr>
        <w:t>Impact on service delivery</w:t>
      </w:r>
    </w:p>
    <w:p w14:paraId="01013526" w14:textId="4CEC81DF" w:rsidR="008A471C" w:rsidRDefault="008A471C" w:rsidP="008375B5">
      <w:pPr>
        <w:pStyle w:val="NormalWeb"/>
        <w:spacing w:line="360" w:lineRule="auto"/>
        <w:rPr>
          <w:rFonts w:ascii="Arial" w:hAnsi="Arial" w:cs="Arial"/>
          <w:b/>
          <w:bCs/>
          <w:color w:val="000000"/>
        </w:rPr>
      </w:pPr>
      <w:r>
        <w:rPr>
          <w:rFonts w:ascii="Arial" w:hAnsi="Arial" w:cs="Arial"/>
          <w:b/>
          <w:bCs/>
          <w:color w:val="000000"/>
        </w:rPr>
        <w:t>Impact on patients</w:t>
      </w:r>
    </w:p>
    <w:p w14:paraId="73F808C0" w14:textId="4245FADE" w:rsidR="008A471C" w:rsidRDefault="008A471C" w:rsidP="008375B5">
      <w:pPr>
        <w:pStyle w:val="NormalWeb"/>
        <w:spacing w:line="360" w:lineRule="auto"/>
        <w:rPr>
          <w:rFonts w:ascii="Arial" w:hAnsi="Arial" w:cs="Arial"/>
          <w:b/>
          <w:bCs/>
          <w:color w:val="000000"/>
        </w:rPr>
      </w:pPr>
      <w:r>
        <w:rPr>
          <w:rFonts w:ascii="Arial" w:hAnsi="Arial" w:cs="Arial"/>
          <w:b/>
          <w:bCs/>
          <w:color w:val="000000"/>
        </w:rPr>
        <w:t xml:space="preserve">Impact </w:t>
      </w:r>
      <w:r w:rsidR="00197117">
        <w:rPr>
          <w:rFonts w:ascii="Arial" w:hAnsi="Arial" w:cs="Arial"/>
          <w:b/>
          <w:bCs/>
          <w:color w:val="000000"/>
        </w:rPr>
        <w:t>on community</w:t>
      </w:r>
    </w:p>
    <w:p w14:paraId="03F97B53" w14:textId="2AA0C965" w:rsidR="00197117" w:rsidRDefault="00197117" w:rsidP="008375B5">
      <w:pPr>
        <w:pStyle w:val="NormalWeb"/>
        <w:spacing w:line="360" w:lineRule="auto"/>
        <w:rPr>
          <w:rFonts w:ascii="Arial" w:hAnsi="Arial" w:cs="Arial"/>
          <w:b/>
          <w:bCs/>
          <w:color w:val="000000"/>
        </w:rPr>
      </w:pPr>
      <w:r>
        <w:rPr>
          <w:rFonts w:ascii="Arial" w:hAnsi="Arial" w:cs="Arial"/>
          <w:b/>
          <w:bCs/>
          <w:color w:val="000000"/>
        </w:rPr>
        <w:t xml:space="preserve">Conclusion </w:t>
      </w:r>
    </w:p>
    <w:p w14:paraId="1CF59FCF" w14:textId="7C17E320" w:rsidR="00197117" w:rsidRDefault="00197117" w:rsidP="008375B5">
      <w:pPr>
        <w:pStyle w:val="NormalWeb"/>
        <w:spacing w:line="360" w:lineRule="auto"/>
        <w:rPr>
          <w:rFonts w:ascii="Arial" w:hAnsi="Arial" w:cs="Arial"/>
          <w:b/>
          <w:bCs/>
          <w:color w:val="000000"/>
        </w:rPr>
      </w:pPr>
      <w:r w:rsidRPr="00197117">
        <w:rPr>
          <w:rFonts w:ascii="Arial" w:hAnsi="Arial" w:cs="Arial"/>
          <w:b/>
          <w:bCs/>
          <w:color w:val="000000"/>
        </w:rPr>
        <w:t>Reference</w:t>
      </w: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53EFCC39" w14:textId="676FA079" w:rsidR="002645A5" w:rsidRDefault="00197117" w:rsidP="00197117">
      <w:pPr>
        <w:spacing w:after="0" w:line="240" w:lineRule="auto"/>
        <w:rPr>
          <w:rFonts w:ascii="Arial" w:eastAsia="Times New Roman" w:hAnsi="Arial" w:cs="Arial"/>
          <w:color w:val="222222"/>
          <w:kern w:val="0"/>
          <w:lang w:eastAsia="en-GB"/>
        </w:rPr>
      </w:pPr>
      <w:r w:rsidRPr="00197117">
        <w:rPr>
          <w:rFonts w:ascii="Arial" w:eastAsia="Times New Roman" w:hAnsi="Arial" w:cs="Arial"/>
          <w:b/>
          <w:bCs/>
          <w:color w:val="222222"/>
          <w:kern w:val="0"/>
          <w:sz w:val="28"/>
          <w:szCs w:val="28"/>
          <w:shd w:val="clear" w:color="auto" w:fill="FFFFFF"/>
          <w:lang w:eastAsia="en-GB"/>
        </w:rPr>
        <w:lastRenderedPageBreak/>
        <w:t>Introduction</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Innovation in health and social care is essential in addressing increasing service demand, workforce pressures, and the need for accessible, high-quality care. One significant digital innovation within the National Health Service is the implementation of the Attend Anywhere platform, a video consultation system that enables remote healthcare delivery. This platform has been widely adopted, particularly following the COVID-19 pandemic, which accelerated the need for digital transformation in healthcare services.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Attend Anywhere is a web-based system that allows patients to attend appointments virtually, reducing the need for physical attendance at healthcare facilities. It supports real-time communication between patients and healthcare professionals and is used across various services, including primary care, mental health, and specialist consultations.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While Attend Anywhere has improved access and efficiency, its implementation has also introduced challenges relating to workforce adaptation, service delivery, patient experience, and community engagement. This essay critically analyses these impacts, evaluating both the benefits and limitations of the platform within the NHS. It argues that although Attend Anywhere enhances accessibility and service efficiency, its effectiveness depends on addressing digital inequalities, workforce readiness, and the preservation of person-centred care.</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b/>
          <w:bCs/>
          <w:color w:val="222222"/>
          <w:kern w:val="0"/>
          <w:lang w:eastAsia="en-GB"/>
        </w:rPr>
        <w:br/>
      </w:r>
      <w:r w:rsidRPr="00197117">
        <w:rPr>
          <w:rFonts w:ascii="Arial" w:eastAsia="Times New Roman" w:hAnsi="Arial" w:cs="Arial"/>
          <w:b/>
          <w:bCs/>
          <w:color w:val="222222"/>
          <w:kern w:val="0"/>
          <w:sz w:val="28"/>
          <w:szCs w:val="28"/>
          <w:shd w:val="clear" w:color="auto" w:fill="FFFFFF"/>
          <w:lang w:eastAsia="en-GB"/>
        </w:rPr>
        <w:t>Impact on Workforce</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The introduction of Attend Anywhere has significantly altered the roles and responsibilities of healthcare professionals within the NHS. One of the most notable changes is the shift towards digital consultation practices, requiring staff to develop new technological competencies. Healthcare professionals must now be proficient in managing virtual consultations, troubleshooting technical issues, and maintaining patient engagement in a digital environment.</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On a positive note, Attend Anywhere can improve workforce efficiency by reducing the time spent on administrative tasks and enabling flexible working arrangements. For example, clinicians can conduct consultations remotely, which may reduce travel time and allow for more efficient scheduling of appointments (Shaw et al., 2018). This flexibility can contribute to improved work-life balance and potentially reduce burnout among healthcare professionals.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However, the transition to digital platforms also presents significant challenges. Many staff members may lack confidence in using digital systems, particularly those who are less technologically experienced. This can lead to increased stress and reduced job satisfaction, especially during the initial implementation phase (Cresswell and Sheikh, 2013). Additionally, technical issues such as poor internet connectivity or system failures can disrupt consultations, placing additional pressure on staff.</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lastRenderedPageBreak/>
        <w:t>Critically, Attend Anywhere also changes the nature of patient interaction. Healthcare professionals must adapt their communication styles to suit virtual environments, where non-verbal cues may be less visible. This can make it more difficult to build rapport and assess patients effectively, particularly in sensitive areas such as mental health or dementia care.</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Furthermore, there is a risk of increased workload due to the expectation of constant availability. Digital platforms may blur the boundaries between work and personal time, leading to potential overworking and fatigue. This highlights the importance of clear organisational policies and support systems to ensure staff wellbeing.</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In summary, while Attend Anywhere offers opportunities for increased efficiency and flexibility, it also requires significant workforce adaptation and ongoing support to address challenges related to digital competence, communication, and workload management.</w:t>
      </w:r>
      <w:r w:rsidRPr="00197117">
        <w:rPr>
          <w:rFonts w:ascii="Arial" w:eastAsia="Times New Roman" w:hAnsi="Arial" w:cs="Arial"/>
          <w:color w:val="222222"/>
          <w:kern w:val="0"/>
          <w:lang w:eastAsia="en-GB"/>
        </w:rPr>
        <w:br/>
      </w:r>
    </w:p>
    <w:p w14:paraId="6382573C" w14:textId="77777777" w:rsidR="002645A5" w:rsidRDefault="002645A5" w:rsidP="00197117">
      <w:pPr>
        <w:spacing w:after="0" w:line="240" w:lineRule="auto"/>
        <w:rPr>
          <w:color w:val="000000"/>
        </w:rPr>
      </w:pPr>
      <w:r>
        <w:rPr>
          <w:noProof/>
        </w:rPr>
        <w:drawing>
          <wp:inline distT="0" distB="0" distL="0" distR="0" wp14:anchorId="482ECD95" wp14:editId="4691A6D1">
            <wp:extent cx="4385553" cy="894063"/>
            <wp:effectExtent l="0" t="0" r="0" b="0"/>
            <wp:docPr id="1160573620" name="Picture 2" descr="NHS video clinics – SaT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385553" cy="894063"/>
                    </a:xfrm>
                    <a:prstGeom prst="rect">
                      <a:avLst/>
                    </a:prstGeom>
                    <a:noFill/>
                    <a:ln>
                      <a:noFill/>
                      <a:prstDash/>
                    </a:ln>
                  </pic:spPr>
                </pic:pic>
              </a:graphicData>
            </a:graphic>
          </wp:inline>
        </w:drawing>
      </w:r>
      <w:r w:rsidR="00197117" w:rsidRPr="00197117">
        <w:rPr>
          <w:rFonts w:ascii="Arial" w:eastAsia="Times New Roman" w:hAnsi="Arial" w:cs="Arial"/>
          <w:color w:val="222222"/>
          <w:kern w:val="0"/>
          <w:lang w:eastAsia="en-GB"/>
        </w:rPr>
        <w:br/>
      </w:r>
      <w:r>
        <w:rPr>
          <w:color w:val="000000"/>
        </w:rPr>
        <w:t>(Lovell, 2023)</w:t>
      </w:r>
    </w:p>
    <w:p w14:paraId="78F39651" w14:textId="77777777" w:rsidR="002645A5" w:rsidRDefault="002645A5" w:rsidP="00197117">
      <w:pPr>
        <w:spacing w:after="0" w:line="240" w:lineRule="auto"/>
        <w:rPr>
          <w:color w:val="000000"/>
        </w:rPr>
      </w:pPr>
    </w:p>
    <w:p w14:paraId="4EBB7C28" w14:textId="77777777" w:rsidR="002645A5" w:rsidRDefault="002645A5" w:rsidP="00197117">
      <w:pPr>
        <w:spacing w:after="0" w:line="240" w:lineRule="auto"/>
        <w:rPr>
          <w:color w:val="000000"/>
        </w:rPr>
      </w:pPr>
    </w:p>
    <w:p w14:paraId="4FF21B0F" w14:textId="0996E6EC" w:rsidR="002645A5" w:rsidRDefault="002645A5" w:rsidP="00197117">
      <w:pPr>
        <w:spacing w:after="0" w:line="240" w:lineRule="auto"/>
        <w:rPr>
          <w:color w:val="000000"/>
        </w:rPr>
      </w:pPr>
      <w:r>
        <w:rPr>
          <w:noProof/>
        </w:rPr>
        <w:drawing>
          <wp:inline distT="0" distB="0" distL="0" distR="0" wp14:anchorId="7D259DC8" wp14:editId="27230EC0">
            <wp:extent cx="3153335" cy="1766008"/>
            <wp:effectExtent l="0" t="0" r="0" b="0"/>
            <wp:docPr id="1193684928" name="Picture 4" descr="Video Consultations with Attend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153335" cy="1766008"/>
                    </a:xfrm>
                    <a:prstGeom prst="rect">
                      <a:avLst/>
                    </a:prstGeom>
                    <a:noFill/>
                    <a:ln>
                      <a:noFill/>
                      <a:prstDash/>
                    </a:ln>
                  </pic:spPr>
                </pic:pic>
              </a:graphicData>
            </a:graphic>
          </wp:inline>
        </w:drawing>
      </w:r>
    </w:p>
    <w:p w14:paraId="64D5A43E" w14:textId="77777777" w:rsidR="002645A5" w:rsidRDefault="002645A5" w:rsidP="002645A5">
      <w:r>
        <w:rPr>
          <w:color w:val="000000"/>
        </w:rPr>
        <w:t>(Wirral Community Health and Care NHS Foundation Trust, 2023)</w:t>
      </w:r>
    </w:p>
    <w:p w14:paraId="0839759C" w14:textId="6FFD6744" w:rsidR="002645A5" w:rsidRDefault="00197117" w:rsidP="00197117">
      <w:pPr>
        <w:spacing w:after="0" w:line="240" w:lineRule="auto"/>
        <w:rPr>
          <w:rFonts w:ascii="Arial" w:eastAsia="Times New Roman" w:hAnsi="Arial" w:cs="Arial"/>
          <w:color w:val="222222"/>
          <w:kern w:val="0"/>
          <w:shd w:val="clear" w:color="auto" w:fill="FFFFFF"/>
          <w:lang w:eastAsia="en-GB"/>
        </w:rPr>
      </w:pPr>
      <w:r w:rsidRPr="00197117">
        <w:rPr>
          <w:rFonts w:ascii="Arial" w:eastAsia="Times New Roman" w:hAnsi="Arial" w:cs="Arial"/>
          <w:color w:val="222222"/>
          <w:kern w:val="0"/>
          <w:lang w:eastAsia="en-GB"/>
        </w:rPr>
        <w:br/>
      </w:r>
      <w:r w:rsidRPr="00197117">
        <w:rPr>
          <w:rFonts w:ascii="Arial" w:eastAsia="Times New Roman" w:hAnsi="Arial" w:cs="Arial"/>
          <w:color w:val="222222"/>
          <w:kern w:val="0"/>
          <w:sz w:val="28"/>
          <w:szCs w:val="28"/>
          <w:lang w:eastAsia="en-GB"/>
        </w:rPr>
        <w:br/>
      </w:r>
      <w:r w:rsidRPr="00197117">
        <w:rPr>
          <w:rFonts w:ascii="Arial" w:eastAsia="Times New Roman" w:hAnsi="Arial" w:cs="Arial"/>
          <w:b/>
          <w:bCs/>
          <w:color w:val="222222"/>
          <w:kern w:val="0"/>
          <w:sz w:val="28"/>
          <w:szCs w:val="28"/>
          <w:shd w:val="clear" w:color="auto" w:fill="FFFFFF"/>
          <w:lang w:eastAsia="en-GB"/>
        </w:rPr>
        <w:t>Impact on Service Delivery</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Attend Anywhere has transformed service delivery within the NHS by enabling remote consultations and reducing reliance on physical healthcare settings. One of the primary benefits is increased accessibility, as patients can attend appointments from their homes without the need for travel. This is particularly beneficial for individuals living in rural areas or those with mobility issues.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 xml:space="preserve">The platform also improves efficiency by reducing missed appointments, commonly referred to as “Did Not Attends” (DNAs). Virtual consultations are generally more convenient, which can lead to higher attendance rates and better utilisation of </w:t>
      </w:r>
      <w:r w:rsidRPr="00197117">
        <w:rPr>
          <w:rFonts w:ascii="Arial" w:eastAsia="Times New Roman" w:hAnsi="Arial" w:cs="Arial"/>
          <w:color w:val="222222"/>
          <w:kern w:val="0"/>
          <w:shd w:val="clear" w:color="auto" w:fill="FFFFFF"/>
          <w:lang w:eastAsia="en-GB"/>
        </w:rPr>
        <w:lastRenderedPageBreak/>
        <w:t xml:space="preserve">healthcare resources (NHS England, 2019). Additionally, Attend Anywhere supports continuity of care by allowing patients to maintain regular contact with healthcare </w:t>
      </w:r>
      <w:r w:rsidR="002645A5" w:rsidRPr="00197117">
        <w:rPr>
          <w:rFonts w:ascii="Arial" w:eastAsia="Times New Roman" w:hAnsi="Arial" w:cs="Arial"/>
          <w:color w:val="222222"/>
          <w:kern w:val="0"/>
          <w:shd w:val="clear" w:color="auto" w:fill="FFFFFF"/>
          <w:lang w:eastAsia="en-GB"/>
        </w:rPr>
        <w:t>providers. However</w:t>
      </w:r>
      <w:r w:rsidRPr="00197117">
        <w:rPr>
          <w:rFonts w:ascii="Arial" w:eastAsia="Times New Roman" w:hAnsi="Arial" w:cs="Arial"/>
          <w:color w:val="222222"/>
          <w:kern w:val="0"/>
          <w:shd w:val="clear" w:color="auto" w:fill="FFFFFF"/>
          <w:lang w:eastAsia="en-GB"/>
        </w:rPr>
        <w:t>, despite these advantages, there are limitations to virtual service delivery. Not all healthcare services are suitable for remote consultations. Physical examinations, diagnostic procedures, and certain therapeutic interventions require face-to-face interaction, limiting the scope of Attend Anywhere.</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Technical challenges also pose a significant risk to service delivery. Issues such as poor connectivity, software glitches, and lack of technical support can disrupt consultations and compromise the quality of care. In some cases, these disruptions may lead to delays in diagnosis or treatment.</w:t>
      </w:r>
    </w:p>
    <w:p w14:paraId="19E80749" w14:textId="5C0E0C81" w:rsidR="002645A5" w:rsidRDefault="00197117" w:rsidP="00197117">
      <w:pPr>
        <w:spacing w:after="0" w:line="240" w:lineRule="auto"/>
        <w:rPr>
          <w:rFonts w:ascii="Arial" w:eastAsia="Times New Roman" w:hAnsi="Arial" w:cs="Arial"/>
          <w:color w:val="222222"/>
          <w:kern w:val="0"/>
          <w:shd w:val="clear" w:color="auto" w:fill="FFFFFF"/>
          <w:lang w:eastAsia="en-GB"/>
        </w:rPr>
      </w:pPr>
      <w:r w:rsidRPr="00197117">
        <w:rPr>
          <w:rFonts w:ascii="Arial" w:eastAsia="Times New Roman" w:hAnsi="Arial" w:cs="Arial"/>
          <w:color w:val="222222"/>
          <w:kern w:val="0"/>
          <w:lang w:eastAsia="en-GB"/>
        </w:rPr>
        <w:br/>
      </w:r>
      <w:r w:rsidR="002645A5">
        <w:rPr>
          <w:rFonts w:ascii="Arial" w:hAnsi="Arial" w:cs="Arial"/>
          <w:color w:val="222222"/>
          <w:shd w:val="clear" w:color="auto" w:fill="FFFFFF"/>
        </w:rPr>
        <w:t>Digital competence among staff is not uniform. Some clinicians have limited confidence in using digital tools, which can increase anxiety and reduce perceived professional effectiveness. The need for ongoing training and technical support is therefore essential; however, such support has not always been consistently available. This can contribute to frustration and a perception that digital innovation is being imposed without sufficient organisational investment.</w:t>
      </w:r>
      <w:r w:rsidR="002645A5">
        <w:rPr>
          <w:rFonts w:ascii="Arial" w:eastAsia="Times New Roman" w:hAnsi="Arial" w:cs="Arial"/>
          <w:color w:val="222222"/>
          <w:kern w:val="0"/>
          <w:lang w:eastAsia="en-GB"/>
        </w:rPr>
        <w:t xml:space="preserve"> </w:t>
      </w:r>
      <w:r w:rsidRPr="00197117">
        <w:rPr>
          <w:rFonts w:ascii="Arial" w:eastAsia="Times New Roman" w:hAnsi="Arial" w:cs="Arial"/>
          <w:color w:val="222222"/>
          <w:kern w:val="0"/>
          <w:shd w:val="clear" w:color="auto" w:fill="FFFFFF"/>
          <w:lang w:eastAsia="en-GB"/>
        </w:rPr>
        <w:t>From a critical perspective, the use of Attend Anywhere may contribute to the standardisation of care, as digital systems often rely on structured formats and protocols. While this can improve consistency, it may reduce flexibility and the ability to tailor care to individual patient needs.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Moreover, the reliance on digital infrastructure raises concerns about data security and confidentiality. Healthcare organisations must ensure that patient information is protected, as breaches could undermine trust in the system (Martin et al., 2017).</w:t>
      </w:r>
      <w:r w:rsidR="002645A5">
        <w:rPr>
          <w:rFonts w:ascii="Arial" w:eastAsia="Times New Roman" w:hAnsi="Arial" w:cs="Arial"/>
          <w:color w:val="222222"/>
          <w:kern w:val="0"/>
          <w:shd w:val="clear" w:color="auto" w:fill="FFFFFF"/>
          <w:lang w:eastAsia="en-GB"/>
        </w:rPr>
        <w:t xml:space="preserve"> </w:t>
      </w:r>
      <w:r w:rsidR="002645A5">
        <w:rPr>
          <w:rFonts w:ascii="Arial" w:hAnsi="Arial" w:cs="Arial"/>
          <w:color w:val="222222"/>
          <w:shd w:val="clear" w:color="auto" w:fill="FFFFFF"/>
        </w:rPr>
        <w:t>Furthermore, extended use of video-based consultations can contribute to digital fatigue. Continuous screen-based interactions and limited opportunities for informal peer support can increase feelings of isolation and burnout. While Attend Anywhere supports workforce flexibility, it may also blur boundaries between professional and personal space when staff work remotely, highlighting the importance of organisational policies that support staff wellbeing.</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Overall, Attend Anywhere enhances service delivery by improving accessibility and efficiency, but its effectiveness is dependent on technological reliability and appropriate integration into clinical practice.</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b/>
          <w:bCs/>
          <w:color w:val="222222"/>
          <w:kern w:val="0"/>
          <w:lang w:eastAsia="en-GB"/>
        </w:rPr>
        <w:br/>
      </w:r>
      <w:r w:rsidRPr="00197117">
        <w:rPr>
          <w:rFonts w:ascii="Arial" w:eastAsia="Times New Roman" w:hAnsi="Arial" w:cs="Arial"/>
          <w:b/>
          <w:bCs/>
          <w:color w:val="222222"/>
          <w:kern w:val="0"/>
          <w:sz w:val="28"/>
          <w:szCs w:val="28"/>
          <w:shd w:val="clear" w:color="auto" w:fill="FFFFFF"/>
          <w:lang w:eastAsia="en-GB"/>
        </w:rPr>
        <w:t>Impact on Patients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For patients, Attend Anywhere offers increased convenience and accessibility. The ability to attend appointments remotely reduces the need for travel, which can be particularly beneficial for individuals with long-term conditions, disabilities, or caregiving responsibilities. It also reduces waiting times and allows for more flexible scheduling.</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 xml:space="preserve">Another significant benefit is the potential for increased patient empowerment. Digital platforms enable patients to take a more active role in their care, aligning with the principles of person-centred care (Entwistle et al., 2010). Patients may feel more </w:t>
      </w:r>
      <w:r w:rsidRPr="00197117">
        <w:rPr>
          <w:rFonts w:ascii="Arial" w:eastAsia="Times New Roman" w:hAnsi="Arial" w:cs="Arial"/>
          <w:color w:val="222222"/>
          <w:kern w:val="0"/>
          <w:shd w:val="clear" w:color="auto" w:fill="FFFFFF"/>
          <w:lang w:eastAsia="en-GB"/>
        </w:rPr>
        <w:lastRenderedPageBreak/>
        <w:t>comfortable discussing certain issues from their own environment, which can enhance communication and engagement.</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However, there are notable challenges. Digital exclusion remains a significant concern, as not all patients have access to the necessary technology or internet connectivity. This disproportionately affects older adults, low-income individuals, and those with limited digital literacy (Robinson et al., 2015).</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Additionally, virtual consultations may not provide the same level of personal interaction as face-to-face appointments. The absence of physical presence can make it more difficult for healthcare professionals to assess non-verbal cues and build trust. This is particularly problematic in areas such as mental health, where therapeutic relationships are essential.</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Privacy concerns also affect patient perceptions of care. Some patients may feel uncomfortable discussing sensitive issues in a virtual setting, particularly if they lack a private space at home. This can impact the quality of communication and the effectiveness of consultations.</w:t>
      </w:r>
      <w:r w:rsidRPr="00197117">
        <w:rPr>
          <w:rFonts w:ascii="Arial" w:eastAsia="Times New Roman" w:hAnsi="Arial" w:cs="Arial"/>
          <w:color w:val="222222"/>
          <w:kern w:val="0"/>
          <w:lang w:eastAsia="en-GB"/>
        </w:rPr>
        <w:br/>
      </w:r>
      <w:r w:rsidRPr="00197117">
        <w:rPr>
          <w:rFonts w:ascii="Arial" w:eastAsia="Times New Roman" w:hAnsi="Arial" w:cs="Arial"/>
          <w:color w:val="222222"/>
          <w:kern w:val="0"/>
          <w:lang w:eastAsia="en-GB"/>
        </w:rPr>
        <w:br/>
      </w:r>
      <w:r w:rsidRPr="00197117">
        <w:rPr>
          <w:rFonts w:ascii="Arial" w:eastAsia="Times New Roman" w:hAnsi="Arial" w:cs="Arial"/>
          <w:color w:val="222222"/>
          <w:kern w:val="0"/>
          <w:shd w:val="clear" w:color="auto" w:fill="FFFFFF"/>
          <w:lang w:eastAsia="en-GB"/>
        </w:rPr>
        <w:t>Critically, while Attend Anywhere improves access for some patients, it may widen health inequalities for others. Those who are unable to use digital technologies may be excluded from services, leading to disparities in care outcomes.</w:t>
      </w:r>
      <w:r w:rsidRPr="00197117">
        <w:rPr>
          <w:rFonts w:ascii="Arial" w:eastAsia="Times New Roman" w:hAnsi="Arial" w:cs="Arial"/>
          <w:color w:val="222222"/>
          <w:kern w:val="0"/>
          <w:lang w:eastAsia="en-GB"/>
        </w:rPr>
        <w:br/>
      </w:r>
    </w:p>
    <w:p w14:paraId="5A433B5F" w14:textId="39DFD7F9" w:rsidR="003E76C1" w:rsidRDefault="002645A5" w:rsidP="0067531D">
      <w:pPr>
        <w:pStyle w:val="NormalWeb"/>
        <w:spacing w:before="0" w:beforeAutospacing="0" w:after="240" w:afterAutospacing="0" w:line="360" w:lineRule="atLeast"/>
        <w:rPr>
          <w:rFonts w:ascii="Arial" w:hAnsi="Arial" w:cs="Arial"/>
          <w:color w:val="222222"/>
        </w:rPr>
      </w:pPr>
      <w:r w:rsidRPr="002403A2">
        <w:rPr>
          <w:rFonts w:ascii="Arial" w:hAnsi="Arial" w:cs="Arial"/>
          <w:b/>
          <w:bCs/>
          <w:color w:val="222222"/>
          <w:sz w:val="28"/>
          <w:szCs w:val="28"/>
          <w:shd w:val="clear" w:color="auto" w:fill="FFFFFF"/>
        </w:rPr>
        <w:t>Limitations and risks to service quality</w:t>
      </w:r>
      <w:r>
        <w:rPr>
          <w:rFonts w:ascii="Arial" w:hAnsi="Arial" w:cs="Arial"/>
          <w:color w:val="222222"/>
        </w:rPr>
        <w:br/>
      </w:r>
      <w:r>
        <w:rPr>
          <w:rFonts w:ascii="Arial" w:hAnsi="Arial" w:cs="Arial"/>
          <w:color w:val="222222"/>
        </w:rPr>
        <w:br/>
      </w:r>
      <w:r>
        <w:rPr>
          <w:rFonts w:ascii="Arial" w:hAnsi="Arial" w:cs="Arial"/>
          <w:color w:val="222222"/>
          <w:shd w:val="clear" w:color="auto" w:fill="FFFFFF"/>
        </w:rPr>
        <w:t>However, the effectiveness of Attend Anywhere is highly dependent on clinical appropriateness. Video consultations are not suitable for all conditions, particularly where physical examination is required. Over-reliance on remote consultations may risk delayed diagnosis or incomplete assessment if digital pathways replace rather than complement traditional care models.</w:t>
      </w:r>
      <w:r>
        <w:rPr>
          <w:rFonts w:ascii="Arial" w:hAnsi="Arial" w:cs="Arial"/>
          <w:color w:val="222222"/>
        </w:rPr>
        <w:br/>
      </w:r>
      <w:r>
        <w:rPr>
          <w:rFonts w:ascii="Arial" w:hAnsi="Arial" w:cs="Arial"/>
          <w:color w:val="222222"/>
        </w:rPr>
        <w:br/>
      </w:r>
      <w:r>
        <w:rPr>
          <w:rFonts w:ascii="Arial" w:hAnsi="Arial" w:cs="Arial"/>
          <w:color w:val="222222"/>
          <w:shd w:val="clear" w:color="auto" w:fill="FFFFFF"/>
        </w:rPr>
        <w:t>Technical reliability remains a significant challenge. Connectivity issues, platform outages and poor audio or video quality can disrupt consultations and reduce patient confidence in digital services. These disruptions can also place additional administrative burden on staff, who must reorganise appointments and provide technical assistance.</w:t>
      </w:r>
      <w:r w:rsidR="002A6E49">
        <w:rPr>
          <w:rFonts w:ascii="Arial" w:hAnsi="Arial" w:cs="Arial"/>
          <w:color w:val="222222"/>
        </w:rPr>
        <w:t xml:space="preserve"> </w:t>
      </w:r>
      <w:r>
        <w:rPr>
          <w:rFonts w:ascii="Arial" w:hAnsi="Arial" w:cs="Arial"/>
          <w:color w:val="222222"/>
          <w:shd w:val="clear" w:color="auto" w:fill="FFFFFF"/>
        </w:rPr>
        <w:t>Safeguarding and risk management represent further limitations. Video consultations may not be appropriate for patients experiencing domestic abuse, safeguarding concerns or severe mental distress, particularly if privacy within the home environment cannot be guaranteed. The need for clear clinical guidelines and professional judgement is therefore essential to ensure that digital access does not compromise safety or quality.</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Regulatory and quality oversight bodies such as Care Quality Commission have </w:t>
      </w:r>
      <w:r>
        <w:rPr>
          <w:rFonts w:ascii="Arial" w:hAnsi="Arial" w:cs="Arial"/>
          <w:color w:val="222222"/>
          <w:shd w:val="clear" w:color="auto" w:fill="FFFFFF"/>
        </w:rPr>
        <w:lastRenderedPageBreak/>
        <w:t>emphasised that digital innovation must demonstrate equivalence to face-to-face care in terms of safety, effectiveness and responsiveness. This reinforces the importance of embedding Attend Anywhere within blended models of care rather than using digital consultations as a default pathway.</w:t>
      </w:r>
      <w:r w:rsidR="00197117" w:rsidRPr="00197117">
        <w:rPr>
          <w:rFonts w:ascii="Arial" w:hAnsi="Arial" w:cs="Arial"/>
          <w:color w:val="222222"/>
        </w:rPr>
        <w:br/>
      </w:r>
      <w:r w:rsidR="00197117" w:rsidRPr="00197117">
        <w:rPr>
          <w:rFonts w:ascii="Arial" w:hAnsi="Arial" w:cs="Arial"/>
          <w:color w:val="222222"/>
        </w:rPr>
        <w:br/>
      </w:r>
      <w:r w:rsidR="00197117" w:rsidRPr="00197117">
        <w:rPr>
          <w:rFonts w:ascii="Arial" w:hAnsi="Arial" w:cs="Arial"/>
          <w:b/>
          <w:bCs/>
          <w:color w:val="222222"/>
          <w:sz w:val="28"/>
          <w:szCs w:val="28"/>
          <w:shd w:val="clear" w:color="auto" w:fill="FFFFFF"/>
        </w:rPr>
        <w:t>Impact on Community</w:t>
      </w:r>
      <w:r w:rsidR="00197117" w:rsidRPr="00197117">
        <w:rPr>
          <w:rFonts w:ascii="Arial" w:hAnsi="Arial" w:cs="Arial"/>
          <w:color w:val="222222"/>
        </w:rPr>
        <w:br/>
      </w:r>
      <w:r w:rsidR="00197117" w:rsidRPr="00197117">
        <w:rPr>
          <w:rFonts w:ascii="Arial" w:hAnsi="Arial" w:cs="Arial"/>
          <w:color w:val="222222"/>
        </w:rPr>
        <w:br/>
      </w:r>
      <w:r>
        <w:rPr>
          <w:rFonts w:ascii="Arial" w:hAnsi="Arial" w:cs="Arial"/>
          <w:color w:val="222222"/>
          <w:shd w:val="clear" w:color="auto" w:fill="FFFFFF"/>
        </w:rPr>
        <w:t>At a community level, Attend Anywhere has the potential to improve access to services for populations living in rural or remote areas. Reduced reliance on transport can improve continuity of care and reduce geographical barriers that have traditionally limited access to specialist services. This is particularly relevant in regions where public transport infrastructure is limited and travel to healthcare facilities can be time-consuming and costly.</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technology also offers environmental benefits through reduced travel-related emissions, supporting wider public sector sustainability objectives. From a public health perspective, video consultations can support infection control and reduce exposure risks, particularly for vulnerable populations.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Attend Anywhere further enables family members and community support networks to become more involved in care processes. This can enhance co-production by allowing patients and carers to contribute more actively to care planning and decision-making.</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However, the community-level benefits of digital innovation are not evenly distributed. Areas with poor digital infrastructure, limited broadband connectivity and lower levels of digital literacy may be disproportionately disadvantaged. </w:t>
      </w:r>
      <w:r>
        <w:rPr>
          <w:rFonts w:ascii="Arial" w:hAnsi="Arial" w:cs="Arial"/>
          <w:color w:val="222222"/>
          <w:shd w:val="clear" w:color="auto" w:fill="FFFFFF"/>
        </w:rPr>
        <w:t>These risks</w:t>
      </w:r>
      <w:r>
        <w:rPr>
          <w:rFonts w:ascii="Arial" w:hAnsi="Arial" w:cs="Arial"/>
          <w:color w:val="222222"/>
          <w:shd w:val="clear" w:color="auto" w:fill="FFFFFF"/>
        </w:rPr>
        <w:t xml:space="preserve"> widening geographical and social inequalities in access to healthcare.</w:t>
      </w:r>
      <w:r w:rsidR="000619C3">
        <w:rPr>
          <w:rFonts w:ascii="Arial" w:hAnsi="Arial" w:cs="Arial"/>
          <w:color w:val="222222"/>
        </w:rPr>
        <w:t xml:space="preserve"> </w:t>
      </w:r>
      <w:r>
        <w:rPr>
          <w:rFonts w:ascii="Arial" w:hAnsi="Arial" w:cs="Arial"/>
          <w:color w:val="222222"/>
          <w:shd w:val="clear" w:color="auto" w:fill="FFFFFF"/>
        </w:rPr>
        <w:t>From a population health perspective, unequal access to digital services may lead to reduced engagement with preventative care, screening and routine follow-up among marginalised groups. Without targeted strategies to address digital inclusion, Attend Anywhere may inadvertently contribute to disparities in health outcomes rather than reducing them.</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The King’s Fund (2020) emphasises that digital innovation should be accompanied by investment in community-based digital skills programmes, infrastructure development and co-designed services that reflect the needs of diverse populations. Community engagement and partnership working are therefore central to ensuring </w:t>
      </w:r>
      <w:r>
        <w:rPr>
          <w:rFonts w:ascii="Arial" w:hAnsi="Arial" w:cs="Arial"/>
          <w:color w:val="222222"/>
          <w:shd w:val="clear" w:color="auto" w:fill="FFFFFF"/>
        </w:rPr>
        <w:lastRenderedPageBreak/>
        <w:t>that video consultation technologies support, rather than undermine, public health objectives.</w:t>
      </w:r>
      <w:r w:rsidR="00197117" w:rsidRPr="00197117">
        <w:rPr>
          <w:rFonts w:ascii="Arial" w:hAnsi="Arial" w:cs="Arial"/>
          <w:color w:val="222222"/>
        </w:rPr>
        <w:br/>
      </w:r>
      <w:r w:rsidR="00197117" w:rsidRPr="00197117">
        <w:rPr>
          <w:rFonts w:ascii="Arial" w:hAnsi="Arial" w:cs="Arial"/>
          <w:color w:val="222222"/>
        </w:rPr>
        <w:br/>
      </w:r>
      <w:r w:rsidR="00197117" w:rsidRPr="00197117">
        <w:rPr>
          <w:rFonts w:ascii="Arial" w:hAnsi="Arial" w:cs="Arial"/>
          <w:b/>
          <w:bCs/>
          <w:color w:val="222222"/>
          <w:sz w:val="28"/>
          <w:szCs w:val="28"/>
          <w:shd w:val="clear" w:color="auto" w:fill="FFFFFF"/>
        </w:rPr>
        <w:t>Conclusion</w:t>
      </w:r>
      <w:r w:rsidR="00197117" w:rsidRPr="00197117">
        <w:rPr>
          <w:rFonts w:ascii="Arial" w:hAnsi="Arial" w:cs="Arial"/>
          <w:color w:val="222222"/>
        </w:rPr>
        <w:br/>
      </w:r>
      <w:r w:rsidR="00197117" w:rsidRPr="00197117">
        <w:rPr>
          <w:rFonts w:ascii="Arial" w:hAnsi="Arial" w:cs="Arial"/>
          <w:color w:val="222222"/>
        </w:rPr>
        <w:br/>
      </w:r>
      <w:r>
        <w:rPr>
          <w:rFonts w:ascii="Arial" w:hAnsi="Arial" w:cs="Arial"/>
          <w:color w:val="222222"/>
          <w:shd w:val="clear" w:color="auto" w:fill="FFFFFF"/>
        </w:rPr>
        <w:t>This report has critically evaluated the implementation of Attend Anywhere video consultation technology within UK health and social care, focusing on its impact on the workforce, service delivery, patients and service users, and the wider community. The findings demonstrate that Attend Anywhere represents a significant and valuable digital innovation that has enhanced service accessibility, supported workforce flexibility and enabled continuity of care during periods of substantial system pressure.</w:t>
      </w:r>
      <w:r>
        <w:rPr>
          <w:rFonts w:ascii="Arial" w:hAnsi="Arial" w:cs="Arial"/>
          <w:color w:val="222222"/>
        </w:rPr>
        <w:br/>
      </w:r>
      <w:r>
        <w:rPr>
          <w:rFonts w:ascii="Arial" w:hAnsi="Arial" w:cs="Arial"/>
          <w:color w:val="222222"/>
        </w:rPr>
        <w:br/>
      </w:r>
      <w:r>
        <w:rPr>
          <w:rFonts w:ascii="Arial" w:hAnsi="Arial" w:cs="Arial"/>
          <w:color w:val="222222"/>
          <w:shd w:val="clear" w:color="auto" w:fill="FFFFFF"/>
        </w:rPr>
        <w:t>For professionals, the technology has introduced new opportunities for flexible and collaborative working but has also created challenges related to digital competence, workload and professional wellbeing. In terms of service delivery, video consultations have improved efficiency and access but are limited in their suitability for complex, physical or safeguarding-related care. For patients and service users, Attend Anywhere has provided greater convenience and reduced practical barriers, while simultaneously exposing significant risks related to digital exclusion, privacy and equity of access.</w:t>
      </w:r>
      <w:r w:rsidR="003E76C1">
        <w:rPr>
          <w:rFonts w:ascii="Arial" w:hAnsi="Arial" w:cs="Arial"/>
          <w:color w:val="222222"/>
        </w:rPr>
        <w:t xml:space="preserve"> </w:t>
      </w:r>
      <w:r>
        <w:rPr>
          <w:rFonts w:ascii="Arial" w:hAnsi="Arial" w:cs="Arial"/>
          <w:color w:val="222222"/>
          <w:shd w:val="clear" w:color="auto" w:fill="FFFFFF"/>
        </w:rPr>
        <w:t>At a community and population level, video consultations offer potential benefits in addressing geographical barriers and supporting public health goals. However, without sustained investment in digital infrastructure and inclusion initiatives, the technology risks reinforcing existing inequalities.</w:t>
      </w:r>
      <w:r>
        <w:rPr>
          <w:rFonts w:ascii="Arial" w:hAnsi="Arial" w:cs="Arial"/>
          <w:color w:val="222222"/>
        </w:rPr>
        <w:br/>
      </w:r>
      <w:r>
        <w:rPr>
          <w:rFonts w:ascii="Arial" w:hAnsi="Arial" w:cs="Arial"/>
          <w:color w:val="222222"/>
        </w:rPr>
        <w:br/>
      </w:r>
      <w:r>
        <w:rPr>
          <w:rFonts w:ascii="Arial" w:hAnsi="Arial" w:cs="Arial"/>
          <w:color w:val="222222"/>
          <w:shd w:val="clear" w:color="auto" w:fill="FFFFFF"/>
        </w:rPr>
        <w:t>In conclusion, o</w:t>
      </w:r>
      <w:r>
        <w:rPr>
          <w:rFonts w:ascii="Arial" w:hAnsi="Arial" w:cs="Arial"/>
          <w:color w:val="222222"/>
          <w:shd w:val="clear" w:color="auto" w:fill="FFFFFF"/>
        </w:rPr>
        <w:t>verall, Attend Anywhere should be viewed not as a replacement for traditional care but as a complementary component of a blended model of service delivery. Future implementation must prioritise staff training, patient choice, digital inclusion and community engagement to ensure that video consultation technologies contribute positively to equitable, high-quality and person-centred health and social care.</w:t>
      </w:r>
      <w:r w:rsidR="00197117" w:rsidRPr="00197117">
        <w:rPr>
          <w:rFonts w:ascii="Arial" w:hAnsi="Arial" w:cs="Arial"/>
          <w:color w:val="222222"/>
        </w:rPr>
        <w:br/>
      </w:r>
      <w:r w:rsidR="00197117" w:rsidRPr="00197117">
        <w:rPr>
          <w:rFonts w:ascii="Arial" w:hAnsi="Arial" w:cs="Arial"/>
          <w:color w:val="222222"/>
        </w:rPr>
        <w:br/>
      </w:r>
      <w:r w:rsidR="00197117" w:rsidRPr="00197117">
        <w:rPr>
          <w:rFonts w:ascii="Arial" w:hAnsi="Arial" w:cs="Arial"/>
          <w:color w:val="222222"/>
        </w:rPr>
        <w:br/>
      </w:r>
    </w:p>
    <w:p w14:paraId="2BD33162" w14:textId="77777777" w:rsidR="00EF6259" w:rsidRDefault="00197117" w:rsidP="0067531D">
      <w:pPr>
        <w:pStyle w:val="NormalWeb"/>
        <w:spacing w:before="0" w:beforeAutospacing="0" w:after="240" w:afterAutospacing="0" w:line="360" w:lineRule="atLeast"/>
        <w:rPr>
          <w:rFonts w:ascii="Arial" w:hAnsi="Arial" w:cs="Arial"/>
          <w:b/>
          <w:bCs/>
          <w:color w:val="222222"/>
          <w:sz w:val="28"/>
          <w:szCs w:val="28"/>
          <w:shd w:val="clear" w:color="auto" w:fill="FFFFFF"/>
        </w:rPr>
      </w:pPr>
      <w:r w:rsidRPr="00197117">
        <w:rPr>
          <w:rFonts w:ascii="Arial" w:hAnsi="Arial" w:cs="Arial"/>
          <w:color w:val="222222"/>
        </w:rPr>
        <w:br/>
      </w:r>
    </w:p>
    <w:p w14:paraId="4012855B" w14:textId="38D70478" w:rsidR="0067531D" w:rsidRDefault="00197117" w:rsidP="0067531D">
      <w:pPr>
        <w:pStyle w:val="NormalWeb"/>
        <w:spacing w:before="0" w:beforeAutospacing="0" w:after="240" w:afterAutospacing="0" w:line="360" w:lineRule="atLeast"/>
        <w:rPr>
          <w:color w:val="000000"/>
        </w:rPr>
      </w:pPr>
      <w:r w:rsidRPr="00197117">
        <w:rPr>
          <w:rFonts w:ascii="Arial" w:hAnsi="Arial" w:cs="Arial"/>
          <w:b/>
          <w:bCs/>
          <w:color w:val="222222"/>
          <w:sz w:val="28"/>
          <w:szCs w:val="28"/>
          <w:shd w:val="clear" w:color="auto" w:fill="FFFFFF"/>
        </w:rPr>
        <w:lastRenderedPageBreak/>
        <w:t>References</w:t>
      </w:r>
      <w:r w:rsidRPr="00197117">
        <w:rPr>
          <w:rFonts w:ascii="Arial" w:hAnsi="Arial" w:cs="Arial"/>
          <w:color w:val="222222"/>
          <w:sz w:val="28"/>
          <w:szCs w:val="28"/>
          <w:shd w:val="clear" w:color="auto" w:fill="FFFFFF"/>
        </w:rPr>
        <w:t xml:space="preserve"> </w:t>
      </w:r>
      <w:r w:rsidRPr="00197117">
        <w:rPr>
          <w:rFonts w:ascii="Arial" w:hAnsi="Arial" w:cs="Arial"/>
          <w:color w:val="222222"/>
        </w:rPr>
        <w:br/>
      </w:r>
      <w:r w:rsidRPr="00197117">
        <w:rPr>
          <w:rFonts w:ascii="Arial" w:hAnsi="Arial" w:cs="Arial"/>
          <w:color w:val="222222"/>
        </w:rPr>
        <w:br/>
      </w:r>
      <w:r w:rsidR="0067531D">
        <w:rPr>
          <w:color w:val="000000"/>
        </w:rPr>
        <w:t xml:space="preserve">Campanella, P., Lovato, E., Marone, C., </w:t>
      </w:r>
      <w:proofErr w:type="spellStart"/>
      <w:r w:rsidR="0067531D">
        <w:rPr>
          <w:color w:val="000000"/>
        </w:rPr>
        <w:t>Fallacara</w:t>
      </w:r>
      <w:proofErr w:type="spellEnd"/>
      <w:r w:rsidR="0067531D">
        <w:rPr>
          <w:color w:val="000000"/>
        </w:rPr>
        <w:t xml:space="preserve">, L., Mancuso, A., Ricciardi, W. and </w:t>
      </w:r>
      <w:proofErr w:type="spellStart"/>
      <w:r w:rsidR="0067531D">
        <w:rPr>
          <w:color w:val="000000"/>
        </w:rPr>
        <w:t>Specchia</w:t>
      </w:r>
      <w:proofErr w:type="spellEnd"/>
      <w:r w:rsidR="0067531D">
        <w:rPr>
          <w:color w:val="000000"/>
        </w:rPr>
        <w:t>, M.L. (2016). The impact of electronic health records on healthcare quality: a systematic review and meta-analysis.</w:t>
      </w:r>
      <w:r w:rsidR="0067531D">
        <w:rPr>
          <w:rStyle w:val="apple-converted-space"/>
          <w:color w:val="000000"/>
        </w:rPr>
        <w:t> </w:t>
      </w:r>
      <w:r w:rsidR="0067531D">
        <w:rPr>
          <w:i/>
          <w:iCs/>
          <w:color w:val="000000"/>
        </w:rPr>
        <w:t>The European Journal of Public Health</w:t>
      </w:r>
      <w:r w:rsidR="0067531D">
        <w:rPr>
          <w:color w:val="000000"/>
        </w:rPr>
        <w:t xml:space="preserve">, [online] 26(1), pp.60–64. </w:t>
      </w:r>
      <w:proofErr w:type="spellStart"/>
      <w:proofErr w:type="gramStart"/>
      <w:r w:rsidR="0067531D">
        <w:rPr>
          <w:color w:val="000000"/>
        </w:rPr>
        <w:t>doi:https</w:t>
      </w:r>
      <w:proofErr w:type="spellEnd"/>
      <w:r w:rsidR="0067531D">
        <w:rPr>
          <w:color w:val="000000"/>
        </w:rPr>
        <w:t>://doi.org/10.1093/</w:t>
      </w:r>
      <w:proofErr w:type="spellStart"/>
      <w:r w:rsidR="0067531D">
        <w:rPr>
          <w:color w:val="000000"/>
        </w:rPr>
        <w:t>eurpub</w:t>
      </w:r>
      <w:proofErr w:type="spellEnd"/>
      <w:r w:rsidR="0067531D">
        <w:rPr>
          <w:color w:val="000000"/>
        </w:rPr>
        <w:t>/ckv122</w:t>
      </w:r>
      <w:proofErr w:type="gramEnd"/>
      <w:r w:rsidR="0067531D">
        <w:rPr>
          <w:color w:val="000000"/>
        </w:rPr>
        <w:t>.</w:t>
      </w:r>
      <w:r w:rsidR="00BA21C2" w:rsidRPr="00BA21C2">
        <w:rPr>
          <w:color w:val="000000"/>
        </w:rPr>
        <w:t xml:space="preserve"> </w:t>
      </w:r>
      <w:r w:rsidR="00BA21C2">
        <w:rPr>
          <w:color w:val="000000"/>
        </w:rPr>
        <w:t xml:space="preserve">[Accessed </w:t>
      </w:r>
      <w:r w:rsidR="00BA21C2">
        <w:rPr>
          <w:color w:val="000000"/>
        </w:rPr>
        <w:t>10</w:t>
      </w:r>
      <w:r w:rsidR="008E0410">
        <w:rPr>
          <w:color w:val="000000"/>
        </w:rPr>
        <w:t xml:space="preserve"> </w:t>
      </w:r>
      <w:r w:rsidR="00BA21C2">
        <w:rPr>
          <w:color w:val="000000"/>
        </w:rPr>
        <w:t>Mar. 2026].</w:t>
      </w:r>
    </w:p>
    <w:p w14:paraId="2192D013" w14:textId="42EB9A3E" w:rsidR="0067531D" w:rsidRDefault="0067531D" w:rsidP="0067531D">
      <w:pPr>
        <w:pStyle w:val="NormalWeb"/>
        <w:spacing w:before="0" w:beforeAutospacing="0" w:after="240" w:afterAutospacing="0" w:line="360" w:lineRule="atLeast"/>
        <w:rPr>
          <w:color w:val="000000"/>
        </w:rPr>
      </w:pPr>
      <w:r>
        <w:rPr>
          <w:color w:val="000000"/>
        </w:rPr>
        <w:t>Cresswell, K. and Sheikh, A. (2013). Organizational issues in the implementation and adoption of health information technology innovations: An interpretative review.</w:t>
      </w:r>
      <w:r>
        <w:rPr>
          <w:rStyle w:val="apple-converted-space"/>
          <w:color w:val="000000"/>
        </w:rPr>
        <w:t> </w:t>
      </w:r>
      <w:r>
        <w:rPr>
          <w:i/>
          <w:iCs/>
          <w:color w:val="000000"/>
        </w:rPr>
        <w:t>International Journal of Medical Informatics</w:t>
      </w:r>
      <w:r>
        <w:rPr>
          <w:color w:val="000000"/>
        </w:rPr>
        <w:t xml:space="preserve">, [online] 82(5), </w:t>
      </w:r>
      <w:proofErr w:type="gramStart"/>
      <w:r>
        <w:rPr>
          <w:color w:val="000000"/>
        </w:rPr>
        <w:t>pp.e</w:t>
      </w:r>
      <w:proofErr w:type="gramEnd"/>
      <w:r>
        <w:rPr>
          <w:color w:val="000000"/>
        </w:rPr>
        <w:t xml:space="preserve">73–e86. </w:t>
      </w:r>
      <w:proofErr w:type="spellStart"/>
      <w:proofErr w:type="gramStart"/>
      <w:r>
        <w:rPr>
          <w:color w:val="000000"/>
        </w:rPr>
        <w:t>doi:https</w:t>
      </w:r>
      <w:proofErr w:type="spellEnd"/>
      <w:r>
        <w:rPr>
          <w:color w:val="000000"/>
        </w:rPr>
        <w:t>://doi.org/10.1016/j.ijmedinf.2012.10.007</w:t>
      </w:r>
      <w:proofErr w:type="gramEnd"/>
      <w:r>
        <w:rPr>
          <w:color w:val="000000"/>
        </w:rPr>
        <w:t>.</w:t>
      </w:r>
      <w:r w:rsidR="00BB3553" w:rsidRPr="00BB3553">
        <w:rPr>
          <w:color w:val="000000"/>
        </w:rPr>
        <w:t xml:space="preserve"> </w:t>
      </w:r>
      <w:r w:rsidR="00BB3553">
        <w:rPr>
          <w:color w:val="000000"/>
        </w:rPr>
        <w:t xml:space="preserve">[Accessed </w:t>
      </w:r>
      <w:r w:rsidR="00BA21C2">
        <w:rPr>
          <w:color w:val="000000"/>
        </w:rPr>
        <w:t>2</w:t>
      </w:r>
      <w:r w:rsidR="00BB3553">
        <w:rPr>
          <w:color w:val="000000"/>
        </w:rPr>
        <w:t xml:space="preserve"> Mar. 2026].</w:t>
      </w:r>
    </w:p>
    <w:p w14:paraId="21991CDA" w14:textId="6A55CDE0" w:rsidR="0067531D" w:rsidRDefault="0067531D" w:rsidP="0067531D">
      <w:pPr>
        <w:pStyle w:val="NormalWeb"/>
        <w:spacing w:before="0" w:beforeAutospacing="0" w:after="240" w:afterAutospacing="0" w:line="360" w:lineRule="atLeast"/>
        <w:rPr>
          <w:color w:val="000000"/>
        </w:rPr>
      </w:pPr>
      <w:r>
        <w:rPr>
          <w:color w:val="000000"/>
        </w:rPr>
        <w:t>Department of Health and Social Care (2016).</w:t>
      </w:r>
      <w:r>
        <w:rPr>
          <w:rStyle w:val="apple-converted-space"/>
          <w:color w:val="000000"/>
        </w:rPr>
        <w:t> </w:t>
      </w:r>
      <w:r>
        <w:rPr>
          <w:i/>
          <w:iCs/>
          <w:color w:val="000000"/>
        </w:rPr>
        <w:t>Making IT work: harnessing the power of health information technology to improve care in England</w:t>
      </w:r>
      <w:r>
        <w:rPr>
          <w:color w:val="000000"/>
        </w:rPr>
        <w:t xml:space="preserve">. [online] GOV.UK. Available at: </w:t>
      </w:r>
      <w:hyperlink r:id="rId11" w:history="1">
        <w:r w:rsidRPr="00B2159A">
          <w:rPr>
            <w:rStyle w:val="Hyperlink"/>
          </w:rPr>
          <w:t>https://www.gov.uk/government/publications/using-information-technology-to-improve-the-nhs/making-it-work-harnessing-the-power-of-health-information-technology-to-improve-care-in-england</w:t>
        </w:r>
      </w:hyperlink>
      <w:r>
        <w:rPr>
          <w:color w:val="000000"/>
        </w:rPr>
        <w:t>.</w:t>
      </w:r>
      <w:r w:rsidR="00BB3553" w:rsidRPr="00BB3553">
        <w:rPr>
          <w:color w:val="000000"/>
        </w:rPr>
        <w:t xml:space="preserve"> </w:t>
      </w:r>
      <w:r w:rsidR="00BB3553">
        <w:rPr>
          <w:color w:val="000000"/>
        </w:rPr>
        <w:t>[Accessed 20 Mar. 2026].</w:t>
      </w:r>
    </w:p>
    <w:p w14:paraId="3A02DC21" w14:textId="7245D15D" w:rsidR="0067531D" w:rsidRDefault="0067531D" w:rsidP="0067531D">
      <w:pPr>
        <w:pStyle w:val="NormalWeb"/>
        <w:spacing w:before="0" w:beforeAutospacing="0" w:after="240" w:afterAutospacing="0" w:line="360" w:lineRule="atLeast"/>
        <w:rPr>
          <w:color w:val="000000"/>
        </w:rPr>
      </w:pPr>
      <w:r>
        <w:rPr>
          <w:color w:val="000000"/>
        </w:rPr>
        <w:t>Doctors.net.uk. (2022).</w:t>
      </w:r>
      <w:r>
        <w:rPr>
          <w:rStyle w:val="apple-converted-space"/>
          <w:color w:val="000000"/>
        </w:rPr>
        <w:t> </w:t>
      </w:r>
      <w:r>
        <w:rPr>
          <w:i/>
          <w:iCs/>
          <w:color w:val="000000"/>
        </w:rPr>
        <w:t>Medical journal updates, guidelines &amp; modules</w:t>
      </w:r>
      <w:r>
        <w:rPr>
          <w:color w:val="000000"/>
        </w:rPr>
        <w:t xml:space="preserve">. [online] Available at: </w:t>
      </w:r>
      <w:hyperlink r:id="rId12" w:history="1">
        <w:r w:rsidR="000C7D44" w:rsidRPr="00B2159A">
          <w:rPr>
            <w:rStyle w:val="Hyperlink"/>
          </w:rPr>
          <w:t>https://www.doctors.net.uk/learning?pk_campaign=ppc-prospecting-</w:t>
        </w:r>
      </w:hyperlink>
      <w:r w:rsidR="00BB3553">
        <w:rPr>
          <w:color w:val="000000"/>
        </w:rPr>
        <w:t xml:space="preserve"> </w:t>
      </w:r>
      <w:r>
        <w:rPr>
          <w:color w:val="000000"/>
        </w:rPr>
        <w:t xml:space="preserve">[Accessed </w:t>
      </w:r>
      <w:r w:rsidR="00BA21C2">
        <w:rPr>
          <w:color w:val="000000"/>
        </w:rPr>
        <w:t>10</w:t>
      </w:r>
      <w:r>
        <w:rPr>
          <w:color w:val="000000"/>
        </w:rPr>
        <w:t xml:space="preserve"> Mar. 2026].</w:t>
      </w:r>
    </w:p>
    <w:p w14:paraId="67305947" w14:textId="4E30FF96" w:rsidR="0067531D" w:rsidRDefault="0067531D" w:rsidP="0067531D">
      <w:pPr>
        <w:pStyle w:val="NormalWeb"/>
        <w:spacing w:before="0" w:beforeAutospacing="0" w:after="240" w:afterAutospacing="0" w:line="360" w:lineRule="atLeast"/>
        <w:rPr>
          <w:color w:val="000000"/>
        </w:rPr>
      </w:pPr>
      <w:r>
        <w:rPr>
          <w:color w:val="000000"/>
        </w:rPr>
        <w:t>Entwistle, V.A., Carter, S.M., Cribb, A. and McCaffery, K. (2020). Supporting patient autonomy: The importance of clinician-patient relationships.</w:t>
      </w:r>
      <w:r>
        <w:rPr>
          <w:rStyle w:val="apple-converted-space"/>
          <w:color w:val="000000"/>
        </w:rPr>
        <w:t> </w:t>
      </w:r>
      <w:r>
        <w:rPr>
          <w:i/>
          <w:iCs/>
          <w:color w:val="000000"/>
        </w:rPr>
        <w:t>Journal of General Internal Medicine</w:t>
      </w:r>
      <w:r>
        <w:rPr>
          <w:color w:val="000000"/>
        </w:rPr>
        <w:t>, [online] 25(7), pp.741–745</w:t>
      </w:r>
      <w:r w:rsidR="007306CF">
        <w:rPr>
          <w:color w:val="000000"/>
        </w:rPr>
        <w:t>.</w:t>
      </w:r>
      <w:r>
        <w:rPr>
          <w:color w:val="000000"/>
        </w:rPr>
        <w:t xml:space="preserve"> </w:t>
      </w:r>
      <w:proofErr w:type="spellStart"/>
      <w:proofErr w:type="gramStart"/>
      <w:r>
        <w:rPr>
          <w:color w:val="000000"/>
        </w:rPr>
        <w:t>doi:https</w:t>
      </w:r>
      <w:proofErr w:type="spellEnd"/>
      <w:r>
        <w:rPr>
          <w:color w:val="000000"/>
        </w:rPr>
        <w:t>://doi.org/10.1007/s11606-010-1292-2</w:t>
      </w:r>
      <w:proofErr w:type="gramEnd"/>
      <w:r>
        <w:rPr>
          <w:color w:val="000000"/>
        </w:rPr>
        <w:t>.</w:t>
      </w:r>
      <w:r w:rsidR="00BB3553" w:rsidRPr="00BB3553">
        <w:rPr>
          <w:color w:val="000000"/>
        </w:rPr>
        <w:t xml:space="preserve"> </w:t>
      </w:r>
      <w:r w:rsidR="00BB3553">
        <w:rPr>
          <w:color w:val="000000"/>
        </w:rPr>
        <w:t xml:space="preserve">[Accessed </w:t>
      </w:r>
      <w:r w:rsidR="00BA21C2">
        <w:rPr>
          <w:color w:val="000000"/>
        </w:rPr>
        <w:t>5</w:t>
      </w:r>
      <w:r w:rsidR="00BB3553">
        <w:rPr>
          <w:color w:val="000000"/>
        </w:rPr>
        <w:t xml:space="preserve"> Mar. 2026].</w:t>
      </w:r>
    </w:p>
    <w:p w14:paraId="4719AFFF" w14:textId="114CA8FE" w:rsidR="00726C28" w:rsidRDefault="0067531D" w:rsidP="0067531D">
      <w:pPr>
        <w:pStyle w:val="NormalWeb"/>
        <w:spacing w:before="0" w:beforeAutospacing="0" w:after="240" w:afterAutospacing="0" w:line="360" w:lineRule="atLeast"/>
        <w:rPr>
          <w:color w:val="000000"/>
        </w:rPr>
      </w:pPr>
      <w:r>
        <w:rPr>
          <w:color w:val="000000"/>
        </w:rPr>
        <w:t xml:space="preserve">Gopalan, P.D., M Pienaar and </w:t>
      </w:r>
      <w:proofErr w:type="spellStart"/>
      <w:r>
        <w:rPr>
          <w:color w:val="000000"/>
        </w:rPr>
        <w:t>Brokensha</w:t>
      </w:r>
      <w:proofErr w:type="spellEnd"/>
      <w:r>
        <w:rPr>
          <w:color w:val="000000"/>
        </w:rPr>
        <w:t>, S.I. (2023). Deep medicine … Navigating the intersection of technology, cognition and ethics in the digital age of medicine.</w:t>
      </w:r>
      <w:r>
        <w:rPr>
          <w:rStyle w:val="apple-converted-space"/>
          <w:color w:val="000000"/>
        </w:rPr>
        <w:t> </w:t>
      </w:r>
      <w:r>
        <w:rPr>
          <w:i/>
          <w:iCs/>
          <w:color w:val="000000"/>
        </w:rPr>
        <w:t>Southern African Journal of Critical Care</w:t>
      </w:r>
      <w:r>
        <w:rPr>
          <w:color w:val="000000"/>
        </w:rPr>
        <w:t xml:space="preserve">, [online] 39(3), p.e1520. Available at: </w:t>
      </w:r>
      <w:hyperlink r:id="rId13" w:history="1">
        <w:r w:rsidR="00726C28" w:rsidRPr="00B2159A">
          <w:rPr>
            <w:rStyle w:val="Hyperlink"/>
          </w:rPr>
          <w:t>https://pmc.ncbi.nlm.nih.gov/articles/PMC10828826/</w:t>
        </w:r>
      </w:hyperlink>
      <w:r>
        <w:rPr>
          <w:color w:val="000000"/>
        </w:rPr>
        <w:t>.</w:t>
      </w:r>
      <w:r w:rsidR="00BA21C2">
        <w:rPr>
          <w:color w:val="000000"/>
        </w:rPr>
        <w:t xml:space="preserve"> </w:t>
      </w:r>
      <w:r w:rsidR="00BA21C2">
        <w:rPr>
          <w:color w:val="000000"/>
        </w:rPr>
        <w:t xml:space="preserve">[Accessed </w:t>
      </w:r>
      <w:r w:rsidR="00BA21C2">
        <w:rPr>
          <w:color w:val="000000"/>
        </w:rPr>
        <w:t>19</w:t>
      </w:r>
      <w:r w:rsidR="00BA21C2">
        <w:rPr>
          <w:color w:val="000000"/>
        </w:rPr>
        <w:t xml:space="preserve"> Mar. 2026].</w:t>
      </w:r>
    </w:p>
    <w:p w14:paraId="77C21652" w14:textId="5FAA6427" w:rsidR="00726C28" w:rsidRDefault="0067531D" w:rsidP="0067531D">
      <w:pPr>
        <w:pStyle w:val="NormalWeb"/>
        <w:spacing w:before="0" w:beforeAutospacing="0" w:after="240" w:afterAutospacing="0" w:line="360" w:lineRule="atLeast"/>
        <w:rPr>
          <w:color w:val="000000"/>
        </w:rPr>
      </w:pPr>
      <w:r>
        <w:rPr>
          <w:color w:val="000000"/>
        </w:rPr>
        <w:t>Martin, G., Martin, P., Hankin, C., Darzi, A. and Kinross, J. (2017). Cybersecurity and healthcare: how safe are we?</w:t>
      </w:r>
      <w:r>
        <w:rPr>
          <w:rStyle w:val="apple-converted-space"/>
          <w:color w:val="000000"/>
        </w:rPr>
        <w:t> </w:t>
      </w:r>
      <w:r>
        <w:rPr>
          <w:i/>
          <w:iCs/>
          <w:color w:val="000000"/>
        </w:rPr>
        <w:t>BMJ</w:t>
      </w:r>
      <w:r>
        <w:rPr>
          <w:color w:val="000000"/>
        </w:rPr>
        <w:t xml:space="preserve">, 358(1), p.j3179. </w:t>
      </w:r>
      <w:proofErr w:type="spellStart"/>
      <w:proofErr w:type="gramStart"/>
      <w:r>
        <w:rPr>
          <w:color w:val="000000"/>
        </w:rPr>
        <w:t>doi:https</w:t>
      </w:r>
      <w:proofErr w:type="spellEnd"/>
      <w:r>
        <w:rPr>
          <w:color w:val="000000"/>
        </w:rPr>
        <w:t>://doi.org/10.1136/bmj.j3179</w:t>
      </w:r>
      <w:proofErr w:type="gramEnd"/>
      <w:r>
        <w:rPr>
          <w:color w:val="000000"/>
        </w:rPr>
        <w:t>.</w:t>
      </w:r>
      <w:r w:rsidR="00BA21C2" w:rsidRPr="00BA21C2">
        <w:rPr>
          <w:color w:val="000000"/>
        </w:rPr>
        <w:t xml:space="preserve"> </w:t>
      </w:r>
      <w:r w:rsidR="00BA21C2">
        <w:rPr>
          <w:color w:val="000000"/>
        </w:rPr>
        <w:t>[Accessed 20 Mar. 2026].</w:t>
      </w:r>
    </w:p>
    <w:p w14:paraId="56ECE3DC" w14:textId="77777777" w:rsidR="00BA21C2" w:rsidRDefault="0067531D" w:rsidP="00BA21C2">
      <w:pPr>
        <w:pStyle w:val="NormalWeb"/>
        <w:spacing w:before="0" w:beforeAutospacing="0" w:after="240" w:afterAutospacing="0" w:line="360" w:lineRule="atLeast"/>
        <w:rPr>
          <w:color w:val="000000"/>
        </w:rPr>
      </w:pPr>
      <w:r>
        <w:rPr>
          <w:color w:val="000000"/>
        </w:rPr>
        <w:t>Nationalarchives.gov.uk. (2025).</w:t>
      </w:r>
      <w:r>
        <w:rPr>
          <w:rStyle w:val="apple-converted-space"/>
          <w:color w:val="000000"/>
        </w:rPr>
        <w:t> </w:t>
      </w:r>
      <w:r>
        <w:rPr>
          <w:i/>
          <w:iCs/>
          <w:color w:val="000000"/>
        </w:rPr>
        <w:t>UK Government Web Archive</w:t>
      </w:r>
      <w:r>
        <w:rPr>
          <w:color w:val="000000"/>
        </w:rPr>
        <w:t xml:space="preserve">. [online] Available at: </w:t>
      </w:r>
      <w:r w:rsidR="00BA21C2">
        <w:rPr>
          <w:color w:val="000000"/>
        </w:rPr>
        <w:fldChar w:fldCharType="begin"/>
      </w:r>
      <w:r w:rsidR="00BA21C2">
        <w:rPr>
          <w:color w:val="000000"/>
        </w:rPr>
        <w:instrText>HYPERLINK "</w:instrText>
      </w:r>
      <w:r w:rsidR="00BA21C2">
        <w:rPr>
          <w:color w:val="000000"/>
        </w:rPr>
        <w:instrText>https://webarchive.nationalarchives.gov.uk/ukgwa/20250707103655/https://www.longtermplan.nhs.uk/</w:instrText>
      </w:r>
      <w:r w:rsidR="00BA21C2">
        <w:rPr>
          <w:color w:val="000000"/>
        </w:rPr>
        <w:instrText>"</w:instrText>
      </w:r>
      <w:r w:rsidR="00BA21C2">
        <w:rPr>
          <w:color w:val="000000"/>
        </w:rPr>
        <w:fldChar w:fldCharType="separate"/>
      </w:r>
      <w:r w:rsidR="00BA21C2" w:rsidRPr="00B2159A">
        <w:rPr>
          <w:rStyle w:val="Hyperlink"/>
        </w:rPr>
        <w:t>https://webarchive.nationalarchives.gov.uk/ukgw</w:t>
      </w:r>
      <w:r w:rsidR="00BA21C2">
        <w:rPr>
          <w:color w:val="000000"/>
        </w:rPr>
        <w:t>[Accessed 20 Mar. 2026].</w:t>
      </w:r>
    </w:p>
    <w:p w14:paraId="6C4BC82F" w14:textId="58EE4CA8" w:rsidR="0067531D" w:rsidRDefault="00BA21C2" w:rsidP="0067531D">
      <w:pPr>
        <w:pStyle w:val="NormalWeb"/>
        <w:spacing w:before="0" w:beforeAutospacing="0" w:after="240" w:afterAutospacing="0" w:line="360" w:lineRule="atLeast"/>
        <w:rPr>
          <w:color w:val="000000"/>
        </w:rPr>
      </w:pPr>
      <w:r w:rsidRPr="00B2159A">
        <w:rPr>
          <w:rStyle w:val="Hyperlink"/>
        </w:rPr>
        <w:t>a/20250707103655/https://www.longtermplan.nhs.uk/</w:t>
      </w:r>
      <w:r>
        <w:rPr>
          <w:color w:val="000000"/>
        </w:rPr>
        <w:fldChar w:fldCharType="end"/>
      </w:r>
      <w:r w:rsidR="0067531D">
        <w:rPr>
          <w:color w:val="000000"/>
        </w:rPr>
        <w:t>.</w:t>
      </w:r>
      <w:r>
        <w:rPr>
          <w:color w:val="000000"/>
        </w:rPr>
        <w:t xml:space="preserve"> </w:t>
      </w:r>
    </w:p>
    <w:p w14:paraId="14A65024" w14:textId="69851125" w:rsidR="00BA21C2" w:rsidRDefault="0067531D" w:rsidP="00BA21C2">
      <w:pPr>
        <w:pStyle w:val="NormalWeb"/>
        <w:spacing w:before="0" w:beforeAutospacing="0" w:after="240" w:afterAutospacing="0" w:line="360" w:lineRule="atLeast"/>
        <w:rPr>
          <w:color w:val="000000"/>
        </w:rPr>
      </w:pPr>
      <w:r>
        <w:rPr>
          <w:color w:val="000000"/>
        </w:rPr>
        <w:lastRenderedPageBreak/>
        <w:t>Robinson, L., Cotten, S.R., Ono, H., Quan-Haase, A., Mesch, G., Chen, W., Schulz, J., Hale, T.M. and Stern, M.J. (2015). Digital Inequalities and Why They Matter.</w:t>
      </w:r>
      <w:r>
        <w:rPr>
          <w:rStyle w:val="apple-converted-space"/>
          <w:color w:val="000000"/>
        </w:rPr>
        <w:t> </w:t>
      </w:r>
      <w:r>
        <w:rPr>
          <w:i/>
          <w:iCs/>
          <w:color w:val="000000"/>
        </w:rPr>
        <w:t>Information, Communication &amp; Society</w:t>
      </w:r>
      <w:r>
        <w:rPr>
          <w:color w:val="000000"/>
        </w:rPr>
        <w:t xml:space="preserve">, [online] 18(5), pp.569–582. </w:t>
      </w:r>
      <w:proofErr w:type="spellStart"/>
      <w:proofErr w:type="gramStart"/>
      <w:r>
        <w:rPr>
          <w:color w:val="000000"/>
        </w:rPr>
        <w:t>doi:https</w:t>
      </w:r>
      <w:proofErr w:type="spellEnd"/>
      <w:r>
        <w:rPr>
          <w:color w:val="000000"/>
        </w:rPr>
        <w:t>://doi.org/10.1080/1369118x.2015.1012532</w:t>
      </w:r>
      <w:proofErr w:type="gramEnd"/>
      <w:r>
        <w:rPr>
          <w:color w:val="000000"/>
        </w:rPr>
        <w:t>.</w:t>
      </w:r>
      <w:r w:rsidR="00BA21C2">
        <w:rPr>
          <w:color w:val="000000"/>
        </w:rPr>
        <w:t xml:space="preserve"> </w:t>
      </w:r>
      <w:r w:rsidR="00BA21C2">
        <w:rPr>
          <w:color w:val="000000"/>
        </w:rPr>
        <w:t xml:space="preserve">[Accessed </w:t>
      </w:r>
      <w:r w:rsidR="00BA21C2">
        <w:rPr>
          <w:color w:val="000000"/>
        </w:rPr>
        <w:t xml:space="preserve">16 </w:t>
      </w:r>
      <w:r w:rsidR="00BA21C2">
        <w:rPr>
          <w:color w:val="000000"/>
        </w:rPr>
        <w:t>Mar. 2026].</w:t>
      </w:r>
    </w:p>
    <w:p w14:paraId="324BA20B" w14:textId="4B5D251B" w:rsidR="0067531D" w:rsidRDefault="0067531D" w:rsidP="0067531D">
      <w:pPr>
        <w:pStyle w:val="NormalWeb"/>
        <w:spacing w:before="0" w:beforeAutospacing="0" w:after="240" w:afterAutospacing="0" w:line="360" w:lineRule="atLeast"/>
        <w:rPr>
          <w:color w:val="000000"/>
        </w:rPr>
      </w:pPr>
    </w:p>
    <w:p w14:paraId="44F4BC8C" w14:textId="77777777" w:rsidR="00BA21C2" w:rsidRDefault="00BA21C2" w:rsidP="0067531D">
      <w:pPr>
        <w:pStyle w:val="NormalWeb"/>
        <w:spacing w:before="0" w:beforeAutospacing="0" w:after="240" w:afterAutospacing="0" w:line="360" w:lineRule="atLeast"/>
        <w:rPr>
          <w:color w:val="000000"/>
        </w:rPr>
      </w:pPr>
    </w:p>
    <w:p w14:paraId="16809543" w14:textId="77777777" w:rsidR="000A22FC" w:rsidRDefault="000A22FC" w:rsidP="0067531D">
      <w:pPr>
        <w:pStyle w:val="NormalWeb"/>
        <w:spacing w:before="0" w:beforeAutospacing="0" w:after="240" w:afterAutospacing="0" w:line="360" w:lineRule="atLeast"/>
        <w:rPr>
          <w:color w:val="000000"/>
        </w:rPr>
      </w:pPr>
    </w:p>
    <w:p w14:paraId="70B14365" w14:textId="77777777" w:rsidR="00726C28" w:rsidRDefault="00726C28" w:rsidP="0067531D">
      <w:pPr>
        <w:pStyle w:val="NormalWeb"/>
        <w:spacing w:before="0" w:beforeAutospacing="0" w:after="240" w:afterAutospacing="0" w:line="360" w:lineRule="atLeast"/>
        <w:rPr>
          <w:color w:val="000000"/>
        </w:rPr>
      </w:pPr>
    </w:p>
    <w:p w14:paraId="63857A30" w14:textId="1A945A4A" w:rsidR="008375B5" w:rsidRPr="00995F69" w:rsidRDefault="008375B5" w:rsidP="00995F69">
      <w:pPr>
        <w:spacing w:after="0" w:line="240" w:lineRule="auto"/>
        <w:rPr>
          <w:rFonts w:ascii="Arial" w:eastAsia="Times New Roman" w:hAnsi="Arial" w:cs="Arial"/>
          <w:kern w:val="0"/>
          <w:lang w:eastAsia="en-GB"/>
        </w:rPr>
      </w:pPr>
    </w:p>
    <w:sectPr w:rsidR="008375B5" w:rsidRPr="00995F69" w:rsidSect="008375B5">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C54C5" w14:textId="77777777" w:rsidR="007A5559" w:rsidRDefault="007A5559" w:rsidP="008375B5">
      <w:pPr>
        <w:spacing w:after="0" w:line="240" w:lineRule="auto"/>
      </w:pPr>
      <w:r>
        <w:separator/>
      </w:r>
    </w:p>
  </w:endnote>
  <w:endnote w:type="continuationSeparator" w:id="0">
    <w:p w14:paraId="19A905D4" w14:textId="77777777" w:rsidR="007A5559" w:rsidRDefault="007A5559"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BAFBF" w14:textId="77777777" w:rsidR="007A5559" w:rsidRDefault="007A5559" w:rsidP="008375B5">
      <w:pPr>
        <w:spacing w:after="0" w:line="240" w:lineRule="auto"/>
      </w:pPr>
      <w:r>
        <w:separator/>
      </w:r>
    </w:p>
  </w:footnote>
  <w:footnote w:type="continuationSeparator" w:id="0">
    <w:p w14:paraId="5E02BE80" w14:textId="77777777" w:rsidR="007A5559" w:rsidRDefault="007A5559"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619C3"/>
    <w:rsid w:val="000A22FC"/>
    <w:rsid w:val="000C7D44"/>
    <w:rsid w:val="00197117"/>
    <w:rsid w:val="002403A2"/>
    <w:rsid w:val="00255D51"/>
    <w:rsid w:val="002645A5"/>
    <w:rsid w:val="002A6E49"/>
    <w:rsid w:val="003E76C1"/>
    <w:rsid w:val="004500FA"/>
    <w:rsid w:val="004712DF"/>
    <w:rsid w:val="004F6AA7"/>
    <w:rsid w:val="00547D46"/>
    <w:rsid w:val="0058254B"/>
    <w:rsid w:val="005E402E"/>
    <w:rsid w:val="0067531D"/>
    <w:rsid w:val="00726C28"/>
    <w:rsid w:val="007306CF"/>
    <w:rsid w:val="007A5559"/>
    <w:rsid w:val="007B16A7"/>
    <w:rsid w:val="008265EC"/>
    <w:rsid w:val="008375B5"/>
    <w:rsid w:val="008A471C"/>
    <w:rsid w:val="008E0410"/>
    <w:rsid w:val="008E31E6"/>
    <w:rsid w:val="009334D8"/>
    <w:rsid w:val="00947D04"/>
    <w:rsid w:val="00987802"/>
    <w:rsid w:val="00995F69"/>
    <w:rsid w:val="009F7DEA"/>
    <w:rsid w:val="00A875D4"/>
    <w:rsid w:val="00A9474F"/>
    <w:rsid w:val="00AC0C8C"/>
    <w:rsid w:val="00AC2DCE"/>
    <w:rsid w:val="00AC3FDE"/>
    <w:rsid w:val="00BA21C2"/>
    <w:rsid w:val="00BB3553"/>
    <w:rsid w:val="00C80D0F"/>
    <w:rsid w:val="00D40915"/>
    <w:rsid w:val="00EF62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67531D"/>
    <w:rPr>
      <w:color w:val="467886" w:themeColor="hyperlink"/>
      <w:u w:val="single"/>
    </w:rPr>
  </w:style>
  <w:style w:type="character" w:styleId="UnresolvedMention">
    <w:name w:val="Unresolved Mention"/>
    <w:basedOn w:val="DefaultParagraphFont"/>
    <w:uiPriority w:val="99"/>
    <w:semiHidden/>
    <w:unhideWhenUsed/>
    <w:rsid w:val="00675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pmc.ncbi.nlm.nih.gov/articles/PMC10828826/"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doctors.net.uk/learning?pk_campaign=ppc-prospec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using-information-technology-to-improve-the-nhs/making-it-work-harnessing-the-power-of-health-information-technology-to-improve-care-in-englan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10</Pages>
  <Words>2565</Words>
  <Characters>15316</Characters>
  <Application>Microsoft Office Word</Application>
  <DocSecurity>0</DocSecurity>
  <Lines>1531</Lines>
  <Paragraphs>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Ramsey Nakazibwe (2315008)</cp:lastModifiedBy>
  <cp:revision>23</cp:revision>
  <dcterms:created xsi:type="dcterms:W3CDTF">2026-03-20T12:09:00Z</dcterms:created>
  <dcterms:modified xsi:type="dcterms:W3CDTF">2026-03-20T13:23:00Z</dcterms:modified>
</cp:coreProperties>
</file>