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88B42F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B078E">
              <w:rPr>
                <w:rFonts w:ascii="Times New Roman" w:hAnsi="Times New Roman" w:cs="Times New Roman"/>
                <w:b/>
                <w:color w:val="auto"/>
                <w:sz w:val="48"/>
              </w:rPr>
              <w:t>Chloe Campfield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3885FED"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B078E">
              <w:rPr>
                <w:rFonts w:ascii="Times New Roman" w:hAnsi="Times New Roman" w:cs="Times New Roman"/>
                <w:b/>
                <w:color w:val="auto"/>
                <w:sz w:val="48"/>
              </w:rPr>
              <w:t xml:space="preserve"> chloecampfield@yahoo.com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66E1C5FC" w14:textId="77777777" w:rsidR="00DB078E"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DB078E">
              <w:rPr>
                <w:rFonts w:ascii="Times New Roman" w:hAnsi="Times New Roman" w:cs="Times New Roman"/>
                <w:b/>
                <w:color w:val="auto"/>
                <w:sz w:val="48"/>
              </w:rPr>
              <w:t xml:space="preserve"> </w:t>
            </w:r>
          </w:p>
          <w:p w14:paraId="0DE696B2" w14:textId="6AE4CEE3" w:rsidR="00F927A1" w:rsidRPr="005D3F07" w:rsidRDefault="00DB078E"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1401579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447322E" w14:textId="77777777" w:rsidR="00DB078E" w:rsidRDefault="00DB078E" w:rsidP="00FF7EBB">
            <w:pPr>
              <w:jc w:val="both"/>
              <w:rPr>
                <w:i/>
                <w:sz w:val="24"/>
                <w:szCs w:val="24"/>
              </w:rPr>
            </w:pPr>
          </w:p>
          <w:p w14:paraId="475A342C" w14:textId="77777777" w:rsidR="00DB078E" w:rsidRDefault="00DB078E" w:rsidP="00DB078E">
            <w:r>
              <w:t>Following the passing of her partner, 1 lived alone in her owned property. 1 experienced a stroke and due to neurological damage to her brain experienced language difficulties. 1 has a formal diagnosis of aphasia and dementia. 1 initially came to the attention of safeguarding following a Public Protection Notice (PPN) submitted electronically to the Local Authority safeguarding team by the local policing team. A further concern was raised by 1’s carer via a standardised referral form created by the regional safeguarding board. This was also submitted to the Local Authority safeguarding team.</w:t>
            </w:r>
          </w:p>
          <w:p w14:paraId="10F61F80" w14:textId="77777777" w:rsidR="00DB078E" w:rsidRDefault="00DB078E" w:rsidP="00DB078E"/>
          <w:p w14:paraId="6A906183" w14:textId="77777777" w:rsidR="00DB078E" w:rsidRDefault="00DB078E" w:rsidP="00DB078E">
            <w:r>
              <w:t>The police and the carer had reason to believe that 1 was an adult experiencing or at risk of experiencing abuse and/or neglect, had needs for care and support, and as a result of those needs was unable to protect herself against the risk. (Social Services and Well-being (Wales) Act (SSWBA), 2014; Welsh Government, 2014). Whilst sharing of this information infringed on 1’s Article 8 Human Right to private and family life, home, and correspondence; It was assessed to be balanced and proportionate against 1’s Article 3 right to not be subject to inhuman treatment (HRA, 1998). There was also a lawful basis for the police and the carer to share this data without consent from 1, as sharing this information was felt to be necessary to protect her welfare, in accordance with The Data Protection Act (Part 4, Schedule 8) and the European Union General Data Protection Regulation (Article 6, 1e).</w:t>
            </w:r>
          </w:p>
          <w:p w14:paraId="583D1D44" w14:textId="77777777" w:rsidR="00DB078E" w:rsidRDefault="00DB078E" w:rsidP="00DB078E"/>
          <w:p w14:paraId="3FF9BD26" w14:textId="76FD0F8C" w:rsidR="00DB078E" w:rsidRDefault="00DB078E" w:rsidP="00DB078E">
            <w:r>
              <w:t xml:space="preserve">A multi-agency approach to identifying individuals at risk of abuse and or neglect is essential to public protection. Sharing of information is of paramount importance to safeguarding adults at risk of abuse and/or neglect (Welsh Government, 2014). The police and carer both understood their statutory duties and responsibilities to report their concerns in accordance with part 7 of the SSWBA 2014,  the Wales Safeguarding Procedures (Welsh Government, 2014), and Working Together to Safeguard People (Welsh Government, 2014a). Adult Practice Reviews, and previously Serious Case Reviews, have repeatedly demonstrated a lack of information sharing amongst partner agencies to have tragic consequences for members of the public, including avoidable death (****, 2024; SSWBA, 2014;  Welsh Government, 2014a). </w:t>
            </w:r>
            <w:r>
              <w:lastRenderedPageBreak/>
              <w:t xml:space="preserve">Working in partnership and collaboratively with multi-agency professionals will contribute to saving the lives of adults at risk of abuse and neglect now and in the future (Thacker et al, 2019). </w:t>
            </w:r>
          </w:p>
          <w:p w14:paraId="6B046344" w14:textId="77777777" w:rsidR="00DB078E" w:rsidRDefault="00DB078E" w:rsidP="00DB078E"/>
          <w:p w14:paraId="6ADA3D7C" w14:textId="654A59FB" w:rsidR="00DB078E" w:rsidRDefault="00DB078E" w:rsidP="00DB078E">
            <w:r>
              <w:t>1 initially came to the attention of the police due to members of the local community expressing concern for her safety. Members of the public believed 1 was disoriented and confused within her local community. At the time police exercised their professional judgement and assessed 1 as a vulnerable individual in need of protection. In fulfilling their role of public protection, 2 police officers escorted 1 home. This happened on more than one occasion. This was due to the police being of the view that 1 was confused, disorientated, and wandering around her local community in the day without a sense of purpose. The carer had concerns about a male entering 1’s home uninvited, behaving erratically, and being observed to have drug paraphernalia on his person. The carer was also concerned the male may have stayed the night. The carer had reason to believe 1 may be at risk of sexual abuse, financial exploitation, and psychological abuse by an unknown male who had recently befriended her.</w:t>
            </w:r>
          </w:p>
          <w:p w14:paraId="7F933715" w14:textId="77777777" w:rsidR="00DB078E" w:rsidRDefault="00DB078E" w:rsidP="00DB078E"/>
          <w:p w14:paraId="5175A05A" w14:textId="706AD037" w:rsidR="00DB078E" w:rsidRDefault="00DB078E" w:rsidP="00DB078E">
            <w:r>
              <w:t>The PPN share and safeguarding referral form were both screened by the Local Authority safeguarding team. There was reasonable cause to suspect 1 may be an adult at risk of abuse. The Local Authority therefore had a statutory duty to make further enquiries to establish if abuse had occurred, in accordance with s126(2) of the SSWBA 2014. In gathering information the police, mental health colleagues and myself were consulted by the Lead Coordinator. A strategy meeting  took place with partner agencies. Serious Case Reviews have highlighted that a failure to convene strategy meetings when one is needed, a lack of information sharing, and working in isolation has impeded collaborative decision making in safeguarding (Wate &amp; Boulton, 2015; Welsh Government, 2014a) .</w:t>
            </w:r>
          </w:p>
          <w:p w14:paraId="3923B844" w14:textId="77777777" w:rsidR="00DB078E" w:rsidRDefault="00DB078E" w:rsidP="00DB078E"/>
          <w:p w14:paraId="28958286" w14:textId="215132D1" w:rsidR="00DB078E" w:rsidRDefault="00DB078E" w:rsidP="00DB078E">
            <w:r>
              <w:t xml:space="preserve">Working collaboratively ensured relevant information was shared amongst professionals. This identified that 1 was orientated to her local community and could safely navigate her way home on her own. Residing in a familiar environment and sticking to her daily routine was fundamental to 1 being able to access the outdoors without restriction. Adhering to routine and residing in a familiar setting has been known to improve functional ability for individuals living with cognitive difficulties (Son, </w:t>
            </w:r>
            <w:proofErr w:type="spellStart"/>
            <w:r>
              <w:t>Theerrien</w:t>
            </w:r>
            <w:proofErr w:type="spellEnd"/>
            <w:r>
              <w:t xml:space="preserve"> &amp; Whall, 2022). In an unfamiliar environment, 1 would require support as she would be disorientated and likely experience heightened levels of anxiety and distress. Since her partners passing, 1 has demonstrated resilience and continues to grow around her grief (Tonkin, 1996). She walks to her local grocery store daily and the shop owner knows her well. A personal assistan</w:t>
            </w:r>
            <w:r>
              <w:t>t</w:t>
            </w:r>
            <w:r>
              <w:t xml:space="preserve"> (PA) was identified to provide 1 with support to access the local community, develop relationships, and provide her with a sense of belonging within society. The intention of introducing a PA was to provide continuity and deliver person centred care. The s126 enquiry identified that the arrangement was not successful as 1 found this level of support intrusive and was unable to build a meaningful relationship with her PA. Delivering person centred care is fundamental to providing successful dementia care (National Collaborating Centre for Mental Health, 2011). </w:t>
            </w:r>
          </w:p>
          <w:p w14:paraId="61F3DF43" w14:textId="77777777" w:rsidR="00DB078E" w:rsidRDefault="00DB078E" w:rsidP="00DB078E"/>
          <w:p w14:paraId="0ABD22C1" w14:textId="187567F7" w:rsidR="00DB078E" w:rsidRDefault="00DB078E" w:rsidP="00DB078E">
            <w:r>
              <w:t>Applying ecological systems theory supported me to consider how environmental influences have impacted on 1 (</w:t>
            </w:r>
            <w:r>
              <w:rPr>
                <w:color w:val="222222"/>
                <w:shd w:val="clear" w:color="auto" w:fill="FFFFFF"/>
              </w:rPr>
              <w:t>Bronfenbrenner, 1977</w:t>
            </w:r>
            <w:r>
              <w:t xml:space="preserve">). From visiting the local shop 1 attended, I discovered the shop owner was included within 1’s microsystem. The local shop owner was also included within 1’s mesosystem because 1 would interact with the shop keeper when she required support. The shop owner was a person 1 trusted and had known for over twenty years.1 did not require a PA to support her with grocery shopping, because she was utilising her own resources to meet this need independently.  Members of the public were also involved in 1’s mesosystem. Members of the public believed 1 was confused and disorientated based on the interactions they had with her in the community. As a result, members of the public made contact with the police and expressed their concerns.  The police were part of 1’s </w:t>
            </w:r>
            <w:proofErr w:type="spellStart"/>
            <w:r>
              <w:t>exosystem</w:t>
            </w:r>
            <w:proofErr w:type="spellEnd"/>
            <w:r>
              <w:t xml:space="preserve">. The </w:t>
            </w:r>
            <w:proofErr w:type="spellStart"/>
            <w:r>
              <w:t>exosystem</w:t>
            </w:r>
            <w:proofErr w:type="spellEnd"/>
            <w:r>
              <w:t xml:space="preserve"> was influenced by the mesosystem and contributed to the police response. 1 was escorted home by police</w:t>
            </w:r>
            <w:r>
              <w:t xml:space="preserve">, </w:t>
            </w:r>
            <w:r>
              <w:t xml:space="preserve">1 experienced dementia stigma within a public place by the mesosystem. As a result she was subjected to inappropriate intervention by the </w:t>
            </w:r>
            <w:proofErr w:type="spellStart"/>
            <w:r>
              <w:t>exosystem</w:t>
            </w:r>
            <w:proofErr w:type="spellEnd"/>
            <w:r>
              <w:t>, the local policing team. It transpired that the mesosystem had thought 1 was confused and disorientated, but this was actually due to her language difficulties and not because of an inability to problem solve or find her way back home. This theory</w:t>
            </w:r>
            <w:r>
              <w:t xml:space="preserve"> supported me to recognise</w:t>
            </w:r>
            <w:r>
              <w:t xml:space="preserve"> how the systems impacted on each other and how change can be introduced by one system to the other. If the local community had a better understanding of 1’s needs, intervention of the police would have been less draconian, but public knowledge of aphasia is poor (Simmons-</w:t>
            </w:r>
            <w:r w:rsidRPr="00633911">
              <w:rPr>
                <w:color w:val="222222"/>
                <w:shd w:val="clear" w:color="auto" w:fill="FFFFFF"/>
              </w:rPr>
              <w:t xml:space="preserve"> </w:t>
            </w:r>
            <w:r w:rsidRPr="00633911">
              <w:t>Mackie</w:t>
            </w:r>
            <w:r>
              <w:t xml:space="preserve"> et al, 2020).  This systems model supported me to consider how the response could be different in future.  The police needed to have a better understanding of 1’s needs and circumstances. The </w:t>
            </w:r>
            <w:r>
              <w:lastRenderedPageBreak/>
              <w:t>police would be able to utilise this information to inform their intervention and educate the public in a person centred way, should they be contacted by the public in future.</w:t>
            </w:r>
          </w:p>
          <w:p w14:paraId="2EB571BC" w14:textId="77777777" w:rsidR="00DB078E" w:rsidRDefault="00DB078E" w:rsidP="00DB078E"/>
          <w:p w14:paraId="14EAF1F3" w14:textId="6647A74C" w:rsidR="00DB078E" w:rsidRDefault="00DB078E" w:rsidP="00DB078E">
            <w:r>
              <w:t>A strategy meeting was convened to inform the s126 enquiry. During this meeting police shared all  relevant known and suspected risks about the male. The sharing of this information was necessary to support the enquiry and prevent abuse from taking place in future. The police disclosed the male had a criminal history, which was concerning.  Following the sharing of this information, I was very worried about the potential risk to 1. In putting my reflection into action, I informed the police of 1’s needs and made them aware that 1 could independently attend to her grocery shopping and safely navigate her way home without support. The police were informed of 1’s linguistic needs and the previous assessments that have taken place. The strategy meeting was very productive because multi-agency professionals cooperated fully and understood their roles and responsibilities to safeguarding and prompting the welfare of 1. It was agreed that the enquiry would be undertaken jointly with the police and social services. This was due to the possibility of a criminal investigation with regard to sexual assault and theft, as well as the possibility</w:t>
            </w:r>
            <w:r>
              <w:t xml:space="preserve"> of</w:t>
            </w:r>
            <w:r>
              <w:t xml:space="preserve"> 1 being unable to protect herself and may have care and support needs that are not met.</w:t>
            </w:r>
          </w:p>
          <w:p w14:paraId="7FB19808" w14:textId="77777777" w:rsidR="00DB078E" w:rsidRDefault="00DB078E" w:rsidP="00DB078E"/>
          <w:p w14:paraId="1450B4B9" w14:textId="0036BE3F" w:rsidR="00DB078E" w:rsidRDefault="00DB078E" w:rsidP="00DB078E">
            <w:r>
              <w:t xml:space="preserve">In working with high levels of uncertainty, I was aware that I should not jump to conclusions or make assumptions. In doing so I reflected on how the local policing team had approached working with risk and their decision making. I wondered how 1 may have felt being escorted by 2 police officers back to her home unnecessarily. I felt that this approach was likely to have felt oppressive to 1. 1 was free to leave and return to her home on her own accord. I had identified that the police had deprived 1 of her liberty unlawfully, which was a breach of her human rights. I did not want to approach risk in this way. In preparing to meet with 1,  I reflected on empowerment theory and how 1 was disempowered by those seeking to help her (Fook, 2002). Prior to visiting 1, I reflected on my emotional response towards the safeguarding concerns and how I was concerned about 1. It was necessary for me to pay attention to my emotions and reflect on my feelings. I was also able to share with my supervisor how I felt the police assessed the risk of 1 accessing her local community inappropriately. This supported me to undertake further research. My professional curiosity supported me to learn that in 2015 an inspection report conducted by Her Majesty’s Inspectorate of Constabulary (HMIC) concluded police staff in Wales and England required further training to deepen their understanding of vulnerability (HMIC, 2015). Vulnerability for Welsh and English Police forces is defined by the Ministiry of Justice Code of Practice for Victims of Crime (Ministry of Justice, 2020). I had considered how there is a disparity between the statutory agencies definition of vulnerability in assessing if individuals are at risk of abuse and/or neglect. A recent study concluded that over 75% of submitted PPN shares did not progress to s126 enquiries in South Wales (Ford et al, 2020). This made me consider if multi-agency professionals truly do understand the remit of safeguarding.  Consulting with my supervisor prior to my visit also supported me to remain focused on the facts and evidence. It supported my decision making and drew attention to judgements not being impaired by emotions. Informal supervision facilitated my emotional resilience towards the situation. It contributed to enhancing the quality of my safeguarding practice and continued development of knowledge, skills and values, which are all key components to analytical assessment and good social work practice (Davies &amp; Jones, 2015). </w:t>
            </w:r>
          </w:p>
          <w:p w14:paraId="4FB97959" w14:textId="77777777" w:rsidR="00DB078E" w:rsidRDefault="00DB078E" w:rsidP="00DB078E"/>
          <w:p w14:paraId="7731CE95" w14:textId="77777777" w:rsidR="00DB078E" w:rsidRDefault="00DB078E" w:rsidP="00DB078E">
            <w:r>
              <w:t>Supervision also supported me to acknowledge I would need to have due regard to 1’s linguistic needs to ensure a person-centred approach is applied. I considered how 1’s negative experience with the police may impact on her engagement with me. Working collaboratively with other professionals, I liaised with 1’s previous allocated worker to determine how best to communicate with 1.  I became aware that 1 was mistrusting of professionals she had not previously met. I learnt that she had a difficult relationship with her family and had an allocated Independent Mental Capacity Advocate (IMCA). The IMCA was involved due to ongoing discussions about place of residence, for which 1 had been previously assessed as lacking capacity to make a decision about.</w:t>
            </w:r>
          </w:p>
          <w:p w14:paraId="24E27833" w14:textId="77777777" w:rsidR="00DB078E" w:rsidRDefault="00DB078E" w:rsidP="00DB078E"/>
          <w:p w14:paraId="2C5B4950" w14:textId="4F2D190E" w:rsidR="00DB078E" w:rsidRDefault="00DB078E" w:rsidP="00DB078E">
            <w:r>
              <w:t xml:space="preserve">Inviting 1’s daughter to the initial meeting to discuss the safeguarding concerns was considered. However, the family dynamics were complex. 1’s daughter had previously tried to advocate for her mother but was finding it increasingly difficult to do so. 1 disclosed to professionals she felt her daughter was trying to take over.  Her daughter was also aware of 1’s views. In considering 1’s feelings of being oppressed by her daughter, it was decided not to invite her daughter to the initial meeting with 1. 1’s daughter had also informed professionals that she wished to “take a step back”. In trying to understand this I considered Bowen’s family systems theory </w:t>
            </w:r>
            <w:r>
              <w:lastRenderedPageBreak/>
              <w:t>and how cutting a relative off can provide a relief from conflict, and reduce anxiety within the family system (Bowen, 1976). 1’s IMCA was consulted and invited to attend the meeting to ensure 1 had access to the appropriate support to enable her to fully participate in the process.  There is a legal duty to consider if a person requires advocacy in accordance with part 10 of the SSWBA 2014.  The IMCA declined to attend as she felt the previous allocated worker, who had worked with 1 for 18 months, would be best placed to support 1.  This was due to the previous IMCA leaving and the new IMCA being in the process of forming a relationship with 1. This highlighted the importance of relationship-based social work practice (Murphy et al, 2013). However, in future I would challenge an already appointed IMCA refusing to attend an initial meeting to discuss safeguarding concerns. In hindsight, it is my view the IMCA should have been in attendance, particularly as the IMCA continued to represent 1’s views, wishes, and feelings in subsequent safeguarding meetings that took place.</w:t>
            </w:r>
          </w:p>
          <w:p w14:paraId="4CCF1EDE" w14:textId="1F2A1458" w:rsidR="00DB078E" w:rsidRDefault="00DB078E" w:rsidP="00DB078E">
            <w:r>
              <w:t xml:space="preserve"> </w:t>
            </w:r>
          </w:p>
          <w:p w14:paraId="40E0047D" w14:textId="77777777" w:rsidR="00DB078E" w:rsidRDefault="00DB078E" w:rsidP="00DB078E">
            <w:r>
              <w:t>In meeting with 1, I adopted a strength-based approach (</w:t>
            </w:r>
            <w:proofErr w:type="spellStart"/>
            <w:r>
              <w:t>Saleebey</w:t>
            </w:r>
            <w:proofErr w:type="spellEnd"/>
            <w:r>
              <w:t xml:space="preserve">, 1996). My colleague introduced me to 1. The police were also in attendance. In recognising 1 as the expert in her own life, I facilitated a conversation by asking 1 why she felt professionals were worried about her. I also made her aware of the outcome of the strategy meeting.  The purpose of the visit was to speak with 1, understand if she could consent to the referral, and determine if she shared the same concerns about the unknown male. I was concerned about how the police being in attendance could negatively impact on 1’s engagement with myself. I was open and honest with 1 and explained the reason for the visit was due to professionals being concerned that she may be experiencing sexual abuse, financial abuse, and psychological abuse. I utilised the principles of motivational interviewing (Prochaska &amp; DiClemente, 1983). This included the foundational OARS (Open Ended questions, Affirmations, Reflections and Summaries). Using open-ended question supported 1 to elaborate on the situation from her point of view. In formulating her response 1 demonstrated she was aware that the concerns related to the identified male, although she could not articulate his name. Due to word finding difficulties 1 was communicating in incomplete sentences and using incorrect words. I remained mindful not interrupt her or correct her. I provided her with time and space to gather her thoughts and express herself freely. Reflective statements were utilised to ensure I accurately interpreted what 1 was attempting to communicate. This supported me to identify that there was reason to believe 1’s property might be being used to store drug paraphernalia. </w:t>
            </w:r>
          </w:p>
          <w:p w14:paraId="51E6A5F6" w14:textId="77777777" w:rsidR="00DB078E" w:rsidRDefault="00DB078E" w:rsidP="00DB078E"/>
          <w:p w14:paraId="6D190114" w14:textId="40987469" w:rsidR="00DB078E" w:rsidRDefault="00DB078E" w:rsidP="00DB078E">
            <w:r>
              <w:t xml:space="preserve">The Mental Capacity Act 2005 applies to anyone 16 years and over in England and Wales (MCA, 2005).  There are 5 keys principles which stimulate all individuals are assumed to have capacity, should be provided with the right support to enable them to make their own decisions, and have the right to make unwise decisions. Making an unwise decision does not indicate a lack of capacity. Only when the diagnosis and functional elements are both satisfied can an individual be assessed as lacking mental capacity to make a specific decision. I assessed 1’s capacity to decide if she wanted to maintain, reduce or eliminate contact with the male.  In supporting 1 to come to this decision I made 1 reminded her of the males criminal history. I informed her about the impact being around his drug use could have on her health. 1 could not retain this information because of her short term memory difficulties. She was therefore not able to use or weigh up the benefits and consequences of maintaining, reducing or eliminating contact with the male. I completed the functional test by assessing 1’s ability to understand the relevant information, retain the relevant, and ability to use or weigh the information as part of the decision process. I completed the diagnostic test by consulting with 1’s psychiatrist.  I assessed on the balance of probability, 1 was unable to decide her levels of contact with the male, because of her diagnosis of dementia, which is an impairment of the brain (causative nexus). During the assessment of capacity 1 was able to communicate that it was her wish to maintain contact with the male. She valued the time they spent together. Listening to 1 describe her daily life, it was evident this male was fulfilling 1’s need to belong, and for as long as she remained in the community she would likely maintain contact with the male. It was also 1’s personal outcome to remain living in the local community where she had resided for most of her life. I learnt during this process that a best interest decision cannot be made around levels of contact, only The Court of Protection can stop an individual from contacting a person who lacks capacity. In gathering information the enquiry would consider if there was tangible evidence or legal grounds to justify this level of </w:t>
            </w:r>
            <w:r>
              <w:t>interference</w:t>
            </w:r>
            <w:r>
              <w:t xml:space="preserve"> with 1’s </w:t>
            </w:r>
            <w:r>
              <w:t xml:space="preserve">article </w:t>
            </w:r>
            <w:r>
              <w:t>8 right to private and family life (Human Rights Act, 1998).</w:t>
            </w:r>
          </w:p>
          <w:p w14:paraId="0EDAA38F" w14:textId="77777777" w:rsidR="00DB078E" w:rsidRDefault="00DB078E" w:rsidP="00DB078E"/>
          <w:p w14:paraId="734B5C04" w14:textId="77777777" w:rsidR="00DB078E" w:rsidRDefault="00DB078E" w:rsidP="00DB078E">
            <w:r>
              <w:t xml:space="preserve">During the assessment of capacity, 1 was using words such as “stuffing, bagging, plants” which caused me to suspect part of her property might be utilised to store drug  paraphernalia.  I made 1 aware that I had a duty to share my concerns with the police about the possibility her home was being used to store drug paraphernalia </w:t>
            </w:r>
            <w:r>
              <w:lastRenderedPageBreak/>
              <w:t xml:space="preserve">in light of public interest. When asked how she felt about this, 1 did not express any views. Following the visit, a further strategy discussion was held with police. The police explained it was possible 1’s property could be being used for cuckooing. I had not previously heard of cuckooing, so I undertook further research regarding this. I learnt cuckooing was a form of modern-day slavery, and was not an illegal offence. I also learnt that organisations continue to campaign for cuckooing to be added to the modern slavery bill, as it does not presently apply to the Modern Slavery Act 2015 (The Centre for Social Justice, 2015). </w:t>
            </w:r>
          </w:p>
          <w:p w14:paraId="37A3C832" w14:textId="77777777" w:rsidR="00DB078E" w:rsidRDefault="00DB078E" w:rsidP="00DB078E"/>
          <w:p w14:paraId="2D15FA1E" w14:textId="45515F9C" w:rsidR="00DB078E" w:rsidRDefault="00DB078E" w:rsidP="00DB078E">
            <w:r>
              <w:t xml:space="preserve">Following the meeting with 1, the outcome and determination of the s126 enquiry was that social services had reasonable cause to suspect 1 to be an adult at risk of abuse, and action was felt to be required to protect her ( SSWBA, 2014). A further strategy meeting was held to determine the course of action and intervention by relevant partner agencies to protect 1.  A care and support protection plan was created by the Lead Coordinator during an Adult Protection Conference. This plan included actions for the police with regard to potential cuckooing, action for social services to formally reassess 1’s care and support needs in accordance with part 3 of the SSWBA 2014, and action for social services to formally assess 1’s capacity with regard to sexual relations. 1’s financial assets were safeguarded as she had a lasting power of attorney for property and finances, so action to protect her financial assets was not a cause for concern. </w:t>
            </w:r>
          </w:p>
          <w:p w14:paraId="381D2593" w14:textId="77777777" w:rsidR="00DB078E" w:rsidRDefault="00DB078E" w:rsidP="00DB078E"/>
          <w:p w14:paraId="3F2923B2" w14:textId="126838C8" w:rsidR="00DB078E" w:rsidRDefault="00DB078E" w:rsidP="00DB078E">
            <w:r>
              <w:t xml:space="preserve">It transpired that the police did not have reasonable grounds to search 1’s property for drug paraphernalia. I undertook the mental capacity assessment regarding consent to engage in sexual relations. I felt nervous and apprehensive about undertaking this assessment given the sensitive nature of the conversation, and this being the first time I had undertaken a capacity assessment for this decision. To support with preparing </w:t>
            </w:r>
            <w:r>
              <w:t>for</w:t>
            </w:r>
            <w:r>
              <w:t xml:space="preserve"> the assessment, I reviewed case law relevant to the decision regarding capacity to engage in sexual relations ([2021] UKSC 52; [2020] EWCA </w:t>
            </w:r>
            <w:proofErr w:type="spellStart"/>
            <w:r>
              <w:t>Civ</w:t>
            </w:r>
            <w:proofErr w:type="spellEnd"/>
            <w:r>
              <w:t xml:space="preserve"> 735). 1 is a private individual. During the assessment of capacity 1 explained she didn’t want to discuss this with me, but I empathised with 1 the importance of discussing it, in respecting her autonomy and sexual expression (Director, 2023), During the assessment, 1 began to ask me questions about my sex life.  This presented an ethical dilemma for me because ordinarily I would most certainly not share this information with others. I felt that sharing of this information would breach the Code of Professional Practice and blur professional boundaries. However, in this situation, I considered the imbalance of power and how I was asking 1 similar questions of a sensitive nature. I therefore decided that answering 1’s questions was balanced and proportioned in this situation and humane (Fook, 2022). On reflection I am of the view that sharing information with 1 by answering her questions, facilitated the conversation and contributed to 1’s engagement with the capacity assessment regarding sexual relations. Had I refused to answer 1’s questions</w:t>
            </w:r>
            <w:r>
              <w:t xml:space="preserve"> </w:t>
            </w:r>
            <w:r>
              <w:t xml:space="preserve">I do believe she would have likely disengaged from the mental capacity assessment prematurely. </w:t>
            </w:r>
          </w:p>
          <w:p w14:paraId="50C2B88F" w14:textId="77777777" w:rsidR="00DB078E" w:rsidRDefault="00DB078E" w:rsidP="00DB078E"/>
          <w:p w14:paraId="284B327E" w14:textId="77777777" w:rsidR="00DB078E" w:rsidRDefault="00DB078E" w:rsidP="00DB078E">
            <w:r>
              <w:t xml:space="preserve">The care and support protection plan was reviewed with all professionals and the IMCA in attendance. It was determined that a care and protection plan was no longer required and the safeguarding process could end. The decision was based on the concerns regarding cuckooing being unsubstantiated and 1 having capacity to consent to sexual relations. 1 was therefore able to protect herself from the risk of sexual exploitation. Following an initial assessment, the Local Authority had identified a service provision to meet 1’s assessed needs for care and support, and the risks were managed adequately and would continue to be monitored by the care management team. </w:t>
            </w:r>
          </w:p>
          <w:p w14:paraId="0147CA06" w14:textId="77777777" w:rsidR="00DB078E" w:rsidRDefault="00DB078E" w:rsidP="00DB078E"/>
          <w:p w14:paraId="67DCC28B" w14:textId="21321E1E" w:rsidR="00DB078E" w:rsidRDefault="00DB078E" w:rsidP="00DB078E">
            <w:r>
              <w:t xml:space="preserve">To support me to understand what I had learnt from this safeguarding experience, I applied Gibbs model of reflection (Gibbs, 1988). Prior to this experience I understood safeguarding is the responsibility of everyone, in accordance with part 7 of the SSWBA 2014. When I was allocated to 1, I did not have much experience of safeguarding. This was the first safeguarding referral I had been allocated to as </w:t>
            </w:r>
            <w:r w:rsidR="00F521CF">
              <w:t xml:space="preserve">a </w:t>
            </w:r>
            <w:r>
              <w:t>Social Worker.</w:t>
            </w:r>
            <w:r w:rsidR="00F521CF">
              <w:t xml:space="preserve"> </w:t>
            </w:r>
            <w:r>
              <w:t xml:space="preserve">I felt overwhelmed by the presenting risks and the concerns others had raised. During the process I did not feel that I was having to manage this on my own. This was because I felt well supported by my line manager, the safeguarding team and the police. This experience supported me to develop my skills in working with uncertainty and risk. I gained further knowledge around assessing capacity, with particular regard to capacity to consent to sexual relations. During the safeguarding process, I did feel a huge responsibility placed upon me. I reflected on the consequences of the outcome of the capacity assessment and how my contribution towards the safeguarding referral would determine if 1 would be able to consent to sexual relations in future. I considered the weight of this decision and how the outcome of my professional judgement could impact on 1’s Human Rights, in particular her private life (Human Rights Act, 1998). I felt uncomfortable about having this level of responsibility placed upon me, but recognised that this was part of my professional role.  On reflection, </w:t>
            </w:r>
            <w:r>
              <w:lastRenderedPageBreak/>
              <w:t xml:space="preserve">I do feel that way in which I approached the situation did support 1 to actively engage. I do feel that I applied a person centred approach, which is essential to achieving best practice when working in safeguarding (Welsh Government, 2018) If a similar situation presented itself in future, I would feel more confident approaching it. This experience has supported me to gain in confidence when working with safeguarding concerns, uncertainty and risk. </w:t>
            </w:r>
          </w:p>
          <w:p w14:paraId="741A2072" w14:textId="77777777" w:rsidR="00F521CF" w:rsidRDefault="00F521CF" w:rsidP="00DB078E"/>
          <w:p w14:paraId="3AA18AC5" w14:textId="4F29C7FC" w:rsidR="00F521CF" w:rsidRDefault="00F521CF" w:rsidP="00DB078E">
            <w:r>
              <w:t xml:space="preserve">Word Count: 3987 </w:t>
            </w:r>
          </w:p>
          <w:p w14:paraId="792E8801" w14:textId="77777777" w:rsidR="00F521CF" w:rsidRDefault="00F521CF" w:rsidP="00DB078E"/>
          <w:p w14:paraId="4E520372" w14:textId="3B56C8E3" w:rsidR="00DB078E" w:rsidRDefault="00DB078E" w:rsidP="00DB078E">
            <w:r>
              <w:t xml:space="preserve">References: </w:t>
            </w:r>
          </w:p>
          <w:p w14:paraId="0E7C7F7C" w14:textId="77777777" w:rsidR="00DB078E" w:rsidRDefault="00DB078E" w:rsidP="00FF7EBB">
            <w:pPr>
              <w:jc w:val="both"/>
              <w:rPr>
                <w:i/>
                <w:sz w:val="24"/>
                <w:szCs w:val="24"/>
              </w:rPr>
            </w:pPr>
          </w:p>
          <w:p w14:paraId="55AB6715" w14:textId="77777777" w:rsidR="00DB078E" w:rsidRDefault="00DB078E" w:rsidP="00DB078E">
            <w:pPr>
              <w:rPr>
                <w:color w:val="222222"/>
                <w:shd w:val="clear" w:color="auto" w:fill="FFFFFF"/>
              </w:rPr>
            </w:pPr>
            <w:r>
              <w:rPr>
                <w:color w:val="222222"/>
                <w:shd w:val="clear" w:color="auto" w:fill="FFFFFF"/>
              </w:rPr>
              <w:t>***** (2024) Adult Practice Reviews. Available at ******(Accessed 10 January 2024)</w:t>
            </w:r>
          </w:p>
          <w:p w14:paraId="7886C254" w14:textId="77777777" w:rsidR="00DB078E" w:rsidRDefault="00DB078E" w:rsidP="00DB078E"/>
          <w:p w14:paraId="7CADA3A8" w14:textId="2B9E71F6" w:rsidR="00DB078E" w:rsidRDefault="00DB078E" w:rsidP="00DB078E">
            <w:r>
              <w:t>A Local Authority v JB [2021] UKSC 52</w:t>
            </w:r>
          </w:p>
          <w:p w14:paraId="75242934" w14:textId="77777777" w:rsidR="00DB078E" w:rsidRDefault="00DB078E" w:rsidP="00DB078E"/>
          <w:p w14:paraId="2C6C503B" w14:textId="77777777" w:rsidR="00DB078E" w:rsidRDefault="00DB078E" w:rsidP="00DB078E">
            <w:r>
              <w:t xml:space="preserve">A Local Authority v JB [2020] EWCA </w:t>
            </w:r>
            <w:proofErr w:type="spellStart"/>
            <w:r>
              <w:t>Civ</w:t>
            </w:r>
            <w:proofErr w:type="spellEnd"/>
            <w:r>
              <w:t xml:space="preserve"> 735</w:t>
            </w:r>
          </w:p>
          <w:p w14:paraId="47305F82" w14:textId="77777777" w:rsidR="00DB078E" w:rsidRDefault="00DB078E" w:rsidP="00DB078E"/>
          <w:p w14:paraId="524EB189" w14:textId="77777777" w:rsidR="00DB078E" w:rsidRDefault="00DB078E" w:rsidP="00DB078E">
            <w:pPr>
              <w:rPr>
                <w:color w:val="222222"/>
                <w:shd w:val="clear" w:color="auto" w:fill="FFFFFF"/>
              </w:rPr>
            </w:pPr>
            <w:r>
              <w:rPr>
                <w:color w:val="222222"/>
                <w:shd w:val="clear" w:color="auto" w:fill="FFFFFF"/>
              </w:rPr>
              <w:t>Bronfenbrenner, U.(1977) Toward an experimental ecology of human development. </w:t>
            </w:r>
            <w:r>
              <w:rPr>
                <w:i/>
                <w:iCs/>
                <w:color w:val="222222"/>
                <w:shd w:val="clear" w:color="auto" w:fill="FFFFFF"/>
              </w:rPr>
              <w:t>American psychologist</w:t>
            </w:r>
            <w:r>
              <w:rPr>
                <w:color w:val="222222"/>
                <w:shd w:val="clear" w:color="auto" w:fill="FFFFFF"/>
              </w:rPr>
              <w:t>, </w:t>
            </w:r>
            <w:r>
              <w:rPr>
                <w:i/>
                <w:iCs/>
                <w:color w:val="222222"/>
                <w:shd w:val="clear" w:color="auto" w:fill="FFFFFF"/>
              </w:rPr>
              <w:t>32</w:t>
            </w:r>
            <w:r>
              <w:rPr>
                <w:color w:val="222222"/>
                <w:shd w:val="clear" w:color="auto" w:fill="FFFFFF"/>
              </w:rPr>
              <w:t>(7), p.513.</w:t>
            </w:r>
          </w:p>
          <w:p w14:paraId="3D7E81E0" w14:textId="77777777" w:rsidR="00DB078E" w:rsidRDefault="00DB078E" w:rsidP="00DB078E">
            <w:pPr>
              <w:rPr>
                <w:color w:val="222222"/>
                <w:shd w:val="clear" w:color="auto" w:fill="FFFFFF"/>
              </w:rPr>
            </w:pPr>
          </w:p>
          <w:p w14:paraId="2FFDC743" w14:textId="77777777" w:rsidR="00DB078E" w:rsidRDefault="00DB078E" w:rsidP="00DB078E">
            <w:pPr>
              <w:rPr>
                <w:color w:val="222222"/>
                <w:shd w:val="clear" w:color="auto" w:fill="FFFFFF"/>
              </w:rPr>
            </w:pPr>
            <w:r>
              <w:rPr>
                <w:color w:val="222222"/>
                <w:shd w:val="clear" w:color="auto" w:fill="FFFFFF"/>
              </w:rPr>
              <w:t xml:space="preserve">Bowen, M. (1976) Theory in Practice of psychotherapy. </w:t>
            </w:r>
            <w:r w:rsidRPr="00BC1F74">
              <w:rPr>
                <w:color w:val="222222"/>
                <w:shd w:val="clear" w:color="auto" w:fill="FFFFFF"/>
              </w:rPr>
              <w:t xml:space="preserve">In Guerin, PM JR (eds.) </w:t>
            </w:r>
            <w:r w:rsidRPr="008809C3">
              <w:rPr>
                <w:i/>
                <w:iCs/>
                <w:color w:val="222222"/>
                <w:shd w:val="clear" w:color="auto" w:fill="FFFFFF"/>
              </w:rPr>
              <w:t>Family therapy: Theory and practice</w:t>
            </w:r>
            <w:r>
              <w:rPr>
                <w:color w:val="222222"/>
                <w:shd w:val="clear" w:color="auto" w:fill="FFFFFF"/>
              </w:rPr>
              <w:t>, 3(1), pp/42-90.</w:t>
            </w:r>
          </w:p>
          <w:p w14:paraId="2A142A72" w14:textId="77777777" w:rsidR="00DB078E" w:rsidRDefault="00DB078E" w:rsidP="00DB078E">
            <w:pPr>
              <w:rPr>
                <w:color w:val="222222"/>
                <w:shd w:val="clear" w:color="auto" w:fill="FFFFFF"/>
              </w:rPr>
            </w:pPr>
          </w:p>
          <w:p w14:paraId="58CDE763" w14:textId="77777777" w:rsidR="00DB078E" w:rsidRPr="00606386" w:rsidRDefault="00DB078E" w:rsidP="00DB078E">
            <w:r>
              <w:rPr>
                <w:color w:val="222222"/>
                <w:shd w:val="clear" w:color="auto" w:fill="FFFFFF"/>
              </w:rPr>
              <w:t>Davies, K. and Jones, R. (2015) </w:t>
            </w:r>
            <w:r>
              <w:rPr>
                <w:i/>
                <w:iCs/>
                <w:color w:val="222222"/>
                <w:shd w:val="clear" w:color="auto" w:fill="FFFFFF"/>
              </w:rPr>
              <w:t>Skills for social work practice</w:t>
            </w:r>
            <w:r>
              <w:rPr>
                <w:color w:val="222222"/>
                <w:shd w:val="clear" w:color="auto" w:fill="FFFFFF"/>
              </w:rPr>
              <w:t>. Basingstoke: Palgrave Macmillan.</w:t>
            </w:r>
          </w:p>
          <w:p w14:paraId="6E32975B" w14:textId="77777777" w:rsidR="00DB078E" w:rsidRDefault="00DB078E" w:rsidP="00DB078E">
            <w:pPr>
              <w:rPr>
                <w:color w:val="222222"/>
                <w:shd w:val="clear" w:color="auto" w:fill="FFFFFF"/>
              </w:rPr>
            </w:pPr>
            <w:r>
              <w:rPr>
                <w:color w:val="222222"/>
                <w:shd w:val="clear" w:color="auto" w:fill="FFFFFF"/>
              </w:rPr>
              <w:t>Director, S., 2023. Dementia and Concurrent Consent to Sexual Relations. </w:t>
            </w:r>
            <w:r>
              <w:rPr>
                <w:i/>
                <w:iCs/>
                <w:color w:val="222222"/>
                <w:shd w:val="clear" w:color="auto" w:fill="FFFFFF"/>
              </w:rPr>
              <w:t xml:space="preserve">Hastings </w:t>
            </w:r>
            <w:proofErr w:type="spellStart"/>
            <w:r>
              <w:rPr>
                <w:i/>
                <w:iCs/>
                <w:color w:val="222222"/>
                <w:shd w:val="clear" w:color="auto" w:fill="FFFFFF"/>
              </w:rPr>
              <w:t>Center</w:t>
            </w:r>
            <w:proofErr w:type="spellEnd"/>
            <w:r>
              <w:rPr>
                <w:i/>
                <w:iCs/>
                <w:color w:val="222222"/>
                <w:shd w:val="clear" w:color="auto" w:fill="FFFFFF"/>
              </w:rPr>
              <w:t xml:space="preserve"> Report</w:t>
            </w:r>
            <w:r>
              <w:rPr>
                <w:color w:val="222222"/>
                <w:shd w:val="clear" w:color="auto" w:fill="FFFFFF"/>
              </w:rPr>
              <w:t>, </w:t>
            </w:r>
            <w:r>
              <w:rPr>
                <w:i/>
                <w:iCs/>
                <w:color w:val="222222"/>
                <w:shd w:val="clear" w:color="auto" w:fill="FFFFFF"/>
              </w:rPr>
              <w:t>53</w:t>
            </w:r>
            <w:r>
              <w:rPr>
                <w:color w:val="222222"/>
                <w:shd w:val="clear" w:color="auto" w:fill="FFFFFF"/>
              </w:rPr>
              <w:t>(3), pp.37-45.</w:t>
            </w:r>
          </w:p>
          <w:p w14:paraId="273953F4" w14:textId="77777777" w:rsidR="00DB078E" w:rsidRDefault="00DB078E" w:rsidP="00DB078E">
            <w:pPr>
              <w:rPr>
                <w:color w:val="222222"/>
                <w:shd w:val="clear" w:color="auto" w:fill="FFFFFF"/>
              </w:rPr>
            </w:pPr>
          </w:p>
          <w:p w14:paraId="25E56875" w14:textId="77777777" w:rsidR="00DB078E" w:rsidRDefault="00DB078E" w:rsidP="00DB078E">
            <w:pPr>
              <w:rPr>
                <w:color w:val="222222"/>
                <w:shd w:val="clear" w:color="auto" w:fill="FFFFFF"/>
              </w:rPr>
            </w:pPr>
            <w:r>
              <w:rPr>
                <w:color w:val="222222"/>
                <w:shd w:val="clear" w:color="auto" w:fill="FFFFFF"/>
              </w:rPr>
              <w:t>Ford, K., Newbury, A., Meredith, Z., Evans, J., Hughes, K., Roderick, J., Davies, A.R. and Bellis, M.A. (2020) Understanding the outcome of police safeguarding notifications to social services in South Wales. </w:t>
            </w:r>
            <w:r>
              <w:rPr>
                <w:i/>
                <w:iCs/>
                <w:color w:val="222222"/>
                <w:shd w:val="clear" w:color="auto" w:fill="FFFFFF"/>
              </w:rPr>
              <w:t>The Police Journal</w:t>
            </w:r>
            <w:r>
              <w:rPr>
                <w:color w:val="222222"/>
                <w:shd w:val="clear" w:color="auto" w:fill="FFFFFF"/>
              </w:rPr>
              <w:t>, </w:t>
            </w:r>
            <w:r>
              <w:rPr>
                <w:i/>
                <w:iCs/>
                <w:color w:val="222222"/>
                <w:shd w:val="clear" w:color="auto" w:fill="FFFFFF"/>
              </w:rPr>
              <w:t>93</w:t>
            </w:r>
            <w:r>
              <w:rPr>
                <w:color w:val="222222"/>
                <w:shd w:val="clear" w:color="auto" w:fill="FFFFFF"/>
              </w:rPr>
              <w:t>(2), pp.87-108.</w:t>
            </w:r>
          </w:p>
          <w:p w14:paraId="5B0FA4C3" w14:textId="77777777" w:rsidR="00DB078E" w:rsidRDefault="00DB078E" w:rsidP="00DB078E">
            <w:pPr>
              <w:rPr>
                <w:color w:val="222222"/>
                <w:shd w:val="clear" w:color="auto" w:fill="FFFFFF"/>
              </w:rPr>
            </w:pPr>
          </w:p>
          <w:p w14:paraId="6CE527A5" w14:textId="77777777" w:rsidR="00DB078E" w:rsidRDefault="00DB078E" w:rsidP="00DB078E">
            <w:pPr>
              <w:rPr>
                <w:color w:val="222222"/>
                <w:shd w:val="clear" w:color="auto" w:fill="FFFFFF"/>
              </w:rPr>
            </w:pPr>
            <w:r>
              <w:rPr>
                <w:color w:val="222222"/>
                <w:shd w:val="clear" w:color="auto" w:fill="FFFFFF"/>
              </w:rPr>
              <w:t xml:space="preserve">Fook, J. (2002) </w:t>
            </w:r>
            <w:r w:rsidRPr="008809C3">
              <w:rPr>
                <w:color w:val="222222"/>
                <w:shd w:val="clear" w:color="auto" w:fill="FFFFFF"/>
              </w:rPr>
              <w:t>Social Work: Critical Theory and Practice.</w:t>
            </w:r>
            <w:r>
              <w:rPr>
                <w:color w:val="222222"/>
                <w:shd w:val="clear" w:color="auto" w:fill="FFFFFF"/>
              </w:rPr>
              <w:t xml:space="preserve"> (London) Sage. </w:t>
            </w:r>
          </w:p>
          <w:p w14:paraId="1E2A644C" w14:textId="77777777" w:rsidR="00DB078E" w:rsidRDefault="00DB078E" w:rsidP="00DB078E">
            <w:pPr>
              <w:rPr>
                <w:color w:val="222222"/>
                <w:shd w:val="clear" w:color="auto" w:fill="FFFFFF"/>
              </w:rPr>
            </w:pPr>
          </w:p>
          <w:p w14:paraId="2E2EC84C" w14:textId="77777777" w:rsidR="00DB078E" w:rsidRDefault="00DB078E" w:rsidP="00DB078E">
            <w:pPr>
              <w:rPr>
                <w:color w:val="222222"/>
                <w:shd w:val="clear" w:color="auto" w:fill="FFFFFF"/>
              </w:rPr>
            </w:pPr>
            <w:r>
              <w:rPr>
                <w:color w:val="222222"/>
                <w:shd w:val="clear" w:color="auto" w:fill="FFFFFF"/>
              </w:rPr>
              <w:t>Fook, J. (2022). Social work: A critical approach to practice. </w:t>
            </w:r>
            <w:r>
              <w:rPr>
                <w:i/>
                <w:iCs/>
                <w:color w:val="222222"/>
                <w:shd w:val="clear" w:color="auto" w:fill="FFFFFF"/>
              </w:rPr>
              <w:t>Social Work</w:t>
            </w:r>
            <w:r>
              <w:rPr>
                <w:color w:val="222222"/>
                <w:shd w:val="clear" w:color="auto" w:fill="FFFFFF"/>
              </w:rPr>
              <w:t>, pp.1-100.</w:t>
            </w:r>
          </w:p>
          <w:p w14:paraId="20FD32A3" w14:textId="77777777" w:rsidR="00DB078E" w:rsidRDefault="00DB078E" w:rsidP="00DB078E">
            <w:pPr>
              <w:rPr>
                <w:rFonts w:ascii="Open Sans" w:hAnsi="Open Sans" w:cs="Open Sans"/>
                <w:color w:val="333333"/>
                <w:shd w:val="clear" w:color="auto" w:fill="FFFFFF"/>
              </w:rPr>
            </w:pPr>
          </w:p>
          <w:p w14:paraId="53C6E00D" w14:textId="77777777" w:rsidR="00DB078E" w:rsidRDefault="00DB078E" w:rsidP="00DB078E">
            <w:r>
              <w:t xml:space="preserve">Great Britain. </w:t>
            </w:r>
            <w:r w:rsidRPr="00794093">
              <w:rPr>
                <w:i/>
                <w:iCs/>
              </w:rPr>
              <w:t>Human Rights Act</w:t>
            </w:r>
            <w:r>
              <w:rPr>
                <w:i/>
                <w:iCs/>
              </w:rPr>
              <w:t xml:space="preserve"> 1998</w:t>
            </w:r>
            <w:r w:rsidRPr="00794093">
              <w:rPr>
                <w:i/>
                <w:iCs/>
              </w:rPr>
              <w:t>: Elizabeth II. Chapter 42</w:t>
            </w:r>
            <w:r>
              <w:t xml:space="preserve"> (1998) The Stationery Office.</w:t>
            </w:r>
          </w:p>
          <w:p w14:paraId="1D8A54EE" w14:textId="77777777" w:rsidR="00DB078E" w:rsidRDefault="00DB078E" w:rsidP="00DB078E"/>
          <w:p w14:paraId="0F8E47C4" w14:textId="2BC830F7" w:rsidR="00DB078E" w:rsidRDefault="00DB078E" w:rsidP="00DB078E">
            <w:r>
              <w:t xml:space="preserve">Great Britain. </w:t>
            </w:r>
            <w:r>
              <w:rPr>
                <w:i/>
                <w:iCs/>
              </w:rPr>
              <w:t>Data Protection Act 2018</w:t>
            </w:r>
            <w:r w:rsidRPr="00794093">
              <w:rPr>
                <w:i/>
                <w:iCs/>
              </w:rPr>
              <w:t xml:space="preserve">: Elizabeth II. Chapter </w:t>
            </w:r>
            <w:r>
              <w:rPr>
                <w:i/>
                <w:iCs/>
              </w:rPr>
              <w:t xml:space="preserve">12 </w:t>
            </w:r>
            <w:r>
              <w:t>(2018) The Stationery Office.</w:t>
            </w:r>
          </w:p>
          <w:p w14:paraId="5EF94838" w14:textId="77777777" w:rsidR="00DB078E" w:rsidRDefault="00DB078E" w:rsidP="00DB078E"/>
          <w:p w14:paraId="6063D30A" w14:textId="77777777" w:rsidR="00DB078E" w:rsidRDefault="00DB078E" w:rsidP="00DB078E">
            <w:r>
              <w:t xml:space="preserve">Great Britain. </w:t>
            </w:r>
            <w:r>
              <w:rPr>
                <w:i/>
                <w:iCs/>
              </w:rPr>
              <w:t>Mental Capacity Act 2005</w:t>
            </w:r>
            <w:r w:rsidRPr="00794093">
              <w:rPr>
                <w:i/>
                <w:iCs/>
              </w:rPr>
              <w:t xml:space="preserve">: Elizabeth II. Chapter </w:t>
            </w:r>
            <w:r>
              <w:rPr>
                <w:i/>
                <w:iCs/>
              </w:rPr>
              <w:t>9</w:t>
            </w:r>
            <w:r>
              <w:t xml:space="preserve"> (2005) The Stationery Office.</w:t>
            </w:r>
          </w:p>
          <w:p w14:paraId="54CF0BCB" w14:textId="77777777" w:rsidR="00DB078E" w:rsidRDefault="00DB078E" w:rsidP="00DB078E"/>
          <w:p w14:paraId="70A4003F" w14:textId="77777777" w:rsidR="00DB078E" w:rsidRDefault="00DB078E" w:rsidP="00DB078E">
            <w:r>
              <w:t xml:space="preserve">Great Britain. </w:t>
            </w:r>
            <w:r>
              <w:rPr>
                <w:i/>
                <w:iCs/>
              </w:rPr>
              <w:t xml:space="preserve">Modern Slavery Act 2015,  </w:t>
            </w:r>
            <w:r w:rsidRPr="00794093">
              <w:rPr>
                <w:i/>
                <w:iCs/>
              </w:rPr>
              <w:t xml:space="preserve">Elizabeth II. Chapter </w:t>
            </w:r>
            <w:r>
              <w:rPr>
                <w:i/>
                <w:iCs/>
              </w:rPr>
              <w:t>30</w:t>
            </w:r>
            <w:r>
              <w:t xml:space="preserve"> (2015) The Stationery Office.</w:t>
            </w:r>
          </w:p>
          <w:p w14:paraId="6D6244ED" w14:textId="77777777" w:rsidR="00DB078E" w:rsidRDefault="00DB078E" w:rsidP="00DB078E"/>
          <w:p w14:paraId="5EAA5404" w14:textId="77777777" w:rsidR="00DB078E" w:rsidRDefault="00DB078E" w:rsidP="00DB078E">
            <w:pPr>
              <w:rPr>
                <w:color w:val="222222"/>
                <w:shd w:val="clear" w:color="auto" w:fill="FFFFFF"/>
              </w:rPr>
            </w:pPr>
            <w:r w:rsidRPr="00CA0CFB">
              <w:rPr>
                <w:color w:val="222222"/>
                <w:shd w:val="clear" w:color="auto" w:fill="FFFFFF"/>
              </w:rPr>
              <w:t>Gibbs</w:t>
            </w:r>
            <w:r>
              <w:rPr>
                <w:color w:val="222222"/>
                <w:shd w:val="clear" w:color="auto" w:fill="FFFFFF"/>
              </w:rPr>
              <w:t>,</w:t>
            </w:r>
            <w:r w:rsidRPr="00CA0CFB">
              <w:rPr>
                <w:color w:val="222222"/>
                <w:shd w:val="clear" w:color="auto" w:fill="FFFFFF"/>
              </w:rPr>
              <w:t xml:space="preserve"> G</w:t>
            </w:r>
            <w:r>
              <w:rPr>
                <w:color w:val="222222"/>
                <w:shd w:val="clear" w:color="auto" w:fill="FFFFFF"/>
              </w:rPr>
              <w:t>.</w:t>
            </w:r>
            <w:r w:rsidRPr="00CA0CFB">
              <w:rPr>
                <w:color w:val="222222"/>
                <w:shd w:val="clear" w:color="auto" w:fill="FFFFFF"/>
              </w:rPr>
              <w:t xml:space="preserve"> (1988). Learning by Doing: A guide to teaching and learning methods. </w:t>
            </w:r>
            <w:r w:rsidRPr="008809C3">
              <w:rPr>
                <w:i/>
                <w:iCs/>
                <w:color w:val="222222"/>
                <w:shd w:val="clear" w:color="auto" w:fill="FFFFFF"/>
              </w:rPr>
              <w:t>Further Education Unit.</w:t>
            </w:r>
            <w:r w:rsidRPr="00CA0CFB">
              <w:rPr>
                <w:color w:val="222222"/>
                <w:shd w:val="clear" w:color="auto" w:fill="FFFFFF"/>
              </w:rPr>
              <w:t xml:space="preserve"> Oxford Polytechnic: Oxford.</w:t>
            </w:r>
          </w:p>
          <w:p w14:paraId="0C0488F6" w14:textId="77777777" w:rsidR="00DB078E" w:rsidRDefault="00DB078E" w:rsidP="00DB078E">
            <w:pPr>
              <w:rPr>
                <w:color w:val="222222"/>
                <w:shd w:val="clear" w:color="auto" w:fill="FFFFFF"/>
              </w:rPr>
            </w:pPr>
          </w:p>
          <w:p w14:paraId="47660348" w14:textId="77777777" w:rsidR="00DB078E" w:rsidRDefault="00DB078E" w:rsidP="00DB078E">
            <w:pPr>
              <w:rPr>
                <w:color w:val="222222"/>
                <w:shd w:val="clear" w:color="auto" w:fill="FFFFFF"/>
              </w:rPr>
            </w:pPr>
            <w:r w:rsidRPr="008809C3">
              <w:rPr>
                <w:color w:val="222222"/>
                <w:shd w:val="clear" w:color="auto" w:fill="FFFFFF"/>
              </w:rPr>
              <w:t>HMIC (2015a) PEEL: </w:t>
            </w:r>
            <w:r w:rsidRPr="008809C3">
              <w:rPr>
                <w:i/>
                <w:iCs/>
                <w:color w:val="222222"/>
                <w:shd w:val="clear" w:color="auto" w:fill="FFFFFF"/>
              </w:rPr>
              <w:t>Police Effectiveness 2015 (Vulnerability). A National Overview</w:t>
            </w:r>
            <w:r w:rsidRPr="008809C3">
              <w:rPr>
                <w:color w:val="222222"/>
                <w:shd w:val="clear" w:color="auto" w:fill="FFFFFF"/>
              </w:rPr>
              <w:t xml:space="preserve">. Available at: www.justiceinspectorates.gov.uk/hmicfrs/wp-content/uploads/police-effectiveness-vulnerability-2015.pdf (Accessed 12 January </w:t>
            </w:r>
            <w:r>
              <w:rPr>
                <w:color w:val="222222"/>
                <w:shd w:val="clear" w:color="auto" w:fill="FFFFFF"/>
              </w:rPr>
              <w:t>2024</w:t>
            </w:r>
            <w:r w:rsidRPr="008809C3">
              <w:rPr>
                <w:color w:val="222222"/>
                <w:shd w:val="clear" w:color="auto" w:fill="FFFFFF"/>
              </w:rPr>
              <w:t>).</w:t>
            </w:r>
          </w:p>
          <w:p w14:paraId="193474BF" w14:textId="77777777" w:rsidR="00DB078E" w:rsidRPr="008809C3" w:rsidRDefault="00DB078E" w:rsidP="00DB078E">
            <w:pPr>
              <w:rPr>
                <w:color w:val="222222"/>
                <w:shd w:val="clear" w:color="auto" w:fill="FFFFFF"/>
              </w:rPr>
            </w:pPr>
          </w:p>
          <w:p w14:paraId="2F98B53A" w14:textId="77777777" w:rsidR="00DB078E" w:rsidRDefault="00DB078E" w:rsidP="00DB078E">
            <w:pPr>
              <w:rPr>
                <w:color w:val="333333"/>
                <w:shd w:val="clear" w:color="auto" w:fill="FFFFFF"/>
              </w:rPr>
            </w:pPr>
            <w:r w:rsidRPr="008809C3">
              <w:rPr>
                <w:color w:val="333333"/>
                <w:shd w:val="clear" w:color="auto" w:fill="FFFFFF"/>
              </w:rPr>
              <w:t xml:space="preserve">Ministry of Justice (2020) </w:t>
            </w:r>
            <w:r w:rsidRPr="008809C3">
              <w:rPr>
                <w:rStyle w:val="Emphasis"/>
                <w:color w:val="333333"/>
                <w:shd w:val="clear" w:color="auto" w:fill="FFFFFF"/>
              </w:rPr>
              <w:t>Code of Practice for Victims of Crime</w:t>
            </w:r>
            <w:r w:rsidRPr="008809C3">
              <w:rPr>
                <w:color w:val="333333"/>
                <w:shd w:val="clear" w:color="auto" w:fill="FFFFFF"/>
              </w:rPr>
              <w:t>. London: HMSO.</w:t>
            </w:r>
          </w:p>
          <w:p w14:paraId="2A77D63C" w14:textId="77777777" w:rsidR="00DB078E" w:rsidRPr="008809C3" w:rsidRDefault="00DB078E" w:rsidP="00DB078E">
            <w:pPr>
              <w:rPr>
                <w:color w:val="333333"/>
                <w:shd w:val="clear" w:color="auto" w:fill="FFFFFF"/>
              </w:rPr>
            </w:pPr>
          </w:p>
          <w:p w14:paraId="106D4445" w14:textId="77777777" w:rsidR="00DB078E" w:rsidRDefault="00DB078E" w:rsidP="00DB078E">
            <w:pPr>
              <w:rPr>
                <w:color w:val="222222"/>
                <w:shd w:val="clear" w:color="auto" w:fill="FFFFFF"/>
              </w:rPr>
            </w:pPr>
            <w:r>
              <w:rPr>
                <w:color w:val="222222"/>
                <w:shd w:val="clear" w:color="auto" w:fill="FFFFFF"/>
              </w:rPr>
              <w:t>Murphy, D., Duggan, M. and Joseph, S. (2013) Relationship-based social work and its compatibility with the person-centred approach: Principled versus instrumental perspectives. </w:t>
            </w:r>
            <w:r>
              <w:rPr>
                <w:i/>
                <w:iCs/>
                <w:color w:val="222222"/>
                <w:shd w:val="clear" w:color="auto" w:fill="FFFFFF"/>
              </w:rPr>
              <w:t>British Journal of Social Work</w:t>
            </w:r>
            <w:r>
              <w:rPr>
                <w:color w:val="222222"/>
                <w:shd w:val="clear" w:color="auto" w:fill="FFFFFF"/>
              </w:rPr>
              <w:t>, </w:t>
            </w:r>
            <w:r>
              <w:rPr>
                <w:i/>
                <w:iCs/>
                <w:color w:val="222222"/>
                <w:shd w:val="clear" w:color="auto" w:fill="FFFFFF"/>
              </w:rPr>
              <w:t>43</w:t>
            </w:r>
            <w:r>
              <w:rPr>
                <w:color w:val="222222"/>
                <w:shd w:val="clear" w:color="auto" w:fill="FFFFFF"/>
              </w:rPr>
              <w:t>(4), pp.703-719.</w:t>
            </w:r>
          </w:p>
          <w:p w14:paraId="2A4A28F1" w14:textId="77777777" w:rsidR="00DB078E" w:rsidRDefault="00DB078E" w:rsidP="00DB078E">
            <w:pPr>
              <w:rPr>
                <w:color w:val="222222"/>
                <w:shd w:val="clear" w:color="auto" w:fill="FFFFFF"/>
              </w:rPr>
            </w:pPr>
          </w:p>
          <w:p w14:paraId="4AE0C882" w14:textId="0AEA2A19" w:rsidR="00DB078E" w:rsidRDefault="00DB078E" w:rsidP="00DB078E">
            <w:pPr>
              <w:rPr>
                <w:color w:val="222222"/>
                <w:shd w:val="clear" w:color="auto" w:fill="FFFFFF"/>
              </w:rPr>
            </w:pPr>
            <w:r>
              <w:rPr>
                <w:color w:val="222222"/>
                <w:shd w:val="clear" w:color="auto" w:fill="FFFFFF"/>
              </w:rPr>
              <w:lastRenderedPageBreak/>
              <w:t xml:space="preserve">National Collaboration Centre for Mental Health (2011) Supporting people with dementia and their  </w:t>
            </w:r>
            <w:proofErr w:type="spellStart"/>
            <w:r>
              <w:rPr>
                <w:color w:val="222222"/>
                <w:shd w:val="clear" w:color="auto" w:fill="FFFFFF"/>
              </w:rPr>
              <w:t>carers</w:t>
            </w:r>
            <w:proofErr w:type="spellEnd"/>
            <w:r>
              <w:rPr>
                <w:color w:val="222222"/>
                <w:shd w:val="clear" w:color="auto" w:fill="FFFFFF"/>
              </w:rPr>
              <w:t xml:space="preserve"> in health and social care (online). Available at https://www.scie.org.uk/publications/misc/dementia/dementia-fullguideline.pdf?res=true (Accessed 12 January 2024)</w:t>
            </w:r>
            <w:r>
              <w:rPr>
                <w:color w:val="222222"/>
                <w:shd w:val="clear" w:color="auto" w:fill="FFFFFF"/>
              </w:rPr>
              <w:t>.</w:t>
            </w:r>
          </w:p>
          <w:p w14:paraId="097C9198" w14:textId="77777777" w:rsidR="00DB078E" w:rsidRDefault="00DB078E" w:rsidP="00DB078E">
            <w:pPr>
              <w:rPr>
                <w:color w:val="222222"/>
                <w:shd w:val="clear" w:color="auto" w:fill="FFFFFF"/>
              </w:rPr>
            </w:pPr>
          </w:p>
          <w:p w14:paraId="2C78FAF8" w14:textId="77777777" w:rsidR="00DB078E" w:rsidRDefault="00DB078E" w:rsidP="00DB078E">
            <w:pPr>
              <w:rPr>
                <w:color w:val="222222"/>
                <w:shd w:val="clear" w:color="auto" w:fill="FFFFFF"/>
              </w:rPr>
            </w:pPr>
            <w:r>
              <w:rPr>
                <w:color w:val="222222"/>
                <w:shd w:val="clear" w:color="auto" w:fill="FFFFFF"/>
              </w:rPr>
              <w:t xml:space="preserve">Prochaska, J. and DiClemente, C. (1983) </w:t>
            </w:r>
            <w:r w:rsidRPr="008809C3">
              <w:rPr>
                <w:color w:val="222222"/>
                <w:shd w:val="clear" w:color="auto" w:fill="FFFFFF"/>
              </w:rPr>
              <w:t xml:space="preserve">Stages and processes of </w:t>
            </w:r>
            <w:proofErr w:type="spellStart"/>
            <w:r w:rsidRPr="008809C3">
              <w:rPr>
                <w:color w:val="222222"/>
                <w:shd w:val="clear" w:color="auto" w:fill="FFFFFF"/>
              </w:rPr>
              <w:t>self change</w:t>
            </w:r>
            <w:proofErr w:type="spellEnd"/>
            <w:r w:rsidRPr="008809C3">
              <w:rPr>
                <w:color w:val="222222"/>
                <w:shd w:val="clear" w:color="auto" w:fill="FFFFFF"/>
              </w:rPr>
              <w:t xml:space="preserve"> of smoking: Toward an integrative model of change</w:t>
            </w:r>
            <w:r w:rsidRPr="001D1BCB">
              <w:rPr>
                <w:i/>
                <w:iCs/>
                <w:color w:val="222222"/>
                <w:shd w:val="clear" w:color="auto" w:fill="FFFFFF"/>
              </w:rPr>
              <w:t>.</w:t>
            </w:r>
            <w:r>
              <w:rPr>
                <w:color w:val="222222"/>
                <w:shd w:val="clear" w:color="auto" w:fill="FFFFFF"/>
              </w:rPr>
              <w:t xml:space="preserve"> </w:t>
            </w:r>
            <w:r w:rsidRPr="008809C3">
              <w:rPr>
                <w:i/>
                <w:iCs/>
                <w:color w:val="222222"/>
                <w:shd w:val="clear" w:color="auto" w:fill="FFFFFF"/>
              </w:rPr>
              <w:t>Journal of Consulting and Clinical Psychology</w:t>
            </w:r>
            <w:r>
              <w:rPr>
                <w:i/>
                <w:iCs/>
                <w:color w:val="222222"/>
                <w:shd w:val="clear" w:color="auto" w:fill="FFFFFF"/>
              </w:rPr>
              <w:t>,</w:t>
            </w:r>
            <w:r>
              <w:rPr>
                <w:color w:val="222222"/>
                <w:shd w:val="clear" w:color="auto" w:fill="FFFFFF"/>
              </w:rPr>
              <w:t xml:space="preserve"> 51 pp.390-395.</w:t>
            </w:r>
          </w:p>
          <w:p w14:paraId="27975E22" w14:textId="77777777" w:rsidR="00DB078E" w:rsidRDefault="00DB078E" w:rsidP="00DB078E">
            <w:pPr>
              <w:rPr>
                <w:color w:val="222222"/>
                <w:shd w:val="clear" w:color="auto" w:fill="FFFFFF"/>
              </w:rPr>
            </w:pPr>
          </w:p>
          <w:p w14:paraId="3840CA78" w14:textId="77777777" w:rsidR="00DB078E" w:rsidRDefault="00DB078E" w:rsidP="00DB078E">
            <w:pPr>
              <w:rPr>
                <w:color w:val="222222"/>
                <w:shd w:val="clear" w:color="auto" w:fill="FFFFFF"/>
              </w:rPr>
            </w:pPr>
            <w:proofErr w:type="spellStart"/>
            <w:r>
              <w:rPr>
                <w:color w:val="222222"/>
                <w:shd w:val="clear" w:color="auto" w:fill="FFFFFF"/>
              </w:rPr>
              <w:t>Saleebey</w:t>
            </w:r>
            <w:proofErr w:type="spellEnd"/>
            <w:r>
              <w:rPr>
                <w:color w:val="222222"/>
                <w:shd w:val="clear" w:color="auto" w:fill="FFFFFF"/>
              </w:rPr>
              <w:t xml:space="preserve">, D. (1996) The strengths perspective in social work practice: extensions and cautions. </w:t>
            </w:r>
            <w:r w:rsidRPr="008809C3">
              <w:rPr>
                <w:i/>
                <w:iCs/>
                <w:color w:val="222222"/>
                <w:shd w:val="clear" w:color="auto" w:fill="FFFFFF"/>
              </w:rPr>
              <w:t>Social Work</w:t>
            </w:r>
            <w:r>
              <w:rPr>
                <w:color w:val="222222"/>
                <w:shd w:val="clear" w:color="auto" w:fill="FFFFFF"/>
              </w:rPr>
              <w:t>, 41, pp.296-305.</w:t>
            </w:r>
          </w:p>
          <w:p w14:paraId="12D240D4" w14:textId="77777777" w:rsidR="00DB078E" w:rsidRDefault="00DB078E" w:rsidP="00DB078E">
            <w:pPr>
              <w:rPr>
                <w:rFonts w:ascii="Open Sans" w:hAnsi="Open Sans" w:cs="Open Sans"/>
                <w:color w:val="333333"/>
                <w:shd w:val="clear" w:color="auto" w:fill="FFFFFF"/>
              </w:rPr>
            </w:pPr>
          </w:p>
          <w:p w14:paraId="28A43749" w14:textId="77777777" w:rsidR="00DB078E" w:rsidRDefault="00DB078E" w:rsidP="00DB078E">
            <w:pPr>
              <w:rPr>
                <w:color w:val="222222"/>
                <w:shd w:val="clear" w:color="auto" w:fill="FFFFFF"/>
              </w:rPr>
            </w:pPr>
            <w:r>
              <w:rPr>
                <w:color w:val="222222"/>
                <w:shd w:val="clear" w:color="auto" w:fill="FFFFFF"/>
              </w:rPr>
              <w:t xml:space="preserve">Simmons-Mackie, N., Worrall, L., </w:t>
            </w:r>
            <w:proofErr w:type="spellStart"/>
            <w:r>
              <w:rPr>
                <w:color w:val="222222"/>
                <w:shd w:val="clear" w:color="auto" w:fill="FFFFFF"/>
              </w:rPr>
              <w:t>Shiggins</w:t>
            </w:r>
            <w:proofErr w:type="spellEnd"/>
            <w:r>
              <w:rPr>
                <w:color w:val="222222"/>
                <w:shd w:val="clear" w:color="auto" w:fill="FFFFFF"/>
              </w:rPr>
              <w:t>, C., Isaksen, J., McMenamin, R., Rose, T., Guo, Y.E. and Wallace, S.J. (2020) Beyond the statistics: A research agenda in aphasia awareness. </w:t>
            </w:r>
            <w:r>
              <w:rPr>
                <w:i/>
                <w:iCs/>
                <w:color w:val="222222"/>
                <w:shd w:val="clear" w:color="auto" w:fill="FFFFFF"/>
              </w:rPr>
              <w:t>Aphasiology</w:t>
            </w:r>
            <w:r>
              <w:rPr>
                <w:color w:val="222222"/>
                <w:shd w:val="clear" w:color="auto" w:fill="FFFFFF"/>
              </w:rPr>
              <w:t>, </w:t>
            </w:r>
            <w:r>
              <w:rPr>
                <w:i/>
                <w:iCs/>
                <w:color w:val="222222"/>
                <w:shd w:val="clear" w:color="auto" w:fill="FFFFFF"/>
              </w:rPr>
              <w:t>34</w:t>
            </w:r>
            <w:r>
              <w:rPr>
                <w:color w:val="222222"/>
                <w:shd w:val="clear" w:color="auto" w:fill="FFFFFF"/>
              </w:rPr>
              <w:t>(4), pp.458-471.</w:t>
            </w:r>
          </w:p>
          <w:p w14:paraId="57066D71" w14:textId="77777777" w:rsidR="00DB078E" w:rsidRDefault="00DB078E" w:rsidP="00DB078E">
            <w:pPr>
              <w:rPr>
                <w:color w:val="222222"/>
                <w:shd w:val="clear" w:color="auto" w:fill="FFFFFF"/>
              </w:rPr>
            </w:pPr>
          </w:p>
          <w:p w14:paraId="3EE9AF41" w14:textId="3D33E7E7" w:rsidR="00DB078E" w:rsidRDefault="00DB078E" w:rsidP="00DB078E">
            <w:r w:rsidRPr="00241DDA">
              <w:rPr>
                <w:i/>
              </w:rPr>
              <w:t>Social Services and Well-Being (Wales) Act 2014</w:t>
            </w:r>
            <w:r>
              <w:t xml:space="preserve">. Available at: </w:t>
            </w:r>
            <w:r w:rsidRPr="00897444">
              <w:t>https://www.legislation.gov.uk/anaw/2014/4/contents</w:t>
            </w:r>
            <w:r>
              <w:t xml:space="preserve"> (Accessed 12 January 2024)</w:t>
            </w:r>
            <w:r>
              <w:t>.</w:t>
            </w:r>
          </w:p>
          <w:p w14:paraId="4696F51A" w14:textId="77777777" w:rsidR="00DB078E" w:rsidRDefault="00DB078E" w:rsidP="00DB078E"/>
          <w:p w14:paraId="25F5323F" w14:textId="77777777" w:rsidR="00DB078E" w:rsidRDefault="00DB078E" w:rsidP="00DB078E">
            <w:r w:rsidRPr="00241DDA">
              <w:rPr>
                <w:i/>
              </w:rPr>
              <w:t>Social Services and Well-Being (Wales) Act 2014</w:t>
            </w:r>
            <w:r w:rsidRPr="00241DDA">
              <w:t xml:space="preserve"> </w:t>
            </w:r>
            <w:r>
              <w:t>(</w:t>
            </w:r>
            <w:proofErr w:type="spellStart"/>
            <w:r>
              <w:t>anaw</w:t>
            </w:r>
            <w:proofErr w:type="spellEnd"/>
            <w:r>
              <w:t xml:space="preserve"> 4) Part 7. Available at: </w:t>
            </w:r>
            <w:r w:rsidRPr="00794093">
              <w:t>http://www.legislation.gov.uk/</w:t>
            </w:r>
            <w:r w:rsidRPr="00794093">
              <w:t>a</w:t>
            </w:r>
            <w:r w:rsidRPr="00794093">
              <w:t>naw/2014/4/part/7</w:t>
            </w:r>
            <w:r>
              <w:t xml:space="preserve"> (Accessed 12 January 2024). </w:t>
            </w:r>
          </w:p>
          <w:p w14:paraId="18DCEBF3" w14:textId="77777777" w:rsidR="00DB078E" w:rsidRDefault="00DB078E" w:rsidP="00DB078E"/>
          <w:p w14:paraId="4A95685D" w14:textId="77777777" w:rsidR="00DB078E" w:rsidRDefault="00DB078E" w:rsidP="00DB078E">
            <w:r w:rsidRPr="00241DDA">
              <w:rPr>
                <w:i/>
              </w:rPr>
              <w:t>Social Services and Well-Being (Wales) Act 2014</w:t>
            </w:r>
            <w:r w:rsidRPr="00241DDA">
              <w:t xml:space="preserve"> </w:t>
            </w:r>
            <w:r>
              <w:t>(</w:t>
            </w:r>
            <w:proofErr w:type="spellStart"/>
            <w:r>
              <w:t>anaw</w:t>
            </w:r>
            <w:proofErr w:type="spellEnd"/>
            <w:r>
              <w:t xml:space="preserve"> 4) Part 10. Available at: </w:t>
            </w:r>
            <w:r w:rsidRPr="00BC1F74">
              <w:t>https://www.legislation.gov.uk/anaw/2014/4/part/10</w:t>
            </w:r>
            <w:r>
              <w:t xml:space="preserve">  (Accessed 12 January 2024). </w:t>
            </w:r>
          </w:p>
          <w:p w14:paraId="3E77887F" w14:textId="77777777" w:rsidR="00DB078E" w:rsidRDefault="00DB078E" w:rsidP="00DB078E"/>
          <w:p w14:paraId="60D18A94" w14:textId="77777777" w:rsidR="00DB078E" w:rsidRDefault="00DB078E" w:rsidP="00DB078E">
            <w:pPr>
              <w:rPr>
                <w:color w:val="222222"/>
                <w:shd w:val="clear" w:color="auto" w:fill="FFFFFF"/>
              </w:rPr>
            </w:pPr>
            <w:r>
              <w:rPr>
                <w:color w:val="222222"/>
                <w:shd w:val="clear" w:color="auto" w:fill="FFFFFF"/>
              </w:rPr>
              <w:t>Son, G.R., Therrien, B. and Whall, A. (2002) Implicit memory and familiarity among elders with dementia. </w:t>
            </w:r>
            <w:r>
              <w:rPr>
                <w:i/>
                <w:iCs/>
                <w:color w:val="222222"/>
                <w:shd w:val="clear" w:color="auto" w:fill="FFFFFF"/>
              </w:rPr>
              <w:t>Journal of Nursing Scholarship</w:t>
            </w:r>
            <w:r>
              <w:rPr>
                <w:color w:val="222222"/>
                <w:shd w:val="clear" w:color="auto" w:fill="FFFFFF"/>
              </w:rPr>
              <w:t>, </w:t>
            </w:r>
            <w:r>
              <w:rPr>
                <w:i/>
                <w:iCs/>
                <w:color w:val="222222"/>
                <w:shd w:val="clear" w:color="auto" w:fill="FFFFFF"/>
              </w:rPr>
              <w:t>34</w:t>
            </w:r>
            <w:r>
              <w:rPr>
                <w:color w:val="222222"/>
                <w:shd w:val="clear" w:color="auto" w:fill="FFFFFF"/>
              </w:rPr>
              <w:t>(3), pp.263-267.</w:t>
            </w:r>
          </w:p>
          <w:p w14:paraId="7207A92A" w14:textId="77777777" w:rsidR="00DB078E" w:rsidRDefault="00DB078E" w:rsidP="00DB078E">
            <w:pPr>
              <w:rPr>
                <w:color w:val="222222"/>
                <w:shd w:val="clear" w:color="auto" w:fill="FFFFFF"/>
              </w:rPr>
            </w:pPr>
          </w:p>
          <w:p w14:paraId="61BE44F4" w14:textId="77777777" w:rsidR="00DB078E" w:rsidRDefault="00DB078E" w:rsidP="00DB078E">
            <w:r w:rsidRPr="008809C3">
              <w:t>Thacker, H.</w:t>
            </w:r>
            <w:r w:rsidRPr="00B216E2">
              <w:t>, </w:t>
            </w:r>
            <w:r w:rsidRPr="008809C3">
              <w:t>Anka, A.</w:t>
            </w:r>
            <w:r w:rsidRPr="00B216E2">
              <w:t> and </w:t>
            </w:r>
            <w:r w:rsidRPr="008809C3">
              <w:t>Penhale, B.</w:t>
            </w:r>
            <w:r w:rsidRPr="00B216E2">
              <w:t> (2019)</w:t>
            </w:r>
            <w:r>
              <w:t xml:space="preserve"> </w:t>
            </w:r>
            <w:r w:rsidRPr="00B216E2">
              <w:t>Could curiosity save lives? An exploration into the value of employing professional curiosity and partnership work in safeguarding adults under the Care Act 2014</w:t>
            </w:r>
            <w:r>
              <w:t>.</w:t>
            </w:r>
            <w:r w:rsidRPr="00B216E2">
              <w:t> </w:t>
            </w:r>
            <w:r w:rsidRPr="008809C3">
              <w:rPr>
                <w:i/>
                <w:iCs/>
              </w:rPr>
              <w:t>The Journal of Adult Protection</w:t>
            </w:r>
            <w:r w:rsidRPr="00B216E2">
              <w:t>, 21</w:t>
            </w:r>
            <w:r>
              <w:t>(</w:t>
            </w:r>
            <w:r w:rsidRPr="00B216E2">
              <w:t>5</w:t>
            </w:r>
            <w:r>
              <w:t xml:space="preserve">), </w:t>
            </w:r>
            <w:r w:rsidRPr="00B216E2">
              <w:t xml:space="preserve"> pp. 252-267. </w:t>
            </w:r>
          </w:p>
          <w:p w14:paraId="14E8F22B" w14:textId="77777777" w:rsidR="00DB078E" w:rsidRDefault="00DB078E" w:rsidP="00DB078E"/>
          <w:p w14:paraId="5B6821C6" w14:textId="479F20B4" w:rsidR="00DB078E" w:rsidRDefault="00DB078E" w:rsidP="00DB078E">
            <w:r>
              <w:t xml:space="preserve">The Centre for Social Justice ( 2015) Cuckooing – The case for strengthening the law against slavery in the home. Available at: </w:t>
            </w:r>
            <w:r w:rsidRPr="00CA0CFB">
              <w:t>https://www.centreforsocialjustice.org.uk/library/cuckooing-the-case-for-strengthening-the-law-against-slavery-in-the-home</w:t>
            </w:r>
            <w:r>
              <w:t xml:space="preserve"> (Accessed 12 January 2024)</w:t>
            </w:r>
            <w:r>
              <w:t>.</w:t>
            </w:r>
          </w:p>
          <w:p w14:paraId="7B2710CE" w14:textId="77777777" w:rsidR="00DB078E" w:rsidRDefault="00DB078E" w:rsidP="00DB078E"/>
          <w:p w14:paraId="44E4A0AA" w14:textId="77777777" w:rsidR="00DB078E" w:rsidRDefault="00DB078E" w:rsidP="00DB078E">
            <w:pPr>
              <w:rPr>
                <w:color w:val="222222"/>
                <w:shd w:val="clear" w:color="auto" w:fill="FFFFFF"/>
              </w:rPr>
            </w:pPr>
            <w:r>
              <w:rPr>
                <w:color w:val="222222"/>
                <w:shd w:val="clear" w:color="auto" w:fill="FFFFFF"/>
              </w:rPr>
              <w:t>Tonkin, L. (1996) Growing around grief another way of looking at grief and recovery. </w:t>
            </w:r>
            <w:r>
              <w:rPr>
                <w:i/>
                <w:iCs/>
                <w:color w:val="222222"/>
                <w:shd w:val="clear" w:color="auto" w:fill="FFFFFF"/>
              </w:rPr>
              <w:t>Bereavement Care</w:t>
            </w:r>
            <w:r>
              <w:rPr>
                <w:color w:val="222222"/>
                <w:shd w:val="clear" w:color="auto" w:fill="FFFFFF"/>
              </w:rPr>
              <w:t>, </w:t>
            </w:r>
            <w:r>
              <w:rPr>
                <w:i/>
                <w:iCs/>
                <w:color w:val="222222"/>
                <w:shd w:val="clear" w:color="auto" w:fill="FFFFFF"/>
              </w:rPr>
              <w:t>15</w:t>
            </w:r>
            <w:r>
              <w:rPr>
                <w:color w:val="222222"/>
                <w:shd w:val="clear" w:color="auto" w:fill="FFFFFF"/>
              </w:rPr>
              <w:t>(1), p.10.</w:t>
            </w:r>
          </w:p>
          <w:p w14:paraId="758864E5" w14:textId="77777777" w:rsidR="00DB078E" w:rsidRDefault="00DB078E" w:rsidP="00DB078E">
            <w:pPr>
              <w:rPr>
                <w:color w:val="222222"/>
                <w:shd w:val="clear" w:color="auto" w:fill="FFFFFF"/>
              </w:rPr>
            </w:pPr>
          </w:p>
          <w:p w14:paraId="11F47DA4" w14:textId="77777777" w:rsidR="00DB078E" w:rsidRDefault="00DB078E" w:rsidP="00DB078E">
            <w:r>
              <w:t xml:space="preserve">Wales. Social Services and Well-being (Wales) Act 2014; Elizabeth II. </w:t>
            </w:r>
            <w:proofErr w:type="spellStart"/>
            <w:r>
              <w:t>Anaw</w:t>
            </w:r>
            <w:proofErr w:type="spellEnd"/>
            <w:r>
              <w:t xml:space="preserve"> 4 (2014) The Stationery Office. </w:t>
            </w:r>
          </w:p>
          <w:p w14:paraId="6B84B4EC" w14:textId="77777777" w:rsidR="00DB078E" w:rsidRDefault="00DB078E" w:rsidP="00DB078E">
            <w:r w:rsidRPr="006E2FFE">
              <w:t>Wate, R. and Boulton, N., 2015. </w:t>
            </w:r>
            <w:r w:rsidRPr="006E2FFE">
              <w:rPr>
                <w:i/>
                <w:iCs/>
              </w:rPr>
              <w:t>Multi-agency Safeguarding in a Public Protection World: A handbook for protecting children and vulnerable adults</w:t>
            </w:r>
            <w:r w:rsidRPr="006E2FFE">
              <w:t>. Pavilion.</w:t>
            </w:r>
          </w:p>
          <w:p w14:paraId="14EFA007" w14:textId="77777777" w:rsidR="00DB078E" w:rsidRDefault="00DB078E" w:rsidP="00DB078E"/>
          <w:p w14:paraId="5D1DB25A" w14:textId="77777777" w:rsidR="00DB078E" w:rsidRDefault="00DB078E" w:rsidP="00DB078E">
            <w:r>
              <w:t xml:space="preserve">Welsh Government (2014) Working Together to Safeguard People: Volume 6 – Handling Individual Cases to Protect Adults at Risk. Available at </w:t>
            </w:r>
            <w:r w:rsidRPr="008809C3">
              <w:t>https://www.gov.wales/sites/default/files/publications/2019-06/volume-6-handling-individual-cases-to-protect-adults-at-risk.pdf</w:t>
            </w:r>
            <w:r>
              <w:t xml:space="preserve"> (Accessed 10 January 2024).</w:t>
            </w:r>
          </w:p>
          <w:p w14:paraId="34F5F8CA" w14:textId="77777777" w:rsidR="00DB078E" w:rsidRDefault="00DB078E" w:rsidP="00DB078E"/>
          <w:p w14:paraId="575000D5" w14:textId="77777777" w:rsidR="00DB078E" w:rsidRDefault="00DB078E" w:rsidP="00DB078E">
            <w:r>
              <w:t xml:space="preserve">Welsh Government (2014a) Wales Safeguarding Procedures. Available at </w:t>
            </w:r>
            <w:r w:rsidRPr="008809C3">
              <w:t>https://safeguarding.wales/en/</w:t>
            </w:r>
            <w:r>
              <w:t xml:space="preserve"> (Accessed 12 January 2024). </w:t>
            </w:r>
          </w:p>
          <w:p w14:paraId="12865A6E" w14:textId="77777777" w:rsidR="00DB078E" w:rsidRDefault="00DB078E" w:rsidP="00DB078E"/>
          <w:p w14:paraId="333CD8ED" w14:textId="77777777" w:rsidR="00DB078E" w:rsidRDefault="00DB078E" w:rsidP="00DB078E">
            <w:r>
              <w:t xml:space="preserve">Welsh Government (2014b) Working Together to Safeguard People: Volume 3 – Adult Practice Reviews. Available at </w:t>
            </w:r>
            <w:r w:rsidRPr="00BE2C12">
              <w:t>https://socialcare.wales/cms-assets/documents/hub-downloads/Working-Together-to-Safeguard-People-Volume-3-Adult-Practice-Reviews.pdf</w:t>
            </w:r>
            <w:r>
              <w:t>. (Accessed 10 January 2024).</w:t>
            </w:r>
          </w:p>
          <w:p w14:paraId="2C32F0C4" w14:textId="77777777" w:rsidR="00DB078E" w:rsidRDefault="00DB078E" w:rsidP="00DB078E"/>
          <w:p w14:paraId="47F21B6A" w14:textId="5076B3A7" w:rsidR="007A628F" w:rsidRPr="008B28E7" w:rsidRDefault="00DB078E" w:rsidP="00DB078E">
            <w:pPr>
              <w:rPr>
                <w:sz w:val="24"/>
                <w:szCs w:val="24"/>
              </w:rPr>
            </w:pPr>
            <w:r>
              <w:t xml:space="preserve">Welsh Government (2018). Social Services and Well-being (Wales) Act 2014. </w:t>
            </w:r>
            <w:r w:rsidRPr="003327D2">
              <w:rPr>
                <w:i/>
              </w:rPr>
              <w:t>Working Together to Safeguard People. Volume</w:t>
            </w:r>
            <w:r>
              <w:rPr>
                <w:i/>
              </w:rPr>
              <w:t xml:space="preserve"> 6 – Handling Individual Cases to Protect Adults at Risk. </w:t>
            </w:r>
            <w:r>
              <w:t xml:space="preserve">Available at: </w:t>
            </w:r>
            <w:r w:rsidRPr="00DB078E">
              <w:t>https://gov.wales/sites/default/files/publications/2019-06/volume-6-handling-individual-cases-to-protect-adults-at-risk.pdf</w:t>
            </w:r>
            <w:r>
              <w:t xml:space="preserve">. </w:t>
            </w: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Open Sans">
    <w:charset w:val="00"/>
    <w:family w:val="swiss"/>
    <w:pitch w:val="variable"/>
    <w:sig w:usb0="E00002EF" w:usb1="4000205B" w:usb2="00000028"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078E"/>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21CF"/>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Emphasis">
    <w:name w:val="Emphasis"/>
    <w:basedOn w:val="DefaultParagraphFont"/>
    <w:uiPriority w:val="20"/>
    <w:qFormat/>
    <w:rsid w:val="00DB078E"/>
    <w:rPr>
      <w:i/>
      <w:iCs/>
    </w:rPr>
  </w:style>
  <w:style w:type="character" w:styleId="UnresolvedMention">
    <w:name w:val="Unresolved Mention"/>
    <w:basedOn w:val="DefaultParagraphFont"/>
    <w:uiPriority w:val="99"/>
    <w:semiHidden/>
    <w:unhideWhenUsed/>
    <w:rsid w:val="00DB07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4862</Words>
  <Characters>26536</Characters>
  <Application>Microsoft Office Word</Application>
  <DocSecurity>4</DocSecurity>
  <Lines>221</Lines>
  <Paragraphs>62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Chloe Campfield</cp:lastModifiedBy>
  <cp:revision>2</cp:revision>
  <cp:lastPrinted>2020-02-11T19:20:00Z</cp:lastPrinted>
  <dcterms:created xsi:type="dcterms:W3CDTF">2024-03-09T18:51:00Z</dcterms:created>
  <dcterms:modified xsi:type="dcterms:W3CDTF">2024-03-09T18:51:00Z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