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CEBB" w14:textId="77777777" w:rsidR="00605D1E" w:rsidRPr="00605D1E" w:rsidRDefault="00605D1E" w:rsidP="00605D1E">
      <w:pPr>
        <w:pStyle w:val="NoSpacing"/>
        <w:rPr>
          <w:sz w:val="24"/>
          <w:szCs w:val="24"/>
          <w:lang w:eastAsia="en-IN"/>
        </w:rPr>
      </w:pPr>
      <w:r w:rsidRPr="00605D1E">
        <w:rPr>
          <w:sz w:val="24"/>
          <w:szCs w:val="24"/>
          <w:lang w:eastAsia="en-IN"/>
        </w:rPr>
        <w:t>1. Profitability: Peaking and then Contracting Sharply</w:t>
      </w:r>
    </w:p>
    <w:p w14:paraId="663B9C4C" w14:textId="317111BC" w:rsidR="00605D1E" w:rsidRDefault="00605D1E" w:rsidP="00605D1E">
      <w:pPr>
        <w:pStyle w:val="NoSpacing"/>
        <w:rPr>
          <w:sz w:val="24"/>
          <w:szCs w:val="24"/>
          <w:lang w:eastAsia="en-IN"/>
        </w:rPr>
      </w:pPr>
      <w:r w:rsidRPr="00605D1E">
        <w:rPr>
          <w:sz w:val="24"/>
          <w:szCs w:val="24"/>
          <w:lang w:eastAsia="en-IN"/>
        </w:rPr>
        <w:t>RCI's profitability, as measured by its margins, saw a dramatic peak in FY2022, followed by a steep decline in FY2023 and FY2024.</w:t>
      </w:r>
    </w:p>
    <w:p w14:paraId="59C239BA" w14:textId="77777777" w:rsidR="00556C99" w:rsidRPr="00605D1E" w:rsidRDefault="00556C99" w:rsidP="00605D1E">
      <w:pPr>
        <w:pStyle w:val="NoSpacing"/>
        <w:rPr>
          <w:sz w:val="24"/>
          <w:szCs w:val="24"/>
          <w:lang w:eastAsia="en-IN"/>
        </w:rPr>
      </w:pPr>
    </w:p>
    <w:p w14:paraId="17E7EA93" w14:textId="77777777" w:rsidR="00605D1E" w:rsidRPr="00605D1E" w:rsidRDefault="00605D1E" w:rsidP="00605D1E">
      <w:pPr>
        <w:pStyle w:val="NoSpacing"/>
        <w:rPr>
          <w:sz w:val="24"/>
          <w:szCs w:val="24"/>
          <w:lang w:eastAsia="en-IN"/>
        </w:rPr>
      </w:pPr>
      <w:r w:rsidRPr="00605D1E">
        <w:rPr>
          <w:sz w:val="24"/>
          <w:szCs w:val="24"/>
          <w:lang w:eastAsia="en-IN"/>
        </w:rPr>
        <w:t>Operating Margin: This measure of core business profitability increased significantly from 19.7% in FY2021 to a peak of 26.7% in FY2022. This was driven by a 37.1% increase in revenue (from $195.3M to $267.6M) with a slower 20.9% increase in operating expenses. The report attributes this to a strong recovery from the COVID-19 pandemic, boosted by stimulus spending and the full-year contribution from fifteen newly acquired clubs.</w:t>
      </w:r>
    </w:p>
    <w:p w14:paraId="371ED083" w14:textId="0B2D8C02" w:rsidR="00605D1E" w:rsidRDefault="00605D1E" w:rsidP="00605D1E">
      <w:pPr>
        <w:pStyle w:val="NoSpacing"/>
        <w:rPr>
          <w:sz w:val="24"/>
          <w:szCs w:val="24"/>
          <w:lang w:eastAsia="en-IN"/>
        </w:rPr>
      </w:pPr>
      <w:r w:rsidRPr="00605D1E">
        <w:rPr>
          <w:sz w:val="24"/>
          <w:szCs w:val="24"/>
          <w:lang w:eastAsia="en-IN"/>
        </w:rPr>
        <w:t>Our consolidated revenues continued their upward trend from 2020 to 2021... to a more stable increase from 2021 to 2022 (with an increase of 37.1%) aided by acquisitions. (2022 Annual Report, p. 30)</w:t>
      </w:r>
    </w:p>
    <w:p w14:paraId="6D60F0BB" w14:textId="77777777" w:rsidR="00556C99" w:rsidRPr="00605D1E" w:rsidRDefault="00556C99" w:rsidP="00605D1E">
      <w:pPr>
        <w:pStyle w:val="NoSpacing"/>
        <w:rPr>
          <w:sz w:val="24"/>
          <w:szCs w:val="24"/>
          <w:lang w:eastAsia="en-IN"/>
        </w:rPr>
      </w:pPr>
    </w:p>
    <w:p w14:paraId="3431F387" w14:textId="77777777" w:rsidR="00605D1E" w:rsidRPr="00605D1E" w:rsidRDefault="00605D1E" w:rsidP="00605D1E">
      <w:pPr>
        <w:pStyle w:val="NoSpacing"/>
        <w:rPr>
          <w:sz w:val="24"/>
          <w:szCs w:val="24"/>
          <w:lang w:eastAsia="en-IN"/>
        </w:rPr>
      </w:pPr>
      <w:r w:rsidRPr="00605D1E">
        <w:rPr>
          <w:sz w:val="24"/>
          <w:szCs w:val="24"/>
          <w:lang w:eastAsia="en-IN"/>
        </w:rPr>
        <w:t>Operating Margin Decline: The operating margin fell sharply to 17.5% in FY2023 and further to just 6.4% in FY2024. This decline is attributed to a combination of factors:</w:t>
      </w:r>
    </w:p>
    <w:p w14:paraId="7B5855E2" w14:textId="77777777" w:rsidR="00605D1E" w:rsidRPr="00605D1E" w:rsidRDefault="00605D1E" w:rsidP="00605D1E">
      <w:pPr>
        <w:pStyle w:val="NoSpacing"/>
        <w:rPr>
          <w:sz w:val="24"/>
          <w:szCs w:val="24"/>
          <w:lang w:eastAsia="en-IN"/>
        </w:rPr>
      </w:pPr>
      <w:r w:rsidRPr="00605D1E">
        <w:rPr>
          <w:sz w:val="24"/>
          <w:szCs w:val="24"/>
          <w:lang w:eastAsia="en-IN"/>
        </w:rPr>
        <w:t>Growth Slowing: Revenue growth slowed to 9.8% in FY2023 and 0.6% in FY2024.</w:t>
      </w:r>
    </w:p>
    <w:p w14:paraId="06E3C920" w14:textId="77777777" w:rsidR="00605D1E" w:rsidRPr="00605D1E" w:rsidRDefault="00605D1E" w:rsidP="00605D1E">
      <w:pPr>
        <w:pStyle w:val="NoSpacing"/>
        <w:rPr>
          <w:sz w:val="24"/>
          <w:szCs w:val="24"/>
          <w:lang w:eastAsia="en-IN"/>
        </w:rPr>
      </w:pPr>
      <w:r w:rsidRPr="00605D1E">
        <w:rPr>
          <w:sz w:val="24"/>
          <w:szCs w:val="24"/>
          <w:lang w:eastAsia="en-IN"/>
        </w:rPr>
        <w:t>Rising Costs: Operating expenses as a percentage of revenue increased significantly, from 73.3% in FY2022 to 82.5% in FY2023 and 93.6% in FY2024. Key drivers were higher salaries and wages from new locations and significant increases in impairments and other charges.</w:t>
      </w:r>
    </w:p>
    <w:p w14:paraId="6BA77437" w14:textId="3B002521" w:rsidR="00605D1E" w:rsidRDefault="00605D1E" w:rsidP="00605D1E">
      <w:pPr>
        <w:pStyle w:val="NoSpacing"/>
        <w:rPr>
          <w:sz w:val="24"/>
          <w:szCs w:val="24"/>
          <w:lang w:eastAsia="en-IN"/>
        </w:rPr>
      </w:pPr>
      <w:r w:rsidRPr="00605D1E">
        <w:rPr>
          <w:sz w:val="24"/>
          <w:szCs w:val="24"/>
          <w:lang w:eastAsia="en-IN"/>
        </w:rPr>
        <w:t>Significant Impairments: The most notable factor was a massive increase in "Impairments and other charges, net," which rose from a minimal $0.5M in FY2022 to $15.6M in FY2023 and a staggering $36.6M in FY2024.</w:t>
      </w:r>
    </w:p>
    <w:p w14:paraId="0F9D2BBF" w14:textId="77777777" w:rsidR="00556C99" w:rsidRPr="00605D1E" w:rsidRDefault="00556C99" w:rsidP="00605D1E">
      <w:pPr>
        <w:pStyle w:val="NoSpacing"/>
        <w:rPr>
          <w:sz w:val="24"/>
          <w:szCs w:val="24"/>
          <w:lang w:eastAsia="en-IN"/>
        </w:rPr>
      </w:pPr>
    </w:p>
    <w:p w14:paraId="1222468A" w14:textId="77777777" w:rsidR="00605D1E" w:rsidRPr="00605D1E" w:rsidRDefault="00605D1E" w:rsidP="00605D1E">
      <w:pPr>
        <w:pStyle w:val="NoSpacing"/>
        <w:rPr>
          <w:sz w:val="24"/>
          <w:szCs w:val="24"/>
          <w:lang w:eastAsia="en-IN"/>
        </w:rPr>
      </w:pPr>
      <w:r w:rsidRPr="00605D1E">
        <w:rPr>
          <w:sz w:val="24"/>
          <w:szCs w:val="24"/>
          <w:lang w:eastAsia="en-IN"/>
        </w:rPr>
        <w:t>During 2024, we recorded aggregate impairment charges amounting to $38.5 million... (2024 Annual Report, p. 41)</w:t>
      </w:r>
    </w:p>
    <w:p w14:paraId="47F8C69E" w14:textId="1BA4002D" w:rsidR="00605D1E" w:rsidRDefault="00605D1E" w:rsidP="00605D1E">
      <w:pPr>
        <w:pStyle w:val="NoSpacing"/>
        <w:rPr>
          <w:sz w:val="24"/>
          <w:szCs w:val="24"/>
          <w:lang w:eastAsia="en-IN"/>
        </w:rPr>
      </w:pPr>
      <w:r w:rsidRPr="00605D1E">
        <w:rPr>
          <w:sz w:val="24"/>
          <w:szCs w:val="24"/>
          <w:lang w:eastAsia="en-IN"/>
        </w:rPr>
        <w:t>The significant variances in other charges, net are discussed below: During 2024, we recorded aggregate impairment charges amounting to $38.5 million... (2024 Annual Report, p. 32)</w:t>
      </w:r>
    </w:p>
    <w:p w14:paraId="7DA78441" w14:textId="77777777" w:rsidR="00556C99" w:rsidRPr="00605D1E" w:rsidRDefault="00556C99" w:rsidP="00605D1E">
      <w:pPr>
        <w:pStyle w:val="NoSpacing"/>
        <w:rPr>
          <w:sz w:val="24"/>
          <w:szCs w:val="24"/>
          <w:lang w:eastAsia="en-IN"/>
        </w:rPr>
      </w:pPr>
    </w:p>
    <w:p w14:paraId="2DE874DD" w14:textId="77777777" w:rsidR="00605D1E" w:rsidRPr="00605D1E" w:rsidRDefault="00605D1E" w:rsidP="00605D1E">
      <w:pPr>
        <w:pStyle w:val="NoSpacing"/>
        <w:rPr>
          <w:sz w:val="24"/>
          <w:szCs w:val="24"/>
          <w:lang w:eastAsia="en-IN"/>
        </w:rPr>
      </w:pPr>
      <w:r w:rsidRPr="00605D1E">
        <w:rPr>
          <w:sz w:val="24"/>
          <w:szCs w:val="24"/>
          <w:lang w:eastAsia="en-IN"/>
        </w:rPr>
        <w:t>2. Liquidity: Deteriorating to Tight Levels</w:t>
      </w:r>
    </w:p>
    <w:p w14:paraId="49D8177A" w14:textId="1E899D83" w:rsidR="00605D1E" w:rsidRDefault="00605D1E" w:rsidP="00605D1E">
      <w:pPr>
        <w:pStyle w:val="NoSpacing"/>
        <w:rPr>
          <w:sz w:val="24"/>
          <w:szCs w:val="24"/>
          <w:lang w:eastAsia="en-IN"/>
        </w:rPr>
      </w:pPr>
      <w:r w:rsidRPr="00605D1E">
        <w:rPr>
          <w:sz w:val="24"/>
          <w:szCs w:val="24"/>
          <w:lang w:eastAsia="en-IN"/>
        </w:rPr>
        <w:t>Liquidity ratios, which measure the company's ability to meet short-term obligations, have declined significantly.</w:t>
      </w:r>
    </w:p>
    <w:p w14:paraId="206C73A6" w14:textId="77777777" w:rsidR="00556C99" w:rsidRPr="00605D1E" w:rsidRDefault="00556C99" w:rsidP="00605D1E">
      <w:pPr>
        <w:pStyle w:val="NoSpacing"/>
        <w:rPr>
          <w:sz w:val="24"/>
          <w:szCs w:val="24"/>
          <w:lang w:eastAsia="en-IN"/>
        </w:rPr>
      </w:pPr>
    </w:p>
    <w:p w14:paraId="02099152" w14:textId="77777777" w:rsidR="00605D1E" w:rsidRPr="00605D1E" w:rsidRDefault="00605D1E" w:rsidP="00605D1E">
      <w:pPr>
        <w:pStyle w:val="NoSpacing"/>
        <w:rPr>
          <w:sz w:val="24"/>
          <w:szCs w:val="24"/>
          <w:lang w:eastAsia="en-IN"/>
        </w:rPr>
      </w:pPr>
      <w:r w:rsidRPr="00605D1E">
        <w:rPr>
          <w:sz w:val="24"/>
          <w:szCs w:val="24"/>
          <w:lang w:eastAsia="en-IN"/>
        </w:rPr>
        <w:t>Current Ratio: This ratio fell from a healthy 2.3x in FY2021 to a concerning 0.78x in FY2023 and 0.98x in FY2024. A ratio below 1.0x indicates that current liabilities exceed current assets, signaling potential short-term liquidity stress.</w:t>
      </w:r>
    </w:p>
    <w:p w14:paraId="44189CC7" w14:textId="77777777" w:rsidR="00605D1E" w:rsidRPr="00605D1E" w:rsidRDefault="00605D1E" w:rsidP="00605D1E">
      <w:pPr>
        <w:pStyle w:val="NoSpacing"/>
        <w:rPr>
          <w:sz w:val="24"/>
          <w:szCs w:val="24"/>
          <w:lang w:eastAsia="en-IN"/>
        </w:rPr>
      </w:pPr>
      <w:r w:rsidRPr="00605D1E">
        <w:rPr>
          <w:sz w:val="24"/>
          <w:szCs w:val="24"/>
          <w:lang w:eastAsia="en-IN"/>
        </w:rPr>
        <w:t>As of September 30, 2024, we had **negative working capital of $793,000** compared to a negative working capital of $10.5 million as of September 30, 2023. (2024 Annual Report, p. 47)</w:t>
      </w:r>
    </w:p>
    <w:p w14:paraId="7F435BA7" w14:textId="77777777" w:rsidR="00605D1E" w:rsidRPr="00605D1E" w:rsidRDefault="00605D1E" w:rsidP="00605D1E">
      <w:pPr>
        <w:pStyle w:val="NoSpacing"/>
        <w:rPr>
          <w:sz w:val="24"/>
          <w:szCs w:val="24"/>
          <w:lang w:eastAsia="en-IN"/>
        </w:rPr>
      </w:pPr>
      <w:r w:rsidRPr="00605D1E">
        <w:rPr>
          <w:sz w:val="24"/>
          <w:szCs w:val="24"/>
          <w:lang w:eastAsia="en-IN"/>
        </w:rPr>
        <w:t>Cash Ratio: This most conservative measure of liquidity dropped from 1.55x in FY2021 to 0.44x in FY2023, before recovering slightly to 0.67x in FY2024. This shows that the company's cash position has become much thinner relative to its short-term debts.</w:t>
      </w:r>
    </w:p>
    <w:p w14:paraId="562012F2" w14:textId="77777777" w:rsidR="00605D1E" w:rsidRPr="00605D1E" w:rsidRDefault="00605D1E" w:rsidP="00605D1E">
      <w:pPr>
        <w:pStyle w:val="NoSpacing"/>
        <w:rPr>
          <w:sz w:val="24"/>
          <w:szCs w:val="24"/>
          <w:lang w:eastAsia="en-IN"/>
        </w:rPr>
      </w:pPr>
      <w:r w:rsidRPr="00605D1E">
        <w:rPr>
          <w:sz w:val="24"/>
          <w:szCs w:val="24"/>
          <w:lang w:eastAsia="en-IN"/>
        </w:rPr>
        <w:t>At September 30, 2024, our cash and cash equivalents were **$32.4 million** as compared to $21.0 million at September 30, 2023. (2024 Annual Report, p. 47)</w:t>
      </w:r>
    </w:p>
    <w:p w14:paraId="2783C2BB" w14:textId="77777777" w:rsidR="00605D1E" w:rsidRPr="00605D1E" w:rsidRDefault="00605D1E" w:rsidP="00605D1E">
      <w:pPr>
        <w:pStyle w:val="NoSpacing"/>
        <w:rPr>
          <w:sz w:val="24"/>
          <w:szCs w:val="24"/>
          <w:lang w:eastAsia="en-IN"/>
        </w:rPr>
      </w:pPr>
      <w:r w:rsidRPr="00605D1E">
        <w:rPr>
          <w:sz w:val="24"/>
          <w:szCs w:val="24"/>
          <w:lang w:eastAsia="en-IN"/>
        </w:rPr>
        <w:t>3. Leverage: Increased and Sustained</w:t>
      </w:r>
    </w:p>
    <w:p w14:paraId="04D23A3B" w14:textId="77777777" w:rsidR="00605D1E" w:rsidRPr="00605D1E" w:rsidRDefault="00605D1E" w:rsidP="00605D1E">
      <w:pPr>
        <w:pStyle w:val="NoSpacing"/>
        <w:rPr>
          <w:sz w:val="24"/>
          <w:szCs w:val="24"/>
          <w:lang w:eastAsia="en-IN"/>
        </w:rPr>
      </w:pPr>
      <w:r w:rsidRPr="00605D1E">
        <w:rPr>
          <w:sz w:val="24"/>
          <w:szCs w:val="24"/>
          <w:lang w:eastAsia="en-IN"/>
        </w:rPr>
        <w:t>Leverage ratios show that the company has taken on more debt to fund its growth, increasing its financial risk.</w:t>
      </w:r>
    </w:p>
    <w:p w14:paraId="1010A90D" w14:textId="7B9D5E99" w:rsidR="00605D1E" w:rsidRDefault="00605D1E" w:rsidP="00605D1E">
      <w:pPr>
        <w:pStyle w:val="NoSpacing"/>
        <w:rPr>
          <w:sz w:val="24"/>
          <w:szCs w:val="24"/>
          <w:lang w:eastAsia="en-IN"/>
        </w:rPr>
      </w:pPr>
      <w:r w:rsidRPr="00605D1E">
        <w:rPr>
          <w:sz w:val="24"/>
          <w:szCs w:val="24"/>
          <w:lang w:eastAsia="en-IN"/>
        </w:rPr>
        <w:lastRenderedPageBreak/>
        <w:t>Debt-to-Equity Ratio: This ratio increased significantly from 0.84x in FY2021 to 1.0x in FY2022 and has remained elevated at 1.01x in FY2024. This indicates the company is using a higher proportion of debt to finance its assets compared to shareholder equity. This increase is directly linked to the company's acquisition strategy.</w:t>
      </w:r>
    </w:p>
    <w:p w14:paraId="5F4315BB" w14:textId="77777777" w:rsidR="00556C99" w:rsidRPr="00605D1E" w:rsidRDefault="00556C99" w:rsidP="00605D1E">
      <w:pPr>
        <w:pStyle w:val="NoSpacing"/>
        <w:rPr>
          <w:sz w:val="24"/>
          <w:szCs w:val="24"/>
          <w:lang w:eastAsia="en-IN"/>
        </w:rPr>
      </w:pPr>
    </w:p>
    <w:p w14:paraId="6A32135D" w14:textId="77777777" w:rsidR="00605D1E" w:rsidRPr="00605D1E" w:rsidRDefault="00605D1E" w:rsidP="00605D1E">
      <w:pPr>
        <w:pStyle w:val="NoSpacing"/>
        <w:rPr>
          <w:sz w:val="24"/>
          <w:szCs w:val="24"/>
          <w:lang w:eastAsia="en-IN"/>
        </w:rPr>
      </w:pPr>
      <w:r w:rsidRPr="00605D1E">
        <w:rPr>
          <w:sz w:val="24"/>
          <w:szCs w:val="24"/>
          <w:lang w:eastAsia="en-IN"/>
        </w:rPr>
        <w:t>On October 18, 2021, we and certain of our subsidiaries completed our acquisition of eleven gentlemen's clubs... We paid for the acquisition with $36.8 million in cash, $21.2 million in four seller-financed notes, and 500,000 shares of our common stock. (2022 Annual Report, p. 85)</w:t>
      </w:r>
    </w:p>
    <w:p w14:paraId="1E1DC71B" w14:textId="2BA59468" w:rsidR="00605D1E" w:rsidRDefault="00605D1E" w:rsidP="00605D1E">
      <w:pPr>
        <w:pStyle w:val="NoSpacing"/>
        <w:rPr>
          <w:sz w:val="24"/>
          <w:szCs w:val="24"/>
          <w:lang w:eastAsia="en-IN"/>
        </w:rPr>
      </w:pPr>
      <w:r w:rsidRPr="00605D1E">
        <w:rPr>
          <w:sz w:val="24"/>
          <w:szCs w:val="24"/>
          <w:lang w:eastAsia="en-IN"/>
        </w:rPr>
        <w:t>During fiscal 2022, we acquired fifteen clubs at an aggregate acquisition date fair value of $132.6 million, of which $55.3 million was in cash, $49.0 million in debt, and $30.0 million in equity. (2023 Annual Report, p. 28)</w:t>
      </w:r>
    </w:p>
    <w:p w14:paraId="0A3B1BB9" w14:textId="77777777" w:rsidR="00556C99" w:rsidRPr="00605D1E" w:rsidRDefault="00556C99" w:rsidP="00605D1E">
      <w:pPr>
        <w:pStyle w:val="NoSpacing"/>
        <w:rPr>
          <w:sz w:val="24"/>
          <w:szCs w:val="24"/>
          <w:lang w:eastAsia="en-IN"/>
        </w:rPr>
      </w:pPr>
    </w:p>
    <w:p w14:paraId="776C14FF" w14:textId="18A335B1" w:rsidR="00605D1E" w:rsidRDefault="00605D1E" w:rsidP="00605D1E">
      <w:pPr>
        <w:pStyle w:val="NoSpacing"/>
        <w:rPr>
          <w:sz w:val="24"/>
          <w:szCs w:val="24"/>
          <w:lang w:eastAsia="en-IN"/>
        </w:rPr>
      </w:pPr>
      <w:r w:rsidRPr="00605D1E">
        <w:rPr>
          <w:sz w:val="24"/>
          <w:szCs w:val="24"/>
          <w:lang w:eastAsia="en-IN"/>
        </w:rPr>
        <w:t>Interest Coverage Ratio: This critical measure of the company's ability to pay its interest expenses fell sharply from a healthy 6.12x in FY2021 and FY2022 to just 1.85x in FY2025 (forecast) and was at a critical low of 1.13x in FY2024. This means that in FY2024, the company's earnings were barely more than its interest expense, leaving it highly vulnerable to rising interest rates or a downturn in earnings.</w:t>
      </w:r>
    </w:p>
    <w:p w14:paraId="484F8498" w14:textId="77777777" w:rsidR="00556C99" w:rsidRPr="00605D1E" w:rsidRDefault="00556C99" w:rsidP="00605D1E">
      <w:pPr>
        <w:pStyle w:val="NoSpacing"/>
        <w:rPr>
          <w:sz w:val="24"/>
          <w:szCs w:val="24"/>
          <w:lang w:eastAsia="en-IN"/>
        </w:rPr>
      </w:pPr>
    </w:p>
    <w:p w14:paraId="086E71B4" w14:textId="6C06F224" w:rsidR="00605D1E" w:rsidRDefault="00605D1E" w:rsidP="00605D1E">
      <w:pPr>
        <w:pStyle w:val="NoSpacing"/>
        <w:rPr>
          <w:sz w:val="24"/>
          <w:szCs w:val="24"/>
          <w:lang w:eastAsia="en-IN"/>
        </w:rPr>
      </w:pPr>
      <w:r w:rsidRPr="00605D1E">
        <w:rPr>
          <w:sz w:val="24"/>
          <w:szCs w:val="24"/>
          <w:lang w:eastAsia="en-IN"/>
        </w:rPr>
        <w:t>Interest expense increased by approximately $753,000 from 2023 to 2024 and by approximately $4.0 million from 2022 to 2023. The increase in interest expense was primarily caused by the significantly higher average debt balance from borrowings to finance our acquisitions in 2023 and the additional interest expense from construction loans in 2024 related to build-out projects. (2024 Annual Report, p. 43)</w:t>
      </w:r>
    </w:p>
    <w:p w14:paraId="6184349B" w14:textId="77777777" w:rsidR="00605D1E" w:rsidRPr="00605D1E" w:rsidRDefault="00605D1E" w:rsidP="00605D1E">
      <w:pPr>
        <w:pStyle w:val="NoSpacing"/>
        <w:rPr>
          <w:sz w:val="24"/>
          <w:szCs w:val="24"/>
          <w:lang w:eastAsia="en-IN"/>
        </w:rPr>
      </w:pPr>
    </w:p>
    <w:p w14:paraId="100CABA2" w14:textId="27E2FCF2" w:rsidR="00605D1E" w:rsidRDefault="00605D1E" w:rsidP="00605D1E">
      <w:pPr>
        <w:pStyle w:val="NoSpacing"/>
        <w:rPr>
          <w:sz w:val="24"/>
          <w:szCs w:val="24"/>
          <w:lang w:eastAsia="en-IN"/>
        </w:rPr>
      </w:pPr>
      <w:r w:rsidRPr="00605D1E">
        <w:rPr>
          <w:sz w:val="24"/>
          <w:szCs w:val="24"/>
          <w:lang w:eastAsia="en-IN"/>
        </w:rPr>
        <w:t>Summary of Key Changes</w:t>
      </w:r>
    </w:p>
    <w:p w14:paraId="4A0E9333" w14:textId="77777777" w:rsidR="00605D1E" w:rsidRPr="00605D1E" w:rsidRDefault="00605D1E" w:rsidP="00605D1E">
      <w:pPr>
        <w:pStyle w:val="NoSpacing"/>
        <w:rPr>
          <w:sz w:val="24"/>
          <w:szCs w:val="24"/>
          <w:lang w:eastAsia="en-IN"/>
        </w:rPr>
      </w:pPr>
    </w:p>
    <w:p w14:paraId="512123E4" w14:textId="2C31E9B7" w:rsidR="00605D1E" w:rsidRDefault="00605D1E" w:rsidP="00605D1E">
      <w:pPr>
        <w:pStyle w:val="NoSpacing"/>
        <w:rPr>
          <w:sz w:val="24"/>
          <w:szCs w:val="24"/>
          <w:lang w:eastAsia="en-IN"/>
        </w:rPr>
      </w:pPr>
      <w:r w:rsidRPr="00605D1E">
        <w:rPr>
          <w:sz w:val="24"/>
          <w:szCs w:val="24"/>
          <w:lang w:eastAsia="en-IN"/>
        </w:rPr>
        <w:t>Profitability: Peaked in FY2022 but has since been severely eroded by slowing revenue growth, rising costs, and massive impairment charges.</w:t>
      </w:r>
    </w:p>
    <w:p w14:paraId="11DFD153" w14:textId="77777777" w:rsidR="00605D1E" w:rsidRPr="00605D1E" w:rsidRDefault="00605D1E" w:rsidP="00605D1E">
      <w:pPr>
        <w:pStyle w:val="NoSpacing"/>
        <w:rPr>
          <w:sz w:val="24"/>
          <w:szCs w:val="24"/>
          <w:lang w:eastAsia="en-IN"/>
        </w:rPr>
      </w:pPr>
    </w:p>
    <w:p w14:paraId="7F6ACAF3" w14:textId="526E0756" w:rsidR="00605D1E" w:rsidRDefault="00605D1E" w:rsidP="00605D1E">
      <w:pPr>
        <w:pStyle w:val="NoSpacing"/>
        <w:rPr>
          <w:sz w:val="24"/>
          <w:szCs w:val="24"/>
          <w:lang w:eastAsia="en-IN"/>
        </w:rPr>
      </w:pPr>
      <w:r w:rsidRPr="00605D1E">
        <w:rPr>
          <w:sz w:val="24"/>
          <w:szCs w:val="24"/>
          <w:lang w:eastAsia="en-IN"/>
        </w:rPr>
        <w:t>Liquidity: Has tightened significantly, with current and cash ratios falling to levels that indicate potential short-term stress.</w:t>
      </w:r>
    </w:p>
    <w:p w14:paraId="621C5232" w14:textId="77777777" w:rsidR="00605D1E" w:rsidRPr="00605D1E" w:rsidRDefault="00605D1E" w:rsidP="00605D1E">
      <w:pPr>
        <w:pStyle w:val="NoSpacing"/>
        <w:rPr>
          <w:sz w:val="24"/>
          <w:szCs w:val="24"/>
          <w:lang w:eastAsia="en-IN"/>
        </w:rPr>
      </w:pPr>
    </w:p>
    <w:p w14:paraId="3EF8C669" w14:textId="404CE337" w:rsidR="00605D1E" w:rsidRDefault="00605D1E" w:rsidP="00605D1E">
      <w:pPr>
        <w:pStyle w:val="NoSpacing"/>
        <w:rPr>
          <w:sz w:val="24"/>
          <w:szCs w:val="24"/>
          <w:lang w:eastAsia="en-IN"/>
        </w:rPr>
      </w:pPr>
      <w:r w:rsidRPr="00605D1E">
        <w:rPr>
          <w:sz w:val="24"/>
          <w:szCs w:val="24"/>
          <w:lang w:eastAsia="en-IN"/>
        </w:rPr>
        <w:t>Leverage: Increased substantially due to debt-funded acquisitions and has remained at an elevated level, putting significant pressure on interest coverage, particularly in FY2024.</w:t>
      </w:r>
    </w:p>
    <w:p w14:paraId="60B5970F" w14:textId="77777777" w:rsidR="00556C99" w:rsidRPr="00605D1E" w:rsidRDefault="00556C99" w:rsidP="00605D1E">
      <w:pPr>
        <w:pStyle w:val="NoSpacing"/>
        <w:rPr>
          <w:sz w:val="24"/>
          <w:szCs w:val="24"/>
          <w:lang w:eastAsia="en-IN"/>
        </w:rPr>
      </w:pPr>
    </w:p>
    <w:p w14:paraId="170D7D9B" w14:textId="7B985761" w:rsidR="00605D1E" w:rsidRPr="00605D1E" w:rsidRDefault="00605D1E" w:rsidP="00605D1E">
      <w:pPr>
        <w:pStyle w:val="NoSpacing"/>
        <w:rPr>
          <w:sz w:val="24"/>
          <w:szCs w:val="24"/>
          <w:lang w:eastAsia="en-IN"/>
        </w:rPr>
      </w:pPr>
      <w:r w:rsidRPr="00605D1E">
        <w:rPr>
          <w:sz w:val="24"/>
          <w:szCs w:val="24"/>
          <w:lang w:eastAsia="en-IN"/>
        </w:rPr>
        <w:t>Explanation of Key Drivers</w:t>
      </w:r>
    </w:p>
    <w:p w14:paraId="08A7270D" w14:textId="2D9E8506" w:rsidR="00605D1E" w:rsidRDefault="00605D1E" w:rsidP="00605D1E">
      <w:pPr>
        <w:pStyle w:val="NoSpacing"/>
        <w:rPr>
          <w:sz w:val="24"/>
          <w:szCs w:val="24"/>
          <w:lang w:eastAsia="en-IN"/>
        </w:rPr>
      </w:pPr>
      <w:r w:rsidRPr="00605D1E">
        <w:rPr>
          <w:sz w:val="24"/>
          <w:szCs w:val="24"/>
          <w:lang w:eastAsia="en-IN"/>
        </w:rPr>
        <w:t>The most significant driver of the changes in financial ratios from FY2022 onwards is the company's aggressive expansion strategy.</w:t>
      </w:r>
    </w:p>
    <w:p w14:paraId="35620DCC" w14:textId="77777777" w:rsidR="00556C99" w:rsidRPr="00605D1E" w:rsidRDefault="00556C99" w:rsidP="00605D1E">
      <w:pPr>
        <w:pStyle w:val="NoSpacing"/>
        <w:rPr>
          <w:sz w:val="24"/>
          <w:szCs w:val="24"/>
          <w:lang w:eastAsia="en-IN"/>
        </w:rPr>
      </w:pPr>
    </w:p>
    <w:p w14:paraId="0F91C55D" w14:textId="77777777" w:rsidR="00605D1E" w:rsidRPr="00605D1E" w:rsidRDefault="00605D1E" w:rsidP="00605D1E">
      <w:pPr>
        <w:pStyle w:val="NoSpacing"/>
        <w:rPr>
          <w:sz w:val="24"/>
          <w:szCs w:val="24"/>
          <w:lang w:eastAsia="en-IN"/>
        </w:rPr>
      </w:pPr>
      <w:r w:rsidRPr="00605D1E">
        <w:rPr>
          <w:sz w:val="24"/>
          <w:szCs w:val="24"/>
          <w:lang w:eastAsia="en-IN"/>
        </w:rPr>
        <w:t>Debt-Funded Acquisitions: The acquisition of 21 clubs between FY2022 and FY2023, for a total of approximately $205 million, was largely financed by debt. This increased the company's total debt from $151.1M in FY2021 to a peak of $277.9M in FY2023.</w:t>
      </w:r>
    </w:p>
    <w:p w14:paraId="664D37A1" w14:textId="77777777" w:rsidR="00605D1E" w:rsidRPr="00605D1E" w:rsidRDefault="00605D1E" w:rsidP="00605D1E">
      <w:pPr>
        <w:pStyle w:val="NoSpacing"/>
        <w:rPr>
          <w:sz w:val="24"/>
          <w:szCs w:val="24"/>
          <w:lang w:eastAsia="en-IN"/>
        </w:rPr>
      </w:pPr>
      <w:r w:rsidRPr="00605D1E">
        <w:rPr>
          <w:sz w:val="24"/>
          <w:szCs w:val="24"/>
          <w:lang w:eastAsia="en-IN"/>
        </w:rPr>
        <w:t>Expense Growth: The new clubs and restaurants brought with them substantial increases in operating costs, including salaries, SG&amp;A, and depreciation, which outpaced the growth in revenue in FY2023 and FY2024.</w:t>
      </w:r>
    </w:p>
    <w:p w14:paraId="3B5C1A31" w14:textId="0DB8240D" w:rsidR="00605D1E" w:rsidRPr="00605D1E" w:rsidRDefault="00605D1E" w:rsidP="00605D1E">
      <w:pPr>
        <w:pStyle w:val="NoSpacing"/>
        <w:rPr>
          <w:sz w:val="24"/>
          <w:szCs w:val="24"/>
          <w:lang w:eastAsia="en-IN"/>
        </w:rPr>
      </w:pPr>
      <w:r w:rsidRPr="00605D1E">
        <w:rPr>
          <w:sz w:val="24"/>
          <w:szCs w:val="24"/>
          <w:lang w:eastAsia="en-IN"/>
        </w:rPr>
        <w:lastRenderedPageBreak/>
        <w:t>Impairment Charges: A severe decline in the value of the acquired assets led to massive impairment charges. These non-cash charges had a devastating impact on the company's reported operating income, causing a significant drop in operating margin and net income. This suggests that the company paid a premium for assets that are now underperforming, a classic risk of aggressive expansion</w:t>
      </w:r>
      <w:r w:rsidR="00556C99">
        <w:rPr>
          <w:sz w:val="24"/>
          <w:szCs w:val="24"/>
          <w:lang w:eastAsia="en-IN"/>
        </w:rPr>
        <w:t>.</w:t>
      </w:r>
    </w:p>
    <w:p w14:paraId="15F54B2A" w14:textId="77777777" w:rsidR="00166BB6" w:rsidRPr="00605D1E" w:rsidRDefault="00166BB6" w:rsidP="00605D1E">
      <w:pPr>
        <w:pStyle w:val="NoSpacing"/>
        <w:rPr>
          <w:sz w:val="24"/>
          <w:szCs w:val="24"/>
        </w:rPr>
      </w:pPr>
    </w:p>
    <w:sectPr w:rsidR="00166BB6" w:rsidRPr="00605D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64323"/>
    <w:multiLevelType w:val="multilevel"/>
    <w:tmpl w:val="CDE2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E269E1"/>
    <w:multiLevelType w:val="multilevel"/>
    <w:tmpl w:val="60AAEE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CE729B"/>
    <w:multiLevelType w:val="multilevel"/>
    <w:tmpl w:val="C4F4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9A2393"/>
    <w:multiLevelType w:val="multilevel"/>
    <w:tmpl w:val="D3B0A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D0142B"/>
    <w:multiLevelType w:val="multilevel"/>
    <w:tmpl w:val="F6941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D1E"/>
    <w:rsid w:val="00166BB6"/>
    <w:rsid w:val="00556C99"/>
    <w:rsid w:val="00605D1E"/>
    <w:rsid w:val="0094019B"/>
    <w:rsid w:val="00BD00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6AFC4"/>
  <w15:chartTrackingRefBased/>
  <w15:docId w15:val="{8B936B3F-D57C-4BD1-9862-4631B6321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05D1E"/>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05D1E"/>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605D1E"/>
    <w:rPr>
      <w:b/>
      <w:bCs/>
    </w:rPr>
  </w:style>
  <w:style w:type="paragraph" w:customStyle="1" w:styleId="ds-markdown-paragraph">
    <w:name w:val="ds-markdown-paragraph"/>
    <w:basedOn w:val="Normal"/>
    <w:rsid w:val="00605D1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Spacing">
    <w:name w:val="No Spacing"/>
    <w:uiPriority w:val="1"/>
    <w:qFormat/>
    <w:rsid w:val="00605D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01893">
      <w:bodyDiv w:val="1"/>
      <w:marLeft w:val="0"/>
      <w:marRight w:val="0"/>
      <w:marTop w:val="0"/>
      <w:marBottom w:val="0"/>
      <w:divBdr>
        <w:top w:val="none" w:sz="0" w:space="0" w:color="auto"/>
        <w:left w:val="none" w:sz="0" w:space="0" w:color="auto"/>
        <w:bottom w:val="none" w:sz="0" w:space="0" w:color="auto"/>
        <w:right w:val="none" w:sz="0" w:space="0" w:color="auto"/>
      </w:divBdr>
      <w:divsChild>
        <w:div w:id="364528455">
          <w:blockQuote w:val="1"/>
          <w:marLeft w:val="0"/>
          <w:marRight w:val="0"/>
          <w:marTop w:val="240"/>
          <w:marBottom w:val="0"/>
          <w:divBdr>
            <w:top w:val="none" w:sz="0" w:space="0" w:color="auto"/>
            <w:left w:val="single" w:sz="12" w:space="11" w:color="81858C"/>
            <w:bottom w:val="none" w:sz="0" w:space="0" w:color="auto"/>
            <w:right w:val="none" w:sz="0" w:space="0" w:color="auto"/>
          </w:divBdr>
        </w:div>
        <w:div w:id="457576525">
          <w:blockQuote w:val="1"/>
          <w:marLeft w:val="0"/>
          <w:marRight w:val="0"/>
          <w:marTop w:val="240"/>
          <w:marBottom w:val="0"/>
          <w:divBdr>
            <w:top w:val="none" w:sz="0" w:space="0" w:color="auto"/>
            <w:left w:val="single" w:sz="12" w:space="11" w:color="81858C"/>
            <w:bottom w:val="none" w:sz="0" w:space="0" w:color="auto"/>
            <w:right w:val="none" w:sz="0" w:space="0" w:color="auto"/>
          </w:divBdr>
        </w:div>
        <w:div w:id="1492135847">
          <w:blockQuote w:val="1"/>
          <w:marLeft w:val="0"/>
          <w:marRight w:val="0"/>
          <w:marTop w:val="240"/>
          <w:marBottom w:val="0"/>
          <w:divBdr>
            <w:top w:val="none" w:sz="0" w:space="0" w:color="auto"/>
            <w:left w:val="single" w:sz="12" w:space="11" w:color="81858C"/>
            <w:bottom w:val="none" w:sz="0" w:space="0" w:color="auto"/>
            <w:right w:val="none" w:sz="0" w:space="0" w:color="auto"/>
          </w:divBdr>
        </w:div>
        <w:div w:id="239561709">
          <w:blockQuote w:val="1"/>
          <w:marLeft w:val="0"/>
          <w:marRight w:val="0"/>
          <w:marTop w:val="240"/>
          <w:marBottom w:val="0"/>
          <w:divBdr>
            <w:top w:val="none" w:sz="0" w:space="0" w:color="auto"/>
            <w:left w:val="single" w:sz="12" w:space="11" w:color="81858C"/>
            <w:bottom w:val="none" w:sz="0" w:space="0" w:color="auto"/>
            <w:right w:val="none" w:sz="0" w:space="0" w:color="auto"/>
          </w:divBdr>
        </w:div>
        <w:div w:id="493573423">
          <w:blockQuote w:val="1"/>
          <w:marLeft w:val="0"/>
          <w:marRight w:val="0"/>
          <w:marTop w:val="240"/>
          <w:marBottom w:val="0"/>
          <w:divBdr>
            <w:top w:val="none" w:sz="0" w:space="0" w:color="auto"/>
            <w:left w:val="single" w:sz="12" w:space="11" w:color="81858C"/>
            <w:bottom w:val="none" w:sz="0" w:space="0" w:color="auto"/>
            <w:right w:val="none" w:sz="0" w:space="0" w:color="auto"/>
          </w:divBdr>
        </w:div>
        <w:div w:id="1594826555">
          <w:blockQuote w:val="1"/>
          <w:marLeft w:val="0"/>
          <w:marRight w:val="0"/>
          <w:marTop w:val="240"/>
          <w:marBottom w:val="0"/>
          <w:divBdr>
            <w:top w:val="none" w:sz="0" w:space="0" w:color="auto"/>
            <w:left w:val="single" w:sz="12" w:space="11" w:color="81858C"/>
            <w:bottom w:val="none" w:sz="0" w:space="0" w:color="auto"/>
            <w:right w:val="none" w:sz="0" w:space="0" w:color="auto"/>
          </w:divBdr>
        </w:div>
        <w:div w:id="475418016">
          <w:blockQuote w:val="1"/>
          <w:marLeft w:val="0"/>
          <w:marRight w:val="0"/>
          <w:marTop w:val="240"/>
          <w:marBottom w:val="0"/>
          <w:divBdr>
            <w:top w:val="none" w:sz="0" w:space="0" w:color="auto"/>
            <w:left w:val="single" w:sz="12" w:space="11" w:color="81858C"/>
            <w:bottom w:val="none" w:sz="0" w:space="0" w:color="auto"/>
            <w:right w:val="none" w:sz="0" w:space="0" w:color="auto"/>
          </w:divBdr>
        </w:div>
        <w:div w:id="306059248">
          <w:blockQuote w:val="1"/>
          <w:marLeft w:val="0"/>
          <w:marRight w:val="0"/>
          <w:marTop w:val="240"/>
          <w:marBottom w:val="0"/>
          <w:divBdr>
            <w:top w:val="none" w:sz="0" w:space="0" w:color="auto"/>
            <w:left w:val="single" w:sz="12" w:space="11" w:color="81858C"/>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914</Words>
  <Characters>5214</Characters>
  <Application>Microsoft Office Word</Application>
  <DocSecurity>0</DocSecurity>
  <Lines>43</Lines>
  <Paragraphs>12</Paragraphs>
  <ScaleCrop>false</ScaleCrop>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Neelkanth Technologi</dc:creator>
  <cp:keywords/>
  <dc:description/>
  <cp:lastModifiedBy>Neelkanth Technologi</cp:lastModifiedBy>
  <cp:revision>2</cp:revision>
  <dcterms:created xsi:type="dcterms:W3CDTF">2026-07-17T11:57:00Z</dcterms:created>
  <dcterms:modified xsi:type="dcterms:W3CDTF">2026-07-20T11:38:00Z</dcterms:modified>
</cp:coreProperties>
</file>