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ACAA4A" w14:textId="77777777" w:rsidR="0059511B" w:rsidRDefault="0059511B">
      <w:pPr>
        <w:spacing w:line="240" w:lineRule="auto"/>
        <w:jc w:val="both"/>
        <w:rPr>
          <w:rFonts w:ascii="Times New Roman" w:eastAsia="Times New Roman" w:hAnsi="Times New Roman" w:cs="Times New Roman"/>
          <w:sz w:val="24"/>
          <w:szCs w:val="24"/>
        </w:rPr>
      </w:pPr>
    </w:p>
    <w:p w14:paraId="4E0DD3B1" w14:textId="77777777" w:rsidR="0059511B" w:rsidRDefault="0059511B">
      <w:pPr>
        <w:spacing w:line="240" w:lineRule="auto"/>
        <w:jc w:val="both"/>
        <w:rPr>
          <w:rFonts w:ascii="Times New Roman" w:eastAsia="Times New Roman" w:hAnsi="Times New Roman" w:cs="Times New Roman"/>
          <w:sz w:val="24"/>
          <w:szCs w:val="24"/>
        </w:rPr>
      </w:pPr>
    </w:p>
    <w:p w14:paraId="521C571B" w14:textId="77777777" w:rsidR="007E3C73" w:rsidRDefault="007E3C73">
      <w:pPr>
        <w:pStyle w:val="Title"/>
        <w:spacing w:line="240" w:lineRule="auto"/>
        <w:jc w:val="center"/>
      </w:pPr>
      <w:bookmarkStart w:id="0" w:name="_heading=h.gjdgxs" w:colFirst="0" w:colLast="0"/>
      <w:bookmarkEnd w:id="0"/>
    </w:p>
    <w:p w14:paraId="3E4C82CA" w14:textId="1842576D" w:rsidR="007E3C73" w:rsidRDefault="007E3C73">
      <w:pPr>
        <w:pStyle w:val="Title"/>
        <w:spacing w:line="240" w:lineRule="auto"/>
        <w:jc w:val="center"/>
      </w:pPr>
      <w:r>
        <w:rPr>
          <w:noProof/>
        </w:rPr>
        <w:drawing>
          <wp:anchor distT="0" distB="0" distL="114300" distR="114300" simplePos="0" relativeHeight="251659264" behindDoc="0" locked="0" layoutInCell="1" hidden="0" allowOverlap="1" wp14:anchorId="4420B47C" wp14:editId="35B8C241">
            <wp:simplePos x="0" y="0"/>
            <wp:positionH relativeFrom="column">
              <wp:posOffset>0</wp:posOffset>
            </wp:positionH>
            <wp:positionV relativeFrom="paragraph">
              <wp:posOffset>418465</wp:posOffset>
            </wp:positionV>
            <wp:extent cx="1809750" cy="723900"/>
            <wp:effectExtent l="0" t="0" r="0" b="0"/>
            <wp:wrapSquare wrapText="bothSides" distT="0" distB="0" distL="114300" distR="114300"/>
            <wp:docPr id="2"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09750" cy="723900"/>
                    </a:xfrm>
                    <a:prstGeom prst="rect">
                      <a:avLst/>
                    </a:prstGeom>
                    <a:ln/>
                  </pic:spPr>
                </pic:pic>
              </a:graphicData>
            </a:graphic>
          </wp:anchor>
        </w:drawing>
      </w:r>
    </w:p>
    <w:p w14:paraId="2F770B1B" w14:textId="77777777" w:rsidR="007E3C73" w:rsidRDefault="007E3C73" w:rsidP="007E3C73"/>
    <w:p w14:paraId="4E286E20" w14:textId="77777777" w:rsidR="007E3C73" w:rsidRDefault="007E3C73" w:rsidP="007E3C73"/>
    <w:p w14:paraId="5692A611" w14:textId="77777777" w:rsidR="007E3C73" w:rsidRDefault="007E3C73" w:rsidP="007E3C73"/>
    <w:p w14:paraId="52E02137" w14:textId="77777777" w:rsidR="007E3C73" w:rsidRDefault="007E3C73" w:rsidP="007E3C73"/>
    <w:p w14:paraId="3D8AE2F8" w14:textId="77777777" w:rsidR="007E3C73" w:rsidRDefault="007E3C73" w:rsidP="007E3C73"/>
    <w:p w14:paraId="60E434CE" w14:textId="77777777" w:rsidR="007E3C73" w:rsidRDefault="007E3C73" w:rsidP="007E3C73"/>
    <w:p w14:paraId="5510FAAB" w14:textId="77777777" w:rsidR="007E3C73" w:rsidRDefault="007E3C73" w:rsidP="007E3C73"/>
    <w:p w14:paraId="086C5E02" w14:textId="77777777" w:rsidR="007E3C73" w:rsidRPr="007E3C73" w:rsidRDefault="007E3C73" w:rsidP="007E3C73"/>
    <w:p w14:paraId="037EFC0E" w14:textId="244676E9" w:rsidR="0059511B" w:rsidRDefault="00CB1E79">
      <w:pPr>
        <w:pStyle w:val="Title"/>
        <w:spacing w:line="240" w:lineRule="auto"/>
        <w:jc w:val="center"/>
      </w:pPr>
      <w:r>
        <w:t>Policing Vulnerability and Risk</w:t>
      </w:r>
    </w:p>
    <w:p w14:paraId="399854E4" w14:textId="77777777" w:rsidR="0059511B" w:rsidRDefault="00CB1E79">
      <w:pPr>
        <w:pStyle w:val="Title"/>
        <w:spacing w:line="240" w:lineRule="auto"/>
        <w:jc w:val="center"/>
      </w:pPr>
      <w:bookmarkStart w:id="1" w:name="_heading=h.30j0zll" w:colFirst="0" w:colLast="0"/>
      <w:bookmarkEnd w:id="1"/>
      <w:r>
        <w:t>BMPL5015</w:t>
      </w:r>
    </w:p>
    <w:p w14:paraId="23FD8453" w14:textId="77777777" w:rsidR="0059511B" w:rsidRDefault="0059511B">
      <w:pPr>
        <w:pStyle w:val="Subtitle"/>
        <w:spacing w:line="240" w:lineRule="auto"/>
        <w:jc w:val="center"/>
      </w:pPr>
      <w:bookmarkStart w:id="2" w:name="_heading=h.1fob9te" w:colFirst="0" w:colLast="0"/>
      <w:bookmarkEnd w:id="2"/>
    </w:p>
    <w:p w14:paraId="4FCA214B" w14:textId="77777777" w:rsidR="0059511B" w:rsidRDefault="00CB1E79">
      <w:pPr>
        <w:pStyle w:val="Subtitle"/>
        <w:spacing w:line="240" w:lineRule="auto"/>
        <w:jc w:val="center"/>
        <w:rPr>
          <w:rFonts w:ascii="Times New Roman" w:eastAsia="Times New Roman" w:hAnsi="Times New Roman" w:cs="Times New Roman"/>
          <w:sz w:val="24"/>
          <w:szCs w:val="24"/>
        </w:rPr>
      </w:pPr>
      <w:bookmarkStart w:id="3" w:name="_heading=h.3znysh7" w:colFirst="0" w:colLast="0"/>
      <w:bookmarkEnd w:id="3"/>
      <w:r>
        <w:t>Evaluate an example (s) of successful policing initiatives aimed at protecting vulnerable individuals</w:t>
      </w:r>
      <w:r>
        <w:br w:type="page"/>
      </w:r>
    </w:p>
    <w:p w14:paraId="186C1C7B" w14:textId="77777777" w:rsidR="0059511B" w:rsidRDefault="0059511B">
      <w:pPr>
        <w:spacing w:line="240" w:lineRule="auto"/>
        <w:jc w:val="both"/>
        <w:rPr>
          <w:rFonts w:ascii="Times New Roman" w:eastAsia="Times New Roman" w:hAnsi="Times New Roman" w:cs="Times New Roman"/>
          <w:sz w:val="24"/>
          <w:szCs w:val="24"/>
        </w:rPr>
      </w:pPr>
    </w:p>
    <w:p w14:paraId="2A105826" w14:textId="77777777" w:rsidR="007E3C73" w:rsidRDefault="00CB1E79">
      <w:pPr>
        <w:spacing w:line="360" w:lineRule="auto"/>
        <w:jc w:val="both"/>
      </w:pPr>
      <w:r>
        <w:rPr>
          <w:rFonts w:ascii="Times New Roman" w:eastAsia="Times New Roman" w:hAnsi="Times New Roman" w:cs="Times New Roman"/>
          <w:sz w:val="24"/>
          <w:szCs w:val="24"/>
        </w:rPr>
        <w:t xml:space="preserve">Protecting vulnerable individuals is a policy priority. The policies are aimed at dealing with </w:t>
      </w:r>
      <w:r>
        <w:rPr>
          <w:rFonts w:ascii="Times New Roman" w:eastAsia="Times New Roman" w:hAnsi="Times New Roman" w:cs="Times New Roman"/>
          <w:sz w:val="24"/>
          <w:szCs w:val="24"/>
        </w:rPr>
        <w:t>immediate threats and also underlying factors that can contribute to their vulnerability. In recent years, health agencies and other organisations have introduced many such interventions. These have included proactive ones as well as partnership-based inte</w:t>
      </w:r>
      <w:r>
        <w:rPr>
          <w:rFonts w:ascii="Times New Roman" w:eastAsia="Times New Roman" w:hAnsi="Times New Roman" w:cs="Times New Roman"/>
          <w:sz w:val="24"/>
          <w:szCs w:val="24"/>
        </w:rPr>
        <w:t>rventions (Age UK, 2020). Comprehensive support programs have also been developed. In this given essay, the policies related to safeguarding vulnerable individuals will be studied. Examples of these will include the National Vulnerability Action Plan (NVAP</w:t>
      </w:r>
      <w:r>
        <w:rPr>
          <w:rFonts w:ascii="Times New Roman" w:eastAsia="Times New Roman" w:hAnsi="Times New Roman" w:cs="Times New Roman"/>
          <w:sz w:val="24"/>
          <w:szCs w:val="24"/>
        </w:rPr>
        <w:t>), the Vulnerability and Violent Crime Programme (VVCP), among others (College of Policing, 2019). Other community-based initiatives will be taken into account. The methods used will be investigated. The goals and outcomes will be critically analysed.</w:t>
      </w:r>
    </w:p>
    <w:p w14:paraId="6CF0150C" w14:textId="77777777" w:rsidR="007E3C73" w:rsidRDefault="007E3C73">
      <w:pPr>
        <w:spacing w:line="360" w:lineRule="auto"/>
        <w:jc w:val="both"/>
      </w:pPr>
    </w:p>
    <w:p w14:paraId="2F34EFB2" w14:textId="5012666C"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Nat</w:t>
      </w:r>
      <w:r>
        <w:rPr>
          <w:rFonts w:ascii="Times New Roman" w:eastAsia="Times New Roman" w:hAnsi="Times New Roman" w:cs="Times New Roman"/>
          <w:sz w:val="24"/>
          <w:szCs w:val="24"/>
        </w:rPr>
        <w:t>ional Vulnerability Action Plan (NVAP):</w:t>
      </w:r>
    </w:p>
    <w:p w14:paraId="1CDC449A"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comprehensive policies for protecting vulnerable individuals is the National Vulnerability Action Plan (NVAP). It provides a well-structured framework to agencies working across England and Wales. Age</w:t>
      </w:r>
      <w:r>
        <w:rPr>
          <w:rFonts w:ascii="Times New Roman" w:eastAsia="Times New Roman" w:hAnsi="Times New Roman" w:cs="Times New Roman"/>
          <w:sz w:val="24"/>
          <w:szCs w:val="24"/>
        </w:rPr>
        <w:t>ncies use this to identify vulnerable individuals and understand their needs. To address these needs and concerns, the agencies adopt a multi-agency approach (College of Policing, 2019). The service givers ensure that the support or interventions are timel</w:t>
      </w:r>
      <w:r>
        <w:rPr>
          <w:rFonts w:ascii="Times New Roman" w:eastAsia="Times New Roman" w:hAnsi="Times New Roman" w:cs="Times New Roman"/>
          <w:sz w:val="24"/>
          <w:szCs w:val="24"/>
        </w:rPr>
        <w:t>y and effective in alleviating the safeguarding concerns.</w:t>
      </w:r>
    </w:p>
    <w:p w14:paraId="49407F9E" w14:textId="77777777" w:rsidR="0059511B" w:rsidRDefault="0059511B">
      <w:pPr>
        <w:spacing w:line="360" w:lineRule="auto"/>
        <w:jc w:val="both"/>
        <w:rPr>
          <w:rFonts w:ascii="Times New Roman" w:eastAsia="Times New Roman" w:hAnsi="Times New Roman" w:cs="Times New Roman"/>
          <w:sz w:val="24"/>
          <w:szCs w:val="24"/>
        </w:rPr>
      </w:pPr>
    </w:p>
    <w:p w14:paraId="4A6CA8AA" w14:textId="141F86D2"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most important component of this plan is that it emphasises the early identification of vulnerability. This plan is designed to use the THRIVE Model. THRIVE stands for assessing Threat, Harm, R</w:t>
      </w:r>
      <w:r>
        <w:rPr>
          <w:rFonts w:ascii="Times New Roman" w:eastAsia="Times New Roman" w:hAnsi="Times New Roman" w:cs="Times New Roman"/>
          <w:sz w:val="24"/>
          <w:szCs w:val="24"/>
        </w:rPr>
        <w:t>isk, Investigation, Vulnerability, and Engagement. The adoption of this model has led to a systematic evaluation of vulnerable individuals’ situations. It also helps identify which individuals are at risk (Reiner, 2016). All this finally leads to the devis</w:t>
      </w:r>
      <w:r>
        <w:rPr>
          <w:rFonts w:ascii="Times New Roman" w:eastAsia="Times New Roman" w:hAnsi="Times New Roman" w:cs="Times New Roman"/>
          <w:sz w:val="24"/>
          <w:szCs w:val="24"/>
        </w:rPr>
        <w:t>ing of targeted interventions. One of the notable achievements of this plan has been the reduction in repeat victimisation (Glover, et al., 2020). This applies in domestic abuse cases. This is done by ensuring that the victims are protected by comprehensiv</w:t>
      </w:r>
      <w:r>
        <w:rPr>
          <w:rFonts w:ascii="Times New Roman" w:eastAsia="Times New Roman" w:hAnsi="Times New Roman" w:cs="Times New Roman"/>
          <w:sz w:val="24"/>
          <w:szCs w:val="24"/>
        </w:rPr>
        <w:t xml:space="preserve">e support plans and other applicable measures. This also ensures that the quality of service is not compromised. A certain level of consistency in service delivery and quality can also be ensured through the adoption of the THRIVE Model (Modern Slavery </w:t>
      </w:r>
      <w:r w:rsidR="007E3C73">
        <w:rPr>
          <w:rFonts w:ascii="Times New Roman" w:eastAsia="Times New Roman" w:hAnsi="Times New Roman" w:cs="Times New Roman"/>
          <w:sz w:val="24"/>
          <w:szCs w:val="24"/>
        </w:rPr>
        <w:t>Act, 2015</w:t>
      </w:r>
      <w:r>
        <w:rPr>
          <w:rFonts w:ascii="Times New Roman" w:eastAsia="Times New Roman" w:hAnsi="Times New Roman" w:cs="Times New Roman"/>
          <w:sz w:val="24"/>
          <w:szCs w:val="24"/>
        </w:rPr>
        <w:t>).</w:t>
      </w:r>
    </w:p>
    <w:p w14:paraId="458F5A8C" w14:textId="77777777" w:rsidR="0059511B" w:rsidRDefault="0059511B">
      <w:pPr>
        <w:spacing w:line="360" w:lineRule="auto"/>
        <w:jc w:val="both"/>
        <w:rPr>
          <w:rFonts w:ascii="Times New Roman" w:eastAsia="Times New Roman" w:hAnsi="Times New Roman" w:cs="Times New Roman"/>
          <w:sz w:val="24"/>
          <w:szCs w:val="24"/>
        </w:rPr>
      </w:pPr>
    </w:p>
    <w:p w14:paraId="27919011"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However, despite the achievements and strengths of this plan, there are quite many challenges. Most of these challenges are relevant in the implementation stage. Full compliance with the standards set under this plan is often restricted by limite</w:t>
      </w:r>
      <w:r>
        <w:rPr>
          <w:rFonts w:ascii="Times New Roman" w:eastAsia="Times New Roman" w:hAnsi="Times New Roman" w:cs="Times New Roman"/>
          <w:sz w:val="24"/>
          <w:szCs w:val="24"/>
        </w:rPr>
        <w:t>d resources under the police forces. This leads to inconsistent care being catered to vulnerable individuals. Moreover, it has been noted that this plan relies heavily on inter-agency collaboration. This means that any disruptions in communication among th</w:t>
      </w:r>
      <w:r>
        <w:rPr>
          <w:rFonts w:ascii="Times New Roman" w:eastAsia="Times New Roman" w:hAnsi="Times New Roman" w:cs="Times New Roman"/>
          <w:sz w:val="24"/>
          <w:szCs w:val="24"/>
        </w:rPr>
        <w:t>ese agencies can result in faults in service provision (Crawford, 2017). Finally, some vulnerable individuals would have been left without proper care and support facilities (Featherstone, et al., 2018).</w:t>
      </w:r>
    </w:p>
    <w:p w14:paraId="530CDE71" w14:textId="77777777" w:rsidR="0059511B" w:rsidRDefault="0059511B">
      <w:pPr>
        <w:spacing w:line="360" w:lineRule="auto"/>
        <w:jc w:val="both"/>
        <w:rPr>
          <w:rFonts w:ascii="Times New Roman" w:eastAsia="Times New Roman" w:hAnsi="Times New Roman" w:cs="Times New Roman"/>
          <w:sz w:val="24"/>
          <w:szCs w:val="24"/>
        </w:rPr>
      </w:pPr>
    </w:p>
    <w:p w14:paraId="0E544C4E" w14:textId="77777777" w:rsidR="007E3C73" w:rsidRDefault="00CB1E79">
      <w:pPr>
        <w:spacing w:line="360" w:lineRule="auto"/>
        <w:jc w:val="both"/>
      </w:pPr>
      <w:r>
        <w:rPr>
          <w:rFonts w:ascii="Times New Roman" w:eastAsia="Times New Roman" w:hAnsi="Times New Roman" w:cs="Times New Roman"/>
          <w:sz w:val="24"/>
          <w:szCs w:val="24"/>
        </w:rPr>
        <w:t xml:space="preserve">Nonetheless, this plan has received accolades for </w:t>
      </w:r>
      <w:r>
        <w:rPr>
          <w:rFonts w:ascii="Times New Roman" w:eastAsia="Times New Roman" w:hAnsi="Times New Roman" w:cs="Times New Roman"/>
          <w:sz w:val="24"/>
          <w:szCs w:val="24"/>
        </w:rPr>
        <w:t>implementing benchmarking activities. This has allowed forces to assess the progress made by themselves. This enables the identification of both strengths and weaknesses vis-a-vis their response to vulnerable individuals. As such, despite the challenges, t</w:t>
      </w:r>
      <w:r>
        <w:rPr>
          <w:rFonts w:ascii="Times New Roman" w:eastAsia="Times New Roman" w:hAnsi="Times New Roman" w:cs="Times New Roman"/>
          <w:sz w:val="24"/>
          <w:szCs w:val="24"/>
        </w:rPr>
        <w:t>he evidence-based actions have borne fruit for the agencies (Featherstone, et al., 2018). A commitment to continuous improvement has laid the foundation for a strong future in this regard. In the future, the interventions and strategies need to be improved</w:t>
      </w:r>
      <w:r>
        <w:rPr>
          <w:rFonts w:ascii="Times New Roman" w:eastAsia="Times New Roman" w:hAnsi="Times New Roman" w:cs="Times New Roman"/>
          <w:sz w:val="24"/>
          <w:szCs w:val="24"/>
        </w:rPr>
        <w:t xml:space="preserve"> and communication among agencies enhanced. Inter-agency collaboration and harmonious working will determine the fate of this plan. With the progress of time, these challenges can be tackled and the case of vulnerable individuals can be addressed in a far </w:t>
      </w:r>
      <w:r>
        <w:rPr>
          <w:rFonts w:ascii="Times New Roman" w:eastAsia="Times New Roman" w:hAnsi="Times New Roman" w:cs="Times New Roman"/>
          <w:sz w:val="24"/>
          <w:szCs w:val="24"/>
        </w:rPr>
        <w:t>better manner. It is also important to implement the structured framework that this plan is based on. This can lead to improvements in addressing vulnerability in different forms (Glover, et al., 2020). These include domestic violence, mental health issues</w:t>
      </w:r>
      <w:r>
        <w:rPr>
          <w:rFonts w:ascii="Times New Roman" w:eastAsia="Times New Roman" w:hAnsi="Times New Roman" w:cs="Times New Roman"/>
          <w:sz w:val="24"/>
          <w:szCs w:val="24"/>
        </w:rPr>
        <w:t>, as well as child sexual exploitation.</w:t>
      </w:r>
    </w:p>
    <w:p w14:paraId="4067B2DC" w14:textId="77777777" w:rsidR="007E3C73" w:rsidRDefault="007E3C73">
      <w:pPr>
        <w:spacing w:line="360" w:lineRule="auto"/>
        <w:jc w:val="both"/>
      </w:pPr>
    </w:p>
    <w:p w14:paraId="2C98E67B" w14:textId="52FFF505"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Vulnerability and Violent Crime Programme (VVCP):</w:t>
      </w:r>
    </w:p>
    <w:p w14:paraId="00CEB7CE"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Vulnerability and Violent Crime Programme (VVCP) is another important example of how effective policies are aimed at safeguarding vulnerable individuals. This pr</w:t>
      </w:r>
      <w:r>
        <w:rPr>
          <w:rFonts w:ascii="Times New Roman" w:eastAsia="Times New Roman" w:hAnsi="Times New Roman" w:cs="Times New Roman"/>
          <w:sz w:val="24"/>
          <w:szCs w:val="24"/>
        </w:rPr>
        <w:t>ogram is focused on protecting vulnerable individuals by addressing violent crime (Freedman, 2019). The programme strives to achieve this by adopting a public health approach. This programme emphasises the identification of individuals who could be involve</w:t>
      </w:r>
      <w:r>
        <w:rPr>
          <w:rFonts w:ascii="Times New Roman" w:eastAsia="Times New Roman" w:hAnsi="Times New Roman" w:cs="Times New Roman"/>
          <w:sz w:val="24"/>
          <w:szCs w:val="24"/>
        </w:rPr>
        <w:t>d in violent crimes in the near future. The priority of this identification exercise is young people. In this connection, being involved entails both being perpetrators and victims of violent crimes. At the forefront of this programme is a preventive appro</w:t>
      </w:r>
      <w:r>
        <w:rPr>
          <w:rFonts w:ascii="Times New Roman" w:eastAsia="Times New Roman" w:hAnsi="Times New Roman" w:cs="Times New Roman"/>
          <w:sz w:val="24"/>
          <w:szCs w:val="24"/>
        </w:rPr>
        <w:t xml:space="preserve">ach. This approach helps the agency work in close collaboration with community </w:t>
      </w:r>
      <w:r>
        <w:rPr>
          <w:rFonts w:ascii="Times New Roman" w:eastAsia="Times New Roman" w:hAnsi="Times New Roman" w:cs="Times New Roman"/>
          <w:sz w:val="24"/>
          <w:szCs w:val="24"/>
        </w:rPr>
        <w:lastRenderedPageBreak/>
        <w:t>organisations (Glover, et al., 2020). These organisations include schools and local authorities. These organisations play a significant role in preventing young people and other</w:t>
      </w:r>
      <w:r>
        <w:rPr>
          <w:rFonts w:ascii="Times New Roman" w:eastAsia="Times New Roman" w:hAnsi="Times New Roman" w:cs="Times New Roman"/>
          <w:sz w:val="24"/>
          <w:szCs w:val="24"/>
        </w:rPr>
        <w:t xml:space="preserve">s from taking </w:t>
      </w:r>
      <w:proofErr w:type="spellStart"/>
      <w:r>
        <w:rPr>
          <w:rFonts w:ascii="Times New Roman" w:eastAsia="Times New Roman" w:hAnsi="Times New Roman" w:cs="Times New Roman"/>
          <w:sz w:val="24"/>
          <w:szCs w:val="24"/>
        </w:rPr>
        <w:t>to</w:t>
      </w:r>
      <w:proofErr w:type="spellEnd"/>
      <w:r>
        <w:rPr>
          <w:rFonts w:ascii="Times New Roman" w:eastAsia="Times New Roman" w:hAnsi="Times New Roman" w:cs="Times New Roman"/>
          <w:sz w:val="24"/>
          <w:szCs w:val="24"/>
        </w:rPr>
        <w:t xml:space="preserve"> violent criminal activities. This also entails protecting young people from being victims of violent crimes. Hence, the Vulnerability and Violent Crime Programme (VVCP) also relies on working hand in hand with community level organisations</w:t>
      </w:r>
      <w:r>
        <w:rPr>
          <w:rFonts w:ascii="Times New Roman" w:eastAsia="Times New Roman" w:hAnsi="Times New Roman" w:cs="Times New Roman"/>
          <w:sz w:val="24"/>
          <w:szCs w:val="24"/>
        </w:rPr>
        <w:t>. This is to ensure that vulnerable individuals are protected from violent crimes by providing them support and diverting them. This applies to being victims of such crimes as well as being the perpetrators of these activities.</w:t>
      </w:r>
    </w:p>
    <w:p w14:paraId="156E1961" w14:textId="77777777" w:rsidR="0059511B" w:rsidRDefault="0059511B">
      <w:pPr>
        <w:spacing w:line="360" w:lineRule="auto"/>
        <w:jc w:val="both"/>
        <w:rPr>
          <w:rFonts w:ascii="Times New Roman" w:eastAsia="Times New Roman" w:hAnsi="Times New Roman" w:cs="Times New Roman"/>
          <w:sz w:val="24"/>
          <w:szCs w:val="24"/>
        </w:rPr>
      </w:pPr>
    </w:p>
    <w:p w14:paraId="3BD052EA"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Vulnerability and Viole</w:t>
      </w:r>
      <w:r>
        <w:rPr>
          <w:rFonts w:ascii="Times New Roman" w:eastAsia="Times New Roman" w:hAnsi="Times New Roman" w:cs="Times New Roman"/>
          <w:sz w:val="24"/>
          <w:szCs w:val="24"/>
        </w:rPr>
        <w:t>nt Crime Programme (VVCP) has been largely successful. This can be owed to its proactive approach to violent crime prevention. It targets the root causes of violent crimes. These include poverty, social exclusion, and lack of education. The Vulnerability a</w:t>
      </w:r>
      <w:r>
        <w:rPr>
          <w:rFonts w:ascii="Times New Roman" w:eastAsia="Times New Roman" w:hAnsi="Times New Roman" w:cs="Times New Roman"/>
          <w:sz w:val="24"/>
          <w:szCs w:val="24"/>
        </w:rPr>
        <w:t>nd Violent Crime Programme (VVCP) addresses risk factors that pave the way for violent crimes.  In many areas across England, where the Vulnerability and Violent Crime Programme (VVCP) has been implemented, knife crimes have come down drastically. This cou</w:t>
      </w:r>
      <w:r>
        <w:rPr>
          <w:rFonts w:ascii="Times New Roman" w:eastAsia="Times New Roman" w:hAnsi="Times New Roman" w:cs="Times New Roman"/>
          <w:sz w:val="24"/>
          <w:szCs w:val="24"/>
        </w:rPr>
        <w:t>nts as one of the defining success stories of this programme (Freedman, 2019).</w:t>
      </w:r>
    </w:p>
    <w:p w14:paraId="4209B496" w14:textId="77777777" w:rsidR="0059511B" w:rsidRDefault="0059511B">
      <w:pPr>
        <w:spacing w:line="360" w:lineRule="auto"/>
        <w:jc w:val="both"/>
        <w:rPr>
          <w:rFonts w:ascii="Times New Roman" w:eastAsia="Times New Roman" w:hAnsi="Times New Roman" w:cs="Times New Roman"/>
          <w:sz w:val="24"/>
          <w:szCs w:val="24"/>
        </w:rPr>
      </w:pPr>
    </w:p>
    <w:p w14:paraId="0BF0E35A" w14:textId="77777777" w:rsidR="007E3C73" w:rsidRDefault="00CB1E79">
      <w:pPr>
        <w:spacing w:line="360" w:lineRule="auto"/>
        <w:jc w:val="both"/>
      </w:pPr>
      <w:r>
        <w:rPr>
          <w:rFonts w:ascii="Times New Roman" w:eastAsia="Times New Roman" w:hAnsi="Times New Roman" w:cs="Times New Roman"/>
          <w:sz w:val="24"/>
          <w:szCs w:val="24"/>
        </w:rPr>
        <w:t xml:space="preserve">However, like any other programme, the Vulnerability and Violent Crime Programme (VVCP) has its own limitations. The </w:t>
      </w:r>
      <w:r w:rsidR="007E3C73">
        <w:rPr>
          <w:rFonts w:ascii="Times New Roman" w:eastAsia="Times New Roman" w:hAnsi="Times New Roman" w:cs="Times New Roman"/>
          <w:sz w:val="24"/>
          <w:szCs w:val="24"/>
        </w:rPr>
        <w:t>long-term</w:t>
      </w:r>
      <w:r>
        <w:rPr>
          <w:rFonts w:ascii="Times New Roman" w:eastAsia="Times New Roman" w:hAnsi="Times New Roman" w:cs="Times New Roman"/>
          <w:sz w:val="24"/>
          <w:szCs w:val="24"/>
        </w:rPr>
        <w:t xml:space="preserve"> success of the Vulnerability and Violent Crime Pr</w:t>
      </w:r>
      <w:r>
        <w:rPr>
          <w:rFonts w:ascii="Times New Roman" w:eastAsia="Times New Roman" w:hAnsi="Times New Roman" w:cs="Times New Roman"/>
          <w:sz w:val="24"/>
          <w:szCs w:val="24"/>
        </w:rPr>
        <w:t>ogramme (VVCP) depends on sustained resourcing. Practically, providing financial and other resources can be a huge challenge. This stands as one of the most prominent barriers in the way of this programme achieving its objectives (Lloyd, 2019). Other impor</w:t>
      </w:r>
      <w:r>
        <w:rPr>
          <w:rFonts w:ascii="Times New Roman" w:eastAsia="Times New Roman" w:hAnsi="Times New Roman" w:cs="Times New Roman"/>
          <w:sz w:val="24"/>
          <w:szCs w:val="24"/>
        </w:rPr>
        <w:t xml:space="preserve">tant challenges are related to the availability of local support networks. Not all regions and areas of the UK have the same level of development with regard to these networks. Hence, regional disparities exist. These count as important challenges for the </w:t>
      </w:r>
      <w:r>
        <w:rPr>
          <w:rFonts w:ascii="Times New Roman" w:eastAsia="Times New Roman" w:hAnsi="Times New Roman" w:cs="Times New Roman"/>
          <w:sz w:val="24"/>
          <w:szCs w:val="24"/>
        </w:rPr>
        <w:t>Vulnerability and Violent Crime Programme (VVCP) as well. Moreover, the level of community involvement is not uniform either (Crawley, et al., 2020).</w:t>
      </w:r>
    </w:p>
    <w:p w14:paraId="6E139643" w14:textId="77777777" w:rsidR="007E3C73" w:rsidRDefault="007E3C73">
      <w:pPr>
        <w:spacing w:line="360" w:lineRule="auto"/>
        <w:jc w:val="both"/>
      </w:pPr>
    </w:p>
    <w:p w14:paraId="2B3D9934" w14:textId="334EB8C8"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Community-Based Initiatives:</w:t>
      </w:r>
    </w:p>
    <w:p w14:paraId="752B3648"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Community-based initiatives and programs play a crucial role in forging trus</w:t>
      </w:r>
      <w:r>
        <w:rPr>
          <w:rFonts w:ascii="Times New Roman" w:eastAsia="Times New Roman" w:hAnsi="Times New Roman" w:cs="Times New Roman"/>
          <w:sz w:val="24"/>
          <w:szCs w:val="24"/>
        </w:rPr>
        <w:t>t between the police and vulnerable individuals. This encourages individuals to report crimes and ask for help.</w:t>
      </w:r>
      <w:r>
        <w:rPr>
          <w:rFonts w:ascii="Times New Roman" w:eastAsia="Times New Roman" w:hAnsi="Times New Roman" w:cs="Times New Roman"/>
          <w:sz w:val="24"/>
          <w:szCs w:val="24"/>
        </w:rPr>
        <w:tab/>
        <w:t xml:space="preserve"> Neighbourhood watch programs are an example of how these can be successfully implemented across communities. Another important example is dedic</w:t>
      </w:r>
      <w:r>
        <w:rPr>
          <w:rFonts w:ascii="Times New Roman" w:eastAsia="Times New Roman" w:hAnsi="Times New Roman" w:cs="Times New Roman"/>
          <w:sz w:val="24"/>
          <w:szCs w:val="24"/>
        </w:rPr>
        <w:t xml:space="preserve">ated vulnerability officers (Independent </w:t>
      </w:r>
      <w:r>
        <w:rPr>
          <w:rFonts w:ascii="Times New Roman" w:eastAsia="Times New Roman" w:hAnsi="Times New Roman" w:cs="Times New Roman"/>
          <w:sz w:val="24"/>
          <w:szCs w:val="24"/>
        </w:rPr>
        <w:lastRenderedPageBreak/>
        <w:t>Office for Police Conduct (IOPC), 2021). These officers work hand in hand with community organisations to identify vulnerable individuals and address their risk factors. Hence, these initiatives and programmes act a</w:t>
      </w:r>
      <w:r>
        <w:rPr>
          <w:rFonts w:ascii="Times New Roman" w:eastAsia="Times New Roman" w:hAnsi="Times New Roman" w:cs="Times New Roman"/>
          <w:sz w:val="24"/>
          <w:szCs w:val="24"/>
        </w:rPr>
        <w:t>s direct links between the police and the community. This leads to vulnerability concerns being addressed promptly.</w:t>
      </w:r>
    </w:p>
    <w:p w14:paraId="15CE528F" w14:textId="77777777" w:rsidR="0059511B" w:rsidRDefault="0059511B">
      <w:pPr>
        <w:spacing w:line="360" w:lineRule="auto"/>
        <w:jc w:val="both"/>
        <w:rPr>
          <w:rFonts w:ascii="Times New Roman" w:eastAsia="Times New Roman" w:hAnsi="Times New Roman" w:cs="Times New Roman"/>
          <w:sz w:val="24"/>
          <w:szCs w:val="24"/>
        </w:rPr>
      </w:pPr>
    </w:p>
    <w:p w14:paraId="2741E8BB"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deployment of Police Community Support Officers (PCSOs) has also been a step in the right direction. These officers have worked in regi</w:t>
      </w:r>
      <w:r>
        <w:rPr>
          <w:rFonts w:ascii="Times New Roman" w:eastAsia="Times New Roman" w:hAnsi="Times New Roman" w:cs="Times New Roman"/>
          <w:sz w:val="24"/>
          <w:szCs w:val="24"/>
        </w:rPr>
        <w:t>ons that have a high level of crime and deprivation. These officers provide reassurance and support to all such individuals who might be vulnerable owing to social isolation or facing economic hardships. This step has led to a reduction in crimes related t</w:t>
      </w:r>
      <w:r>
        <w:rPr>
          <w:rFonts w:ascii="Times New Roman" w:eastAsia="Times New Roman" w:hAnsi="Times New Roman" w:cs="Times New Roman"/>
          <w:sz w:val="24"/>
          <w:szCs w:val="24"/>
        </w:rPr>
        <w:t>o domestic violence. It has also improved the trust levels between the community and the police (Home Office, 2022).</w:t>
      </w:r>
    </w:p>
    <w:p w14:paraId="268A0AED" w14:textId="77777777" w:rsidR="0059511B" w:rsidRDefault="0059511B">
      <w:pPr>
        <w:spacing w:line="360" w:lineRule="auto"/>
        <w:jc w:val="both"/>
        <w:rPr>
          <w:rFonts w:ascii="Times New Roman" w:eastAsia="Times New Roman" w:hAnsi="Times New Roman" w:cs="Times New Roman"/>
          <w:sz w:val="24"/>
          <w:szCs w:val="24"/>
        </w:rPr>
      </w:pPr>
    </w:p>
    <w:p w14:paraId="61B87F41" w14:textId="77777777" w:rsidR="007E3C73" w:rsidRDefault="00CB1E79">
      <w:pPr>
        <w:spacing w:line="360" w:lineRule="auto"/>
        <w:jc w:val="both"/>
      </w:pPr>
      <w:r>
        <w:rPr>
          <w:rFonts w:ascii="Times New Roman" w:eastAsia="Times New Roman" w:hAnsi="Times New Roman" w:cs="Times New Roman"/>
          <w:sz w:val="24"/>
          <w:szCs w:val="24"/>
        </w:rPr>
        <w:t>However, there are challenges associated with the Police Community Support Officers (PCSOs) as well. The first one relates to the need for</w:t>
      </w:r>
      <w:r>
        <w:rPr>
          <w:rFonts w:ascii="Times New Roman" w:eastAsia="Times New Roman" w:hAnsi="Times New Roman" w:cs="Times New Roman"/>
          <w:sz w:val="24"/>
          <w:szCs w:val="24"/>
        </w:rPr>
        <w:t xml:space="preserve"> regular, long-term engagement. Shortage of resources can be detrimental to the trust building exercise. The effectiveness of this initiative is also limited by language and cultural barriers. Nevertheless, the deployment of these Police Community Support </w:t>
      </w:r>
      <w:r>
        <w:rPr>
          <w:rFonts w:ascii="Times New Roman" w:eastAsia="Times New Roman" w:hAnsi="Times New Roman" w:cs="Times New Roman"/>
          <w:sz w:val="24"/>
          <w:szCs w:val="24"/>
        </w:rPr>
        <w:t>Officers (PCSOs) has led to significant improvements especially in high crime rate areas. Apart from preventing crime, the relationship between communities and law enforcement has improved (Social Services and Well-being (Wales) Act, 2014).</w:t>
      </w:r>
    </w:p>
    <w:p w14:paraId="7D982318" w14:textId="77777777" w:rsidR="007E3C73" w:rsidRDefault="007E3C73">
      <w:pPr>
        <w:spacing w:line="360" w:lineRule="auto"/>
        <w:jc w:val="both"/>
      </w:pPr>
    </w:p>
    <w:p w14:paraId="20FB8C49" w14:textId="7DF6BC06"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Domestic Viole</w:t>
      </w:r>
      <w:r>
        <w:rPr>
          <w:rFonts w:ascii="Times New Roman" w:eastAsia="Times New Roman" w:hAnsi="Times New Roman" w:cs="Times New Roman"/>
          <w:sz w:val="24"/>
          <w:szCs w:val="24"/>
        </w:rPr>
        <w:t>nce Protection Orders (DVPOs):</w:t>
      </w:r>
    </w:p>
    <w:p w14:paraId="6D419054"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Domestic Violence Protection Orders (DVPOs) stand as examples of direct interventions. These are specifically meant for protecting vulnerable individuals at the risk of domestic abuse. These are meant to keep the abuser a</w:t>
      </w:r>
      <w:r>
        <w:rPr>
          <w:rFonts w:ascii="Times New Roman" w:eastAsia="Times New Roman" w:hAnsi="Times New Roman" w:cs="Times New Roman"/>
          <w:sz w:val="24"/>
          <w:szCs w:val="24"/>
        </w:rPr>
        <w:t>way from the victim (Crawley, et al., 2020). This is done by prohibiting the abuser from contacting the victim or visiting them physically (</w:t>
      </w:r>
      <w:proofErr w:type="spellStart"/>
      <w:r>
        <w:rPr>
          <w:rFonts w:ascii="Times New Roman" w:eastAsia="Times New Roman" w:hAnsi="Times New Roman" w:cs="Times New Roman"/>
          <w:sz w:val="24"/>
          <w:szCs w:val="24"/>
        </w:rPr>
        <w:t>Walklate</w:t>
      </w:r>
      <w:proofErr w:type="spellEnd"/>
      <w:r>
        <w:rPr>
          <w:rFonts w:ascii="Times New Roman" w:eastAsia="Times New Roman" w:hAnsi="Times New Roman" w:cs="Times New Roman"/>
          <w:sz w:val="24"/>
          <w:szCs w:val="24"/>
        </w:rPr>
        <w:t>, 2018). This way, instant support can be provided to the victims. Support can also be provided for rehabili</w:t>
      </w:r>
      <w:r>
        <w:rPr>
          <w:rFonts w:ascii="Times New Roman" w:eastAsia="Times New Roman" w:hAnsi="Times New Roman" w:cs="Times New Roman"/>
          <w:sz w:val="24"/>
          <w:szCs w:val="24"/>
        </w:rPr>
        <w:t>tation and initiation of legal action. The implementation of these orders has led to a significant reduction in the number of repeat victimisation (Rahman, et al., 2021). This is especially in cases where the victim is unwilling or unable to initiate legal</w:t>
      </w:r>
      <w:r>
        <w:rPr>
          <w:rFonts w:ascii="Times New Roman" w:eastAsia="Times New Roman" w:hAnsi="Times New Roman" w:cs="Times New Roman"/>
          <w:sz w:val="24"/>
          <w:szCs w:val="24"/>
        </w:rPr>
        <w:t xml:space="preserve"> action against the abuser. These have played a major role in preventing further harm by providing immediate responses to domestic abuse Age UK, 2020).</w:t>
      </w:r>
    </w:p>
    <w:p w14:paraId="074ACF1F" w14:textId="77777777" w:rsidR="0059511B" w:rsidRDefault="0059511B">
      <w:pPr>
        <w:spacing w:line="360" w:lineRule="auto"/>
        <w:jc w:val="both"/>
        <w:rPr>
          <w:rFonts w:ascii="Times New Roman" w:eastAsia="Times New Roman" w:hAnsi="Times New Roman" w:cs="Times New Roman"/>
          <w:sz w:val="24"/>
          <w:szCs w:val="24"/>
        </w:rPr>
      </w:pPr>
    </w:p>
    <w:p w14:paraId="3C81F9AD" w14:textId="77777777" w:rsidR="007E3C73" w:rsidRDefault="00CB1E79">
      <w:pPr>
        <w:spacing w:line="360" w:lineRule="auto"/>
        <w:jc w:val="both"/>
      </w:pPr>
      <w:r>
        <w:rPr>
          <w:rFonts w:ascii="Times New Roman" w:eastAsia="Times New Roman" w:hAnsi="Times New Roman" w:cs="Times New Roman"/>
          <w:sz w:val="24"/>
          <w:szCs w:val="24"/>
        </w:rPr>
        <w:t>Despite the success of these orders, there are criticisms levelled against these. The most important on</w:t>
      </w:r>
      <w:r>
        <w:rPr>
          <w:rFonts w:ascii="Times New Roman" w:eastAsia="Times New Roman" w:hAnsi="Times New Roman" w:cs="Times New Roman"/>
          <w:sz w:val="24"/>
          <w:szCs w:val="24"/>
        </w:rPr>
        <w:t>es target its temporary nature.  Hence, these might fail to provide long-term safety to the victims (Crawley, et al., 2020). Moreover, lack of resources can affect the response time in cases where such abuse is reported or there is a breach (Crawley, et al</w:t>
      </w:r>
      <w:r>
        <w:rPr>
          <w:rFonts w:ascii="Times New Roman" w:eastAsia="Times New Roman" w:hAnsi="Times New Roman" w:cs="Times New Roman"/>
          <w:sz w:val="24"/>
          <w:szCs w:val="24"/>
        </w:rPr>
        <w:t>., 2020). Other limitations are limited to the prioritisation errors on the part of the law enforcement officers.</w:t>
      </w:r>
    </w:p>
    <w:p w14:paraId="7494625C" w14:textId="77777777" w:rsidR="007E3C73" w:rsidRDefault="007E3C73">
      <w:pPr>
        <w:spacing w:line="360" w:lineRule="auto"/>
        <w:jc w:val="both"/>
      </w:pPr>
    </w:p>
    <w:p w14:paraId="0265B1B0" w14:textId="61542821"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Partnership Working and Multi-Agency Safeguarding Hubs:</w:t>
      </w:r>
    </w:p>
    <w:p w14:paraId="125E59D3"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Working in partnerships has been an effective strategy to protect vulnerable individu</w:t>
      </w:r>
      <w:r>
        <w:rPr>
          <w:rFonts w:ascii="Times New Roman" w:eastAsia="Times New Roman" w:hAnsi="Times New Roman" w:cs="Times New Roman"/>
          <w:sz w:val="24"/>
          <w:szCs w:val="24"/>
        </w:rPr>
        <w:t>als. This has been implemented in the form of Multi-Agency Safeguarding Hubs or MASH.</w:t>
      </w:r>
    </w:p>
    <w:p w14:paraId="48A89F90" w14:textId="77777777" w:rsidR="0059511B" w:rsidRDefault="0059511B">
      <w:pPr>
        <w:spacing w:line="360" w:lineRule="auto"/>
        <w:jc w:val="both"/>
        <w:rPr>
          <w:rFonts w:ascii="Times New Roman" w:eastAsia="Times New Roman" w:hAnsi="Times New Roman" w:cs="Times New Roman"/>
          <w:sz w:val="24"/>
          <w:szCs w:val="24"/>
        </w:rPr>
      </w:pPr>
    </w:p>
    <w:p w14:paraId="07FE32BB" w14:textId="20B6211E"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MASH are specialised units that respond to the concerns </w:t>
      </w:r>
      <w:r w:rsidR="007E3C73">
        <w:rPr>
          <w:rFonts w:ascii="Times New Roman" w:eastAsia="Times New Roman" w:hAnsi="Times New Roman" w:cs="Times New Roman"/>
          <w:sz w:val="24"/>
          <w:szCs w:val="24"/>
        </w:rPr>
        <w:t>of vulnerable</w:t>
      </w:r>
      <w:r>
        <w:rPr>
          <w:rFonts w:ascii="Times New Roman" w:eastAsia="Times New Roman" w:hAnsi="Times New Roman" w:cs="Times New Roman"/>
          <w:sz w:val="24"/>
          <w:szCs w:val="24"/>
        </w:rPr>
        <w:t xml:space="preserve"> individuals in a timely manner. Since these are partnership based, they collaborate among the l</w:t>
      </w:r>
      <w:r>
        <w:rPr>
          <w:rFonts w:ascii="Times New Roman" w:eastAsia="Times New Roman" w:hAnsi="Times New Roman" w:cs="Times New Roman"/>
          <w:sz w:val="24"/>
          <w:szCs w:val="24"/>
        </w:rPr>
        <w:t>aw enforcement agencies, health agencies and others. The others include social service agencies and other community level organisations (Rahman, et al., 2021). This arrangement ensures that comprehensive and coordinated support can be provided to vulnerabl</w:t>
      </w:r>
      <w:r>
        <w:rPr>
          <w:rFonts w:ascii="Times New Roman" w:eastAsia="Times New Roman" w:hAnsi="Times New Roman" w:cs="Times New Roman"/>
          <w:sz w:val="24"/>
          <w:szCs w:val="24"/>
        </w:rPr>
        <w:t>e individuals. The primary context where these MASH have been very successful is child protection. In child protection cases, preventing further harm is of utmost importance. These Multi-Agency Safeguarding Hubs (MASH) have played a crucial role in providi</w:t>
      </w:r>
      <w:r>
        <w:rPr>
          <w:rFonts w:ascii="Times New Roman" w:eastAsia="Times New Roman" w:hAnsi="Times New Roman" w:cs="Times New Roman"/>
          <w:sz w:val="24"/>
          <w:szCs w:val="24"/>
        </w:rPr>
        <w:t>ng timely response to distressed victims. Moreover, these have ensured that redundancies in service are done away with (HMICFRS, 2020). The collaboration and partnerships ensure that a unified approach to safeguarding is implemented. This helps promote the</w:t>
      </w:r>
      <w:r>
        <w:rPr>
          <w:rFonts w:ascii="Times New Roman" w:eastAsia="Times New Roman" w:hAnsi="Times New Roman" w:cs="Times New Roman"/>
          <w:sz w:val="24"/>
          <w:szCs w:val="24"/>
        </w:rPr>
        <w:t xml:space="preserve"> best possible protection and wellbeing of vulnerable individuals.</w:t>
      </w:r>
    </w:p>
    <w:p w14:paraId="3DECD420" w14:textId="77777777" w:rsidR="0059511B" w:rsidRDefault="0059511B">
      <w:pPr>
        <w:spacing w:line="360" w:lineRule="auto"/>
        <w:jc w:val="both"/>
        <w:rPr>
          <w:rFonts w:ascii="Times New Roman" w:eastAsia="Times New Roman" w:hAnsi="Times New Roman" w:cs="Times New Roman"/>
          <w:sz w:val="24"/>
          <w:szCs w:val="24"/>
        </w:rPr>
      </w:pPr>
    </w:p>
    <w:p w14:paraId="758EC46F" w14:textId="77777777" w:rsidR="007E3C73" w:rsidRDefault="00CB1E79">
      <w:pPr>
        <w:spacing w:line="360" w:lineRule="auto"/>
        <w:jc w:val="both"/>
      </w:pPr>
      <w:r>
        <w:rPr>
          <w:rFonts w:ascii="Times New Roman" w:eastAsia="Times New Roman" w:hAnsi="Times New Roman" w:cs="Times New Roman"/>
          <w:sz w:val="24"/>
          <w:szCs w:val="24"/>
        </w:rPr>
        <w:t>However, given the working model of these hubs, sharing of information can be a complex issue. As hinted above, these hubs function in a unified manner. These bring together the informatio</w:t>
      </w:r>
      <w:r>
        <w:rPr>
          <w:rFonts w:ascii="Times New Roman" w:eastAsia="Times New Roman" w:hAnsi="Times New Roman" w:cs="Times New Roman"/>
          <w:sz w:val="24"/>
          <w:szCs w:val="24"/>
        </w:rPr>
        <w:t>n and expertise of multiple agencies. However, sharing of sensitive information among these agencies can prove to be difficult. For example, concerns related to confidentiality and data privacy are many. These can cause delays and confusion. Hence, the par</w:t>
      </w:r>
      <w:r>
        <w:rPr>
          <w:rFonts w:ascii="Times New Roman" w:eastAsia="Times New Roman" w:hAnsi="Times New Roman" w:cs="Times New Roman"/>
          <w:sz w:val="24"/>
          <w:szCs w:val="24"/>
        </w:rPr>
        <w:t xml:space="preserve">tnership based working model may lose its edge owing to these challenges. Moreover, these agencies have their own priorities. They also have their own resource limitations (Wells, 2019). Both of these can hamper the manner in which these hubs function. At </w:t>
      </w:r>
      <w:r>
        <w:rPr>
          <w:rFonts w:ascii="Times New Roman" w:eastAsia="Times New Roman" w:hAnsi="Times New Roman" w:cs="Times New Roman"/>
          <w:sz w:val="24"/>
          <w:szCs w:val="24"/>
        </w:rPr>
        <w:t xml:space="preserve">last, the quality and consistency of service can be affected </w:t>
      </w:r>
      <w:r>
        <w:rPr>
          <w:rFonts w:ascii="Times New Roman" w:eastAsia="Times New Roman" w:hAnsi="Times New Roman" w:cs="Times New Roman"/>
          <w:sz w:val="24"/>
          <w:szCs w:val="24"/>
        </w:rPr>
        <w:lastRenderedPageBreak/>
        <w:t>significantly. Lastly, the commitment levels of these agencies can also have an impact on the effectiveness of these Multi-Agency Safeguarding Hubs (MASH). Resource limitations and conflicting pr</w:t>
      </w:r>
      <w:r>
        <w:rPr>
          <w:rFonts w:ascii="Times New Roman" w:eastAsia="Times New Roman" w:hAnsi="Times New Roman" w:cs="Times New Roman"/>
          <w:sz w:val="24"/>
          <w:szCs w:val="24"/>
        </w:rPr>
        <w:t xml:space="preserve">iorities can threaten the outcomes of these </w:t>
      </w:r>
      <w:r w:rsidR="007E3C73">
        <w:rPr>
          <w:rFonts w:ascii="Times New Roman" w:eastAsia="Times New Roman" w:hAnsi="Times New Roman" w:cs="Times New Roman"/>
          <w:sz w:val="24"/>
          <w:szCs w:val="24"/>
        </w:rPr>
        <w:t>hubs</w:t>
      </w:r>
      <w:r>
        <w:rPr>
          <w:rFonts w:ascii="Times New Roman" w:eastAsia="Times New Roman" w:hAnsi="Times New Roman" w:cs="Times New Roman"/>
          <w:sz w:val="24"/>
          <w:szCs w:val="24"/>
        </w:rPr>
        <w:t>.</w:t>
      </w:r>
    </w:p>
    <w:p w14:paraId="4AEAC8B8" w14:textId="77777777" w:rsidR="007E3C73" w:rsidRDefault="007E3C73">
      <w:pPr>
        <w:spacing w:line="360" w:lineRule="auto"/>
        <w:jc w:val="both"/>
      </w:pPr>
    </w:p>
    <w:p w14:paraId="3D340321" w14:textId="77777777" w:rsidR="007E3C73"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success of policies and strategies aimed at safeguarding vulnerable individuals is spelled by a combination of direct and indirect interventions. The adoption of proactive measures and multi-agency collaborative work models is also vital in this connec</w:t>
      </w:r>
      <w:r>
        <w:rPr>
          <w:rFonts w:ascii="Times New Roman" w:eastAsia="Times New Roman" w:hAnsi="Times New Roman" w:cs="Times New Roman"/>
          <w:sz w:val="24"/>
          <w:szCs w:val="24"/>
        </w:rPr>
        <w:t xml:space="preserve">tion. Safeguarding and wellbeing of vulnerable individuals have been effectively addressed by many policies adopted in the UK (Warwickshire Police, 2019). These include the National Vulnerability Action Plan, the Vulnerability and Violent Crime Programme, </w:t>
      </w:r>
      <w:r>
        <w:rPr>
          <w:rFonts w:ascii="Times New Roman" w:eastAsia="Times New Roman" w:hAnsi="Times New Roman" w:cs="Times New Roman"/>
          <w:sz w:val="24"/>
          <w:szCs w:val="24"/>
        </w:rPr>
        <w:t>and other programs that work at the community level. While some of these address immediate risks threatening vulnerable individuals, some others deal with the underlying factors that can lead to safeguarding concerns. The importance of coordinated response</w:t>
      </w:r>
      <w:r>
        <w:rPr>
          <w:rFonts w:ascii="Times New Roman" w:eastAsia="Times New Roman" w:hAnsi="Times New Roman" w:cs="Times New Roman"/>
          <w:sz w:val="24"/>
          <w:szCs w:val="24"/>
        </w:rPr>
        <w:t xml:space="preserve">s and multi-agency working has been showcased by Multi-Agency Safeguarding Hubs (MASH) and Domestic Violence Protection Orders. </w:t>
      </w:r>
    </w:p>
    <w:p w14:paraId="318C484D" w14:textId="4077563C"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the challenges or barriers are still worth some serious consideration. Some of the most important limitations are rela</w:t>
      </w:r>
      <w:r>
        <w:rPr>
          <w:rFonts w:ascii="Times New Roman" w:eastAsia="Times New Roman" w:hAnsi="Times New Roman" w:cs="Times New Roman"/>
          <w:sz w:val="24"/>
          <w:szCs w:val="24"/>
        </w:rPr>
        <w:t>ted to resource constraints and complexities associated with enforcement. Some others are related to data privacy and confidentiality and communication gaps among agencies engaged in these exercises and programs. To address these, a commitment to partnersh</w:t>
      </w:r>
      <w:r>
        <w:rPr>
          <w:rFonts w:ascii="Times New Roman" w:eastAsia="Times New Roman" w:hAnsi="Times New Roman" w:cs="Times New Roman"/>
          <w:sz w:val="24"/>
          <w:szCs w:val="24"/>
        </w:rPr>
        <w:t xml:space="preserve">ip working is necessary, </w:t>
      </w:r>
      <w:r w:rsidR="007E3C73">
        <w:rPr>
          <w:rFonts w:ascii="Times New Roman" w:eastAsia="Times New Roman" w:hAnsi="Times New Roman" w:cs="Times New Roman"/>
          <w:sz w:val="24"/>
          <w:szCs w:val="24"/>
        </w:rPr>
        <w:t>equally</w:t>
      </w:r>
      <w:r>
        <w:rPr>
          <w:rFonts w:ascii="Times New Roman" w:eastAsia="Times New Roman" w:hAnsi="Times New Roman" w:cs="Times New Roman"/>
          <w:sz w:val="24"/>
          <w:szCs w:val="24"/>
        </w:rPr>
        <w:t xml:space="preserve"> important is appropriate and continuous training. Sustained investments, research and development are also necessary at the organisational levels. These can help create a safe environment for vulnerable individuals.</w:t>
      </w:r>
      <w:r>
        <w:br w:type="page"/>
      </w:r>
    </w:p>
    <w:p w14:paraId="6DBE6DFD" w14:textId="77777777" w:rsidR="0059511B" w:rsidRDefault="0059511B">
      <w:pPr>
        <w:spacing w:line="360" w:lineRule="auto"/>
        <w:jc w:val="both"/>
        <w:rPr>
          <w:rFonts w:ascii="Times New Roman" w:eastAsia="Times New Roman" w:hAnsi="Times New Roman" w:cs="Times New Roman"/>
          <w:sz w:val="24"/>
          <w:szCs w:val="24"/>
        </w:rPr>
      </w:pPr>
    </w:p>
    <w:p w14:paraId="3D8E6FB5" w14:textId="77777777" w:rsidR="0059511B" w:rsidRDefault="0059511B">
      <w:pPr>
        <w:spacing w:line="360" w:lineRule="auto"/>
        <w:jc w:val="both"/>
        <w:rPr>
          <w:rFonts w:ascii="Times New Roman" w:eastAsia="Times New Roman" w:hAnsi="Times New Roman" w:cs="Times New Roman"/>
          <w:sz w:val="24"/>
          <w:szCs w:val="24"/>
        </w:rPr>
      </w:pPr>
    </w:p>
    <w:p w14:paraId="1C6042B4"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Refe</w:t>
      </w:r>
      <w:r>
        <w:rPr>
          <w:rFonts w:ascii="Times New Roman" w:eastAsia="Times New Roman" w:hAnsi="Times New Roman" w:cs="Times New Roman"/>
          <w:sz w:val="24"/>
          <w:szCs w:val="24"/>
        </w:rPr>
        <w:t>rences:</w:t>
      </w:r>
    </w:p>
    <w:p w14:paraId="33EBC5F6"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Age UK (2020). Domestic Abuse in Older Populations. Available at: https://www.ageuk.org.uk/latest-press/articles/2020/04/280000-people-aged-60-to-74-experienced-domestic-abuse/ [Accessed 7 Oct 2024].</w:t>
      </w:r>
    </w:p>
    <w:p w14:paraId="77164EA6" w14:textId="77777777" w:rsidR="0059511B" w:rsidRDefault="0059511B">
      <w:pPr>
        <w:spacing w:line="360" w:lineRule="auto"/>
        <w:jc w:val="both"/>
        <w:rPr>
          <w:rFonts w:ascii="Times New Roman" w:eastAsia="Times New Roman" w:hAnsi="Times New Roman" w:cs="Times New Roman"/>
          <w:sz w:val="24"/>
          <w:szCs w:val="24"/>
        </w:rPr>
      </w:pPr>
    </w:p>
    <w:p w14:paraId="2DD41FCE"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College of Policing (2019). Vulnerability-relat</w:t>
      </w:r>
      <w:r>
        <w:rPr>
          <w:rFonts w:ascii="Times New Roman" w:eastAsia="Times New Roman" w:hAnsi="Times New Roman" w:cs="Times New Roman"/>
          <w:sz w:val="24"/>
          <w:szCs w:val="24"/>
        </w:rPr>
        <w:t>ed Risk Assessment (online). Available at: https://www.college.police.uk/article/identifying-vulnerability-new-guidelines-support-police [Accessed 6 Oct 2024].</w:t>
      </w:r>
    </w:p>
    <w:p w14:paraId="3DD4F216" w14:textId="77777777" w:rsidR="0059511B" w:rsidRDefault="0059511B">
      <w:pPr>
        <w:spacing w:line="360" w:lineRule="auto"/>
        <w:jc w:val="both"/>
        <w:rPr>
          <w:rFonts w:ascii="Times New Roman" w:eastAsia="Times New Roman" w:hAnsi="Times New Roman" w:cs="Times New Roman"/>
          <w:sz w:val="24"/>
          <w:szCs w:val="24"/>
        </w:rPr>
      </w:pPr>
    </w:p>
    <w:p w14:paraId="2D57FE13"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Crawford, A. (2017). Crime Prevention and Community Safety: Politics, Policies and Practices. L</w:t>
      </w:r>
      <w:r>
        <w:rPr>
          <w:rFonts w:ascii="Times New Roman" w:eastAsia="Times New Roman" w:hAnsi="Times New Roman" w:cs="Times New Roman"/>
          <w:sz w:val="24"/>
          <w:szCs w:val="24"/>
        </w:rPr>
        <w:t>ondon: Routledge.</w:t>
      </w:r>
    </w:p>
    <w:p w14:paraId="23BAEEB4" w14:textId="77777777" w:rsidR="0059511B" w:rsidRDefault="0059511B">
      <w:pPr>
        <w:spacing w:line="360" w:lineRule="auto"/>
        <w:jc w:val="both"/>
        <w:rPr>
          <w:rFonts w:ascii="Times New Roman" w:eastAsia="Times New Roman" w:hAnsi="Times New Roman" w:cs="Times New Roman"/>
          <w:sz w:val="24"/>
          <w:szCs w:val="24"/>
        </w:rPr>
      </w:pPr>
    </w:p>
    <w:p w14:paraId="55643406"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Crawley, E., Loades, M., Feder, G., Logan, S., Redwood, S. and Macleod, J., 2020. Wider collateral damage to children in the UK because of the social distancing measures designed to reduce the impact of COVID-19 in adults. BMJ paediatric</w:t>
      </w:r>
      <w:r>
        <w:rPr>
          <w:rFonts w:ascii="Times New Roman" w:eastAsia="Times New Roman" w:hAnsi="Times New Roman" w:cs="Times New Roman"/>
          <w:sz w:val="24"/>
          <w:szCs w:val="24"/>
        </w:rPr>
        <w:t>s open, 4(1).</w:t>
      </w:r>
    </w:p>
    <w:p w14:paraId="002CB2B5" w14:textId="77777777" w:rsidR="0059511B" w:rsidRDefault="0059511B">
      <w:pPr>
        <w:spacing w:line="360" w:lineRule="auto"/>
        <w:jc w:val="both"/>
        <w:rPr>
          <w:rFonts w:ascii="Times New Roman" w:eastAsia="Times New Roman" w:hAnsi="Times New Roman" w:cs="Times New Roman"/>
          <w:sz w:val="24"/>
          <w:szCs w:val="24"/>
        </w:rPr>
      </w:pPr>
    </w:p>
    <w:p w14:paraId="4DD08C24"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Featherstone, B., Gupta, A., Morris, K. and Warner, J., 2018. Let’s stop feeding the risk monster: Towards a social model of ‘child protection’. Families, relationships and societies, 7(1), pp.07-22.</w:t>
      </w:r>
    </w:p>
    <w:p w14:paraId="549D185F" w14:textId="77777777" w:rsidR="0059511B" w:rsidRDefault="0059511B">
      <w:pPr>
        <w:spacing w:line="360" w:lineRule="auto"/>
        <w:jc w:val="both"/>
        <w:rPr>
          <w:rFonts w:ascii="Times New Roman" w:eastAsia="Times New Roman" w:hAnsi="Times New Roman" w:cs="Times New Roman"/>
          <w:sz w:val="24"/>
          <w:szCs w:val="24"/>
        </w:rPr>
      </w:pPr>
    </w:p>
    <w:p w14:paraId="29BCCDD4"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Freedman, J., 2019. The uses and abuses </w:t>
      </w:r>
      <w:r>
        <w:rPr>
          <w:rFonts w:ascii="Times New Roman" w:eastAsia="Times New Roman" w:hAnsi="Times New Roman" w:cs="Times New Roman"/>
          <w:sz w:val="24"/>
          <w:szCs w:val="24"/>
        </w:rPr>
        <w:t xml:space="preserve">of" vulnerability" in EU asylum and refugee protection: Protecting women or reducing autonomy?. </w:t>
      </w:r>
      <w:proofErr w:type="spellStart"/>
      <w:r>
        <w:rPr>
          <w:rFonts w:ascii="Times New Roman" w:eastAsia="Times New Roman" w:hAnsi="Times New Roman" w:cs="Times New Roman"/>
          <w:sz w:val="24"/>
          <w:szCs w:val="24"/>
        </w:rPr>
        <w:t>Papeles</w:t>
      </w:r>
      <w:proofErr w:type="spellEnd"/>
      <w:r>
        <w:rPr>
          <w:rFonts w:ascii="Times New Roman" w:eastAsia="Times New Roman" w:hAnsi="Times New Roman" w:cs="Times New Roman"/>
          <w:sz w:val="24"/>
          <w:szCs w:val="24"/>
        </w:rPr>
        <w:t xml:space="preserve"> de Identidad. </w:t>
      </w:r>
      <w:proofErr w:type="spellStart"/>
      <w:r>
        <w:rPr>
          <w:rFonts w:ascii="Times New Roman" w:eastAsia="Times New Roman" w:hAnsi="Times New Roman" w:cs="Times New Roman"/>
          <w:sz w:val="24"/>
          <w:szCs w:val="24"/>
        </w:rPr>
        <w:t>Contar</w:t>
      </w:r>
      <w:proofErr w:type="spellEnd"/>
      <w:r>
        <w:rPr>
          <w:rFonts w:ascii="Times New Roman" w:eastAsia="Times New Roman" w:hAnsi="Times New Roman" w:cs="Times New Roman"/>
          <w:sz w:val="24"/>
          <w:szCs w:val="24"/>
        </w:rPr>
        <w:t xml:space="preserve"> la </w:t>
      </w:r>
      <w:proofErr w:type="spellStart"/>
      <w:r>
        <w:rPr>
          <w:rFonts w:ascii="Times New Roman" w:eastAsia="Times New Roman" w:hAnsi="Times New Roman" w:cs="Times New Roman"/>
          <w:sz w:val="24"/>
          <w:szCs w:val="24"/>
        </w:rPr>
        <w:t>investigación</w:t>
      </w:r>
      <w:proofErr w:type="spellEnd"/>
      <w:r>
        <w:rPr>
          <w:rFonts w:ascii="Times New Roman" w:eastAsia="Times New Roman" w:hAnsi="Times New Roman" w:cs="Times New Roman"/>
          <w:sz w:val="24"/>
          <w:szCs w:val="24"/>
        </w:rPr>
        <w:t xml:space="preserve"> de </w:t>
      </w:r>
      <w:proofErr w:type="spellStart"/>
      <w:r>
        <w:rPr>
          <w:rFonts w:ascii="Times New Roman" w:eastAsia="Times New Roman" w:hAnsi="Times New Roman" w:cs="Times New Roman"/>
          <w:sz w:val="24"/>
          <w:szCs w:val="24"/>
        </w:rPr>
        <w:t>frontera</w:t>
      </w:r>
      <w:proofErr w:type="spellEnd"/>
      <w:r>
        <w:rPr>
          <w:rFonts w:ascii="Times New Roman" w:eastAsia="Times New Roman" w:hAnsi="Times New Roman" w:cs="Times New Roman"/>
          <w:sz w:val="24"/>
          <w:szCs w:val="24"/>
        </w:rPr>
        <w:t>, pp.204-204.</w:t>
      </w:r>
    </w:p>
    <w:p w14:paraId="4B310546" w14:textId="77777777" w:rsidR="0059511B" w:rsidRDefault="0059511B">
      <w:pPr>
        <w:spacing w:line="360" w:lineRule="auto"/>
        <w:jc w:val="both"/>
        <w:rPr>
          <w:rFonts w:ascii="Times New Roman" w:eastAsia="Times New Roman" w:hAnsi="Times New Roman" w:cs="Times New Roman"/>
          <w:sz w:val="24"/>
          <w:szCs w:val="24"/>
        </w:rPr>
      </w:pPr>
    </w:p>
    <w:p w14:paraId="32A41E4E"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Glover, R.E., van Schalkwyk, M.C., </w:t>
      </w:r>
      <w:proofErr w:type="spellStart"/>
      <w:r>
        <w:rPr>
          <w:rFonts w:ascii="Times New Roman" w:eastAsia="Times New Roman" w:hAnsi="Times New Roman" w:cs="Times New Roman"/>
          <w:sz w:val="24"/>
          <w:szCs w:val="24"/>
        </w:rPr>
        <w:t>Akl</w:t>
      </w:r>
      <w:proofErr w:type="spellEnd"/>
      <w:r>
        <w:rPr>
          <w:rFonts w:ascii="Times New Roman" w:eastAsia="Times New Roman" w:hAnsi="Times New Roman" w:cs="Times New Roman"/>
          <w:sz w:val="24"/>
          <w:szCs w:val="24"/>
        </w:rPr>
        <w:t xml:space="preserve">, E.A., </w:t>
      </w:r>
      <w:proofErr w:type="spellStart"/>
      <w:r>
        <w:rPr>
          <w:rFonts w:ascii="Times New Roman" w:eastAsia="Times New Roman" w:hAnsi="Times New Roman" w:cs="Times New Roman"/>
          <w:sz w:val="24"/>
          <w:szCs w:val="24"/>
        </w:rPr>
        <w:t>Kristjannson</w:t>
      </w:r>
      <w:proofErr w:type="spellEnd"/>
      <w:r>
        <w:rPr>
          <w:rFonts w:ascii="Times New Roman" w:eastAsia="Times New Roman" w:hAnsi="Times New Roman" w:cs="Times New Roman"/>
          <w:sz w:val="24"/>
          <w:szCs w:val="24"/>
        </w:rPr>
        <w:t>, E., Lotfi, T., Petkovic, J.,</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Petticrew</w:t>
      </w:r>
      <w:proofErr w:type="spellEnd"/>
      <w:r>
        <w:rPr>
          <w:rFonts w:ascii="Times New Roman" w:eastAsia="Times New Roman" w:hAnsi="Times New Roman" w:cs="Times New Roman"/>
          <w:sz w:val="24"/>
          <w:szCs w:val="24"/>
        </w:rPr>
        <w:t xml:space="preserve">, M.P., </w:t>
      </w:r>
      <w:proofErr w:type="spellStart"/>
      <w:r>
        <w:rPr>
          <w:rFonts w:ascii="Times New Roman" w:eastAsia="Times New Roman" w:hAnsi="Times New Roman" w:cs="Times New Roman"/>
          <w:sz w:val="24"/>
          <w:szCs w:val="24"/>
        </w:rPr>
        <w:t>Pottie</w:t>
      </w:r>
      <w:proofErr w:type="spellEnd"/>
      <w:r>
        <w:rPr>
          <w:rFonts w:ascii="Times New Roman" w:eastAsia="Times New Roman" w:hAnsi="Times New Roman" w:cs="Times New Roman"/>
          <w:sz w:val="24"/>
          <w:szCs w:val="24"/>
        </w:rPr>
        <w:t>, K., Tugwell, P. and Welch, V., 2020. A framework for identifying and mitigating the equity harms of COVID-19 policy interventions. Journal of clinical epidemiology, 128, pp.35-48.</w:t>
      </w:r>
    </w:p>
    <w:p w14:paraId="5D2B61F0" w14:textId="77777777" w:rsidR="0059511B" w:rsidRDefault="0059511B">
      <w:pPr>
        <w:spacing w:line="360" w:lineRule="auto"/>
        <w:jc w:val="both"/>
        <w:rPr>
          <w:rFonts w:ascii="Times New Roman" w:eastAsia="Times New Roman" w:hAnsi="Times New Roman" w:cs="Times New Roman"/>
          <w:sz w:val="24"/>
          <w:szCs w:val="24"/>
        </w:rPr>
      </w:pPr>
    </w:p>
    <w:p w14:paraId="64591897" w14:textId="77777777" w:rsidR="0059511B" w:rsidRDefault="0059511B">
      <w:pPr>
        <w:spacing w:line="360" w:lineRule="auto"/>
        <w:jc w:val="both"/>
        <w:rPr>
          <w:rFonts w:ascii="Times New Roman" w:eastAsia="Times New Roman" w:hAnsi="Times New Roman" w:cs="Times New Roman"/>
          <w:sz w:val="24"/>
          <w:szCs w:val="24"/>
        </w:rPr>
      </w:pPr>
    </w:p>
    <w:p w14:paraId="491141FB" w14:textId="77777777" w:rsidR="0059511B" w:rsidRDefault="0059511B">
      <w:pPr>
        <w:spacing w:line="360" w:lineRule="auto"/>
        <w:jc w:val="both"/>
        <w:rPr>
          <w:rFonts w:ascii="Times New Roman" w:eastAsia="Times New Roman" w:hAnsi="Times New Roman" w:cs="Times New Roman"/>
          <w:sz w:val="24"/>
          <w:szCs w:val="24"/>
        </w:rPr>
      </w:pPr>
    </w:p>
    <w:p w14:paraId="361D0DF4" w14:textId="77777777" w:rsidR="0059511B" w:rsidRDefault="0059511B">
      <w:pPr>
        <w:spacing w:line="360" w:lineRule="auto"/>
        <w:jc w:val="both"/>
        <w:rPr>
          <w:rFonts w:ascii="Times New Roman" w:eastAsia="Times New Roman" w:hAnsi="Times New Roman" w:cs="Times New Roman"/>
          <w:sz w:val="24"/>
          <w:szCs w:val="24"/>
        </w:rPr>
      </w:pPr>
    </w:p>
    <w:p w14:paraId="13AD2654"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HMICFRS (2020). The Welfare of Vulnerable Peop</w:t>
      </w:r>
      <w:r>
        <w:rPr>
          <w:rFonts w:ascii="Times New Roman" w:eastAsia="Times New Roman" w:hAnsi="Times New Roman" w:cs="Times New Roman"/>
          <w:sz w:val="24"/>
          <w:szCs w:val="24"/>
        </w:rPr>
        <w:t>le in Police Custody. Available at: https://www.justiceinspectorates.gov.uk/hmicfrs/wp-content/uploads/the-welfare-of-vulnerable-people-in-police-custody.pdf [Accessed 6 Oct 2024].</w:t>
      </w:r>
    </w:p>
    <w:p w14:paraId="74A43270" w14:textId="77777777" w:rsidR="0059511B" w:rsidRDefault="0059511B">
      <w:pPr>
        <w:spacing w:line="360" w:lineRule="auto"/>
        <w:jc w:val="both"/>
        <w:rPr>
          <w:rFonts w:ascii="Times New Roman" w:eastAsia="Times New Roman" w:hAnsi="Times New Roman" w:cs="Times New Roman"/>
          <w:sz w:val="24"/>
          <w:szCs w:val="24"/>
        </w:rPr>
      </w:pPr>
    </w:p>
    <w:p w14:paraId="5A2FEF4B"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Home Office (2022). UK Visa Support for Ukrainian Nationals. Available at:</w:t>
      </w:r>
      <w:r>
        <w:rPr>
          <w:rFonts w:ascii="Times New Roman" w:eastAsia="Times New Roman" w:hAnsi="Times New Roman" w:cs="Times New Roman"/>
          <w:sz w:val="24"/>
          <w:szCs w:val="24"/>
        </w:rPr>
        <w:t xml:space="preserve"> https://www.gov.uk/guidance/support-for-family-members-of-british-nationals-in-ukraine [Accessed 6 Oct 2024].</w:t>
      </w:r>
    </w:p>
    <w:p w14:paraId="7BFBECC7" w14:textId="77777777" w:rsidR="0059511B" w:rsidRDefault="0059511B">
      <w:pPr>
        <w:spacing w:line="360" w:lineRule="auto"/>
        <w:jc w:val="both"/>
        <w:rPr>
          <w:rFonts w:ascii="Times New Roman" w:eastAsia="Times New Roman" w:hAnsi="Times New Roman" w:cs="Times New Roman"/>
          <w:sz w:val="24"/>
          <w:szCs w:val="24"/>
        </w:rPr>
      </w:pPr>
    </w:p>
    <w:p w14:paraId="0AB79B03"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Independent Office for Police Conduct (IOPC) (2021). Annual Report 2020-2021. Available at: https://www.policeconduct.gov.uk/reports [Accessed 8</w:t>
      </w:r>
      <w:r>
        <w:rPr>
          <w:rFonts w:ascii="Times New Roman" w:eastAsia="Times New Roman" w:hAnsi="Times New Roman" w:cs="Times New Roman"/>
          <w:sz w:val="24"/>
          <w:szCs w:val="24"/>
        </w:rPr>
        <w:t xml:space="preserve"> Oct 2024]. College of Policing (2020). THRIVE Guidelines.</w:t>
      </w:r>
    </w:p>
    <w:p w14:paraId="40C27A5C" w14:textId="77777777" w:rsidR="0059511B" w:rsidRDefault="0059511B">
      <w:pPr>
        <w:spacing w:line="360" w:lineRule="auto"/>
        <w:jc w:val="both"/>
        <w:rPr>
          <w:rFonts w:ascii="Times New Roman" w:eastAsia="Times New Roman" w:hAnsi="Times New Roman" w:cs="Times New Roman"/>
          <w:sz w:val="24"/>
          <w:szCs w:val="24"/>
        </w:rPr>
      </w:pPr>
    </w:p>
    <w:p w14:paraId="7FDD0511"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Lloyd, L., 2019. The individual in social care: the ethics of care and the ‘personalisation </w:t>
      </w:r>
      <w:proofErr w:type="spellStart"/>
      <w:r>
        <w:rPr>
          <w:rFonts w:ascii="Times New Roman" w:eastAsia="Times New Roman" w:hAnsi="Times New Roman" w:cs="Times New Roman"/>
          <w:sz w:val="24"/>
          <w:szCs w:val="24"/>
        </w:rPr>
        <w:t>agenda’in</w:t>
      </w:r>
      <w:proofErr w:type="spellEnd"/>
      <w:r>
        <w:rPr>
          <w:rFonts w:ascii="Times New Roman" w:eastAsia="Times New Roman" w:hAnsi="Times New Roman" w:cs="Times New Roman"/>
          <w:sz w:val="24"/>
          <w:szCs w:val="24"/>
        </w:rPr>
        <w:t xml:space="preserve"> services for older people in England. In Care Ethics (pp. 109-121). Routledge.</w:t>
      </w:r>
    </w:p>
    <w:p w14:paraId="5D1861B9" w14:textId="77777777" w:rsidR="0059511B" w:rsidRDefault="0059511B">
      <w:pPr>
        <w:spacing w:line="360" w:lineRule="auto"/>
        <w:jc w:val="both"/>
        <w:rPr>
          <w:rFonts w:ascii="Times New Roman" w:eastAsia="Times New Roman" w:hAnsi="Times New Roman" w:cs="Times New Roman"/>
          <w:sz w:val="24"/>
          <w:szCs w:val="24"/>
        </w:rPr>
      </w:pPr>
    </w:p>
    <w:p w14:paraId="0B69DC7D"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Modern Slavery</w:t>
      </w:r>
      <w:r>
        <w:rPr>
          <w:rFonts w:ascii="Times New Roman" w:eastAsia="Times New Roman" w:hAnsi="Times New Roman" w:cs="Times New Roman"/>
          <w:sz w:val="24"/>
          <w:szCs w:val="24"/>
        </w:rPr>
        <w:t xml:space="preserve"> Act 2015. Available at: https://www.legislation.gov.uk/ukpga/2015/30/contents [Accessed 8 Oct 2024].</w:t>
      </w:r>
    </w:p>
    <w:p w14:paraId="773C588F" w14:textId="77777777" w:rsidR="0059511B" w:rsidRDefault="0059511B">
      <w:pPr>
        <w:spacing w:line="360" w:lineRule="auto"/>
        <w:jc w:val="both"/>
        <w:rPr>
          <w:rFonts w:ascii="Times New Roman" w:eastAsia="Times New Roman" w:hAnsi="Times New Roman" w:cs="Times New Roman"/>
          <w:sz w:val="24"/>
          <w:szCs w:val="24"/>
        </w:rPr>
      </w:pPr>
    </w:p>
    <w:p w14:paraId="611E6C25"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Rahman, M., Ahmed, R., Moitra, M., Damschroder, L., Brownson, R., </w:t>
      </w:r>
      <w:proofErr w:type="spellStart"/>
      <w:r>
        <w:rPr>
          <w:rFonts w:ascii="Times New Roman" w:eastAsia="Times New Roman" w:hAnsi="Times New Roman" w:cs="Times New Roman"/>
          <w:sz w:val="24"/>
          <w:szCs w:val="24"/>
        </w:rPr>
        <w:t>Chorpita</w:t>
      </w:r>
      <w:proofErr w:type="spellEnd"/>
      <w:r>
        <w:rPr>
          <w:rFonts w:ascii="Times New Roman" w:eastAsia="Times New Roman" w:hAnsi="Times New Roman" w:cs="Times New Roman"/>
          <w:sz w:val="24"/>
          <w:szCs w:val="24"/>
        </w:rPr>
        <w:t>, B., Idele, P., Gohar, F., Huang, K.Y., Saxena, S. and Lai, J., 2021. Mental d</w:t>
      </w:r>
      <w:r>
        <w:rPr>
          <w:rFonts w:ascii="Times New Roman" w:eastAsia="Times New Roman" w:hAnsi="Times New Roman" w:cs="Times New Roman"/>
          <w:sz w:val="24"/>
          <w:szCs w:val="24"/>
        </w:rPr>
        <w:t>istress and human rights violations during COVID-19: a rapid review of the evidence informing rights, mental health needs, and public policy around vulnerable populations. Frontiers in psychiatry, 11, p.603875.</w:t>
      </w:r>
    </w:p>
    <w:p w14:paraId="6727AD91" w14:textId="77777777" w:rsidR="0059511B" w:rsidRDefault="0059511B">
      <w:pPr>
        <w:spacing w:line="360" w:lineRule="auto"/>
        <w:jc w:val="both"/>
        <w:rPr>
          <w:rFonts w:ascii="Times New Roman" w:eastAsia="Times New Roman" w:hAnsi="Times New Roman" w:cs="Times New Roman"/>
          <w:sz w:val="24"/>
          <w:szCs w:val="24"/>
        </w:rPr>
      </w:pPr>
    </w:p>
    <w:p w14:paraId="783A839E"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Reiner, R. (2016). The Politics of the Polic</w:t>
      </w:r>
      <w:r>
        <w:rPr>
          <w:rFonts w:ascii="Times New Roman" w:eastAsia="Times New Roman" w:hAnsi="Times New Roman" w:cs="Times New Roman"/>
          <w:sz w:val="24"/>
          <w:szCs w:val="24"/>
        </w:rPr>
        <w:t>e. Oxford: Oxford University Press.</w:t>
      </w:r>
    </w:p>
    <w:p w14:paraId="77D82C79" w14:textId="77777777" w:rsidR="0059511B" w:rsidRDefault="0059511B">
      <w:pPr>
        <w:spacing w:line="360" w:lineRule="auto"/>
        <w:jc w:val="both"/>
        <w:rPr>
          <w:rFonts w:ascii="Times New Roman" w:eastAsia="Times New Roman" w:hAnsi="Times New Roman" w:cs="Times New Roman"/>
          <w:sz w:val="24"/>
          <w:szCs w:val="24"/>
        </w:rPr>
      </w:pPr>
    </w:p>
    <w:p w14:paraId="3B2F0356"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Social Services and Well-being (Wales) Act 2014 (online). Available at: https://www.legislation.gov.uk/anaw/2014/4/pdfs/anaw_20140004_en.pdf [Accessed 5 Oct 2024].</w:t>
      </w:r>
    </w:p>
    <w:p w14:paraId="159FCAF1" w14:textId="77777777" w:rsidR="0059511B" w:rsidRDefault="0059511B">
      <w:pPr>
        <w:spacing w:line="360" w:lineRule="auto"/>
        <w:jc w:val="both"/>
        <w:rPr>
          <w:rFonts w:ascii="Times New Roman" w:eastAsia="Times New Roman" w:hAnsi="Times New Roman" w:cs="Times New Roman"/>
          <w:sz w:val="24"/>
          <w:szCs w:val="24"/>
        </w:rPr>
      </w:pPr>
    </w:p>
    <w:p w14:paraId="2E394B14" w14:textId="77777777" w:rsidR="0059511B" w:rsidRDefault="0059511B">
      <w:pPr>
        <w:spacing w:line="360" w:lineRule="auto"/>
        <w:jc w:val="both"/>
        <w:rPr>
          <w:rFonts w:ascii="Times New Roman" w:eastAsia="Times New Roman" w:hAnsi="Times New Roman" w:cs="Times New Roman"/>
          <w:sz w:val="24"/>
          <w:szCs w:val="24"/>
        </w:rPr>
      </w:pPr>
    </w:p>
    <w:p w14:paraId="67021BB3" w14:textId="77777777" w:rsidR="0059511B" w:rsidRDefault="0059511B">
      <w:pPr>
        <w:spacing w:line="360" w:lineRule="auto"/>
        <w:jc w:val="both"/>
        <w:rPr>
          <w:rFonts w:ascii="Times New Roman" w:eastAsia="Times New Roman" w:hAnsi="Times New Roman" w:cs="Times New Roman"/>
          <w:sz w:val="24"/>
          <w:szCs w:val="24"/>
        </w:rPr>
      </w:pPr>
    </w:p>
    <w:p w14:paraId="56ED8F46"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Warwickshire Police (2019). Vulnerability Awareness </w:t>
      </w:r>
      <w:r>
        <w:rPr>
          <w:rFonts w:ascii="Times New Roman" w:eastAsia="Times New Roman" w:hAnsi="Times New Roman" w:cs="Times New Roman"/>
          <w:sz w:val="24"/>
          <w:szCs w:val="24"/>
        </w:rPr>
        <w:t>Video.</w:t>
      </w:r>
    </w:p>
    <w:p w14:paraId="729E43D2" w14:textId="77777777" w:rsidR="0059511B" w:rsidRDefault="0059511B">
      <w:pPr>
        <w:spacing w:line="360" w:lineRule="auto"/>
        <w:jc w:val="both"/>
        <w:rPr>
          <w:rFonts w:ascii="Times New Roman" w:eastAsia="Times New Roman" w:hAnsi="Times New Roman" w:cs="Times New Roman"/>
          <w:sz w:val="24"/>
          <w:szCs w:val="24"/>
        </w:rPr>
      </w:pPr>
    </w:p>
    <w:p w14:paraId="3C9CD5DC" w14:textId="77777777" w:rsidR="0059511B" w:rsidRDefault="00CB1E79">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Walklate</w:t>
      </w:r>
      <w:proofErr w:type="spellEnd"/>
      <w:r>
        <w:rPr>
          <w:rFonts w:ascii="Times New Roman" w:eastAsia="Times New Roman" w:hAnsi="Times New Roman" w:cs="Times New Roman"/>
          <w:sz w:val="24"/>
          <w:szCs w:val="24"/>
        </w:rPr>
        <w:t>, S. (2018). Policing and Vulnerability. British Journal of Criminology, 58(3), pp. 485-503.</w:t>
      </w:r>
    </w:p>
    <w:p w14:paraId="67C53B73" w14:textId="77777777" w:rsidR="0059511B" w:rsidRDefault="0059511B">
      <w:pPr>
        <w:spacing w:line="360" w:lineRule="auto"/>
        <w:jc w:val="both"/>
        <w:rPr>
          <w:rFonts w:ascii="Times New Roman" w:eastAsia="Times New Roman" w:hAnsi="Times New Roman" w:cs="Times New Roman"/>
          <w:sz w:val="24"/>
          <w:szCs w:val="24"/>
        </w:rPr>
      </w:pPr>
    </w:p>
    <w:p w14:paraId="1486A583" w14:textId="77777777" w:rsidR="0059511B" w:rsidRDefault="00CB1E7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Wells, K., 2019. ‘I'm here as a social worker’: A qualitative study of immigration status issues and safeguarding children in private fostering ar</w:t>
      </w:r>
      <w:r>
        <w:rPr>
          <w:rFonts w:ascii="Times New Roman" w:eastAsia="Times New Roman" w:hAnsi="Times New Roman" w:cs="Times New Roman"/>
          <w:sz w:val="24"/>
          <w:szCs w:val="24"/>
        </w:rPr>
        <w:t>rangements in the UK. Child Abuse Review, 28(4), pp.273-286.</w:t>
      </w:r>
    </w:p>
    <w:p w14:paraId="5761DF7B" w14:textId="59C4EB50" w:rsidR="0059511B" w:rsidRDefault="0059511B" w:rsidP="00E147FC">
      <w:pPr>
        <w:spacing w:line="360" w:lineRule="auto"/>
        <w:jc w:val="both"/>
        <w:rPr>
          <w:rFonts w:ascii="Times New Roman" w:eastAsia="Times New Roman" w:hAnsi="Times New Roman" w:cs="Times New Roman"/>
          <w:sz w:val="24"/>
          <w:szCs w:val="24"/>
        </w:rPr>
      </w:pPr>
      <w:bookmarkStart w:id="4" w:name="_GoBack"/>
      <w:bookmarkEnd w:id="4"/>
    </w:p>
    <w:sectPr w:rsidR="0059511B">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539C38" w14:textId="77777777" w:rsidR="00CB1E79" w:rsidRDefault="00CB1E79">
      <w:pPr>
        <w:spacing w:line="240" w:lineRule="auto"/>
      </w:pPr>
      <w:r>
        <w:separator/>
      </w:r>
    </w:p>
  </w:endnote>
  <w:endnote w:type="continuationSeparator" w:id="0">
    <w:p w14:paraId="5D1312C6" w14:textId="77777777" w:rsidR="00CB1E79" w:rsidRDefault="00CB1E7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732D96" w14:textId="77777777" w:rsidR="0059511B" w:rsidRDefault="00CB1E79">
    <w:pPr>
      <w:jc w:val="right"/>
    </w:pPr>
    <w:r>
      <w:fldChar w:fldCharType="begin"/>
    </w:r>
    <w:r>
      <w:instrText>PAGE</w:instrText>
    </w:r>
    <w:r>
      <w:fldChar w:fldCharType="separate"/>
    </w:r>
    <w:r w:rsidR="007E3C7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5D4471" w14:textId="77777777" w:rsidR="00CB1E79" w:rsidRDefault="00CB1E79">
      <w:pPr>
        <w:spacing w:line="240" w:lineRule="auto"/>
      </w:pPr>
      <w:r>
        <w:separator/>
      </w:r>
    </w:p>
  </w:footnote>
  <w:footnote w:type="continuationSeparator" w:id="0">
    <w:p w14:paraId="485BBCCE" w14:textId="77777777" w:rsidR="00CB1E79" w:rsidRDefault="00CB1E7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511B"/>
    <w:rsid w:val="00143C40"/>
    <w:rsid w:val="0059356F"/>
    <w:rsid w:val="0059511B"/>
    <w:rsid w:val="007E3C73"/>
    <w:rsid w:val="00975826"/>
    <w:rsid w:val="00CB1E79"/>
    <w:rsid w:val="00E147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0C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E3C73"/>
    <w:pPr>
      <w:tabs>
        <w:tab w:val="center" w:pos="4513"/>
        <w:tab w:val="right" w:pos="9026"/>
      </w:tabs>
      <w:spacing w:line="240" w:lineRule="auto"/>
    </w:pPr>
  </w:style>
  <w:style w:type="character" w:customStyle="1" w:styleId="HeaderChar">
    <w:name w:val="Header Char"/>
    <w:basedOn w:val="DefaultParagraphFont"/>
    <w:link w:val="Header"/>
    <w:uiPriority w:val="99"/>
    <w:rsid w:val="007E3C73"/>
  </w:style>
  <w:style w:type="paragraph" w:styleId="Footer">
    <w:name w:val="footer"/>
    <w:basedOn w:val="Normal"/>
    <w:link w:val="FooterChar"/>
    <w:uiPriority w:val="99"/>
    <w:unhideWhenUsed/>
    <w:rsid w:val="007E3C73"/>
    <w:pPr>
      <w:tabs>
        <w:tab w:val="center" w:pos="4513"/>
        <w:tab w:val="right" w:pos="9026"/>
      </w:tabs>
      <w:spacing w:line="240" w:lineRule="auto"/>
    </w:pPr>
  </w:style>
  <w:style w:type="character" w:customStyle="1" w:styleId="FooterChar">
    <w:name w:val="Footer Char"/>
    <w:basedOn w:val="DefaultParagraphFont"/>
    <w:link w:val="Footer"/>
    <w:uiPriority w:val="99"/>
    <w:rsid w:val="007E3C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mqJ/QfBZuZWEjG6vI/VMK+rDd9w==">CgMxLjAyCGguZ2pkZ3hzMgloLjMwajB6bGwyCWguMWZvYjl0ZTIJaC4zem55c2g3OAByITF4YU9oWXp4anZmWkJqRXRZOE5sMnk4aXQ3N1VRSVYxNw==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2506</Words>
  <Characters>15206</Characters>
  <Application>Microsoft Office Word</Application>
  <DocSecurity>0</DocSecurity>
  <Lines>265</Lines>
  <Paragraphs>45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17671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cp:revision>
  <dcterms:created xsi:type="dcterms:W3CDTF">2024-10-14T16:52:00Z</dcterms:created>
  <dcterms:modified xsi:type="dcterms:W3CDTF">2024-10-22T15:47:00Z</dcterms:modified>
  <cp:category/>
</cp:coreProperties>
</file>