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CED78" w14:textId="77777777" w:rsidR="00E74435" w:rsidRDefault="00E74435" w:rsidP="00901239">
      <w:pPr>
        <w:spacing w:after="0" w:line="240" w:lineRule="auto"/>
        <w:ind w:left="720"/>
        <w:rPr>
          <w:b/>
          <w:bCs/>
          <w:i/>
          <w:iCs/>
        </w:rPr>
      </w:pPr>
    </w:p>
    <w:p w14:paraId="76426F27" w14:textId="1E64EB6B" w:rsidR="005625F2" w:rsidRDefault="00C50070" w:rsidP="000B6D69">
      <w:pPr>
        <w:spacing w:after="0" w:line="240" w:lineRule="auto"/>
        <w:jc w:val="both"/>
      </w:pPr>
      <w:bookmarkStart w:id="0" w:name="_Hlk146784796"/>
      <w:r>
        <w:t>O</w:t>
      </w:r>
      <w:r w:rsidR="005625F2" w:rsidRPr="005456ED">
        <w:t xml:space="preserve">n </w:t>
      </w:r>
      <w:r w:rsidR="005625F2">
        <w:t xml:space="preserve">returning the cores from </w:t>
      </w:r>
      <w:proofErr w:type="spellStart"/>
      <w:r w:rsidR="005625F2">
        <w:t>Talsarn</w:t>
      </w:r>
      <w:proofErr w:type="spellEnd"/>
      <w:r w:rsidR="005625F2">
        <w:t xml:space="preserve"> into the laboratory, every 1m segment of each core was cleaned to enable an examination of their stratigraphy and assess their research potential.  Selected cores were then subject to magnetic susceptibility and loss on ignition (LOI) analysis.  The </w:t>
      </w:r>
      <w:proofErr w:type="gramStart"/>
      <w:r w:rsidR="005625F2">
        <w:t>details</w:t>
      </w:r>
      <w:proofErr w:type="gramEnd"/>
      <w:r w:rsidR="005625F2">
        <w:t xml:space="preserve"> of this work is provided below.  </w:t>
      </w:r>
    </w:p>
    <w:p w14:paraId="2FBF9D91" w14:textId="77777777" w:rsidR="006E77EB" w:rsidRPr="00B97BA1" w:rsidRDefault="006E77EB" w:rsidP="000B6D69">
      <w:pPr>
        <w:spacing w:after="0" w:line="240" w:lineRule="auto"/>
        <w:jc w:val="both"/>
      </w:pPr>
    </w:p>
    <w:p w14:paraId="2BDE276E" w14:textId="22EC4E70" w:rsidR="005625F2" w:rsidRDefault="005625F2" w:rsidP="000B6D69">
      <w:pPr>
        <w:spacing w:after="0" w:line="240" w:lineRule="auto"/>
        <w:jc w:val="both"/>
      </w:pPr>
      <w:r>
        <w:t xml:space="preserve">Detailed examination of each core’s stratigraphy was undertaken under laboratory conditions, taking note of variations by depth, colour, texture (sand/silt/clay content), bedding and inclusions.   As many of the deposits within the cores had been compressed or split within the coring tubes during their extraction, estimates of their original depths were made by calculating the average compression factor for each core segment.  Only LLYR9a was fully described from the duplicate pair of LLYR9a and LLYR9b as that core was less disturbed following the coring process.  Tables providing the descriptions of the cores are provided in Table </w:t>
      </w:r>
      <w:r w:rsidR="008635CF">
        <w:t xml:space="preserve">1-3 </w:t>
      </w:r>
      <w:r>
        <w:t>and are shown in graphical form alongside the results of magnetic susceptibility analysis in Figure</w:t>
      </w:r>
      <w:r w:rsidR="00B97BA1" w:rsidRPr="00B97BA1">
        <w:rPr>
          <w:highlight w:val="yellow"/>
        </w:rPr>
        <w:t xml:space="preserve"> </w:t>
      </w:r>
      <w:r w:rsidR="0065619B">
        <w:t>1</w:t>
      </w:r>
      <w:r>
        <w:t>.</w:t>
      </w:r>
    </w:p>
    <w:p w14:paraId="173FC152" w14:textId="77777777" w:rsidR="00BA3569" w:rsidRDefault="00BA3569" w:rsidP="000B6D69">
      <w:pPr>
        <w:spacing w:after="0" w:line="240" w:lineRule="auto"/>
        <w:jc w:val="both"/>
      </w:pPr>
    </w:p>
    <w:p w14:paraId="5DAF2A1A" w14:textId="50C704B3" w:rsidR="0031659B" w:rsidRDefault="006E77EB" w:rsidP="0065619B">
      <w:pPr>
        <w:spacing w:after="0" w:line="240" w:lineRule="auto"/>
        <w:jc w:val="both"/>
      </w:pPr>
      <w:r>
        <w:t xml:space="preserve">Although the cores’ stratigraphy </w:t>
      </w:r>
      <w:proofErr w:type="gramStart"/>
      <w:r>
        <w:t>are</w:t>
      </w:r>
      <w:proofErr w:type="gramEnd"/>
      <w:r>
        <w:t xml:space="preserve"> very different from one another, some common features were discernible.  </w:t>
      </w:r>
      <w:r w:rsidR="003F66CC">
        <w:t>By and large, the core</w:t>
      </w:r>
      <w:r w:rsidR="005F256F">
        <w:t xml:space="preserve">s contain a mixture of peat, blue-grey gravels, organic rich and mineral rich </w:t>
      </w:r>
      <w:proofErr w:type="gramStart"/>
      <w:r w:rsidR="005F256F">
        <w:t>silts</w:t>
      </w:r>
      <w:proofErr w:type="gramEnd"/>
      <w:r w:rsidR="005F256F">
        <w:t xml:space="preserve"> and clays.  The lowest deposits in each core consist of a mineral rich mid to dark grey silt which often overlies a brownish orange silt with gravels.  These were preliminary interpreted as pre-</w:t>
      </w:r>
      <w:proofErr w:type="spellStart"/>
      <w:r w:rsidR="005F256F">
        <w:t>holocene</w:t>
      </w:r>
      <w:proofErr w:type="spellEnd"/>
      <w:r w:rsidR="005F256F">
        <w:t xml:space="preserve"> deposits, which was later supported by radiocarbon dating analysis (see section</w:t>
      </w:r>
      <w:r w:rsidR="003519B1">
        <w:t xml:space="preserve"> </w:t>
      </w:r>
      <w:r w:rsidR="005F256F" w:rsidRPr="005456ED">
        <w:rPr>
          <w:highlight w:val="yellow"/>
        </w:rPr>
        <w:t>8.2.4</w:t>
      </w:r>
      <w:r w:rsidR="005F256F">
        <w:t xml:space="preserve">).  Above these deposits, the sediments of the cores are more variable.  Cores LLYR4, LLYR9a and LLYR14 all have a lower peat deposit of varying thickness that is believed to be contemporary with one another, but this was absent from LLYR17.  On top of this lower peat deposit, layers of blue-grey gravels </w:t>
      </w:r>
      <w:r w:rsidR="00B0326B">
        <w:t>interspersed with organic rich and mineral rich sediments have been identified at both LLYR9a and LLYR 14, and a similar blue-grey gravel deposit is also present in the lower portion of LLYR17.  This gravel deposit was absent from LLYR4.  Overlying the blue-grey gravels are a mixture of organic rich and mineral rich clays and sediments (which can also be seen in LLYR4), which appear to become more organic rich in nature towards the top of Cores LLYR4, LLYR14 and LLYR 17.  These three cores also have an upper peat deposit of varying thickness within their upper c.70cm that are overlain by either organic rich silts and/or topsoil.  The organic rich sediments and peat deposit observed</w:t>
      </w:r>
      <w:r w:rsidR="0031659B">
        <w:t xml:space="preserve"> </w:t>
      </w:r>
      <w:r w:rsidR="00B0326B">
        <w:t xml:space="preserve">in LLYR4, LLYR14 and LLYR17 was absent from </w:t>
      </w:r>
      <w:r w:rsidR="006D3C9F">
        <w:t xml:space="preserve">the upper deposits </w:t>
      </w:r>
      <w:r w:rsidR="00B0326B">
        <w:t xml:space="preserve">LLYR9a, which </w:t>
      </w:r>
      <w:r w:rsidR="006D3C9F">
        <w:t xml:space="preserve">instead consisted of a mineral rich clay up to a depth of 28.5cm, which was overlain by topsoil.  </w:t>
      </w:r>
    </w:p>
    <w:p w14:paraId="7BAE7814" w14:textId="77777777" w:rsidR="006920DE" w:rsidRDefault="006920DE" w:rsidP="000B6D69">
      <w:pPr>
        <w:spacing w:after="0" w:line="240" w:lineRule="auto"/>
        <w:jc w:val="both"/>
      </w:pPr>
    </w:p>
    <w:p w14:paraId="00896B6E" w14:textId="51E8F10C" w:rsidR="00F84F84" w:rsidRDefault="0031659B" w:rsidP="0065619B">
      <w:pPr>
        <w:spacing w:after="0" w:line="240" w:lineRule="auto"/>
        <w:jc w:val="both"/>
        <w:rPr>
          <w:bCs/>
        </w:rPr>
      </w:pPr>
      <w:r>
        <w:t xml:space="preserve">The alluvial nature of many of the deposits within the cores will mean that they may contain material from beyond the immediate locality of the site.  </w:t>
      </w:r>
      <w:r w:rsidR="00F84F84">
        <w:t>This has particular significance from a palynological and radiocarbon dating perspective as these deposits could contain older, redeposited material from the wider region of the sampling site.  On the other hand, the proximity of the cores to one another (within c.30m) and their proximity to the bog edge (within c.37m), means that pollen deposition onto any peat deposits accumulating at the site should derive from a relatively local catchment area (cf.</w:t>
      </w:r>
      <w:r w:rsidR="001C1E36" w:rsidRPr="008E6506">
        <w:rPr>
          <w:bCs/>
        </w:rPr>
        <w:t xml:space="preserve"> </w:t>
      </w:r>
      <w:bookmarkStart w:id="1" w:name="_Hlk121909386"/>
      <w:r w:rsidR="001C1E36" w:rsidRPr="008E6506">
        <w:rPr>
          <w:bCs/>
        </w:rPr>
        <w:t>Jacobson &amp; Bradshaw 1981; Caseldine 1981; Prentice 1985</w:t>
      </w:r>
      <w:bookmarkEnd w:id="1"/>
      <w:r w:rsidR="001C1E36" w:rsidRPr="008E6506">
        <w:rPr>
          <w:bCs/>
        </w:rPr>
        <w:t xml:space="preserve">).  </w:t>
      </w:r>
      <w:bookmarkEnd w:id="0"/>
    </w:p>
    <w:p w14:paraId="60484F3F" w14:textId="77777777" w:rsidR="00341A61" w:rsidRDefault="00341A61" w:rsidP="0065619B">
      <w:pPr>
        <w:spacing w:after="0" w:line="240" w:lineRule="auto"/>
        <w:jc w:val="both"/>
        <w:rPr>
          <w:bCs/>
        </w:rPr>
      </w:pPr>
    </w:p>
    <w:p w14:paraId="1D47465C" w14:textId="77777777" w:rsidR="0031659B" w:rsidRDefault="0031659B" w:rsidP="000B6D69">
      <w:pPr>
        <w:spacing w:after="0" w:line="240" w:lineRule="auto"/>
        <w:jc w:val="both"/>
      </w:pPr>
    </w:p>
    <w:p w14:paraId="62681F1D" w14:textId="14A567EC" w:rsidR="00F84F84" w:rsidRDefault="006D3C9F" w:rsidP="000B6D69">
      <w:pPr>
        <w:spacing w:after="0" w:line="240" w:lineRule="auto"/>
        <w:jc w:val="both"/>
      </w:pPr>
      <w:bookmarkStart w:id="2" w:name="_Hlk146784864"/>
      <w:r>
        <w:t xml:space="preserve">Magnetic susceptibility analysis was undertaken on the cores using a </w:t>
      </w:r>
      <w:proofErr w:type="spellStart"/>
      <w:r>
        <w:t>Bartington</w:t>
      </w:r>
      <w:proofErr w:type="spellEnd"/>
      <w:r>
        <w:t xml:space="preserve"> MS3 and </w:t>
      </w:r>
      <w:r w:rsidR="00F84F84">
        <w:t xml:space="preserve">a </w:t>
      </w:r>
      <w:proofErr w:type="spellStart"/>
      <w:r w:rsidR="00F84F84">
        <w:t>Bartington</w:t>
      </w:r>
      <w:proofErr w:type="spellEnd"/>
      <w:r w:rsidR="00F84F84">
        <w:t xml:space="preserve"> core logging sensor at 1cm </w:t>
      </w:r>
      <w:r w:rsidR="00F84F84" w:rsidRPr="00C47BC6">
        <w:t>intervals along each core segment</w:t>
      </w:r>
      <w:r w:rsidR="00F84F84">
        <w:t xml:space="preserve">.  This aimed to gain a better understanding of deposit properties that may relate to formation processes and correlate sediments between the cores.  The </w:t>
      </w:r>
      <w:proofErr w:type="gramStart"/>
      <w:r w:rsidR="00F84F84">
        <w:t>results</w:t>
      </w:r>
      <w:proofErr w:type="gramEnd"/>
      <w:r w:rsidR="00F84F84">
        <w:t xml:space="preserve"> of this analysis is shown in figure </w:t>
      </w:r>
      <w:r w:rsidR="0065619B">
        <w:t xml:space="preserve">1 </w:t>
      </w:r>
      <w:r w:rsidR="00F84F84">
        <w:t xml:space="preserve">and figure </w:t>
      </w:r>
      <w:r w:rsidR="0065619B">
        <w:t>2</w:t>
      </w:r>
      <w:r w:rsidR="00F84F84">
        <w:t xml:space="preserve">.  </w:t>
      </w:r>
    </w:p>
    <w:p w14:paraId="19BB452E" w14:textId="77777777" w:rsidR="006D3C9F" w:rsidRDefault="006D3C9F" w:rsidP="000B6D69">
      <w:pPr>
        <w:spacing w:after="0" w:line="240" w:lineRule="auto"/>
        <w:jc w:val="both"/>
      </w:pPr>
    </w:p>
    <w:p w14:paraId="3C73AC70" w14:textId="50360975" w:rsidR="00786E43" w:rsidRDefault="006D3C9F" w:rsidP="000B6D69">
      <w:pPr>
        <w:spacing w:after="0" w:line="240" w:lineRule="auto"/>
        <w:jc w:val="both"/>
      </w:pPr>
      <w:r>
        <w:t xml:space="preserve">Unfortunately, It was not possible to correlate between the cores as a probable consequence of the variability of their </w:t>
      </w:r>
      <w:proofErr w:type="gramStart"/>
      <w:r>
        <w:t>sediments</w:t>
      </w:r>
      <w:proofErr w:type="gramEnd"/>
      <w:r>
        <w:t xml:space="preserve"> characteristics.  </w:t>
      </w:r>
      <w:r w:rsidR="00786E43">
        <w:t>However, s</w:t>
      </w:r>
      <w:r>
        <w:t>ome broad observations are possible</w:t>
      </w:r>
      <w:r w:rsidR="00786E43">
        <w:t xml:space="preserve"> from this data.  </w:t>
      </w:r>
      <w:r w:rsidR="00BA4793">
        <w:t xml:space="preserve">Changes in magnetic susceptibility appear to correlate well with stratigraphic changes.  </w:t>
      </w:r>
      <w:r w:rsidR="00786E43">
        <w:t xml:space="preserve">Unsurprisingly, the peat and organic rich sediments have atypically low or negative magnetic </w:t>
      </w:r>
      <w:r w:rsidR="00786E43">
        <w:lastRenderedPageBreak/>
        <w:t xml:space="preserve">susceptibility values (cf. </w:t>
      </w:r>
      <w:bookmarkStart w:id="3" w:name="_Hlk146566163"/>
      <w:r w:rsidR="00786E43">
        <w:t>Gale &amp; Hoare 2011</w:t>
      </w:r>
      <w:bookmarkEnd w:id="3"/>
      <w:r w:rsidR="00786E43">
        <w:t xml:space="preserve">: 208-209), whilst much higher readings were obtained from the mineral rich deposits.  Curiously, </w:t>
      </w:r>
      <w:r w:rsidR="00141046">
        <w:t xml:space="preserve">higher than expected values were obtained from parts of the lower peat deposit in core LLYR9a, which might </w:t>
      </w:r>
      <w:r w:rsidR="00250571">
        <w:t xml:space="preserve">either </w:t>
      </w:r>
      <w:r w:rsidR="00141046">
        <w:t xml:space="preserve">suggest </w:t>
      </w:r>
      <w:r w:rsidR="00250571">
        <w:t xml:space="preserve">pedogenic processes or </w:t>
      </w:r>
      <w:r w:rsidR="00141046">
        <w:t xml:space="preserve">periodic inundation and an influx of mineral rich deposits that could not be detected by visible examination of the core.  This possibility is discussed in more detail in the discussion of </w:t>
      </w:r>
      <w:r w:rsidR="0073736F">
        <w:t xml:space="preserve">LOI and </w:t>
      </w:r>
      <w:r w:rsidR="00141046">
        <w:t xml:space="preserve">pollen data.  </w:t>
      </w:r>
    </w:p>
    <w:p w14:paraId="55D45066" w14:textId="77777777" w:rsidR="00F35835" w:rsidRPr="004A4FE9" w:rsidRDefault="00F35835" w:rsidP="000B6D69">
      <w:pPr>
        <w:spacing w:after="0" w:line="240" w:lineRule="auto"/>
        <w:jc w:val="both"/>
        <w:rPr>
          <w:b/>
          <w:bCs/>
          <w:i/>
          <w:iCs/>
        </w:rPr>
      </w:pPr>
    </w:p>
    <w:p w14:paraId="17AF9A63" w14:textId="1424C613" w:rsidR="00220C85" w:rsidRDefault="00C50070" w:rsidP="000B6D69">
      <w:pPr>
        <w:spacing w:after="0" w:line="240" w:lineRule="auto"/>
        <w:jc w:val="both"/>
      </w:pPr>
      <w:r>
        <w:t>Loss-on-Ignition (</w:t>
      </w:r>
      <w:r w:rsidR="00250571">
        <w:t>LOI</w:t>
      </w:r>
      <w:r>
        <w:t>)</w:t>
      </w:r>
      <w:r w:rsidR="00250571">
        <w:t xml:space="preserve"> analysis was undertaken specifically on the bottom 1m core segment of LLYR4 in order to assess deposit formation processes associated with the peat horizon in this section of the core.  Samples were taken at regular 1cm intervals within the compressed core and dried at </w:t>
      </w:r>
      <w:r w:rsidR="00F47780">
        <w:t>105</w:t>
      </w:r>
      <w:r w:rsidR="00250571">
        <w:rPr>
          <w:rFonts w:cstheme="minorHAnsi"/>
        </w:rPr>
        <w:t>°</w:t>
      </w:r>
      <w:r w:rsidR="00250571">
        <w:t xml:space="preserve">C and weighed to calculate their dry weight.  The samples were then burnt at </w:t>
      </w:r>
      <w:r w:rsidR="00F47780">
        <w:t>550</w:t>
      </w:r>
      <w:r w:rsidR="00250571">
        <w:rPr>
          <w:rFonts w:cstheme="minorHAnsi"/>
        </w:rPr>
        <w:t>°</w:t>
      </w:r>
      <w:r w:rsidR="00250571">
        <w:t xml:space="preserve">C and weighed once more to calculate the percentage loss of dried sample.  The </w:t>
      </w:r>
      <w:proofErr w:type="gramStart"/>
      <w:r w:rsidR="00250571">
        <w:t>results</w:t>
      </w:r>
      <w:proofErr w:type="gramEnd"/>
      <w:r w:rsidR="00250571">
        <w:t xml:space="preserve"> of this work is presented in graphical form in figure </w:t>
      </w:r>
      <w:r w:rsidR="0065619B">
        <w:t xml:space="preserve">2 </w:t>
      </w:r>
      <w:r w:rsidR="00250571">
        <w:t xml:space="preserve">against the calculated uncompressed depth.  These show that the LOI values </w:t>
      </w:r>
      <w:r w:rsidR="00BA4793">
        <w:t>vary relatively consistently in relation to stratigraphic changes.  For example, increased LOI values are noted for the change to organic rich sediments at c.3.85m and at c.3.69m with the onset of peat growth.  Later in the core, when the stratigraphy changes to blue-grey gravels, LOI values have again fallen in comparison with the organic rich peat.  Although LOI values are relatively consistent within the peat deposit, LOI values do fall slightly towards the top of this unit at c.332cm, occurring slightly before increased Magnetic susceptibility values</w:t>
      </w:r>
      <w:r w:rsidR="00220C85">
        <w:t xml:space="preserve"> are evident at a depth of 329cm</w:t>
      </w:r>
      <w:r w:rsidR="00BA4793">
        <w:t xml:space="preserve">.  </w:t>
      </w:r>
      <w:r w:rsidR="00220C85">
        <w:t xml:space="preserve">A </w:t>
      </w:r>
      <w:r w:rsidR="003519B1">
        <w:t xml:space="preserve">full </w:t>
      </w:r>
      <w:r w:rsidR="00220C85">
        <w:t xml:space="preserve">discussion of the significance of these changes is provided </w:t>
      </w:r>
      <w:r w:rsidR="00F47780">
        <w:t>i</w:t>
      </w:r>
      <w:r w:rsidR="00220C85">
        <w:t xml:space="preserve">n the discussion of pollen data.  </w:t>
      </w:r>
    </w:p>
    <w:bookmarkEnd w:id="2"/>
    <w:p w14:paraId="2004A5AF" w14:textId="16CCFE6C" w:rsidR="00250571" w:rsidRDefault="00250571" w:rsidP="00250571">
      <w:pPr>
        <w:spacing w:after="0" w:line="240" w:lineRule="auto"/>
      </w:pPr>
      <w:r w:rsidRPr="005456ED">
        <w:rPr>
          <w:highlight w:val="yellow"/>
        </w:rPr>
        <w:t xml:space="preserve"> </w:t>
      </w:r>
    </w:p>
    <w:p w14:paraId="4D9D5291" w14:textId="6F2BB1BD" w:rsidR="00F35835" w:rsidRPr="004A4FE9" w:rsidRDefault="00F35835" w:rsidP="00F35835">
      <w:pPr>
        <w:spacing w:after="0" w:line="240" w:lineRule="auto"/>
      </w:pPr>
    </w:p>
    <w:p w14:paraId="43113DE6" w14:textId="449DB349" w:rsidR="00750E27" w:rsidRPr="004A4FE9" w:rsidRDefault="00FF2FDD" w:rsidP="00901239">
      <w:pPr>
        <w:jc w:val="both"/>
        <w:rPr>
          <w:i/>
          <w:iCs/>
        </w:rPr>
      </w:pPr>
      <w:bookmarkStart w:id="4" w:name="_Hlk146785011"/>
      <w:r w:rsidRPr="004A4FE9">
        <w:rPr>
          <w:i/>
          <w:iCs/>
        </w:rPr>
        <w:t xml:space="preserve">Late glacial </w:t>
      </w:r>
      <w:r w:rsidR="001E2323" w:rsidRPr="004A4FE9">
        <w:rPr>
          <w:i/>
          <w:iCs/>
        </w:rPr>
        <w:t xml:space="preserve">- </w:t>
      </w:r>
      <w:r w:rsidRPr="004A4FE9">
        <w:rPr>
          <w:i/>
          <w:iCs/>
        </w:rPr>
        <w:t>c.</w:t>
      </w:r>
      <w:r w:rsidR="00584ABD" w:rsidRPr="004A4FE9">
        <w:rPr>
          <w:i/>
          <w:iCs/>
        </w:rPr>
        <w:t>12,700-</w:t>
      </w:r>
      <w:r w:rsidR="005C34EB" w:rsidRPr="004A4FE9">
        <w:rPr>
          <w:i/>
          <w:iCs/>
        </w:rPr>
        <w:t>11</w:t>
      </w:r>
      <w:r w:rsidR="004C08E0" w:rsidRPr="004A4FE9">
        <w:rPr>
          <w:i/>
          <w:iCs/>
        </w:rPr>
        <w:t>,</w:t>
      </w:r>
      <w:r w:rsidR="005C34EB" w:rsidRPr="004A4FE9">
        <w:rPr>
          <w:i/>
          <w:iCs/>
        </w:rPr>
        <w:t>600 BP</w:t>
      </w:r>
      <w:r w:rsidR="001E2323" w:rsidRPr="004A4FE9">
        <w:rPr>
          <w:i/>
          <w:iCs/>
        </w:rPr>
        <w:t xml:space="preserve"> (c.10</w:t>
      </w:r>
      <w:r w:rsidR="004C08E0" w:rsidRPr="004A4FE9">
        <w:rPr>
          <w:i/>
          <w:iCs/>
        </w:rPr>
        <w:t>,</w:t>
      </w:r>
      <w:r w:rsidR="001E2323" w:rsidRPr="004A4FE9">
        <w:rPr>
          <w:i/>
          <w:iCs/>
        </w:rPr>
        <w:t>750-9</w:t>
      </w:r>
      <w:r w:rsidR="004C08E0" w:rsidRPr="004A4FE9">
        <w:rPr>
          <w:i/>
          <w:iCs/>
        </w:rPr>
        <w:t>,</w:t>
      </w:r>
      <w:r w:rsidR="001E2323" w:rsidRPr="004A4FE9">
        <w:rPr>
          <w:i/>
          <w:iCs/>
        </w:rPr>
        <w:t>650 BC)</w:t>
      </w:r>
    </w:p>
    <w:p w14:paraId="4C24A27B" w14:textId="1E37083B" w:rsidR="005C34EB" w:rsidRDefault="005C34EB" w:rsidP="005C34EB">
      <w:pPr>
        <w:jc w:val="both"/>
        <w:rPr>
          <w:rFonts w:eastAsia="Times New Roman" w:cstheme="minorHAnsi"/>
          <w:lang w:eastAsia="en-GB"/>
        </w:rPr>
      </w:pPr>
      <w:r w:rsidRPr="004A4FE9">
        <w:t xml:space="preserve">The late glacial sequences within the three cores analysed consist of the lower, organic rich silts of LLYR9a (pollen zone 9a1), and possibly also the very base of peat deposits overlying these layers.  </w:t>
      </w:r>
      <w:r w:rsidRPr="004A4FE9">
        <w:rPr>
          <w:rFonts w:eastAsia="Times New Roman" w:cstheme="minorHAnsi"/>
          <w:lang w:eastAsia="en-GB"/>
        </w:rPr>
        <w:t xml:space="preserve">The pollen record within these deposits </w:t>
      </w:r>
      <w:proofErr w:type="gramStart"/>
      <w:r w:rsidRPr="004A4FE9">
        <w:rPr>
          <w:rFonts w:eastAsia="Times New Roman" w:cstheme="minorHAnsi"/>
          <w:lang w:eastAsia="en-GB"/>
        </w:rPr>
        <w:t>are</w:t>
      </w:r>
      <w:proofErr w:type="gramEnd"/>
      <w:r w:rsidRPr="004A4FE9">
        <w:rPr>
          <w:rFonts w:eastAsia="Times New Roman" w:cstheme="minorHAnsi"/>
          <w:lang w:eastAsia="en-GB"/>
        </w:rPr>
        <w:t xml:space="preserve"> typical in some regards in relation to late-glacial environments (high NAP with </w:t>
      </w:r>
      <w:proofErr w:type="spellStart"/>
      <w:r w:rsidRPr="004A4FE9">
        <w:rPr>
          <w:rFonts w:eastAsia="Times New Roman" w:cstheme="minorHAnsi"/>
          <w:lang w:eastAsia="en-GB"/>
        </w:rPr>
        <w:t>Cyperaceae</w:t>
      </w:r>
      <w:proofErr w:type="spellEnd"/>
      <w:r w:rsidRPr="004A4FE9">
        <w:rPr>
          <w:rFonts w:eastAsia="Times New Roman" w:cstheme="minorHAnsi"/>
          <w:lang w:eastAsia="en-GB"/>
        </w:rPr>
        <w:t xml:space="preserve">, Artemisia).  However, the presence of Alnus in relatively high percentages </w:t>
      </w:r>
      <w:r w:rsidR="00A26F08">
        <w:rPr>
          <w:rFonts w:eastAsia="Times New Roman" w:cstheme="minorHAnsi"/>
          <w:lang w:eastAsia="en-GB"/>
        </w:rPr>
        <w:t xml:space="preserve">(≤14.8) </w:t>
      </w:r>
      <w:r w:rsidRPr="004A4FE9">
        <w:rPr>
          <w:rFonts w:eastAsia="Times New Roman" w:cstheme="minorHAnsi"/>
          <w:lang w:eastAsia="en-GB"/>
        </w:rPr>
        <w:t xml:space="preserve">and </w:t>
      </w:r>
      <w:r w:rsidR="00EB7F90">
        <w:rPr>
          <w:rFonts w:eastAsia="Times New Roman" w:cstheme="minorHAnsi"/>
          <w:lang w:eastAsia="en-GB"/>
        </w:rPr>
        <w:t xml:space="preserve">the low levels of </w:t>
      </w:r>
      <w:r w:rsidRPr="004A4FE9">
        <w:rPr>
          <w:rFonts w:eastAsia="Times New Roman" w:cstheme="minorHAnsi"/>
          <w:lang w:eastAsia="en-GB"/>
        </w:rPr>
        <w:t>Corylus is unexpected.  This possibly suggests the presence of a microclimate in the site’s pollen catchment with a possible refugia of woodland</w:t>
      </w:r>
      <w:r w:rsidR="00EB7F90">
        <w:rPr>
          <w:rFonts w:eastAsia="Times New Roman" w:cstheme="minorHAnsi"/>
          <w:lang w:eastAsia="en-GB"/>
        </w:rPr>
        <w:t xml:space="preserve"> surviving during the last glaciation</w:t>
      </w:r>
      <w:r w:rsidRPr="004A4FE9">
        <w:rPr>
          <w:rFonts w:eastAsia="Times New Roman" w:cstheme="minorHAnsi"/>
          <w:lang w:eastAsia="en-GB"/>
        </w:rPr>
        <w:t xml:space="preserve">.  </w:t>
      </w:r>
      <w:r w:rsidR="002753BB" w:rsidRPr="004A4FE9">
        <w:rPr>
          <w:rFonts w:eastAsia="Times New Roman" w:cstheme="minorHAnsi"/>
          <w:lang w:eastAsia="en-GB"/>
        </w:rPr>
        <w:t xml:space="preserve">Rare wood fragments identified in the </w:t>
      </w:r>
      <w:proofErr w:type="spellStart"/>
      <w:r w:rsidR="002753BB" w:rsidRPr="004A4FE9">
        <w:rPr>
          <w:rFonts w:eastAsia="Times New Roman" w:cstheme="minorHAnsi"/>
          <w:lang w:eastAsia="en-GB"/>
        </w:rPr>
        <w:t>macrofosil</w:t>
      </w:r>
      <w:proofErr w:type="spellEnd"/>
      <w:r w:rsidR="002753BB" w:rsidRPr="004A4FE9">
        <w:rPr>
          <w:rFonts w:eastAsia="Times New Roman" w:cstheme="minorHAnsi"/>
          <w:lang w:eastAsia="en-GB"/>
        </w:rPr>
        <w:t xml:space="preserve"> assemblage for these deposits support the presence of this refugia, though perhaps it would be relatively limited locally given the limited number of items identified.  </w:t>
      </w:r>
      <w:r w:rsidRPr="004A4FE9">
        <w:rPr>
          <w:rFonts w:eastAsia="Times New Roman" w:cstheme="minorHAnsi"/>
          <w:lang w:eastAsia="en-GB"/>
        </w:rPr>
        <w:t>The plausible existence of this refugia may also account for the diversity of herb taxa present in this zone, including disturbance indicators (</w:t>
      </w:r>
      <w:proofErr w:type="gramStart"/>
      <w:r w:rsidRPr="004A4FE9">
        <w:rPr>
          <w:rFonts w:eastAsia="Times New Roman" w:cstheme="minorHAnsi"/>
          <w:lang w:eastAsia="en-GB"/>
        </w:rPr>
        <w:t>e.g.</w:t>
      </w:r>
      <w:proofErr w:type="gramEnd"/>
      <w:r w:rsidRPr="004A4FE9">
        <w:rPr>
          <w:rFonts w:eastAsia="Times New Roman" w:cstheme="minorHAnsi"/>
          <w:lang w:eastAsia="en-GB"/>
        </w:rPr>
        <w:t xml:space="preserve"> </w:t>
      </w:r>
      <w:r w:rsidRPr="00F47780">
        <w:rPr>
          <w:rFonts w:eastAsia="Times New Roman" w:cstheme="minorHAnsi"/>
          <w:i/>
          <w:iCs/>
          <w:lang w:eastAsia="en-GB"/>
        </w:rPr>
        <w:t>Achillea</w:t>
      </w:r>
      <w:r w:rsidR="00A11BC4">
        <w:rPr>
          <w:rFonts w:eastAsia="Times New Roman" w:cstheme="minorHAnsi"/>
          <w:lang w:eastAsia="en-GB"/>
        </w:rPr>
        <w:t>-type</w:t>
      </w:r>
      <w:r w:rsidRPr="004A4FE9">
        <w:rPr>
          <w:rFonts w:eastAsia="Times New Roman" w:cstheme="minorHAnsi"/>
          <w:lang w:eastAsia="en-GB"/>
        </w:rPr>
        <w:t xml:space="preserve">, </w:t>
      </w:r>
      <w:r w:rsidRPr="00F47780">
        <w:rPr>
          <w:rFonts w:eastAsia="Times New Roman" w:cstheme="minorHAnsi"/>
          <w:i/>
          <w:iCs/>
          <w:lang w:eastAsia="en-GB"/>
        </w:rPr>
        <w:t>Cichorium intybus</w:t>
      </w:r>
      <w:r w:rsidRPr="004A4FE9">
        <w:rPr>
          <w:rFonts w:eastAsia="Times New Roman" w:cstheme="minorHAnsi"/>
          <w:lang w:eastAsia="en-GB"/>
        </w:rPr>
        <w:t xml:space="preserve">-type, Caryophyllaceae, Chenopodiaceae, </w:t>
      </w:r>
      <w:r w:rsidRPr="00F47780">
        <w:rPr>
          <w:rFonts w:eastAsia="Times New Roman" w:cstheme="minorHAnsi"/>
          <w:i/>
          <w:iCs/>
          <w:lang w:eastAsia="en-GB"/>
        </w:rPr>
        <w:t>Plantago lanceolata, Rumex acetosella</w:t>
      </w:r>
      <w:r w:rsidRPr="004A4FE9">
        <w:rPr>
          <w:rFonts w:eastAsia="Times New Roman" w:cstheme="minorHAnsi"/>
          <w:lang w:eastAsia="en-GB"/>
        </w:rPr>
        <w:t xml:space="preserve">, </w:t>
      </w:r>
      <w:r w:rsidRPr="00F47780">
        <w:rPr>
          <w:rFonts w:eastAsia="Times New Roman" w:cstheme="minorHAnsi"/>
          <w:i/>
          <w:iCs/>
          <w:lang w:eastAsia="en-GB"/>
        </w:rPr>
        <w:t xml:space="preserve">Rumex </w:t>
      </w:r>
      <w:proofErr w:type="spellStart"/>
      <w:r w:rsidRPr="00F47780">
        <w:rPr>
          <w:rFonts w:eastAsia="Times New Roman" w:cstheme="minorHAnsi"/>
          <w:i/>
          <w:iCs/>
          <w:lang w:eastAsia="en-GB"/>
        </w:rPr>
        <w:t>acetosa</w:t>
      </w:r>
      <w:proofErr w:type="spellEnd"/>
      <w:r w:rsidRPr="00F47780">
        <w:rPr>
          <w:rFonts w:eastAsia="Times New Roman" w:cstheme="minorHAnsi"/>
          <w:i/>
          <w:iCs/>
          <w:lang w:eastAsia="en-GB"/>
        </w:rPr>
        <w:t xml:space="preserve"> </w:t>
      </w:r>
      <w:r w:rsidR="00A11BC4">
        <w:rPr>
          <w:rFonts w:eastAsia="Times New Roman" w:cstheme="minorHAnsi"/>
          <w:i/>
          <w:iCs/>
          <w:lang w:eastAsia="en-GB"/>
        </w:rPr>
        <w:t xml:space="preserve">and </w:t>
      </w:r>
      <w:r w:rsidRPr="00F47780">
        <w:rPr>
          <w:rFonts w:eastAsia="Times New Roman" w:cstheme="minorHAnsi"/>
          <w:i/>
          <w:iCs/>
          <w:lang w:eastAsia="en-GB"/>
        </w:rPr>
        <w:t xml:space="preserve">Urtica </w:t>
      </w:r>
      <w:proofErr w:type="spellStart"/>
      <w:r w:rsidRPr="00F47780">
        <w:rPr>
          <w:rFonts w:eastAsia="Times New Roman" w:cstheme="minorHAnsi"/>
          <w:i/>
          <w:iCs/>
          <w:lang w:eastAsia="en-GB"/>
        </w:rPr>
        <w:t>docia</w:t>
      </w:r>
      <w:proofErr w:type="spellEnd"/>
      <w:r w:rsidRPr="004A4FE9">
        <w:rPr>
          <w:rFonts w:eastAsia="Times New Roman" w:cstheme="minorHAnsi"/>
          <w:lang w:eastAsia="en-GB"/>
        </w:rPr>
        <w:t>) that may be reflective of wild animal grazing or plausibly even human activity. However, it should be noted that the alluvial nature of these sediments could potentially mean that pollen grains are redeposited from older sediments, but the relatively low percentages of damaged grains, especially corroded grains indictive of exposure, suggests this is not the case.  This is supported by the continued presence of these taxa in more recent peat deposits in pollen phases 2-5, which do not appear to have this potential for depositional bias.</w:t>
      </w:r>
    </w:p>
    <w:p w14:paraId="01B56D3A" w14:textId="2E56D559" w:rsidR="00084E20" w:rsidRPr="004A4FE9" w:rsidRDefault="00EB7F90" w:rsidP="005C34EB">
      <w:pPr>
        <w:jc w:val="both"/>
        <w:rPr>
          <w:rFonts w:eastAsia="Times New Roman" w:cstheme="minorHAnsi"/>
          <w:lang w:eastAsia="en-GB"/>
        </w:rPr>
      </w:pPr>
      <w:r>
        <w:rPr>
          <w:rFonts w:eastAsia="Times New Roman" w:cstheme="minorHAnsi"/>
          <w:lang w:eastAsia="en-GB"/>
        </w:rPr>
        <w:t xml:space="preserve">The presence of Alnus in late glacial and early </w:t>
      </w:r>
      <w:proofErr w:type="spellStart"/>
      <w:r>
        <w:rPr>
          <w:rFonts w:eastAsia="Times New Roman" w:cstheme="minorHAnsi"/>
          <w:lang w:eastAsia="en-GB"/>
        </w:rPr>
        <w:t>holocene</w:t>
      </w:r>
      <w:proofErr w:type="spellEnd"/>
      <w:r>
        <w:rPr>
          <w:rFonts w:eastAsia="Times New Roman" w:cstheme="minorHAnsi"/>
          <w:lang w:eastAsia="en-GB"/>
        </w:rPr>
        <w:t xml:space="preserve"> sequences is extremely rare in deposits pre-dating the ‘</w:t>
      </w:r>
      <w:r w:rsidR="00A11BC4" w:rsidRPr="005456ED">
        <w:rPr>
          <w:rFonts w:eastAsia="Times New Roman" w:cstheme="minorHAnsi"/>
          <w:i/>
          <w:iCs/>
          <w:lang w:eastAsia="en-GB"/>
        </w:rPr>
        <w:t>Alnus</w:t>
      </w:r>
      <w:r w:rsidR="00A11BC4">
        <w:rPr>
          <w:rFonts w:eastAsia="Times New Roman" w:cstheme="minorHAnsi"/>
          <w:lang w:eastAsia="en-GB"/>
        </w:rPr>
        <w:t xml:space="preserve"> </w:t>
      </w:r>
      <w:r>
        <w:rPr>
          <w:rFonts w:eastAsia="Times New Roman" w:cstheme="minorHAnsi"/>
          <w:lang w:eastAsia="en-GB"/>
        </w:rPr>
        <w:t xml:space="preserve">rise’ of c.7500 BP (cf. Chambers and </w:t>
      </w:r>
      <w:proofErr w:type="spellStart"/>
      <w:r>
        <w:rPr>
          <w:rFonts w:eastAsia="Times New Roman" w:cstheme="minorHAnsi"/>
          <w:lang w:eastAsia="en-GB"/>
        </w:rPr>
        <w:t>Ellios</w:t>
      </w:r>
      <w:proofErr w:type="spellEnd"/>
      <w:r>
        <w:rPr>
          <w:rFonts w:eastAsia="Times New Roman" w:cstheme="minorHAnsi"/>
          <w:lang w:eastAsia="en-GB"/>
        </w:rPr>
        <w:t xml:space="preserve"> 1989).  However, a</w:t>
      </w:r>
      <w:r w:rsidR="0043553D">
        <w:rPr>
          <w:rFonts w:eastAsia="Times New Roman" w:cstheme="minorHAnsi"/>
          <w:lang w:eastAsia="en-GB"/>
        </w:rPr>
        <w:t xml:space="preserve">n increasing number of studies have now identified </w:t>
      </w:r>
      <w:r>
        <w:rPr>
          <w:rFonts w:eastAsia="Times New Roman" w:cstheme="minorHAnsi"/>
          <w:lang w:eastAsia="en-GB"/>
        </w:rPr>
        <w:t xml:space="preserve">before this date, </w:t>
      </w:r>
      <w:r w:rsidR="0043553D">
        <w:rPr>
          <w:rFonts w:eastAsia="Times New Roman" w:cstheme="minorHAnsi"/>
          <w:lang w:eastAsia="en-GB"/>
        </w:rPr>
        <w:t xml:space="preserve">especially </w:t>
      </w:r>
      <w:r>
        <w:rPr>
          <w:rFonts w:eastAsia="Times New Roman" w:cstheme="minorHAnsi"/>
          <w:lang w:eastAsia="en-GB"/>
        </w:rPr>
        <w:t xml:space="preserve">near </w:t>
      </w:r>
      <w:r w:rsidR="0043553D">
        <w:rPr>
          <w:rFonts w:eastAsia="Times New Roman" w:cstheme="minorHAnsi"/>
          <w:lang w:eastAsia="en-GB"/>
        </w:rPr>
        <w:t xml:space="preserve">coastal areas in Wales.  These include </w:t>
      </w:r>
      <w:proofErr w:type="spellStart"/>
      <w:r w:rsidR="003212F6">
        <w:rPr>
          <w:rFonts w:eastAsia="Times New Roman" w:cstheme="minorHAnsi"/>
          <w:lang w:eastAsia="en-GB"/>
        </w:rPr>
        <w:t>Clarach</w:t>
      </w:r>
      <w:proofErr w:type="spellEnd"/>
      <w:r w:rsidR="003212F6">
        <w:rPr>
          <w:rFonts w:eastAsia="Times New Roman" w:cstheme="minorHAnsi"/>
          <w:lang w:eastAsia="en-GB"/>
        </w:rPr>
        <w:t xml:space="preserve"> Boreholes 2 and 3</w:t>
      </w:r>
      <w:r w:rsidR="00AD69BC">
        <w:rPr>
          <w:rFonts w:eastAsia="Times New Roman" w:cstheme="minorHAnsi"/>
          <w:lang w:eastAsia="en-GB"/>
        </w:rPr>
        <w:t xml:space="preserve">, north of Aberystwyth </w:t>
      </w:r>
      <w:bookmarkStart w:id="5" w:name="_Hlk146566309"/>
      <w:r w:rsidR="00AD69BC">
        <w:rPr>
          <w:rFonts w:eastAsia="Times New Roman" w:cstheme="minorHAnsi"/>
          <w:lang w:eastAsia="en-GB"/>
        </w:rPr>
        <w:t>(Heyworth</w:t>
      </w:r>
      <w:r w:rsidR="00AD69BC" w:rsidRPr="00AD69BC">
        <w:rPr>
          <w:rFonts w:eastAsia="Times New Roman" w:cstheme="minorHAnsi"/>
          <w:i/>
          <w:iCs/>
          <w:lang w:eastAsia="en-GB"/>
        </w:rPr>
        <w:t xml:space="preserve"> </w:t>
      </w:r>
      <w:r w:rsidR="00AD69BC" w:rsidRPr="005456ED">
        <w:rPr>
          <w:rFonts w:eastAsia="Times New Roman" w:cstheme="minorHAnsi"/>
          <w:i/>
          <w:iCs/>
          <w:lang w:eastAsia="en-GB"/>
        </w:rPr>
        <w:t>et al</w:t>
      </w:r>
      <w:r w:rsidR="00AD69BC">
        <w:rPr>
          <w:rFonts w:eastAsia="Times New Roman" w:cstheme="minorHAnsi"/>
          <w:lang w:eastAsia="en-GB"/>
        </w:rPr>
        <w:t>. 1985</w:t>
      </w:r>
      <w:bookmarkEnd w:id="5"/>
      <w:r w:rsidR="00AD69BC">
        <w:rPr>
          <w:rFonts w:eastAsia="Times New Roman" w:cstheme="minorHAnsi"/>
          <w:lang w:eastAsia="en-GB"/>
        </w:rPr>
        <w:t xml:space="preserve">), </w:t>
      </w:r>
      <w:r w:rsidR="0043553D">
        <w:rPr>
          <w:rFonts w:eastAsia="Times New Roman" w:cstheme="minorHAnsi"/>
          <w:lang w:eastAsia="en-GB"/>
        </w:rPr>
        <w:t xml:space="preserve">Moel y </w:t>
      </w:r>
      <w:proofErr w:type="spellStart"/>
      <w:r w:rsidR="0043553D">
        <w:rPr>
          <w:rFonts w:eastAsia="Times New Roman" w:cstheme="minorHAnsi"/>
          <w:lang w:eastAsia="en-GB"/>
        </w:rPr>
        <w:t>Gerddi</w:t>
      </w:r>
      <w:proofErr w:type="spellEnd"/>
      <w:r w:rsidR="0043553D">
        <w:rPr>
          <w:rFonts w:eastAsia="Times New Roman" w:cstheme="minorHAnsi"/>
          <w:lang w:eastAsia="en-GB"/>
        </w:rPr>
        <w:t xml:space="preserve"> </w:t>
      </w:r>
      <w:r w:rsidR="003D1352">
        <w:rPr>
          <w:rFonts w:eastAsia="Times New Roman" w:cstheme="minorHAnsi"/>
          <w:lang w:eastAsia="en-GB"/>
        </w:rPr>
        <w:t xml:space="preserve">in </w:t>
      </w:r>
      <w:proofErr w:type="spellStart"/>
      <w:r w:rsidR="003D1352">
        <w:rPr>
          <w:rFonts w:eastAsia="Times New Roman" w:cstheme="minorHAnsi"/>
          <w:lang w:eastAsia="en-GB"/>
        </w:rPr>
        <w:t>Ardudwy</w:t>
      </w:r>
      <w:proofErr w:type="spellEnd"/>
      <w:r w:rsidR="003D1352">
        <w:rPr>
          <w:rFonts w:eastAsia="Times New Roman" w:cstheme="minorHAnsi"/>
          <w:lang w:eastAsia="en-GB"/>
        </w:rPr>
        <w:t xml:space="preserve"> </w:t>
      </w:r>
      <w:r w:rsidR="0043553D">
        <w:rPr>
          <w:rFonts w:eastAsia="Times New Roman" w:cstheme="minorHAnsi"/>
          <w:lang w:eastAsia="en-GB"/>
        </w:rPr>
        <w:t>(</w:t>
      </w:r>
      <w:bookmarkStart w:id="6" w:name="_Hlk146566341"/>
      <w:r w:rsidR="0043553D">
        <w:rPr>
          <w:rFonts w:eastAsia="Times New Roman" w:cstheme="minorHAnsi"/>
          <w:lang w:eastAsia="en-GB"/>
        </w:rPr>
        <w:t xml:space="preserve">Chambers </w:t>
      </w:r>
      <w:r w:rsidR="00CB7A64">
        <w:rPr>
          <w:rFonts w:eastAsia="Times New Roman" w:cstheme="minorHAnsi"/>
          <w:lang w:eastAsia="en-GB"/>
        </w:rPr>
        <w:t xml:space="preserve">and Price </w:t>
      </w:r>
      <w:r w:rsidR="0043553D">
        <w:rPr>
          <w:rFonts w:eastAsia="Times New Roman" w:cstheme="minorHAnsi"/>
          <w:lang w:eastAsia="en-GB"/>
        </w:rPr>
        <w:t>1985</w:t>
      </w:r>
      <w:bookmarkEnd w:id="6"/>
      <w:r w:rsidR="0043553D">
        <w:rPr>
          <w:rFonts w:eastAsia="Times New Roman" w:cstheme="minorHAnsi"/>
          <w:lang w:eastAsia="en-GB"/>
        </w:rPr>
        <w:t>)</w:t>
      </w:r>
      <w:r w:rsidR="003D1352">
        <w:rPr>
          <w:rFonts w:eastAsia="Times New Roman" w:cstheme="minorHAnsi"/>
          <w:lang w:eastAsia="en-GB"/>
        </w:rPr>
        <w:t xml:space="preserve">, </w:t>
      </w:r>
      <w:r w:rsidR="0043553D">
        <w:rPr>
          <w:rFonts w:eastAsia="Times New Roman" w:cstheme="minorHAnsi"/>
          <w:lang w:eastAsia="en-GB"/>
        </w:rPr>
        <w:t xml:space="preserve">Parc </w:t>
      </w:r>
      <w:proofErr w:type="spellStart"/>
      <w:r w:rsidR="0043553D">
        <w:rPr>
          <w:rFonts w:eastAsia="Times New Roman" w:cstheme="minorHAnsi"/>
          <w:lang w:eastAsia="en-GB"/>
        </w:rPr>
        <w:t>Cybi</w:t>
      </w:r>
      <w:proofErr w:type="spellEnd"/>
      <w:r w:rsidR="0043553D">
        <w:rPr>
          <w:rFonts w:eastAsia="Times New Roman" w:cstheme="minorHAnsi"/>
          <w:lang w:eastAsia="en-GB"/>
        </w:rPr>
        <w:t xml:space="preserve"> </w:t>
      </w:r>
      <w:r w:rsidR="003212F6">
        <w:rPr>
          <w:rFonts w:eastAsia="Times New Roman" w:cstheme="minorHAnsi"/>
          <w:lang w:eastAsia="en-GB"/>
        </w:rPr>
        <w:t xml:space="preserve">on </w:t>
      </w:r>
      <w:r w:rsidR="003D1352">
        <w:rPr>
          <w:rFonts w:eastAsia="Times New Roman" w:cstheme="minorHAnsi"/>
          <w:lang w:eastAsia="en-GB"/>
        </w:rPr>
        <w:t>Anglesey</w:t>
      </w:r>
      <w:r w:rsidR="003212F6">
        <w:rPr>
          <w:rFonts w:eastAsia="Times New Roman" w:cstheme="minorHAnsi"/>
          <w:lang w:eastAsia="en-GB"/>
        </w:rPr>
        <w:t xml:space="preserve"> </w:t>
      </w:r>
      <w:r w:rsidR="0043553D">
        <w:rPr>
          <w:rFonts w:eastAsia="Times New Roman" w:cstheme="minorHAnsi"/>
          <w:lang w:eastAsia="en-GB"/>
        </w:rPr>
        <w:t>(</w:t>
      </w:r>
      <w:bookmarkStart w:id="7" w:name="_Hlk146566319"/>
      <w:proofErr w:type="spellStart"/>
      <w:r w:rsidR="0043553D">
        <w:rPr>
          <w:rFonts w:eastAsia="Times New Roman" w:cstheme="minorHAnsi"/>
          <w:lang w:eastAsia="en-GB"/>
        </w:rPr>
        <w:t>Grearey</w:t>
      </w:r>
      <w:proofErr w:type="spellEnd"/>
      <w:r w:rsidR="0043553D">
        <w:rPr>
          <w:rFonts w:eastAsia="Times New Roman" w:cstheme="minorHAnsi"/>
          <w:lang w:eastAsia="en-GB"/>
        </w:rPr>
        <w:t xml:space="preserve"> et al. 2020</w:t>
      </w:r>
      <w:bookmarkEnd w:id="7"/>
      <w:r w:rsidR="003212F6">
        <w:rPr>
          <w:rFonts w:eastAsia="Times New Roman" w:cstheme="minorHAnsi"/>
          <w:lang w:eastAsia="en-GB"/>
        </w:rPr>
        <w:t>)</w:t>
      </w:r>
      <w:r w:rsidR="00AD69BC">
        <w:rPr>
          <w:rFonts w:eastAsia="Times New Roman" w:cstheme="minorHAnsi"/>
          <w:lang w:eastAsia="en-GB"/>
        </w:rPr>
        <w:t xml:space="preserve">.  </w:t>
      </w:r>
      <w:r w:rsidR="00FD007D">
        <w:rPr>
          <w:rFonts w:eastAsia="Times New Roman" w:cstheme="minorHAnsi"/>
          <w:lang w:eastAsia="en-GB"/>
        </w:rPr>
        <w:t xml:space="preserve">Although undated, some of the </w:t>
      </w:r>
      <w:proofErr w:type="spellStart"/>
      <w:r w:rsidR="00FD007D">
        <w:rPr>
          <w:rFonts w:eastAsia="Times New Roman" w:cstheme="minorHAnsi"/>
          <w:lang w:eastAsia="en-GB"/>
        </w:rPr>
        <w:t>Cledyn</w:t>
      </w:r>
      <w:proofErr w:type="spellEnd"/>
      <w:r w:rsidR="00FD007D">
        <w:rPr>
          <w:rFonts w:eastAsia="Times New Roman" w:cstheme="minorHAnsi"/>
          <w:lang w:eastAsia="en-GB"/>
        </w:rPr>
        <w:t xml:space="preserve"> Pingoes of Ceredigion are </w:t>
      </w:r>
      <w:r w:rsidR="00A26F08">
        <w:rPr>
          <w:rFonts w:eastAsia="Times New Roman" w:cstheme="minorHAnsi"/>
          <w:lang w:eastAsia="en-GB"/>
        </w:rPr>
        <w:t xml:space="preserve">also </w:t>
      </w:r>
      <w:r w:rsidR="00FD007D">
        <w:rPr>
          <w:rFonts w:eastAsia="Times New Roman" w:cstheme="minorHAnsi"/>
          <w:lang w:eastAsia="en-GB"/>
        </w:rPr>
        <w:t xml:space="preserve">believed to have very early </w:t>
      </w:r>
      <w:r w:rsidR="00A26F08">
        <w:rPr>
          <w:rFonts w:eastAsia="Times New Roman" w:cstheme="minorHAnsi"/>
          <w:lang w:eastAsia="en-GB"/>
        </w:rPr>
        <w:t xml:space="preserve">occurrence of </w:t>
      </w:r>
      <w:r w:rsidR="00FD007D">
        <w:rPr>
          <w:rFonts w:eastAsia="Times New Roman" w:cstheme="minorHAnsi"/>
          <w:lang w:eastAsia="en-GB"/>
        </w:rPr>
        <w:t>Alnus</w:t>
      </w:r>
      <w:r w:rsidR="00A26F08">
        <w:rPr>
          <w:rFonts w:eastAsia="Times New Roman" w:cstheme="minorHAnsi"/>
          <w:lang w:eastAsia="en-GB"/>
        </w:rPr>
        <w:t xml:space="preserve"> trees (Handa and Moore 1976).  </w:t>
      </w:r>
      <w:r w:rsidR="00084E20">
        <w:rPr>
          <w:rFonts w:eastAsia="Times New Roman" w:cstheme="minorHAnsi"/>
          <w:lang w:eastAsia="en-GB"/>
        </w:rPr>
        <w:t xml:space="preserve">Other studies in </w:t>
      </w:r>
      <w:proofErr w:type="gramStart"/>
      <w:r w:rsidR="00084E20">
        <w:rPr>
          <w:rFonts w:eastAsia="Times New Roman" w:cstheme="minorHAnsi"/>
          <w:lang w:eastAsia="en-GB"/>
        </w:rPr>
        <w:t>south east</w:t>
      </w:r>
      <w:proofErr w:type="gramEnd"/>
      <w:r w:rsidR="00084E20">
        <w:rPr>
          <w:rFonts w:eastAsia="Times New Roman" w:cstheme="minorHAnsi"/>
          <w:lang w:eastAsia="en-GB"/>
        </w:rPr>
        <w:t xml:space="preserve"> England by </w:t>
      </w:r>
      <w:bookmarkStart w:id="8" w:name="_Hlk146566355"/>
      <w:r w:rsidR="00084E20">
        <w:rPr>
          <w:rFonts w:eastAsia="Times New Roman" w:cstheme="minorHAnsi"/>
          <w:lang w:eastAsia="en-GB"/>
        </w:rPr>
        <w:t>Simmonds et al. (2021</w:t>
      </w:r>
      <w:bookmarkEnd w:id="8"/>
      <w:r w:rsidR="00084E20">
        <w:rPr>
          <w:rFonts w:eastAsia="Times New Roman" w:cstheme="minorHAnsi"/>
          <w:lang w:eastAsia="en-GB"/>
        </w:rPr>
        <w:t xml:space="preserve">) have suggested a refugia of </w:t>
      </w:r>
      <w:r w:rsidR="00084E20" w:rsidRPr="00F47780">
        <w:rPr>
          <w:rFonts w:eastAsia="Times New Roman" w:cstheme="minorHAnsi"/>
          <w:i/>
          <w:iCs/>
          <w:lang w:eastAsia="en-GB"/>
        </w:rPr>
        <w:t>Alnus</w:t>
      </w:r>
      <w:r w:rsidR="00084E20">
        <w:rPr>
          <w:rFonts w:eastAsia="Times New Roman" w:cstheme="minorHAnsi"/>
          <w:lang w:eastAsia="en-GB"/>
        </w:rPr>
        <w:t>, yet the percentages observed at LLYR9a are far greater than observed by Simmond’s study</w:t>
      </w:r>
      <w:r w:rsidR="00A26F08">
        <w:rPr>
          <w:rFonts w:eastAsia="Times New Roman" w:cstheme="minorHAnsi"/>
          <w:lang w:eastAsia="en-GB"/>
        </w:rPr>
        <w:t xml:space="preserve"> (&lt;5% in pre-</w:t>
      </w:r>
      <w:proofErr w:type="spellStart"/>
      <w:r w:rsidR="00A26F08">
        <w:rPr>
          <w:rFonts w:eastAsia="Times New Roman" w:cstheme="minorHAnsi"/>
          <w:lang w:eastAsia="en-GB"/>
        </w:rPr>
        <w:t>holocene</w:t>
      </w:r>
      <w:proofErr w:type="spellEnd"/>
      <w:r w:rsidR="00A26F08">
        <w:rPr>
          <w:rFonts w:eastAsia="Times New Roman" w:cstheme="minorHAnsi"/>
          <w:lang w:eastAsia="en-GB"/>
        </w:rPr>
        <w:t xml:space="preserve"> sediments)</w:t>
      </w:r>
      <w:r w:rsidR="00084E20">
        <w:rPr>
          <w:rFonts w:eastAsia="Times New Roman" w:cstheme="minorHAnsi"/>
          <w:lang w:eastAsia="en-GB"/>
        </w:rPr>
        <w:t xml:space="preserve">, indicating greater survival of this taxa </w:t>
      </w:r>
      <w:r w:rsidR="00FD007D">
        <w:rPr>
          <w:rFonts w:eastAsia="Times New Roman" w:cstheme="minorHAnsi"/>
          <w:lang w:eastAsia="en-GB"/>
        </w:rPr>
        <w:t xml:space="preserve">somewhere in the </w:t>
      </w:r>
      <w:r w:rsidR="00FD007D">
        <w:rPr>
          <w:rFonts w:eastAsia="Times New Roman" w:cstheme="minorHAnsi"/>
          <w:lang w:eastAsia="en-GB"/>
        </w:rPr>
        <w:lastRenderedPageBreak/>
        <w:t>vicinity of the site</w:t>
      </w:r>
      <w:r w:rsidR="00084E20">
        <w:rPr>
          <w:rFonts w:eastAsia="Times New Roman" w:cstheme="minorHAnsi"/>
          <w:lang w:eastAsia="en-GB"/>
        </w:rPr>
        <w:t xml:space="preserve">.  </w:t>
      </w:r>
      <w:r w:rsidR="00FD007D">
        <w:rPr>
          <w:rFonts w:eastAsia="Times New Roman" w:cstheme="minorHAnsi"/>
          <w:lang w:eastAsia="en-GB"/>
        </w:rPr>
        <w:t xml:space="preserve">The plausible existence of such a refugium in Wales was suggested by </w:t>
      </w:r>
      <w:r w:rsidR="00CB7A64">
        <w:rPr>
          <w:rFonts w:eastAsia="Times New Roman" w:cstheme="minorHAnsi"/>
          <w:lang w:eastAsia="en-GB"/>
        </w:rPr>
        <w:t xml:space="preserve">Chambers and </w:t>
      </w:r>
      <w:r w:rsidR="00FD007D">
        <w:rPr>
          <w:rFonts w:eastAsia="Times New Roman" w:cstheme="minorHAnsi"/>
          <w:lang w:eastAsia="en-GB"/>
        </w:rPr>
        <w:t xml:space="preserve">Price (1985), indicating that it could be present more abundantly in a lower valley context.  Given the </w:t>
      </w:r>
      <w:proofErr w:type="gramStart"/>
      <w:r w:rsidR="00FD007D">
        <w:rPr>
          <w:rFonts w:eastAsia="Times New Roman" w:cstheme="minorHAnsi"/>
          <w:lang w:eastAsia="en-GB"/>
        </w:rPr>
        <w:t>extraordinary</w:t>
      </w:r>
      <w:proofErr w:type="gramEnd"/>
      <w:r w:rsidR="00FD007D">
        <w:rPr>
          <w:rFonts w:eastAsia="Times New Roman" w:cstheme="minorHAnsi"/>
          <w:lang w:eastAsia="en-GB"/>
        </w:rPr>
        <w:t xml:space="preserve"> high percentages of </w:t>
      </w:r>
      <w:r w:rsidR="00FD007D" w:rsidRPr="00F47780">
        <w:rPr>
          <w:rFonts w:eastAsia="Times New Roman" w:cstheme="minorHAnsi"/>
          <w:i/>
          <w:iCs/>
          <w:lang w:eastAsia="en-GB"/>
        </w:rPr>
        <w:t xml:space="preserve">Alnus </w:t>
      </w:r>
      <w:proofErr w:type="spellStart"/>
      <w:r w:rsidR="00A11BC4" w:rsidRPr="00F47780">
        <w:rPr>
          <w:rFonts w:eastAsia="Times New Roman" w:cstheme="minorHAnsi"/>
          <w:i/>
          <w:iCs/>
          <w:lang w:eastAsia="en-GB"/>
        </w:rPr>
        <w:t>glutinosa</w:t>
      </w:r>
      <w:proofErr w:type="spellEnd"/>
      <w:r w:rsidR="00A11BC4">
        <w:rPr>
          <w:rFonts w:eastAsia="Times New Roman" w:cstheme="minorHAnsi"/>
          <w:lang w:eastAsia="en-GB"/>
        </w:rPr>
        <w:t xml:space="preserve"> </w:t>
      </w:r>
      <w:r w:rsidR="00FD007D">
        <w:rPr>
          <w:rFonts w:eastAsia="Times New Roman" w:cstheme="minorHAnsi"/>
          <w:lang w:eastAsia="en-GB"/>
        </w:rPr>
        <w:t xml:space="preserve">observed in LLYR9a, the environmental conditions of the poorly drained valley floor of the Aeron Valley may well have provided such a setting for this refugium. </w:t>
      </w:r>
      <w:r w:rsidR="00A26F08">
        <w:rPr>
          <w:rFonts w:eastAsia="Times New Roman" w:cstheme="minorHAnsi"/>
          <w:lang w:eastAsia="en-GB"/>
        </w:rPr>
        <w:t xml:space="preserve">Pollen sampling sites in similar lowland contexts are extremely rare in Wales.  In light of the evidence from LLYR9a, it is possible that other valley context in west Wales might likewise show similar signs of Alder surviving in isolated areas.  </w:t>
      </w:r>
    </w:p>
    <w:p w14:paraId="608BC10E" w14:textId="1224EF13" w:rsidR="00FF2FDD" w:rsidRPr="004A4FE9" w:rsidRDefault="00E516E8" w:rsidP="00901239">
      <w:pPr>
        <w:jc w:val="both"/>
        <w:rPr>
          <w:i/>
          <w:iCs/>
        </w:rPr>
      </w:pPr>
      <w:r w:rsidRPr="004A4FE9">
        <w:rPr>
          <w:i/>
          <w:iCs/>
        </w:rPr>
        <w:t>Early Mesolithic</w:t>
      </w:r>
      <w:r w:rsidR="00FF2FDD" w:rsidRPr="004A4FE9">
        <w:rPr>
          <w:i/>
          <w:iCs/>
        </w:rPr>
        <w:t xml:space="preserve"> </w:t>
      </w:r>
      <w:r w:rsidR="001E2323" w:rsidRPr="004A4FE9">
        <w:rPr>
          <w:i/>
          <w:iCs/>
        </w:rPr>
        <w:t xml:space="preserve">- </w:t>
      </w:r>
      <w:r w:rsidR="00FF2FDD" w:rsidRPr="004A4FE9">
        <w:rPr>
          <w:i/>
          <w:iCs/>
        </w:rPr>
        <w:t>c.</w:t>
      </w:r>
      <w:r w:rsidR="001E2323" w:rsidRPr="004A4FE9">
        <w:rPr>
          <w:i/>
          <w:iCs/>
        </w:rPr>
        <w:t>11</w:t>
      </w:r>
      <w:r w:rsidR="004C08E0" w:rsidRPr="004A4FE9">
        <w:rPr>
          <w:i/>
          <w:iCs/>
        </w:rPr>
        <w:t>,</w:t>
      </w:r>
      <w:r w:rsidR="001E2323" w:rsidRPr="004A4FE9">
        <w:rPr>
          <w:i/>
          <w:iCs/>
        </w:rPr>
        <w:t>600-9</w:t>
      </w:r>
      <w:r w:rsidR="004C08E0" w:rsidRPr="004A4FE9">
        <w:rPr>
          <w:i/>
          <w:iCs/>
        </w:rPr>
        <w:t>,</w:t>
      </w:r>
      <w:r w:rsidR="001E2323" w:rsidRPr="004A4FE9">
        <w:rPr>
          <w:i/>
          <w:iCs/>
        </w:rPr>
        <w:t>450 BP (9</w:t>
      </w:r>
      <w:r w:rsidR="004C08E0" w:rsidRPr="004A4FE9">
        <w:rPr>
          <w:i/>
          <w:iCs/>
        </w:rPr>
        <w:t>,</w:t>
      </w:r>
      <w:r w:rsidR="001E2323" w:rsidRPr="004A4FE9">
        <w:rPr>
          <w:i/>
          <w:iCs/>
        </w:rPr>
        <w:t>760-7</w:t>
      </w:r>
      <w:r w:rsidR="004C08E0" w:rsidRPr="004A4FE9">
        <w:rPr>
          <w:i/>
          <w:iCs/>
        </w:rPr>
        <w:t>,</w:t>
      </w:r>
      <w:r w:rsidR="001E2323" w:rsidRPr="004A4FE9">
        <w:rPr>
          <w:i/>
          <w:iCs/>
        </w:rPr>
        <w:t>500 BC)</w:t>
      </w:r>
    </w:p>
    <w:p w14:paraId="21ECE6D5" w14:textId="2DF47230" w:rsidR="00FF2FDD" w:rsidRPr="004A4FE9" w:rsidRDefault="00E516E8" w:rsidP="00901239">
      <w:pPr>
        <w:jc w:val="both"/>
      </w:pPr>
      <w:r w:rsidRPr="004A4FE9">
        <w:t xml:space="preserve">Early Mesolithic or </w:t>
      </w:r>
      <w:r w:rsidR="00132F42" w:rsidRPr="004A4FE9">
        <w:t xml:space="preserve">Early </w:t>
      </w:r>
      <w:r w:rsidRPr="004A4FE9">
        <w:t>H</w:t>
      </w:r>
      <w:r w:rsidR="00132F42" w:rsidRPr="004A4FE9">
        <w:t xml:space="preserve">olocene deposits are present within LLYR14 and </w:t>
      </w:r>
      <w:proofErr w:type="gramStart"/>
      <w:r w:rsidR="00132F42" w:rsidRPr="004A4FE9">
        <w:t>LLYR9a, but</w:t>
      </w:r>
      <w:proofErr w:type="gramEnd"/>
      <w:r w:rsidR="00132F42" w:rsidRPr="004A4FE9">
        <w:t xml:space="preserve"> are better represented by the peat deposit in LLYR9a</w:t>
      </w:r>
      <w:r w:rsidR="00C4347B" w:rsidRPr="004A4FE9">
        <w:t xml:space="preserve"> with a peat deposit that is 46.5cm thick, as opposed to the thin band of peat in LLYR14 that is only 1.5cm thick.  It is possible that this peat deposit </w:t>
      </w:r>
      <w:r w:rsidR="00260D18" w:rsidRPr="004A4FE9">
        <w:t xml:space="preserve">once </w:t>
      </w:r>
      <w:r w:rsidR="00C4347B" w:rsidRPr="004A4FE9">
        <w:t xml:space="preserve">survived more extensively across the local </w:t>
      </w:r>
      <w:proofErr w:type="gramStart"/>
      <w:r w:rsidR="00C4347B" w:rsidRPr="004A4FE9">
        <w:t>area, but</w:t>
      </w:r>
      <w:proofErr w:type="gramEnd"/>
      <w:r w:rsidR="00C4347B" w:rsidRPr="004A4FE9">
        <w:t xml:space="preserve"> has been truncated by later alluvial activity (discussed in more detail below).  The palynological assemblage of both peat deposits in LLYR14 and LLYR9a are broadly similar to one another in terms of their AP/NAP ratios and relative assemblage of pollen taxa, but the record for LLYR9a is far more detailed than LLYR14.  </w:t>
      </w:r>
    </w:p>
    <w:p w14:paraId="151912FA" w14:textId="1E8358C9" w:rsidR="00BB0820" w:rsidRDefault="002A1F45" w:rsidP="00901239">
      <w:pPr>
        <w:jc w:val="both"/>
      </w:pPr>
      <w:r w:rsidRPr="004A4FE9">
        <w:t xml:space="preserve">The sequences from Both LLYR9a and LLYR14 show higher woodland percentages in comparison with earlier deposits, representing warming climate conditions stimulating woodland colonisation at the start of the Holocene.  </w:t>
      </w:r>
      <w:r w:rsidR="008532FF" w:rsidRPr="004A4FE9">
        <w:t xml:space="preserve">However, local conditions still appear to be relatively open (especially in comparison with contemporary sequences observed elsewhere in Britain) with evidence of open grassland, </w:t>
      </w:r>
      <w:proofErr w:type="gramStart"/>
      <w:r w:rsidR="008532FF" w:rsidRPr="004A4FE9">
        <w:t>wetland</w:t>
      </w:r>
      <w:proofErr w:type="gramEnd"/>
      <w:r w:rsidR="008532FF" w:rsidRPr="004A4FE9">
        <w:t xml:space="preserve"> and a surprisingly high number of anthropogenic indicators </w:t>
      </w:r>
      <w:r w:rsidR="008532FF" w:rsidRPr="004A4FE9">
        <w:rPr>
          <w:rFonts w:eastAsia="Times New Roman" w:cstheme="minorHAnsi"/>
          <w:lang w:eastAsia="en-GB"/>
        </w:rPr>
        <w:t>(</w:t>
      </w:r>
      <w:r w:rsidR="008532FF" w:rsidRPr="004A4FE9">
        <w:rPr>
          <w:rFonts w:eastAsia="Times New Roman" w:cstheme="minorHAnsi"/>
          <w:i/>
          <w:iCs/>
          <w:lang w:eastAsia="en-GB"/>
        </w:rPr>
        <w:t>Achillea</w:t>
      </w:r>
      <w:r w:rsidR="008532FF" w:rsidRPr="004A4FE9">
        <w:rPr>
          <w:rFonts w:eastAsia="Times New Roman" w:cstheme="minorHAnsi"/>
          <w:lang w:eastAsia="en-GB"/>
        </w:rPr>
        <w:t xml:space="preserve">-type, Caryophyllaceae, Cereal-type, Chenopodiaceae, </w:t>
      </w:r>
      <w:r w:rsidR="008532FF" w:rsidRPr="004A4FE9">
        <w:rPr>
          <w:rFonts w:eastAsia="Times New Roman" w:cstheme="minorHAnsi"/>
          <w:i/>
          <w:iCs/>
          <w:lang w:eastAsia="en-GB"/>
        </w:rPr>
        <w:t xml:space="preserve">Plantago major, Plantago lanceolata, Rumex </w:t>
      </w:r>
      <w:proofErr w:type="spellStart"/>
      <w:r w:rsidR="008532FF" w:rsidRPr="004A4FE9">
        <w:rPr>
          <w:rFonts w:eastAsia="Times New Roman" w:cstheme="minorHAnsi"/>
          <w:i/>
          <w:iCs/>
          <w:lang w:eastAsia="en-GB"/>
        </w:rPr>
        <w:t>acetosa</w:t>
      </w:r>
      <w:proofErr w:type="spellEnd"/>
      <w:r w:rsidR="008532FF" w:rsidRPr="004A4FE9">
        <w:rPr>
          <w:rFonts w:eastAsia="Times New Roman" w:cstheme="minorHAnsi"/>
          <w:i/>
          <w:iCs/>
          <w:lang w:eastAsia="en-GB"/>
        </w:rPr>
        <w:t>,</w:t>
      </w:r>
      <w:r w:rsidR="008532FF" w:rsidRPr="004A4FE9">
        <w:rPr>
          <w:rFonts w:eastAsia="Times New Roman" w:cstheme="minorHAnsi"/>
          <w:lang w:eastAsia="en-GB"/>
        </w:rPr>
        <w:t xml:space="preserve"> high microcharcoal concentrations)</w:t>
      </w:r>
      <w:r w:rsidR="008532FF" w:rsidRPr="004A4FE9">
        <w:t xml:space="preserve">.  </w:t>
      </w:r>
      <w:r w:rsidR="008532FF" w:rsidRPr="004A4FE9">
        <w:rPr>
          <w:rFonts w:eastAsia="Times New Roman" w:cstheme="minorHAnsi"/>
          <w:lang w:eastAsia="en-GB"/>
        </w:rPr>
        <w:t xml:space="preserve">The occurrence of </w:t>
      </w:r>
      <w:r w:rsidR="00D56AD5" w:rsidRPr="004A4FE9">
        <w:rPr>
          <w:rFonts w:eastAsia="Times New Roman" w:cstheme="minorHAnsi"/>
          <w:lang w:eastAsia="en-GB"/>
        </w:rPr>
        <w:t>Cereal-type</w:t>
      </w:r>
      <w:r w:rsidR="008532FF" w:rsidRPr="004A4FE9">
        <w:rPr>
          <w:rFonts w:eastAsia="Times New Roman" w:cstheme="minorHAnsi"/>
          <w:lang w:eastAsia="en-GB"/>
        </w:rPr>
        <w:t xml:space="preserve"> pollen is likely reflective of wild variants of grass pollen within the size range of cereal pollen (</w:t>
      </w:r>
      <w:proofErr w:type="gramStart"/>
      <w:r w:rsidR="008532FF" w:rsidRPr="004A4FE9">
        <w:rPr>
          <w:rFonts w:eastAsia="Times New Roman" w:cstheme="minorHAnsi"/>
          <w:lang w:eastAsia="en-GB"/>
        </w:rPr>
        <w:t>e.g.</w:t>
      </w:r>
      <w:proofErr w:type="gramEnd"/>
      <w:r w:rsidR="008532FF" w:rsidRPr="004A4FE9">
        <w:rPr>
          <w:rFonts w:eastAsia="Times New Roman" w:cstheme="minorHAnsi"/>
          <w:lang w:eastAsia="en-GB"/>
        </w:rPr>
        <w:t xml:space="preserve"> </w:t>
      </w:r>
      <w:proofErr w:type="spellStart"/>
      <w:r w:rsidR="008532FF" w:rsidRPr="00F47780">
        <w:rPr>
          <w:rFonts w:eastAsia="Times New Roman" w:cstheme="minorHAnsi"/>
          <w:i/>
          <w:iCs/>
          <w:lang w:eastAsia="en-GB"/>
        </w:rPr>
        <w:t>Glyceria</w:t>
      </w:r>
      <w:proofErr w:type="spellEnd"/>
      <w:r w:rsidR="008532FF" w:rsidRPr="004A4FE9">
        <w:rPr>
          <w:rFonts w:eastAsia="Times New Roman" w:cstheme="minorHAnsi"/>
          <w:lang w:eastAsia="en-GB"/>
        </w:rPr>
        <w:t xml:space="preserve"> – cf. Andersen 1979), whilst other arable and pastoral indicators may reflect grazing by wild animals and human disturbance rather than agricultural practices.  </w:t>
      </w:r>
      <w:r w:rsidRPr="004A4FE9">
        <w:t xml:space="preserve">An increase in aquatic taxa is also observed that likely reflects the development of aquatic vegetation communities in shallow areas of open water near the sampling site.  The presence of open water may explain the </w:t>
      </w:r>
      <w:r w:rsidR="008532FF" w:rsidRPr="004A4FE9">
        <w:t xml:space="preserve">aforementioned </w:t>
      </w:r>
      <w:r w:rsidRPr="004A4FE9">
        <w:t xml:space="preserve">presence of grazing and disturbance indicators in the pollen assemblage of both cores.  </w:t>
      </w:r>
      <w:r w:rsidR="008532FF" w:rsidRPr="004A4FE9">
        <w:t>Such a habitat would naturally be very attractive to wildlife, which in would turn attract humans to exploit the natural resources of the area (</w:t>
      </w:r>
      <w:proofErr w:type="gramStart"/>
      <w:r w:rsidR="008532FF" w:rsidRPr="004A4FE9">
        <w:t>e.g.</w:t>
      </w:r>
      <w:proofErr w:type="gramEnd"/>
      <w:r w:rsidR="008532FF" w:rsidRPr="004A4FE9">
        <w:t xml:space="preserve"> hunting, fishing, gathering) or possibly even seasonal occupation.  </w:t>
      </w:r>
      <w:r w:rsidR="00220C85">
        <w:t xml:space="preserve">Higher magnetic susceptibility values were also observed within this lower part of the LLYR9a peat.  Combined with the high aquatic pollen, one might suggest that </w:t>
      </w:r>
      <w:r w:rsidR="00BB0820">
        <w:t xml:space="preserve">this is evidence for an influx of magnetically enhanced minerals from flooding events.  However, if this was the case, one might expect LOI values to be lower in comparison with sections of the peat with lower magnetic susceptibility values and aquatic pollen percentages.  An alternative possibility is that the high magnetic susceptibility values in the lower part of the peat relates to magnetically enhanced material reaching the bog that have been burnt, which would in fact be consistent with the high microcharcoal concentrations observed in the pollen record at this time.  </w:t>
      </w:r>
    </w:p>
    <w:p w14:paraId="36BF58EE" w14:textId="1CBBB7BB" w:rsidR="00F35835" w:rsidRPr="004A4FE9" w:rsidRDefault="0089219C" w:rsidP="001501A7">
      <w:pPr>
        <w:jc w:val="both"/>
        <w:rPr>
          <w:rFonts w:eastAsia="Times New Roman" w:cstheme="minorHAnsi"/>
          <w:lang w:eastAsia="en-GB"/>
        </w:rPr>
      </w:pPr>
      <w:r>
        <w:t xml:space="preserve">Similar contemporary open conditions to those seen at LLYR9a have been observed at </w:t>
      </w:r>
      <w:proofErr w:type="spellStart"/>
      <w:r>
        <w:t>Clarach</w:t>
      </w:r>
      <w:proofErr w:type="spellEnd"/>
      <w:r>
        <w:t xml:space="preserve"> Bog in Ceredigion (Heyworth et al 1985), but no similar evidence for human disturbance was found within that pollen record.  </w:t>
      </w:r>
      <w:r w:rsidR="0020146B">
        <w:t xml:space="preserve">Very low levels of disturbance indicators were identified at Cors </w:t>
      </w:r>
      <w:proofErr w:type="spellStart"/>
      <w:r w:rsidR="00C208C6">
        <w:t>Tregaron</w:t>
      </w:r>
      <w:proofErr w:type="spellEnd"/>
      <w:r w:rsidR="0020146B">
        <w:t xml:space="preserve"> within this timeframe </w:t>
      </w:r>
      <w:r w:rsidR="00AD59EF">
        <w:t>(</w:t>
      </w:r>
      <w:proofErr w:type="gramStart"/>
      <w:r w:rsidR="00AD59EF">
        <w:t>e.g</w:t>
      </w:r>
      <w:r w:rsidR="006920DE">
        <w:t>.</w:t>
      </w:r>
      <w:proofErr w:type="gramEnd"/>
      <w:r w:rsidR="00AD59EF">
        <w:t xml:space="preserve"> rare grains of </w:t>
      </w:r>
      <w:proofErr w:type="spellStart"/>
      <w:r w:rsidR="00AD59EF">
        <w:t>Apiaceae</w:t>
      </w:r>
      <w:proofErr w:type="spellEnd"/>
      <w:r w:rsidR="00AD59EF">
        <w:t xml:space="preserve">, Chenopodiaceae and ‘Ranunculaceae’ (sic) at Cors </w:t>
      </w:r>
      <w:proofErr w:type="spellStart"/>
      <w:r w:rsidR="00C208C6">
        <w:t>Tregaron</w:t>
      </w:r>
      <w:proofErr w:type="spellEnd"/>
      <w:r w:rsidR="00AD59EF">
        <w:t xml:space="preserve"> – </w:t>
      </w:r>
      <w:bookmarkStart w:id="9" w:name="_Hlk146566384"/>
      <w:r w:rsidR="00AD59EF">
        <w:t xml:space="preserve">Hibert and </w:t>
      </w:r>
      <w:proofErr w:type="spellStart"/>
      <w:r w:rsidR="00AD59EF">
        <w:t>Switsur</w:t>
      </w:r>
      <w:proofErr w:type="spellEnd"/>
      <w:r w:rsidR="00AD59EF">
        <w:t xml:space="preserve"> 1976</w:t>
      </w:r>
      <w:bookmarkEnd w:id="9"/>
      <w:r w:rsidR="00AD59EF">
        <w:t>)</w:t>
      </w:r>
      <w:r w:rsidR="0041020B">
        <w:t xml:space="preserve">, but not beyond what might be expected to occur naturally within any given profile.  The evidence from LLYR9a may therefore represent the earliest evidence for human activity within Ceredigion (Bates pers. comm.).  </w:t>
      </w:r>
      <w:r w:rsidR="00A51887" w:rsidRPr="004A4FE9">
        <w:t>At c.11</w:t>
      </w:r>
      <w:r w:rsidR="004C08E0" w:rsidRPr="004A4FE9">
        <w:t>,</w:t>
      </w:r>
      <w:r w:rsidR="00A51887" w:rsidRPr="004A4FE9">
        <w:t>135 BP (c.9</w:t>
      </w:r>
      <w:r w:rsidR="004C08E0" w:rsidRPr="004A4FE9">
        <w:t>,</w:t>
      </w:r>
      <w:r w:rsidR="00A51887" w:rsidRPr="004A4FE9">
        <w:t xml:space="preserve">185 BC) an increase in woodland taxa is observed </w:t>
      </w:r>
      <w:r w:rsidR="004C08E0" w:rsidRPr="004A4FE9">
        <w:t xml:space="preserve">consisting of an initial rise in </w:t>
      </w:r>
      <w:r w:rsidR="004C08E0" w:rsidRPr="00F47780">
        <w:rPr>
          <w:i/>
          <w:iCs/>
        </w:rPr>
        <w:t>Betula</w:t>
      </w:r>
      <w:r w:rsidR="004C08E0" w:rsidRPr="004A4FE9">
        <w:t xml:space="preserve"> and </w:t>
      </w:r>
      <w:r w:rsidR="004C08E0" w:rsidRPr="00F47780">
        <w:rPr>
          <w:i/>
          <w:iCs/>
        </w:rPr>
        <w:t xml:space="preserve">Alnus </w:t>
      </w:r>
      <w:proofErr w:type="spellStart"/>
      <w:r w:rsidR="00A11BC4" w:rsidRPr="00F47780">
        <w:rPr>
          <w:i/>
          <w:iCs/>
        </w:rPr>
        <w:t>glutinosa</w:t>
      </w:r>
      <w:proofErr w:type="spellEnd"/>
      <w:r w:rsidR="004C08E0" w:rsidRPr="004A4FE9">
        <w:t xml:space="preserve">, followed by increased Corylus percentages.  With the exception of the high </w:t>
      </w:r>
      <w:r w:rsidR="004C08E0" w:rsidRPr="00F47780">
        <w:rPr>
          <w:i/>
          <w:iCs/>
        </w:rPr>
        <w:t xml:space="preserve">Alnus </w:t>
      </w:r>
      <w:proofErr w:type="spellStart"/>
      <w:r w:rsidR="00A11BC4" w:rsidRPr="00F47780">
        <w:rPr>
          <w:i/>
          <w:iCs/>
        </w:rPr>
        <w:t>glutinosa</w:t>
      </w:r>
      <w:proofErr w:type="spellEnd"/>
      <w:r w:rsidR="00A11BC4" w:rsidRPr="004A4FE9">
        <w:t xml:space="preserve"> </w:t>
      </w:r>
      <w:r w:rsidR="004C08E0" w:rsidRPr="004A4FE9">
        <w:t xml:space="preserve">percentages, these changes in woodland </w:t>
      </w:r>
      <w:r w:rsidR="004C08E0" w:rsidRPr="004A4FE9">
        <w:lastRenderedPageBreak/>
        <w:t xml:space="preserve">taxa are typical of changes observed elsewhere in the early Holocene </w:t>
      </w:r>
      <w:r w:rsidR="00A51887" w:rsidRPr="004A4FE9">
        <w:rPr>
          <w:rFonts w:eastAsia="Times New Roman" w:cstheme="minorHAnsi"/>
          <w:lang w:eastAsia="en-GB"/>
        </w:rPr>
        <w:t>with successive phases of woodland colonisation</w:t>
      </w:r>
      <w:r w:rsidR="004C08E0" w:rsidRPr="004A4FE9">
        <w:rPr>
          <w:rFonts w:eastAsia="Times New Roman" w:cstheme="minorHAnsi"/>
          <w:lang w:eastAsia="en-GB"/>
        </w:rPr>
        <w:t>.  Immediately prior to these changes in woodland levels</w:t>
      </w:r>
      <w:r w:rsidR="00A51887" w:rsidRPr="004A4FE9">
        <w:rPr>
          <w:rFonts w:eastAsia="Times New Roman" w:cstheme="minorHAnsi"/>
          <w:lang w:eastAsia="en-GB"/>
        </w:rPr>
        <w:t>,</w:t>
      </w:r>
      <w:r w:rsidR="004C08E0" w:rsidRPr="004A4FE9">
        <w:rPr>
          <w:rFonts w:eastAsia="Times New Roman" w:cstheme="minorHAnsi"/>
          <w:lang w:eastAsia="en-GB"/>
        </w:rPr>
        <w:t xml:space="preserve"> a substantial decrease in the percentage of aquatic pollen is observed, possibly related to reduced water levels in the areas of open water that may have been relatively abundant in earlier phases.  The increased woodland percentages may, therefore, represent the </w:t>
      </w:r>
      <w:r w:rsidR="00A51887" w:rsidRPr="004A4FE9">
        <w:rPr>
          <w:rFonts w:eastAsia="Times New Roman" w:cstheme="minorHAnsi"/>
          <w:lang w:eastAsia="en-GB"/>
        </w:rPr>
        <w:t>colonis</w:t>
      </w:r>
      <w:r w:rsidR="004C08E0" w:rsidRPr="004A4FE9">
        <w:rPr>
          <w:rFonts w:eastAsia="Times New Roman" w:cstheme="minorHAnsi"/>
          <w:lang w:eastAsia="en-GB"/>
        </w:rPr>
        <w:t xml:space="preserve">ation of woodland on </w:t>
      </w:r>
      <w:r w:rsidR="00A51887" w:rsidRPr="004A4FE9">
        <w:rPr>
          <w:rFonts w:eastAsia="Times New Roman" w:cstheme="minorHAnsi"/>
          <w:lang w:eastAsia="en-GB"/>
        </w:rPr>
        <w:t xml:space="preserve">areas </w:t>
      </w:r>
      <w:r w:rsidR="004C08E0" w:rsidRPr="004A4FE9">
        <w:rPr>
          <w:rFonts w:eastAsia="Times New Roman" w:cstheme="minorHAnsi"/>
          <w:lang w:eastAsia="en-GB"/>
        </w:rPr>
        <w:t xml:space="preserve">that were </w:t>
      </w:r>
      <w:r w:rsidR="00A51887" w:rsidRPr="004A4FE9">
        <w:rPr>
          <w:rFonts w:eastAsia="Times New Roman" w:cstheme="minorHAnsi"/>
          <w:lang w:eastAsia="en-GB"/>
        </w:rPr>
        <w:t xml:space="preserve">previously </w:t>
      </w:r>
      <w:r w:rsidR="004C08E0" w:rsidRPr="004A4FE9">
        <w:rPr>
          <w:rFonts w:eastAsia="Times New Roman" w:cstheme="minorHAnsi"/>
          <w:lang w:eastAsia="en-GB"/>
        </w:rPr>
        <w:t xml:space="preserve">substantially </w:t>
      </w:r>
      <w:r w:rsidR="00A51887" w:rsidRPr="004A4FE9">
        <w:rPr>
          <w:rFonts w:eastAsia="Times New Roman" w:cstheme="minorHAnsi"/>
          <w:lang w:eastAsia="en-GB"/>
        </w:rPr>
        <w:t>wetter</w:t>
      </w:r>
      <w:r w:rsidR="004C08E0" w:rsidRPr="004A4FE9">
        <w:rPr>
          <w:rFonts w:eastAsia="Times New Roman" w:cstheme="minorHAnsi"/>
          <w:lang w:eastAsia="en-GB"/>
        </w:rPr>
        <w:t xml:space="preserve"> or even </w:t>
      </w:r>
      <w:r w:rsidR="00A51887" w:rsidRPr="004A4FE9">
        <w:rPr>
          <w:rFonts w:eastAsia="Times New Roman" w:cstheme="minorHAnsi"/>
          <w:lang w:eastAsia="en-GB"/>
        </w:rPr>
        <w:t xml:space="preserve">under water.  </w:t>
      </w:r>
      <w:r w:rsidR="004C08E0" w:rsidRPr="004A4FE9">
        <w:rPr>
          <w:rFonts w:eastAsia="Times New Roman" w:cstheme="minorHAnsi"/>
          <w:lang w:eastAsia="en-GB"/>
        </w:rPr>
        <w:t xml:space="preserve">A contemporary </w:t>
      </w:r>
      <w:r w:rsidR="00A51887" w:rsidRPr="004A4FE9">
        <w:rPr>
          <w:rFonts w:eastAsia="Times New Roman" w:cstheme="minorHAnsi"/>
          <w:lang w:eastAsia="en-GB"/>
        </w:rPr>
        <w:t>reduction in grazing</w:t>
      </w:r>
      <w:r w:rsidR="004C08E0" w:rsidRPr="004A4FE9">
        <w:rPr>
          <w:rFonts w:eastAsia="Times New Roman" w:cstheme="minorHAnsi"/>
          <w:lang w:eastAsia="en-GB"/>
        </w:rPr>
        <w:t xml:space="preserve"> and </w:t>
      </w:r>
      <w:r w:rsidR="00A51887" w:rsidRPr="004A4FE9">
        <w:rPr>
          <w:rFonts w:eastAsia="Times New Roman" w:cstheme="minorHAnsi"/>
          <w:lang w:eastAsia="en-GB"/>
        </w:rPr>
        <w:t xml:space="preserve">disturbance indicators could also reflect a shift in animal grazing and human activities, </w:t>
      </w:r>
      <w:r w:rsidR="004C08E0" w:rsidRPr="004A4FE9">
        <w:rPr>
          <w:rFonts w:eastAsia="Times New Roman" w:cstheme="minorHAnsi"/>
          <w:lang w:eastAsia="en-GB"/>
        </w:rPr>
        <w:t xml:space="preserve">that may have been focussed on the margins of areas of open water.  </w:t>
      </w:r>
      <w:r w:rsidR="00F35835" w:rsidRPr="004A4FE9">
        <w:rPr>
          <w:rFonts w:eastAsia="Times New Roman" w:cstheme="minorHAnsi"/>
          <w:lang w:eastAsia="en-GB"/>
        </w:rPr>
        <w:t xml:space="preserve"> At around 10</w:t>
      </w:r>
      <w:r w:rsidR="00A11BC4">
        <w:rPr>
          <w:rFonts w:eastAsia="Times New Roman" w:cstheme="minorHAnsi"/>
          <w:lang w:eastAsia="en-GB"/>
        </w:rPr>
        <w:t>,</w:t>
      </w:r>
      <w:r w:rsidR="00F35835" w:rsidRPr="004A4FE9">
        <w:rPr>
          <w:rFonts w:eastAsia="Times New Roman" w:cstheme="minorHAnsi"/>
          <w:lang w:eastAsia="en-GB"/>
        </w:rPr>
        <w:t>540 BP (8</w:t>
      </w:r>
      <w:r w:rsidR="00A11BC4">
        <w:rPr>
          <w:rFonts w:eastAsia="Times New Roman" w:cstheme="minorHAnsi"/>
          <w:lang w:eastAsia="en-GB"/>
        </w:rPr>
        <w:t>,</w:t>
      </w:r>
      <w:r w:rsidR="00F35835" w:rsidRPr="004A4FE9">
        <w:rPr>
          <w:rFonts w:eastAsia="Times New Roman" w:cstheme="minorHAnsi"/>
          <w:lang w:eastAsia="en-GB"/>
        </w:rPr>
        <w:t xml:space="preserve">590BC), aquatic pollen </w:t>
      </w:r>
      <w:proofErr w:type="gramStart"/>
      <w:r w:rsidR="00F35835" w:rsidRPr="004A4FE9">
        <w:rPr>
          <w:rFonts w:eastAsia="Times New Roman" w:cstheme="minorHAnsi"/>
          <w:lang w:eastAsia="en-GB"/>
        </w:rPr>
        <w:t>disappear</w:t>
      </w:r>
      <w:proofErr w:type="gramEnd"/>
      <w:r w:rsidR="00F35835" w:rsidRPr="004A4FE9">
        <w:rPr>
          <w:rFonts w:eastAsia="Times New Roman" w:cstheme="minorHAnsi"/>
          <w:lang w:eastAsia="en-GB"/>
        </w:rPr>
        <w:t xml:space="preserve"> completely from the pollen record of LLYR9a, indicating the possible disappearance or substantial reduction of areas of open water in the pollen catchment area of the site.  </w:t>
      </w:r>
      <w:r w:rsidR="001501A7" w:rsidRPr="004A4FE9">
        <w:rPr>
          <w:rFonts w:eastAsia="Times New Roman" w:cstheme="minorHAnsi"/>
          <w:lang w:eastAsia="en-GB"/>
        </w:rPr>
        <w:t xml:space="preserve">A contemporary increase in </w:t>
      </w:r>
      <w:proofErr w:type="spellStart"/>
      <w:r w:rsidR="001501A7" w:rsidRPr="004A4FE9">
        <w:rPr>
          <w:rFonts w:eastAsia="Times New Roman" w:cstheme="minorHAnsi"/>
          <w:lang w:eastAsia="en-GB"/>
        </w:rPr>
        <w:t>Cyperaceae</w:t>
      </w:r>
      <w:proofErr w:type="spellEnd"/>
      <w:r w:rsidR="001501A7" w:rsidRPr="004A4FE9">
        <w:rPr>
          <w:rFonts w:eastAsia="Times New Roman" w:cstheme="minorHAnsi"/>
          <w:lang w:eastAsia="en-GB"/>
        </w:rPr>
        <w:t xml:space="preserve"> pollen may in turn represent wetland habitats colonising former areas of open woodland.  It is also possible that the reduction in other taxa noted at this time (</w:t>
      </w:r>
      <w:proofErr w:type="gramStart"/>
      <w:r w:rsidR="001501A7" w:rsidRPr="004A4FE9">
        <w:rPr>
          <w:rFonts w:eastAsia="Times New Roman" w:cstheme="minorHAnsi"/>
          <w:lang w:eastAsia="en-GB"/>
        </w:rPr>
        <w:t>e.g.</w:t>
      </w:r>
      <w:proofErr w:type="gramEnd"/>
      <w:r w:rsidR="001501A7" w:rsidRPr="004A4FE9">
        <w:rPr>
          <w:rFonts w:eastAsia="Times New Roman" w:cstheme="minorHAnsi"/>
          <w:lang w:eastAsia="en-GB"/>
        </w:rPr>
        <w:t xml:space="preserve"> </w:t>
      </w:r>
      <w:r w:rsidR="001501A7" w:rsidRPr="00F47780">
        <w:rPr>
          <w:rFonts w:eastAsia="Times New Roman" w:cstheme="minorHAnsi"/>
          <w:i/>
          <w:iCs/>
          <w:lang w:eastAsia="en-GB"/>
        </w:rPr>
        <w:t>Betula, Corylus</w:t>
      </w:r>
      <w:r w:rsidR="00A11BC4">
        <w:rPr>
          <w:rFonts w:eastAsia="Times New Roman" w:cstheme="minorHAnsi"/>
          <w:lang w:eastAsia="en-GB"/>
        </w:rPr>
        <w:t xml:space="preserve"> </w:t>
      </w:r>
      <w:r w:rsidR="00A11BC4" w:rsidRPr="005456ED">
        <w:rPr>
          <w:rFonts w:eastAsia="Times New Roman" w:cstheme="minorHAnsi"/>
          <w:i/>
          <w:iCs/>
          <w:lang w:eastAsia="en-GB"/>
        </w:rPr>
        <w:t>avellana-</w:t>
      </w:r>
      <w:r w:rsidR="00A11BC4" w:rsidRPr="00A11BC4">
        <w:rPr>
          <w:rFonts w:eastAsia="Times New Roman" w:cstheme="minorHAnsi"/>
          <w:lang w:eastAsia="en-GB"/>
        </w:rPr>
        <w:t xml:space="preserve"> </w:t>
      </w:r>
      <w:r w:rsidR="00A11BC4">
        <w:rPr>
          <w:rFonts w:eastAsia="Times New Roman" w:cstheme="minorHAnsi"/>
          <w:lang w:eastAsia="en-GB"/>
        </w:rPr>
        <w:t>type</w:t>
      </w:r>
      <w:r w:rsidR="001501A7" w:rsidRPr="004A4FE9">
        <w:rPr>
          <w:rFonts w:eastAsia="Times New Roman" w:cstheme="minorHAnsi"/>
          <w:lang w:eastAsia="en-GB"/>
        </w:rPr>
        <w:t xml:space="preserve">) may not reflect a reduction in habitats containing those plants, but a larger influx of pollen in areas newly available to grow terrestrial plants.  However, </w:t>
      </w:r>
      <w:r w:rsidR="00F35835" w:rsidRPr="004A4FE9">
        <w:rPr>
          <w:rFonts w:eastAsia="Times New Roman" w:cstheme="minorHAnsi"/>
          <w:lang w:eastAsia="en-GB"/>
        </w:rPr>
        <w:t>this scenario should theoretically also result in increased pollen concentrations, which does not occur</w:t>
      </w:r>
      <w:r w:rsidR="001501A7" w:rsidRPr="004A4FE9">
        <w:rPr>
          <w:rFonts w:eastAsia="Times New Roman" w:cstheme="minorHAnsi"/>
          <w:lang w:eastAsia="en-GB"/>
        </w:rPr>
        <w:t xml:space="preserve"> in the pollen record</w:t>
      </w:r>
      <w:r w:rsidR="00F35835" w:rsidRPr="004A4FE9">
        <w:rPr>
          <w:rFonts w:eastAsia="Times New Roman" w:cstheme="minorHAnsi"/>
          <w:lang w:eastAsia="en-GB"/>
        </w:rPr>
        <w:t xml:space="preserve">.  Therefore, this </w:t>
      </w:r>
      <w:r w:rsidR="001501A7" w:rsidRPr="004A4FE9">
        <w:rPr>
          <w:rFonts w:eastAsia="Times New Roman" w:cstheme="minorHAnsi"/>
          <w:lang w:eastAsia="en-GB"/>
        </w:rPr>
        <w:t xml:space="preserve">may </w:t>
      </w:r>
      <w:r w:rsidR="00F35835" w:rsidRPr="004A4FE9">
        <w:rPr>
          <w:rFonts w:eastAsia="Times New Roman" w:cstheme="minorHAnsi"/>
          <w:lang w:eastAsia="en-GB"/>
        </w:rPr>
        <w:t>impl</w:t>
      </w:r>
      <w:r w:rsidR="001501A7" w:rsidRPr="004A4FE9">
        <w:rPr>
          <w:rFonts w:eastAsia="Times New Roman" w:cstheme="minorHAnsi"/>
          <w:lang w:eastAsia="en-GB"/>
        </w:rPr>
        <w:t>y</w:t>
      </w:r>
      <w:r w:rsidR="00F35835" w:rsidRPr="004A4FE9">
        <w:rPr>
          <w:rFonts w:eastAsia="Times New Roman" w:cstheme="minorHAnsi"/>
          <w:lang w:eastAsia="en-GB"/>
        </w:rPr>
        <w:t xml:space="preserve"> that the </w:t>
      </w:r>
      <w:proofErr w:type="spellStart"/>
      <w:r w:rsidR="00F35835" w:rsidRPr="004A4FE9">
        <w:rPr>
          <w:rFonts w:eastAsia="Times New Roman" w:cstheme="minorHAnsi"/>
          <w:lang w:eastAsia="en-GB"/>
        </w:rPr>
        <w:t>Cyperaceae</w:t>
      </w:r>
      <w:proofErr w:type="spellEnd"/>
      <w:r w:rsidR="00F35835" w:rsidRPr="004A4FE9">
        <w:rPr>
          <w:rFonts w:eastAsia="Times New Roman" w:cstheme="minorHAnsi"/>
          <w:lang w:eastAsia="en-GB"/>
        </w:rPr>
        <w:t xml:space="preserve"> increase also reflects the replacement of at least some woodland habitats.  </w:t>
      </w:r>
      <w:r w:rsidR="001501A7" w:rsidRPr="004A4FE9">
        <w:rPr>
          <w:rFonts w:eastAsia="Times New Roman" w:cstheme="minorHAnsi"/>
          <w:lang w:eastAsia="en-GB"/>
        </w:rPr>
        <w:t xml:space="preserve">The loss of areas of open water may also </w:t>
      </w:r>
      <w:r w:rsidR="00F35835" w:rsidRPr="004A4FE9">
        <w:rPr>
          <w:rFonts w:eastAsia="Times New Roman" w:cstheme="minorHAnsi"/>
          <w:lang w:eastAsia="en-GB"/>
        </w:rPr>
        <w:t xml:space="preserve">be responsible for the reduction of some disturbance/grazing indicators (Chenopodiaceae, </w:t>
      </w:r>
      <w:r w:rsidR="00F35835" w:rsidRPr="00F47780">
        <w:rPr>
          <w:rFonts w:eastAsia="Times New Roman" w:cstheme="minorHAnsi"/>
          <w:i/>
          <w:iCs/>
          <w:lang w:eastAsia="en-GB"/>
        </w:rPr>
        <w:t xml:space="preserve">Rumex </w:t>
      </w:r>
      <w:proofErr w:type="spellStart"/>
      <w:r w:rsidR="00F35835" w:rsidRPr="00F47780">
        <w:rPr>
          <w:rFonts w:eastAsia="Times New Roman" w:cstheme="minorHAnsi"/>
          <w:i/>
          <w:iCs/>
          <w:lang w:eastAsia="en-GB"/>
        </w:rPr>
        <w:t>acetosa</w:t>
      </w:r>
      <w:proofErr w:type="spellEnd"/>
      <w:r w:rsidR="00F35835" w:rsidRPr="004A4FE9">
        <w:rPr>
          <w:rFonts w:eastAsia="Times New Roman" w:cstheme="minorHAnsi"/>
          <w:lang w:eastAsia="en-GB"/>
        </w:rPr>
        <w:t>, and microcharcoal concentrations), whereby the loss of the open water reduced the attractiveness of the area for wild animals and subsequently a reduction (but not cessation) in the intensity of human activity.</w:t>
      </w:r>
      <w:r w:rsidR="00600890" w:rsidRPr="004A4FE9">
        <w:rPr>
          <w:rFonts w:eastAsia="Times New Roman" w:cstheme="minorHAnsi"/>
          <w:lang w:eastAsia="en-GB"/>
        </w:rPr>
        <w:t xml:space="preserve">  However, some anthropogenic indicators do remain relatively high (</w:t>
      </w:r>
      <w:proofErr w:type="gramStart"/>
      <w:r w:rsidR="00600890" w:rsidRPr="004A4FE9">
        <w:rPr>
          <w:rFonts w:eastAsia="Times New Roman" w:cstheme="minorHAnsi"/>
          <w:lang w:eastAsia="en-GB"/>
        </w:rPr>
        <w:t>e.g.</w:t>
      </w:r>
      <w:proofErr w:type="gramEnd"/>
      <w:r w:rsidR="00600890" w:rsidRPr="004A4FE9">
        <w:rPr>
          <w:rFonts w:eastAsia="Times New Roman" w:cstheme="minorHAnsi"/>
          <w:lang w:eastAsia="en-GB"/>
        </w:rPr>
        <w:t xml:space="preserve"> </w:t>
      </w:r>
      <w:r w:rsidR="00600890" w:rsidRPr="00F47780">
        <w:rPr>
          <w:rFonts w:eastAsia="Times New Roman" w:cstheme="minorHAnsi"/>
          <w:i/>
          <w:iCs/>
          <w:lang w:eastAsia="en-GB"/>
        </w:rPr>
        <w:t>Plantago lanceolata</w:t>
      </w:r>
      <w:r w:rsidR="00600890" w:rsidRPr="004A4FE9">
        <w:rPr>
          <w:rFonts w:eastAsia="Times New Roman" w:cstheme="minorHAnsi"/>
          <w:lang w:eastAsia="en-GB"/>
        </w:rPr>
        <w:t xml:space="preserve">) and fragments of charcoal have been found in within the peat deposits from this level, indicating continued human activities local to the sampling site (cf. </w:t>
      </w:r>
      <w:bookmarkStart w:id="10" w:name="_Hlk146566404"/>
      <w:r w:rsidR="00600890" w:rsidRPr="004A4FE9">
        <w:rPr>
          <w:rFonts w:eastAsia="Times New Roman" w:cstheme="minorHAnsi"/>
          <w:lang w:eastAsia="en-GB"/>
        </w:rPr>
        <w:t>Carruthers</w:t>
      </w:r>
      <w:bookmarkEnd w:id="10"/>
      <w:r w:rsidR="00600890" w:rsidRPr="004A4FE9">
        <w:rPr>
          <w:rFonts w:eastAsia="Times New Roman" w:cstheme="minorHAnsi"/>
          <w:lang w:eastAsia="en-GB"/>
        </w:rPr>
        <w:t xml:space="preserve"> – </w:t>
      </w:r>
      <w:r w:rsidR="00600890" w:rsidRPr="004A4FE9">
        <w:rPr>
          <w:rFonts w:eastAsia="Times New Roman" w:cstheme="minorHAnsi"/>
          <w:highlight w:val="yellow"/>
          <w:lang w:eastAsia="en-GB"/>
        </w:rPr>
        <w:t>section 8.2.3</w:t>
      </w:r>
      <w:r w:rsidR="00600890" w:rsidRPr="004A4FE9">
        <w:rPr>
          <w:rFonts w:eastAsia="Times New Roman" w:cstheme="minorHAnsi"/>
          <w:lang w:eastAsia="en-GB"/>
        </w:rPr>
        <w:t>).</w:t>
      </w:r>
    </w:p>
    <w:p w14:paraId="54BE47E3" w14:textId="77777777" w:rsidR="00F84F84" w:rsidRPr="005456ED" w:rsidRDefault="001501A7" w:rsidP="00F84F84">
      <w:pPr>
        <w:jc w:val="both"/>
        <w:rPr>
          <w:rFonts w:ascii="Calibri" w:eastAsiaTheme="minorHAnsi" w:hAnsi="Calibri" w:cs="Calibri"/>
          <w:lang w:eastAsia="en-US"/>
        </w:rPr>
      </w:pPr>
      <w:r w:rsidRPr="004A4FE9">
        <w:rPr>
          <w:rFonts w:eastAsia="Times New Roman" w:cstheme="minorHAnsi"/>
          <w:lang w:eastAsia="en-GB"/>
        </w:rPr>
        <w:t xml:space="preserve">Towards the </w:t>
      </w:r>
      <w:r w:rsidR="008750A4" w:rsidRPr="004A4FE9">
        <w:rPr>
          <w:rFonts w:eastAsia="Times New Roman" w:cstheme="minorHAnsi"/>
          <w:lang w:eastAsia="en-GB"/>
        </w:rPr>
        <w:t>top</w:t>
      </w:r>
      <w:r w:rsidRPr="004A4FE9">
        <w:rPr>
          <w:rFonts w:eastAsia="Times New Roman" w:cstheme="minorHAnsi"/>
          <w:lang w:eastAsia="en-GB"/>
        </w:rPr>
        <w:t xml:space="preserve"> of the early Holocene peat deposits at LLYR9a, </w:t>
      </w:r>
      <w:r w:rsidR="00600890" w:rsidRPr="004A4FE9">
        <w:rPr>
          <w:rFonts w:eastAsia="Times New Roman" w:cstheme="minorHAnsi"/>
          <w:lang w:eastAsia="en-GB"/>
        </w:rPr>
        <w:t>from c.9</w:t>
      </w:r>
      <w:r w:rsidR="00220C85">
        <w:rPr>
          <w:rFonts w:eastAsia="Times New Roman" w:cstheme="minorHAnsi"/>
          <w:lang w:eastAsia="en-GB"/>
        </w:rPr>
        <w:t>,</w:t>
      </w:r>
      <w:r w:rsidR="00600890" w:rsidRPr="004A4FE9">
        <w:rPr>
          <w:rFonts w:eastAsia="Times New Roman" w:cstheme="minorHAnsi"/>
          <w:lang w:eastAsia="en-GB"/>
        </w:rPr>
        <w:t>940-9</w:t>
      </w:r>
      <w:r w:rsidR="00220C85">
        <w:rPr>
          <w:rFonts w:eastAsia="Times New Roman" w:cstheme="minorHAnsi"/>
          <w:lang w:eastAsia="en-GB"/>
        </w:rPr>
        <w:t>,</w:t>
      </w:r>
      <w:r w:rsidR="00600890" w:rsidRPr="004A4FE9">
        <w:rPr>
          <w:rFonts w:eastAsia="Times New Roman" w:cstheme="minorHAnsi"/>
          <w:lang w:eastAsia="en-GB"/>
        </w:rPr>
        <w:t>450 BP (7</w:t>
      </w:r>
      <w:r w:rsidR="00220C85">
        <w:rPr>
          <w:rFonts w:eastAsia="Times New Roman" w:cstheme="minorHAnsi"/>
          <w:lang w:eastAsia="en-GB"/>
        </w:rPr>
        <w:t>,</w:t>
      </w:r>
      <w:r w:rsidR="00600890" w:rsidRPr="004A4FE9">
        <w:rPr>
          <w:rFonts w:eastAsia="Times New Roman" w:cstheme="minorHAnsi"/>
          <w:lang w:eastAsia="en-GB"/>
        </w:rPr>
        <w:t>990-7</w:t>
      </w:r>
      <w:r w:rsidR="00220C85">
        <w:rPr>
          <w:rFonts w:eastAsia="Times New Roman" w:cstheme="minorHAnsi"/>
          <w:lang w:eastAsia="en-GB"/>
        </w:rPr>
        <w:t>,</w:t>
      </w:r>
      <w:r w:rsidR="00600890" w:rsidRPr="004A4FE9">
        <w:rPr>
          <w:rFonts w:eastAsia="Times New Roman" w:cstheme="minorHAnsi"/>
          <w:lang w:eastAsia="en-GB"/>
        </w:rPr>
        <w:t xml:space="preserve">500 BC), evidence for woodland regeneration is observed, though local conditions appear to remain relatively open. The contemporary decline in </w:t>
      </w:r>
      <w:proofErr w:type="spellStart"/>
      <w:r w:rsidR="00600890" w:rsidRPr="004A4FE9">
        <w:rPr>
          <w:rFonts w:eastAsia="Times New Roman" w:cstheme="minorHAnsi"/>
          <w:lang w:eastAsia="en-GB"/>
        </w:rPr>
        <w:t>Cyperaceae</w:t>
      </w:r>
      <w:proofErr w:type="spellEnd"/>
      <w:r w:rsidR="00600890" w:rsidRPr="004A4FE9">
        <w:rPr>
          <w:rFonts w:eastAsia="Times New Roman" w:cstheme="minorHAnsi"/>
          <w:lang w:eastAsia="en-GB"/>
        </w:rPr>
        <w:t xml:space="preserve"> pollen suggests reduced wetland habitats, possibly where woodland colonised areas becoming increasingly dry.  I</w:t>
      </w:r>
      <w:r w:rsidRPr="004A4FE9">
        <w:rPr>
          <w:rFonts w:eastAsia="Times New Roman" w:cstheme="minorHAnsi"/>
          <w:lang w:eastAsia="en-GB"/>
        </w:rPr>
        <w:t xml:space="preserve">t is possible that increased disturbance indicators such as </w:t>
      </w:r>
      <w:r w:rsidRPr="00F47780">
        <w:rPr>
          <w:rFonts w:eastAsia="Times New Roman" w:cstheme="minorHAnsi"/>
          <w:i/>
          <w:iCs/>
          <w:lang w:eastAsia="en-GB"/>
        </w:rPr>
        <w:t>Cirsium</w:t>
      </w:r>
      <w:r w:rsidRPr="004A4FE9">
        <w:rPr>
          <w:rFonts w:eastAsia="Times New Roman" w:cstheme="minorHAnsi"/>
          <w:lang w:eastAsia="en-GB"/>
        </w:rPr>
        <w:t xml:space="preserve">, </w:t>
      </w:r>
      <w:proofErr w:type="spellStart"/>
      <w:r w:rsidRPr="004A4FE9">
        <w:rPr>
          <w:rFonts w:eastAsia="Times New Roman" w:cstheme="minorHAnsi"/>
          <w:lang w:eastAsia="en-GB"/>
        </w:rPr>
        <w:t>Lactuceae</w:t>
      </w:r>
      <w:proofErr w:type="spellEnd"/>
      <w:r w:rsidRPr="004A4FE9">
        <w:rPr>
          <w:rFonts w:eastAsia="Times New Roman" w:cstheme="minorHAnsi"/>
          <w:lang w:eastAsia="en-GB"/>
        </w:rPr>
        <w:t xml:space="preserve">, and </w:t>
      </w:r>
      <w:r w:rsidRPr="00F47780">
        <w:rPr>
          <w:rFonts w:eastAsia="Times New Roman" w:cstheme="minorHAnsi"/>
          <w:i/>
          <w:iCs/>
          <w:lang w:eastAsia="en-GB"/>
        </w:rPr>
        <w:t xml:space="preserve">Rumex </w:t>
      </w:r>
      <w:proofErr w:type="spellStart"/>
      <w:r w:rsidRPr="00F47780">
        <w:rPr>
          <w:rFonts w:eastAsia="Times New Roman" w:cstheme="minorHAnsi"/>
          <w:i/>
          <w:iCs/>
          <w:lang w:eastAsia="en-GB"/>
        </w:rPr>
        <w:t>acetos</w:t>
      </w:r>
      <w:r w:rsidR="00600890" w:rsidRPr="00F47780">
        <w:rPr>
          <w:rFonts w:eastAsia="Times New Roman" w:cstheme="minorHAnsi"/>
          <w:i/>
          <w:iCs/>
          <w:lang w:eastAsia="en-GB"/>
        </w:rPr>
        <w:t>a</w:t>
      </w:r>
      <w:proofErr w:type="spellEnd"/>
      <w:r w:rsidRPr="004A4FE9">
        <w:rPr>
          <w:rFonts w:eastAsia="Times New Roman" w:cstheme="minorHAnsi"/>
          <w:lang w:eastAsia="en-GB"/>
        </w:rPr>
        <w:t xml:space="preserve"> indicates </w:t>
      </w:r>
      <w:r w:rsidR="008750A4" w:rsidRPr="004A4FE9">
        <w:rPr>
          <w:rFonts w:eastAsia="Times New Roman" w:cstheme="minorHAnsi"/>
          <w:lang w:eastAsia="en-GB"/>
        </w:rPr>
        <w:t>greater</w:t>
      </w:r>
      <w:r w:rsidRPr="004A4FE9">
        <w:rPr>
          <w:rFonts w:eastAsia="Times New Roman" w:cstheme="minorHAnsi"/>
          <w:lang w:eastAsia="en-GB"/>
        </w:rPr>
        <w:t xml:space="preserve"> human impact in the site’s pollen catchment, though this is possibly refuted by the contemporary declines in Plantago lanceolata, Lotus and microcharcoal concentrations.  </w:t>
      </w:r>
      <w:r w:rsidR="00F84F84">
        <w:rPr>
          <w:rFonts w:eastAsia="Times New Roman" w:cstheme="minorHAnsi"/>
          <w:lang w:eastAsia="en-GB"/>
        </w:rPr>
        <w:t xml:space="preserve">A slight rise in magnetic susceptibility and fall in LOI values within this section of the LLYR9a core could potentially indicate magnetically enhanced minerals being deposited by flooding events, which could also account for the very slight increase in aquatic pollen grains at this level.  Alternatively, the increased magnetic susceptibility values could also relate to human disturbance or soil formation processes (cf. </w:t>
      </w:r>
      <w:r w:rsidR="00F84F84">
        <w:rPr>
          <w:rFonts w:ascii="Calibri" w:eastAsiaTheme="minorHAnsi" w:hAnsi="Calibri" w:cs="Calibri"/>
          <w:kern w:val="0"/>
          <w:lang w:eastAsia="en-US"/>
        </w:rPr>
        <w:t xml:space="preserve">Gale &amp; Hoare 2011: 213).  As noted above, the evidence for increased human activity at this time is ambiguous, but soil formation is unlikely as there should also be evidence of increased pollen concentration associated with such a process (cf. Dimbleby 1985: 7).  However, the possibility that this part of the core was accumulating when subject to periodic flooding events might mean that some of the pollen assemblage relates to plants growing within a wider pollen catchment than previous layers or redeposited from older material.  There is a higher percentage of damaged pollen grains towards the very top of the peat that reach c. 20% of TLP.  Such a high percentage might indeed influence the makeup and accuracy of the pollen assemblage, but the number of damaged pollen grains.  However, there is an almost equal proportion of damaged pollen grains within both the AP and NAP, suggesting that the number of damaged pollen grains might not have severely biased the overall assemblage.  </w:t>
      </w:r>
    </w:p>
    <w:p w14:paraId="6135A6BC" w14:textId="22D8B525" w:rsidR="001501A7" w:rsidRPr="00F84F84" w:rsidRDefault="001501A7" w:rsidP="00600890">
      <w:pPr>
        <w:jc w:val="both"/>
        <w:rPr>
          <w:rFonts w:ascii="Calibri" w:eastAsiaTheme="minorHAnsi" w:hAnsi="Calibri" w:cs="Calibri"/>
          <w:lang w:eastAsia="en-US"/>
        </w:rPr>
      </w:pPr>
    </w:p>
    <w:p w14:paraId="5AAD1BF1" w14:textId="28852F7E" w:rsidR="001501A7" w:rsidRPr="004A4FE9" w:rsidRDefault="00600890" w:rsidP="001501A7">
      <w:pPr>
        <w:jc w:val="both"/>
      </w:pPr>
      <w:r w:rsidRPr="004A4FE9">
        <w:lastRenderedPageBreak/>
        <w:t xml:space="preserve">This early </w:t>
      </w:r>
      <w:proofErr w:type="spellStart"/>
      <w:r w:rsidRPr="004A4FE9">
        <w:t>holocene</w:t>
      </w:r>
      <w:proofErr w:type="spellEnd"/>
      <w:r w:rsidRPr="004A4FE9">
        <w:t xml:space="preserve"> sequence is potentially of national significance for its evidence of early Mesolithic society and the environments in which they </w:t>
      </w:r>
      <w:r w:rsidR="00E516E8" w:rsidRPr="004A4FE9">
        <w:t xml:space="preserve">operate.  Although the archaeological evidence currently has only found evidence for later Mesolithic and later activity, it is entirely possible that earlier archaeological remains dating to the immediate post-glacial period that is currently unprecedented in Ceredigion.  </w:t>
      </w:r>
    </w:p>
    <w:p w14:paraId="7BE89023" w14:textId="77777777" w:rsidR="0003150B" w:rsidRPr="004A4FE9" w:rsidRDefault="0003150B" w:rsidP="001501A7">
      <w:pPr>
        <w:jc w:val="both"/>
      </w:pPr>
    </w:p>
    <w:p w14:paraId="177BC809" w14:textId="64A30593" w:rsidR="00F35835" w:rsidRPr="004A4FE9" w:rsidRDefault="00E516E8" w:rsidP="00901239">
      <w:pPr>
        <w:jc w:val="both"/>
        <w:rPr>
          <w:i/>
          <w:iCs/>
        </w:rPr>
      </w:pPr>
      <w:r w:rsidRPr="004A4FE9">
        <w:rPr>
          <w:i/>
          <w:iCs/>
        </w:rPr>
        <w:t xml:space="preserve">Late Mesolithic </w:t>
      </w:r>
      <w:r w:rsidR="00FF3601" w:rsidRPr="004A4FE9">
        <w:rPr>
          <w:i/>
          <w:iCs/>
        </w:rPr>
        <w:t xml:space="preserve">to Middle Neolithic </w:t>
      </w:r>
    </w:p>
    <w:p w14:paraId="2CCB47B3" w14:textId="5843CC2F" w:rsidR="008750A4" w:rsidRPr="004A4FE9" w:rsidRDefault="00FF3601" w:rsidP="00970062">
      <w:pPr>
        <w:jc w:val="both"/>
      </w:pPr>
      <w:r w:rsidRPr="004A4FE9">
        <w:t xml:space="preserve">Unfortunately, there is a </w:t>
      </w:r>
      <w:r w:rsidR="00970062" w:rsidRPr="004A4FE9">
        <w:t xml:space="preserve">substantial chronological </w:t>
      </w:r>
      <w:r w:rsidRPr="004A4FE9">
        <w:t xml:space="preserve">gap in the palaeoenvironmental record from the cores from </w:t>
      </w:r>
      <w:proofErr w:type="spellStart"/>
      <w:r w:rsidRPr="004A4FE9">
        <w:t>Talsarn</w:t>
      </w:r>
      <w:proofErr w:type="spellEnd"/>
      <w:r w:rsidRPr="004A4FE9">
        <w:t xml:space="preserve"> spanning c.9,450-4,800 BP.  It is possible that sediments of this date are present within the cores, but no sediments </w:t>
      </w:r>
      <w:r w:rsidR="006A0A47" w:rsidRPr="004A4FE9">
        <w:t>in any of the cores can be definitively attributed to within this date range.  As noted above, the organic rich/peat sediments observed in the lower portions of LLYR9a and LLYR14 are both overlain by blue-grey gravel rich deposits that have been laid down with very high energy.  These gravel deposits are also present in core LLYR17.  It is probable that the absence of the lower, organic rich deposits at other coring sites relates to the deposition of this blue-grey gravel layer</w:t>
      </w:r>
      <w:r w:rsidR="0003150B" w:rsidRPr="004A4FE9">
        <w:t>,</w:t>
      </w:r>
      <w:r w:rsidR="006A0A47" w:rsidRPr="004A4FE9">
        <w:t xml:space="preserve"> </w:t>
      </w:r>
      <w:r w:rsidR="0003150B" w:rsidRPr="004A4FE9">
        <w:t xml:space="preserve">which </w:t>
      </w:r>
      <w:r w:rsidR="006A0A47" w:rsidRPr="004A4FE9">
        <w:t xml:space="preserve">may have truncated the lower peat deposit and may </w:t>
      </w:r>
      <w:r w:rsidR="00774B4C" w:rsidRPr="004A4FE9">
        <w:t>in fact</w:t>
      </w:r>
      <w:r w:rsidR="006A0A47" w:rsidRPr="004A4FE9">
        <w:t xml:space="preserve"> have removed a portion of it from both LLYR9a and LLYR14.  </w:t>
      </w:r>
      <w:r w:rsidR="008750A4" w:rsidRPr="004A4FE9">
        <w:t xml:space="preserve">It is possibly significant that the timeframe for the deposition of gravel deposits coincide with the 8.2ka event – </w:t>
      </w:r>
      <w:r w:rsidR="00970062" w:rsidRPr="004A4FE9">
        <w:t xml:space="preserve">the onset of </w:t>
      </w:r>
      <w:r w:rsidR="008750A4" w:rsidRPr="004A4FE9">
        <w:t xml:space="preserve">climate change that brought </w:t>
      </w:r>
      <w:r w:rsidR="00970062" w:rsidRPr="004A4FE9">
        <w:t xml:space="preserve">colder and dryer conditions across a large portion of the </w:t>
      </w:r>
      <w:r w:rsidR="008750A4" w:rsidRPr="004A4FE9">
        <w:t>northern hemisphere approximately 8,200 years ago (</w:t>
      </w:r>
      <w:bookmarkStart w:id="11" w:name="_Hlk79673226"/>
      <w:r w:rsidR="008750A4" w:rsidRPr="004A4FE9">
        <w:t>Alley &amp; Ágústsdóttir 2005</w:t>
      </w:r>
      <w:bookmarkEnd w:id="11"/>
      <w:r w:rsidR="008750A4" w:rsidRPr="004A4FE9">
        <w:t xml:space="preserve">).  </w:t>
      </w:r>
      <w:r w:rsidR="0003150B" w:rsidRPr="004A4FE9">
        <w:t>T</w:t>
      </w:r>
      <w:r w:rsidR="00970062" w:rsidRPr="004A4FE9">
        <w:t xml:space="preserve">he colder conditions brought about by this climate change </w:t>
      </w:r>
      <w:r w:rsidR="0003150B" w:rsidRPr="004A4FE9">
        <w:t xml:space="preserve">may have </w:t>
      </w:r>
      <w:r w:rsidR="00970062" w:rsidRPr="004A4FE9">
        <w:t xml:space="preserve">reduced vegetation cover and increased erosional events in the sites’ catchment, </w:t>
      </w:r>
      <w:r w:rsidR="0003150B" w:rsidRPr="004A4FE9">
        <w:t xml:space="preserve">in turn </w:t>
      </w:r>
      <w:r w:rsidR="00970062" w:rsidRPr="004A4FE9">
        <w:t xml:space="preserve">leading to the deposition of these gravel rich deposits at </w:t>
      </w:r>
      <w:proofErr w:type="spellStart"/>
      <w:r w:rsidR="00970062" w:rsidRPr="004A4FE9">
        <w:t>Talsarn</w:t>
      </w:r>
      <w:proofErr w:type="spellEnd"/>
      <w:r w:rsidR="00970062" w:rsidRPr="004A4FE9">
        <w:t xml:space="preserve">.  </w:t>
      </w:r>
      <w:r w:rsidR="00FF265D" w:rsidRPr="004A4FE9">
        <w:t xml:space="preserve">However, it is acknowledged that the effects of climate change are </w:t>
      </w:r>
      <w:r w:rsidR="0003150B" w:rsidRPr="004A4FE9">
        <w:t xml:space="preserve">highly </w:t>
      </w:r>
      <w:r w:rsidR="00FF265D" w:rsidRPr="004A4FE9">
        <w:t xml:space="preserve">variable and that the 8.2ka event may not be responsible for the depositional processes observed here.  </w:t>
      </w:r>
      <w:r w:rsidR="00970062" w:rsidRPr="004A4FE9">
        <w:t xml:space="preserve"> </w:t>
      </w:r>
    </w:p>
    <w:p w14:paraId="499770B4" w14:textId="5C7D7718" w:rsidR="00E516E8" w:rsidRPr="004A4FE9" w:rsidRDefault="00970062" w:rsidP="00901239">
      <w:pPr>
        <w:jc w:val="both"/>
        <w:rPr>
          <w:i/>
          <w:iCs/>
        </w:rPr>
      </w:pPr>
      <w:r w:rsidRPr="004A4FE9">
        <w:rPr>
          <w:i/>
          <w:iCs/>
        </w:rPr>
        <w:t>Late Neolithic – c.4</w:t>
      </w:r>
      <w:r w:rsidR="00FF265D" w:rsidRPr="004A4FE9">
        <w:rPr>
          <w:i/>
          <w:iCs/>
        </w:rPr>
        <w:t>,</w:t>
      </w:r>
      <w:r w:rsidRPr="004A4FE9">
        <w:rPr>
          <w:i/>
          <w:iCs/>
        </w:rPr>
        <w:t>800</w:t>
      </w:r>
      <w:r w:rsidR="00FF265D" w:rsidRPr="004A4FE9">
        <w:rPr>
          <w:i/>
          <w:iCs/>
        </w:rPr>
        <w:t>-4,450 B</w:t>
      </w:r>
      <w:r w:rsidR="00B346F4" w:rsidRPr="004A4FE9">
        <w:rPr>
          <w:i/>
          <w:iCs/>
        </w:rPr>
        <w:t>P</w:t>
      </w:r>
      <w:r w:rsidRPr="004A4FE9">
        <w:rPr>
          <w:i/>
          <w:iCs/>
        </w:rPr>
        <w:t xml:space="preserve"> (c.2</w:t>
      </w:r>
      <w:r w:rsidR="00FF265D" w:rsidRPr="004A4FE9">
        <w:rPr>
          <w:i/>
          <w:iCs/>
        </w:rPr>
        <w:t>,</w:t>
      </w:r>
      <w:r w:rsidRPr="004A4FE9">
        <w:rPr>
          <w:i/>
          <w:iCs/>
        </w:rPr>
        <w:t>8</w:t>
      </w:r>
      <w:r w:rsidR="00FF265D" w:rsidRPr="004A4FE9">
        <w:rPr>
          <w:i/>
          <w:iCs/>
        </w:rPr>
        <w:t>50</w:t>
      </w:r>
      <w:r w:rsidRPr="004A4FE9">
        <w:rPr>
          <w:i/>
          <w:iCs/>
        </w:rPr>
        <w:t>-2</w:t>
      </w:r>
      <w:r w:rsidR="00FF265D" w:rsidRPr="004A4FE9">
        <w:rPr>
          <w:i/>
          <w:iCs/>
        </w:rPr>
        <w:t>,</w:t>
      </w:r>
      <w:r w:rsidRPr="004A4FE9">
        <w:rPr>
          <w:i/>
          <w:iCs/>
        </w:rPr>
        <w:t>500 BC)</w:t>
      </w:r>
    </w:p>
    <w:p w14:paraId="342EF3A1" w14:textId="35CEAF6F" w:rsidR="004A66D0" w:rsidRPr="004A4FE9" w:rsidRDefault="0003150B" w:rsidP="00901239">
      <w:pPr>
        <w:jc w:val="both"/>
      </w:pPr>
      <w:r w:rsidRPr="004A4FE9">
        <w:t xml:space="preserve">Palaeoenvironmental sequences dating from the late neolithic period have been identified in LLYR4 and LLYR 14.  </w:t>
      </w:r>
      <w:r w:rsidR="00EC7D36" w:rsidRPr="004A4FE9">
        <w:t xml:space="preserve">As these sites are very close to one another differences in surface pollen deposition from one core to another should be negligible.  However, the deposits in </w:t>
      </w:r>
      <w:r w:rsidRPr="004A4FE9">
        <w:t xml:space="preserve">LLYR14 consist of a mixture of organic rich and inorganic sediments, </w:t>
      </w:r>
      <w:r w:rsidR="00B346F4" w:rsidRPr="004A4FE9">
        <w:t xml:space="preserve">which </w:t>
      </w:r>
      <w:r w:rsidR="00EC7D36" w:rsidRPr="004A4FE9">
        <w:t xml:space="preserve">could </w:t>
      </w:r>
      <w:r w:rsidR="00B346F4" w:rsidRPr="004A4FE9">
        <w:t xml:space="preserve">contain redeposited material and/or </w:t>
      </w:r>
      <w:r w:rsidR="00EC7D36" w:rsidRPr="004A4FE9">
        <w:t xml:space="preserve">with pollen </w:t>
      </w:r>
      <w:r w:rsidR="00B346F4" w:rsidRPr="004A4FE9">
        <w:t>from a relatively larger catchment area in comparison with the peat deposits of LLYR4</w:t>
      </w:r>
      <w:r w:rsidR="008D1181">
        <w:t xml:space="preserve"> (discussed above in section </w:t>
      </w:r>
      <w:r w:rsidR="008D1181" w:rsidRPr="005456ED">
        <w:rPr>
          <w:highlight w:val="yellow"/>
        </w:rPr>
        <w:t>8.2.1</w:t>
      </w:r>
      <w:r w:rsidR="008D1181">
        <w:t>)</w:t>
      </w:r>
      <w:r w:rsidR="00B346F4" w:rsidRPr="004A4FE9">
        <w:t xml:space="preserve">.  </w:t>
      </w:r>
      <w:r w:rsidR="00EC7D36" w:rsidRPr="004A4FE9">
        <w:t xml:space="preserve">From examining the dating evidence (see section </w:t>
      </w:r>
      <w:r w:rsidR="00EC7D36" w:rsidRPr="004A4FE9">
        <w:rPr>
          <w:highlight w:val="yellow"/>
        </w:rPr>
        <w:t>8.2.4</w:t>
      </w:r>
      <w:r w:rsidR="00EC7D36" w:rsidRPr="004A4FE9">
        <w:t xml:space="preserve">), </w:t>
      </w:r>
      <w:r w:rsidR="004A66D0" w:rsidRPr="004A4FE9">
        <w:t xml:space="preserve">It appears that the base of both of these sequences </w:t>
      </w:r>
      <w:proofErr w:type="gramStart"/>
      <w:r w:rsidR="004A66D0" w:rsidRPr="004A4FE9">
        <w:t>are</w:t>
      </w:r>
      <w:proofErr w:type="gramEnd"/>
      <w:r w:rsidR="004A66D0" w:rsidRPr="004A4FE9">
        <w:t xml:space="preserve"> roughly contemporary with one another.  Although t</w:t>
      </w:r>
      <w:r w:rsidR="00B346F4" w:rsidRPr="004A4FE9">
        <w:t xml:space="preserve">here is no direct radiocarbon date for the sequence analysed from LLYR14, the age-depth model </w:t>
      </w:r>
      <w:r w:rsidR="004A66D0" w:rsidRPr="004A4FE9">
        <w:t>(if</w:t>
      </w:r>
      <w:r w:rsidR="00B346F4" w:rsidRPr="004A4FE9">
        <w:t xml:space="preserve"> correct</w:t>
      </w:r>
      <w:r w:rsidR="004A66D0" w:rsidRPr="004A4FE9">
        <w:t xml:space="preserve">) indicates it </w:t>
      </w:r>
      <w:r w:rsidR="00B346F4" w:rsidRPr="004A4FE9">
        <w:t>should contain material accumulating from c.4,800 BP (</w:t>
      </w:r>
      <w:r w:rsidR="00D06819" w:rsidRPr="004A4FE9">
        <w:t>c.</w:t>
      </w:r>
      <w:r w:rsidR="00B346F4" w:rsidRPr="004A4FE9">
        <w:t xml:space="preserve">2,850 BC).  The humic acid dates from base of the peat deposit in LLYR4 has been dated to </w:t>
      </w:r>
      <w:r w:rsidR="00D06819" w:rsidRPr="004A4FE9">
        <w:t xml:space="preserve">4,823-4,577 Cal. BP (4,150 </w:t>
      </w:r>
      <w:r w:rsidR="00D06819" w:rsidRPr="004A4FE9">
        <w:rPr>
          <w:rFonts w:cstheme="minorHAnsi"/>
        </w:rPr>
        <w:t xml:space="preserve">± </w:t>
      </w:r>
      <w:r w:rsidR="00D06819" w:rsidRPr="004A4FE9">
        <w:t xml:space="preserve">30 BP – 2,873-2,627 Cal. BC) or c.4,700 BP (c.2,750 BC) on the intercept of the age-depth model </w:t>
      </w:r>
      <w:r w:rsidR="00B346F4" w:rsidRPr="004A4FE9">
        <w:t xml:space="preserve">(see section 8.2.4 for a </w:t>
      </w:r>
      <w:r w:rsidR="00EC7D36" w:rsidRPr="004A4FE9">
        <w:t xml:space="preserve">full </w:t>
      </w:r>
      <w:r w:rsidR="00B346F4" w:rsidRPr="004A4FE9">
        <w:t xml:space="preserve">discussion on the reliability of </w:t>
      </w:r>
      <w:r w:rsidR="00EC7D36" w:rsidRPr="004A4FE9">
        <w:t xml:space="preserve">the </w:t>
      </w:r>
      <w:r w:rsidR="00B346F4" w:rsidRPr="004A4FE9">
        <w:t xml:space="preserve">radiocarbon dates and age-depth models).  </w:t>
      </w:r>
    </w:p>
    <w:p w14:paraId="06863254" w14:textId="3B7C00D1" w:rsidR="00D556F2" w:rsidRDefault="004A66D0" w:rsidP="00D56AD5">
      <w:pPr>
        <w:jc w:val="both"/>
      </w:pPr>
      <w:r w:rsidRPr="004A4FE9">
        <w:t xml:space="preserve">Given the fact that LLYR4 should contain more reliably sourced pollen, this sequence has been analysed in more detail than LLYR14.  Both appear to have similar environmental sequences based on the relative proportion of NAP to AP, but there are minor variations in the specific proportions of pollen taxa that are likely to reflect differences in deposition processes. </w:t>
      </w:r>
      <w:r w:rsidR="00EC7D36" w:rsidRPr="004A4FE9">
        <w:t xml:space="preserve"> The pollen record for both cores </w:t>
      </w:r>
      <w:proofErr w:type="gramStart"/>
      <w:r w:rsidR="00EC7D36" w:rsidRPr="004A4FE9">
        <w:t>indicate</w:t>
      </w:r>
      <w:proofErr w:type="gramEnd"/>
      <w:r w:rsidR="00EC7D36" w:rsidRPr="004A4FE9">
        <w:t xml:space="preserve"> a substantial increase in AP in comparison with the early post-glacial record of LLYR9a and LLYR 14.  </w:t>
      </w:r>
      <w:r w:rsidR="00D556F2" w:rsidRPr="004A4FE9">
        <w:t xml:space="preserve">The dominance of </w:t>
      </w:r>
      <w:r w:rsidR="00D556F2" w:rsidRPr="004A4FE9">
        <w:rPr>
          <w:i/>
          <w:iCs/>
        </w:rPr>
        <w:t xml:space="preserve">Alnus </w:t>
      </w:r>
      <w:proofErr w:type="spellStart"/>
      <w:r w:rsidR="00D556F2" w:rsidRPr="004A4FE9">
        <w:rPr>
          <w:i/>
          <w:iCs/>
        </w:rPr>
        <w:t>glutionsa</w:t>
      </w:r>
      <w:proofErr w:type="spellEnd"/>
      <w:r w:rsidR="00D556F2" w:rsidRPr="004A4FE9">
        <w:t xml:space="preserve"> pollen in both cores </w:t>
      </w:r>
      <w:r w:rsidR="00D556F2" w:rsidRPr="00D556F2">
        <w:t xml:space="preserve">indicates </w:t>
      </w:r>
      <w:r w:rsidR="00D556F2" w:rsidRPr="004A4FE9">
        <w:t xml:space="preserve">that </w:t>
      </w:r>
      <w:r w:rsidR="00D556F2" w:rsidRPr="00D556F2">
        <w:t xml:space="preserve">the local area is dominated by Alder </w:t>
      </w:r>
      <w:proofErr w:type="spellStart"/>
      <w:r w:rsidR="00D556F2" w:rsidRPr="00D556F2">
        <w:t>carr</w:t>
      </w:r>
      <w:proofErr w:type="spellEnd"/>
      <w:r w:rsidR="00D556F2" w:rsidRPr="00D556F2">
        <w:t xml:space="preserve">, </w:t>
      </w:r>
      <w:r w:rsidR="00D556F2" w:rsidRPr="004A4FE9">
        <w:t xml:space="preserve">however, </w:t>
      </w:r>
      <w:r w:rsidR="00D556F2" w:rsidRPr="00D556F2">
        <w:t xml:space="preserve">a range of other habitats is also indicated by rarer pollen types.  Drier woodland is indicated by </w:t>
      </w:r>
      <w:r w:rsidR="00D556F2" w:rsidRPr="004A4FE9">
        <w:t xml:space="preserve">the low percentages of </w:t>
      </w:r>
      <w:r w:rsidR="00D556F2" w:rsidRPr="00D556F2">
        <w:rPr>
          <w:i/>
          <w:iCs/>
        </w:rPr>
        <w:t>Quercus</w:t>
      </w:r>
      <w:r w:rsidR="00D556F2" w:rsidRPr="00D556F2">
        <w:t xml:space="preserve"> and </w:t>
      </w:r>
      <w:r w:rsidR="00D556F2" w:rsidRPr="00D556F2">
        <w:rPr>
          <w:i/>
          <w:iCs/>
        </w:rPr>
        <w:t xml:space="preserve">Corylus </w:t>
      </w:r>
      <w:r w:rsidR="00D556F2" w:rsidRPr="004A4FE9">
        <w:rPr>
          <w:i/>
          <w:iCs/>
        </w:rPr>
        <w:t>avellana</w:t>
      </w:r>
      <w:r w:rsidR="00D556F2" w:rsidRPr="004A4FE9">
        <w:t xml:space="preserve"> pollen observed.  </w:t>
      </w:r>
      <w:r w:rsidR="00D56AD5" w:rsidRPr="004A4FE9">
        <w:lastRenderedPageBreak/>
        <w:t>The presence of more o</w:t>
      </w:r>
      <w:r w:rsidR="00D556F2" w:rsidRPr="00D556F2">
        <w:t xml:space="preserve">pen wetland areas is </w:t>
      </w:r>
      <w:r w:rsidR="00D56AD5" w:rsidRPr="004A4FE9">
        <w:t xml:space="preserve">also </w:t>
      </w:r>
      <w:r w:rsidR="00D556F2" w:rsidRPr="00D556F2">
        <w:t xml:space="preserve">indicated by the </w:t>
      </w:r>
      <w:r w:rsidR="00D556F2" w:rsidRPr="004A4FE9">
        <w:t xml:space="preserve">percentages </w:t>
      </w:r>
      <w:proofErr w:type="spellStart"/>
      <w:r w:rsidR="00D556F2" w:rsidRPr="00D556F2">
        <w:t>Cyperaceae</w:t>
      </w:r>
      <w:proofErr w:type="spellEnd"/>
      <w:r w:rsidR="00D556F2" w:rsidRPr="00D556F2">
        <w:t xml:space="preserve"> pollen and rarer grains of </w:t>
      </w:r>
      <w:proofErr w:type="spellStart"/>
      <w:r w:rsidR="00D556F2" w:rsidRPr="00F47780">
        <w:rPr>
          <w:i/>
          <w:iCs/>
        </w:rPr>
        <w:t>Filipendula</w:t>
      </w:r>
      <w:proofErr w:type="spellEnd"/>
      <w:r w:rsidR="00D556F2" w:rsidRPr="00D556F2">
        <w:t xml:space="preserve">.  Human influence and possible areas of grazing and arable land is indicated by the presence of </w:t>
      </w:r>
      <w:r w:rsidR="00D556F2" w:rsidRPr="00F47780">
        <w:rPr>
          <w:i/>
          <w:iCs/>
        </w:rPr>
        <w:t>Achillea</w:t>
      </w:r>
      <w:r w:rsidR="00D556F2" w:rsidRPr="00D556F2">
        <w:t xml:space="preserve">-type, </w:t>
      </w:r>
      <w:r w:rsidR="00D56AD5" w:rsidRPr="004A4FE9">
        <w:t>Cereal-type</w:t>
      </w:r>
      <w:r w:rsidR="00D556F2" w:rsidRPr="00D556F2">
        <w:t xml:space="preserve">, Caryophyllaceae, </w:t>
      </w:r>
      <w:r w:rsidR="00D556F2" w:rsidRPr="00F47780">
        <w:rPr>
          <w:i/>
          <w:iCs/>
        </w:rPr>
        <w:t xml:space="preserve">Lotus, Plantago lanceolata, Rumex </w:t>
      </w:r>
      <w:proofErr w:type="spellStart"/>
      <w:r w:rsidR="00D556F2" w:rsidRPr="00F47780">
        <w:rPr>
          <w:i/>
          <w:iCs/>
        </w:rPr>
        <w:t>acetosa</w:t>
      </w:r>
      <w:proofErr w:type="spellEnd"/>
      <w:r w:rsidR="00D556F2" w:rsidRPr="00D556F2">
        <w:t xml:space="preserve"> and </w:t>
      </w:r>
      <w:r w:rsidR="00D556F2" w:rsidRPr="00F47780">
        <w:rPr>
          <w:i/>
          <w:iCs/>
        </w:rPr>
        <w:t>Urtica Docia</w:t>
      </w:r>
      <w:r w:rsidR="00D556F2" w:rsidRPr="00D556F2">
        <w:t xml:space="preserve"> pollen.</w:t>
      </w:r>
      <w:r w:rsidR="00D56AD5" w:rsidRPr="004A4FE9">
        <w:t xml:space="preserve">  It should be noted that the numbers of Cereal-type</w:t>
      </w:r>
      <w:r w:rsidR="00D556F2" w:rsidRPr="004A4FE9">
        <w:t xml:space="preserve"> pollen extremely low</w:t>
      </w:r>
      <w:r w:rsidR="00D56AD5" w:rsidRPr="004A4FE9">
        <w:t xml:space="preserve">, similar in fact to the </w:t>
      </w:r>
      <w:r w:rsidR="00D556F2" w:rsidRPr="004A4FE9">
        <w:t xml:space="preserve">percentages </w:t>
      </w:r>
      <w:r w:rsidR="00D56AD5" w:rsidRPr="004A4FE9">
        <w:t xml:space="preserve">in the </w:t>
      </w:r>
      <w:r w:rsidR="00D556F2" w:rsidRPr="004A4FE9">
        <w:t>early Holocene record of L</w:t>
      </w:r>
      <w:r w:rsidR="00B56087">
        <w:t>LYR</w:t>
      </w:r>
      <w:r w:rsidR="00D556F2" w:rsidRPr="004A4FE9">
        <w:t>9a/</w:t>
      </w:r>
      <w:r w:rsidR="00B56087" w:rsidRPr="004A4FE9">
        <w:t>L</w:t>
      </w:r>
      <w:r w:rsidR="00B56087">
        <w:t>LYR</w:t>
      </w:r>
      <w:r w:rsidR="00D556F2" w:rsidRPr="004A4FE9">
        <w:t>14-1, when it is presumably reflective of wild variants (</w:t>
      </w:r>
      <w:proofErr w:type="gramStart"/>
      <w:r w:rsidR="00D556F2" w:rsidRPr="004A4FE9">
        <w:t>e.g.</w:t>
      </w:r>
      <w:proofErr w:type="gramEnd"/>
      <w:r w:rsidR="00D556F2" w:rsidRPr="004A4FE9">
        <w:t xml:space="preserve"> </w:t>
      </w:r>
      <w:proofErr w:type="spellStart"/>
      <w:r w:rsidR="007B6042" w:rsidRPr="00F47780">
        <w:rPr>
          <w:i/>
          <w:iCs/>
        </w:rPr>
        <w:t>Glyceria</w:t>
      </w:r>
      <w:proofErr w:type="spellEnd"/>
      <w:r w:rsidR="00D556F2" w:rsidRPr="004A4FE9">
        <w:t xml:space="preserve">, which occurs in wetland environments).  However, the filtering effects of woodland pollen is likely to have a significant impact on the total percentages of poorly dispersing taxa like </w:t>
      </w:r>
      <w:r w:rsidR="00D56AD5" w:rsidRPr="004A4FE9">
        <w:t>Cereal-type</w:t>
      </w:r>
      <w:r w:rsidR="00D556F2" w:rsidRPr="004A4FE9">
        <w:t xml:space="preserve"> pollen in comparison with the open conditions observed in Llyr 9a.  Whilst the </w:t>
      </w:r>
      <w:r w:rsidR="00D56AD5" w:rsidRPr="004A4FE9">
        <w:t>Cereal-type</w:t>
      </w:r>
      <w:r w:rsidR="00D556F2" w:rsidRPr="004A4FE9">
        <w:t xml:space="preserve"> grains for the early Holocene sequence analysed in Llyr 9a are undoubtedly from wild variants of </w:t>
      </w:r>
      <w:r w:rsidR="00D56AD5" w:rsidRPr="004A4FE9">
        <w:t>Cereal-type</w:t>
      </w:r>
      <w:r w:rsidR="00D556F2" w:rsidRPr="004A4FE9">
        <w:t xml:space="preserve"> grains, those observed in Llyr 4 </w:t>
      </w:r>
      <w:r w:rsidR="00D56AD5" w:rsidRPr="004A4FE9">
        <w:t xml:space="preserve">during the late neolithic </w:t>
      </w:r>
      <w:r w:rsidR="00D556F2" w:rsidRPr="004A4FE9">
        <w:t xml:space="preserve">could well be from arable activities.  </w:t>
      </w:r>
    </w:p>
    <w:p w14:paraId="4E55808B" w14:textId="77777777" w:rsidR="00A11BC4" w:rsidRDefault="00A11BC4" w:rsidP="00A11BC4">
      <w:pPr>
        <w:jc w:val="both"/>
      </w:pPr>
      <w:r>
        <w:t xml:space="preserve">Palynological sequences reliably dated to the Neolithic date in elsewhere Ceredigion all show similarly high percentages of woodland pollen taxa.  Alnus </w:t>
      </w:r>
      <w:proofErr w:type="spellStart"/>
      <w:r>
        <w:t>glutinosa</w:t>
      </w:r>
      <w:proofErr w:type="spellEnd"/>
      <w:r>
        <w:t xml:space="preserve"> are equally dominant throughout the pollen assemblages dated to the Neolithic at </w:t>
      </w:r>
      <w:proofErr w:type="spellStart"/>
      <w:r>
        <w:t>Clarach</w:t>
      </w:r>
      <w:proofErr w:type="spellEnd"/>
      <w:r>
        <w:t xml:space="preserve"> Bog (Heyworth </w:t>
      </w:r>
      <w:r w:rsidRPr="005456ED">
        <w:rPr>
          <w:i/>
          <w:iCs/>
        </w:rPr>
        <w:t>et al</w:t>
      </w:r>
      <w:r>
        <w:t xml:space="preserve">. 1985) and through the early Neolithic at </w:t>
      </w:r>
      <w:proofErr w:type="spellStart"/>
      <w:r>
        <w:t>Ynyslas</w:t>
      </w:r>
      <w:proofErr w:type="spellEnd"/>
      <w:r>
        <w:t xml:space="preserve">, with Corylus </w:t>
      </w:r>
      <w:proofErr w:type="spellStart"/>
      <w:r>
        <w:t>avaellana</w:t>
      </w:r>
      <w:proofErr w:type="spellEnd"/>
      <w:r>
        <w:t xml:space="preserve"> becoming more frequent from 5580-5315 Cal. BP (3630-3365 BP – Bacon recalibration of 4700 </w:t>
      </w:r>
      <w:r>
        <w:rPr>
          <w:rFonts w:cstheme="minorHAnsi"/>
        </w:rPr>
        <w:t>±</w:t>
      </w:r>
      <w:r>
        <w:t xml:space="preserve">70 BP - Wilks 1979).  At </w:t>
      </w:r>
      <w:proofErr w:type="spellStart"/>
      <w:r>
        <w:t>Tregaron</w:t>
      </w:r>
      <w:proofErr w:type="spellEnd"/>
      <w:r>
        <w:t xml:space="preserve"> (Hibbert and </w:t>
      </w:r>
      <w:proofErr w:type="spellStart"/>
      <w:r>
        <w:t>Switsur</w:t>
      </w:r>
      <w:proofErr w:type="spellEnd"/>
      <w:r>
        <w:t xml:space="preserve"> 1976) and </w:t>
      </w:r>
      <w:proofErr w:type="spellStart"/>
      <w:r>
        <w:t>Figyn</w:t>
      </w:r>
      <w:proofErr w:type="spellEnd"/>
      <w:r>
        <w:t xml:space="preserve"> Blaen </w:t>
      </w:r>
      <w:proofErr w:type="spellStart"/>
      <w:r>
        <w:t>Brefi</w:t>
      </w:r>
      <w:proofErr w:type="spellEnd"/>
      <w:r>
        <w:t xml:space="preserve"> (</w:t>
      </w:r>
      <w:bookmarkStart w:id="12" w:name="_Hlk146572574"/>
      <w:r>
        <w:t>Buckley 2000</w:t>
      </w:r>
      <w:bookmarkEnd w:id="12"/>
      <w:r>
        <w:t xml:space="preserve">), mixed woodland is observed during the neolithic period, with </w:t>
      </w:r>
      <w:r w:rsidRPr="005456ED">
        <w:rPr>
          <w:i/>
          <w:iCs/>
        </w:rPr>
        <w:t>Corylus</w:t>
      </w:r>
      <w:r>
        <w:rPr>
          <w:i/>
          <w:iCs/>
        </w:rPr>
        <w:t xml:space="preserve"> avellana-type</w:t>
      </w:r>
      <w:r>
        <w:t xml:space="preserve"> and </w:t>
      </w:r>
      <w:r w:rsidRPr="005456ED">
        <w:rPr>
          <w:i/>
          <w:iCs/>
        </w:rPr>
        <w:t>Quercus</w:t>
      </w:r>
      <w:r>
        <w:t xml:space="preserve"> more dominant than </w:t>
      </w:r>
      <w:r w:rsidRPr="005456ED">
        <w:rPr>
          <w:i/>
          <w:iCs/>
        </w:rPr>
        <w:t xml:space="preserve">Alnus </w:t>
      </w:r>
      <w:proofErr w:type="spellStart"/>
      <w:r w:rsidRPr="005456ED">
        <w:rPr>
          <w:i/>
          <w:iCs/>
        </w:rPr>
        <w:t>glutinosa</w:t>
      </w:r>
      <w:proofErr w:type="spellEnd"/>
      <w:r>
        <w:t xml:space="preserve">.  The differences observed between sampling sites in the region could theoretically be related to regional </w:t>
      </w:r>
      <w:proofErr w:type="gramStart"/>
      <w:r>
        <w:t>variability, but</w:t>
      </w:r>
      <w:proofErr w:type="gramEnd"/>
      <w:r>
        <w:t xml:space="preserve"> could also relate to catchment areas associated with positions of samples within a given wetland area.  For example, the higher levels of </w:t>
      </w:r>
      <w:r w:rsidRPr="005456ED">
        <w:rPr>
          <w:i/>
          <w:iCs/>
        </w:rPr>
        <w:t>Quercus</w:t>
      </w:r>
      <w:r>
        <w:t xml:space="preserve"> and </w:t>
      </w:r>
      <w:r w:rsidRPr="005456ED">
        <w:rPr>
          <w:i/>
          <w:iCs/>
        </w:rPr>
        <w:t>Corylus avellana</w:t>
      </w:r>
      <w:r>
        <w:t xml:space="preserve"> -type pollen at </w:t>
      </w:r>
      <w:proofErr w:type="spellStart"/>
      <w:r>
        <w:t>Tregaron</w:t>
      </w:r>
      <w:proofErr w:type="spellEnd"/>
      <w:r>
        <w:t xml:space="preserve"> may be the result of a higher proportion of pollen from a regional area given the sampling site’s central position within a very large bog, whilst the bog edge locations of cores from </w:t>
      </w:r>
      <w:proofErr w:type="spellStart"/>
      <w:r>
        <w:t>Talsarn</w:t>
      </w:r>
      <w:proofErr w:type="spellEnd"/>
      <w:r>
        <w:t xml:space="preserve"> and </w:t>
      </w:r>
      <w:proofErr w:type="spellStart"/>
      <w:r>
        <w:t>Clarach</w:t>
      </w:r>
      <w:proofErr w:type="spellEnd"/>
      <w:r>
        <w:t xml:space="preserve"> may be reflective of the effects of pollen from the localised area of the sampling site dominating their pollen assemblages.  Despite the high percentages of woodland pollen at these sites, evidence for Neolithic human disturbance is also observed.  For example, at </w:t>
      </w:r>
      <w:proofErr w:type="spellStart"/>
      <w:r>
        <w:t>Tregaron</w:t>
      </w:r>
      <w:proofErr w:type="spellEnd"/>
      <w:r>
        <w:t xml:space="preserve">, evidence for pastoral indicators increase concurrently with the Elm decline, dated to 5890-5600 Cal. BP (3940-4650 Cal. BC – Bacon recalibration of 4990 </w:t>
      </w:r>
      <w:r>
        <w:rPr>
          <w:rFonts w:cstheme="minorHAnsi"/>
        </w:rPr>
        <w:t>±</w:t>
      </w:r>
      <w:r>
        <w:t xml:space="preserve">70 BP – Hibbert and </w:t>
      </w:r>
      <w:proofErr w:type="spellStart"/>
      <w:r>
        <w:t>Switsur</w:t>
      </w:r>
      <w:proofErr w:type="spellEnd"/>
      <w:r>
        <w:t xml:space="preserve"> 1976).  Similar evidence for the appearance of pastoral indicators alongside the Elm Decline in the </w:t>
      </w:r>
      <w:proofErr w:type="spellStart"/>
      <w:r>
        <w:t>Figyn</w:t>
      </w:r>
      <w:proofErr w:type="spellEnd"/>
      <w:r>
        <w:t xml:space="preserve"> Blaen </w:t>
      </w:r>
      <w:proofErr w:type="spellStart"/>
      <w:r>
        <w:t>Brefi</w:t>
      </w:r>
      <w:proofErr w:type="spellEnd"/>
      <w:r>
        <w:t xml:space="preserve"> pollen sequence occurs at an almost identical date range of 5890-5595 Cal. BP (3940-3645 Cal. BC – Bacon recalibration of 4970 </w:t>
      </w:r>
      <w:r>
        <w:rPr>
          <w:rFonts w:cstheme="minorHAnsi"/>
        </w:rPr>
        <w:t>±</w:t>
      </w:r>
      <w:r>
        <w:t xml:space="preserve">55 BP).  Unfortunately, the contemporary sequence for this timeframe is absent from </w:t>
      </w:r>
      <w:proofErr w:type="spellStart"/>
      <w:r>
        <w:t>Talsarn</w:t>
      </w:r>
      <w:proofErr w:type="spellEnd"/>
      <w:r>
        <w:t xml:space="preserve">, but it is possible that a similar timeframe might have occurred for both the elm decline and first evidence for farming activities.  </w:t>
      </w:r>
    </w:p>
    <w:p w14:paraId="7F2337B8" w14:textId="77777777" w:rsidR="0041020B" w:rsidRPr="004A4FE9" w:rsidRDefault="0041020B" w:rsidP="00D56AD5">
      <w:pPr>
        <w:jc w:val="both"/>
      </w:pPr>
    </w:p>
    <w:p w14:paraId="1A4B6199" w14:textId="11969912" w:rsidR="00EC7D36" w:rsidRPr="004A4FE9" w:rsidRDefault="00D56AD5" w:rsidP="00901239">
      <w:pPr>
        <w:jc w:val="both"/>
        <w:rPr>
          <w:i/>
          <w:iCs/>
        </w:rPr>
      </w:pPr>
      <w:r w:rsidRPr="004A4FE9">
        <w:rPr>
          <w:i/>
          <w:iCs/>
        </w:rPr>
        <w:t>Bronze Age – c.4,450-2,650 BP (2500-700 BC)</w:t>
      </w:r>
    </w:p>
    <w:p w14:paraId="1CA165E3" w14:textId="6CF88BD7" w:rsidR="00D56AD5" w:rsidRPr="004A4FE9" w:rsidRDefault="00564FFA" w:rsidP="00D56AD5">
      <w:pPr>
        <w:jc w:val="both"/>
      </w:pPr>
      <w:r w:rsidRPr="004A4FE9">
        <w:t>The most notable changes observed during the Bronze Age are observed within LLYR4</w:t>
      </w:r>
      <w:r w:rsidR="00FC4F8D" w:rsidRPr="004A4FE9">
        <w:t xml:space="preserve"> (phases 4-2 to 4-4)</w:t>
      </w:r>
      <w:r w:rsidRPr="004A4FE9">
        <w:t>, though this is unsurprising given the limited samples analysed during this period for LLYR14.  At around 4</w:t>
      </w:r>
      <w:r w:rsidR="008D1181">
        <w:t>,</w:t>
      </w:r>
      <w:r w:rsidRPr="004A4FE9">
        <w:t>240 BP (2</w:t>
      </w:r>
      <w:r w:rsidR="008D1181">
        <w:t>,</w:t>
      </w:r>
      <w:r w:rsidRPr="004A4FE9">
        <w:t xml:space="preserve">300 BC), a reduction in the percentage of wetland taxa </w:t>
      </w:r>
      <w:r w:rsidR="00D56AD5" w:rsidRPr="00D56AD5">
        <w:t>(</w:t>
      </w:r>
      <w:r w:rsidR="00D56AD5" w:rsidRPr="00D56AD5">
        <w:rPr>
          <w:i/>
          <w:iCs/>
        </w:rPr>
        <w:t xml:space="preserve">Alnus </w:t>
      </w:r>
      <w:proofErr w:type="spellStart"/>
      <w:r w:rsidR="00D56AD5" w:rsidRPr="00D56AD5">
        <w:rPr>
          <w:i/>
          <w:iCs/>
        </w:rPr>
        <w:t>glutinosa</w:t>
      </w:r>
      <w:proofErr w:type="spellEnd"/>
      <w:r w:rsidR="00D56AD5" w:rsidRPr="00D56AD5">
        <w:t xml:space="preserve">, </w:t>
      </w:r>
      <w:proofErr w:type="spellStart"/>
      <w:r w:rsidR="00D56AD5" w:rsidRPr="00D56AD5">
        <w:t>Cyperaceae</w:t>
      </w:r>
      <w:proofErr w:type="spellEnd"/>
      <w:r w:rsidR="00D56AD5" w:rsidRPr="00D56AD5">
        <w:t xml:space="preserve">) suggests a </w:t>
      </w:r>
      <w:r w:rsidR="00FC4F8D" w:rsidRPr="004A4FE9">
        <w:t>contraction of</w:t>
      </w:r>
      <w:r w:rsidR="00D56AD5" w:rsidRPr="00D56AD5">
        <w:t xml:space="preserve"> local wetland habitats.  This may be either be reflective of changes in localised drainage or wider climate change.  Given the increased pollen productivity of woodland taxa (cf. </w:t>
      </w:r>
      <w:proofErr w:type="spellStart"/>
      <w:r w:rsidR="00D56AD5" w:rsidRPr="00D56AD5">
        <w:t>Broström</w:t>
      </w:r>
      <w:proofErr w:type="spellEnd"/>
      <w:r w:rsidR="00D56AD5" w:rsidRPr="00D56AD5">
        <w:t xml:space="preserve"> et al. 2008), more open local conditions might be suggested by the fall in total pollen concentrations (which change independently of stratigraphic changes).  The lack of any contemporary fall in woodland taxa could possibly be explained by a higher influx of pollen from more regional sources of woodland reaching the sampling site after removing local</w:t>
      </w:r>
      <w:r w:rsidR="00FC4F8D" w:rsidRPr="004A4FE9">
        <w:t xml:space="preserve"> </w:t>
      </w:r>
      <w:r w:rsidR="00FC4F8D" w:rsidRPr="00F47780">
        <w:rPr>
          <w:i/>
          <w:iCs/>
        </w:rPr>
        <w:t xml:space="preserve">Alnus </w:t>
      </w:r>
      <w:proofErr w:type="spellStart"/>
      <w:r w:rsidR="00FC4F8D" w:rsidRPr="00F47780">
        <w:rPr>
          <w:i/>
          <w:iCs/>
        </w:rPr>
        <w:t>glutinosa</w:t>
      </w:r>
      <w:proofErr w:type="spellEnd"/>
      <w:r w:rsidR="00D56AD5" w:rsidRPr="00D56AD5">
        <w:t xml:space="preserve"> trees that might have had a filtering effect on regional pollen (</w:t>
      </w:r>
      <w:proofErr w:type="gramStart"/>
      <w:r w:rsidR="00D56AD5" w:rsidRPr="00D56AD5">
        <w:t>i.e</w:t>
      </w:r>
      <w:r w:rsidR="00A11BC4">
        <w:t>.</w:t>
      </w:r>
      <w:proofErr w:type="gramEnd"/>
      <w:r w:rsidR="00D56AD5" w:rsidRPr="00D56AD5">
        <w:t xml:space="preserve"> the </w:t>
      </w:r>
      <w:r w:rsidR="00D56AD5" w:rsidRPr="00F47780">
        <w:rPr>
          <w:i/>
          <w:iCs/>
        </w:rPr>
        <w:t>Betula, Quercus</w:t>
      </w:r>
      <w:r w:rsidR="00D56AD5" w:rsidRPr="00D56AD5">
        <w:t xml:space="preserve"> and </w:t>
      </w:r>
      <w:r w:rsidR="00D56AD5" w:rsidRPr="00F47780">
        <w:rPr>
          <w:i/>
          <w:iCs/>
        </w:rPr>
        <w:t>Ulmus</w:t>
      </w:r>
      <w:r w:rsidR="00D56AD5" w:rsidRPr="00D56AD5">
        <w:t xml:space="preserve"> pollen now reaching the sampling site in higher percentages).  Pollen productivity estimates (PPE) by </w:t>
      </w:r>
      <w:bookmarkStart w:id="13" w:name="_Hlk146572635"/>
      <w:proofErr w:type="spellStart"/>
      <w:r w:rsidR="00D56AD5" w:rsidRPr="00D56AD5">
        <w:t>Broström</w:t>
      </w:r>
      <w:proofErr w:type="spellEnd"/>
      <w:r w:rsidR="00D56AD5" w:rsidRPr="00D56AD5">
        <w:t xml:space="preserve"> et al. </w:t>
      </w:r>
      <w:r w:rsidR="00B56087">
        <w:t>(</w:t>
      </w:r>
      <w:r w:rsidR="00D56AD5" w:rsidRPr="00D56AD5">
        <w:t>2008</w:t>
      </w:r>
      <w:r w:rsidR="00B56087">
        <w:t>)</w:t>
      </w:r>
      <w:r w:rsidR="00D56AD5" w:rsidRPr="00D56AD5">
        <w:t xml:space="preserve"> </w:t>
      </w:r>
      <w:bookmarkEnd w:id="13"/>
      <w:r w:rsidR="00D56AD5" w:rsidRPr="00D56AD5">
        <w:t xml:space="preserve">indicates that </w:t>
      </w:r>
      <w:r w:rsidR="00D56AD5" w:rsidRPr="00F47780">
        <w:rPr>
          <w:i/>
          <w:iCs/>
        </w:rPr>
        <w:t>Betula</w:t>
      </w:r>
      <w:r w:rsidR="00D56AD5" w:rsidRPr="00D56AD5">
        <w:t xml:space="preserve"> has only slightly lower productivity values in comparison to Alnus </w:t>
      </w:r>
      <w:proofErr w:type="spellStart"/>
      <w:r w:rsidR="00D56AD5" w:rsidRPr="00D56AD5">
        <w:lastRenderedPageBreak/>
        <w:t>glutinosa</w:t>
      </w:r>
      <w:proofErr w:type="spellEnd"/>
      <w:r w:rsidR="00D56AD5" w:rsidRPr="00D56AD5">
        <w:t xml:space="preserve">, indicating that if birch fully replaced habitats formerly dominated by alder, higher pollen concentrations would be expected.  </w:t>
      </w:r>
      <w:r w:rsidR="00EE3894" w:rsidRPr="004A4FE9">
        <w:t xml:space="preserve">As this is not the case, it is indeed possible that the reduction in Alder reflects an opening of the local woodland canopy.  </w:t>
      </w:r>
      <w:r w:rsidR="00D56AD5" w:rsidRPr="00D56AD5">
        <w:t xml:space="preserve">The increase in </w:t>
      </w:r>
      <w:proofErr w:type="spellStart"/>
      <w:r w:rsidR="00D56AD5" w:rsidRPr="00D56AD5">
        <w:t>Poaceae</w:t>
      </w:r>
      <w:proofErr w:type="spellEnd"/>
      <w:r w:rsidR="00D56AD5" w:rsidRPr="00D56AD5">
        <w:t xml:space="preserve"> alongside reduced </w:t>
      </w:r>
      <w:r w:rsidR="00EE3894" w:rsidRPr="004A4FE9">
        <w:t xml:space="preserve">the </w:t>
      </w:r>
      <w:r w:rsidR="00D56AD5" w:rsidRPr="00D56AD5">
        <w:t xml:space="preserve">wetland taxa </w:t>
      </w:r>
      <w:proofErr w:type="spellStart"/>
      <w:r w:rsidR="00EE3894" w:rsidRPr="004A4FE9">
        <w:t>Cyperaceae</w:t>
      </w:r>
      <w:proofErr w:type="spellEnd"/>
      <w:r w:rsidR="00EE3894" w:rsidRPr="004A4FE9">
        <w:t xml:space="preserve"> may also </w:t>
      </w:r>
      <w:r w:rsidR="00D56AD5" w:rsidRPr="00D56AD5">
        <w:t xml:space="preserve">indicate increased open dry habitats in close proximity to the sampling site, whilst the </w:t>
      </w:r>
      <w:r w:rsidR="00FC4F8D" w:rsidRPr="004A4FE9">
        <w:t xml:space="preserve">appearance and </w:t>
      </w:r>
      <w:r w:rsidR="00D56AD5" w:rsidRPr="00D56AD5">
        <w:t xml:space="preserve">sustained presence of Plantago lanceolata </w:t>
      </w:r>
      <w:r w:rsidR="00EE3894" w:rsidRPr="004A4FE9">
        <w:t>could suggest</w:t>
      </w:r>
      <w:r w:rsidR="00D56AD5" w:rsidRPr="00D56AD5">
        <w:t xml:space="preserve"> either the onset or an increase in pastoral activities in those areas.  </w:t>
      </w:r>
    </w:p>
    <w:p w14:paraId="5143D2FF" w14:textId="48FB55CE" w:rsidR="00EE3894" w:rsidRPr="004A4FE9" w:rsidRDefault="00EE3894" w:rsidP="00D56AD5">
      <w:pPr>
        <w:jc w:val="both"/>
      </w:pPr>
      <w:r w:rsidRPr="004A4FE9">
        <w:t>From c.3</w:t>
      </w:r>
      <w:r w:rsidR="008D1181">
        <w:t>,</w:t>
      </w:r>
      <w:r w:rsidRPr="004A4FE9">
        <w:t>535 BP (1</w:t>
      </w:r>
      <w:r w:rsidR="008D1181">
        <w:t>,</w:t>
      </w:r>
      <w:r w:rsidRPr="004A4FE9">
        <w:t>585 BC),</w:t>
      </w:r>
      <w:r w:rsidR="00F01760" w:rsidRPr="004A4FE9">
        <w:t xml:space="preserve"> at around the start of the Middle Bronze Age</w:t>
      </w:r>
      <w:r w:rsidRPr="004A4FE9">
        <w:t xml:space="preserve"> </w:t>
      </w:r>
      <w:r w:rsidR="00F01760" w:rsidRPr="004A4FE9">
        <w:t xml:space="preserve">(MBA) </w:t>
      </w:r>
      <w:r w:rsidRPr="004A4FE9">
        <w:t xml:space="preserve">a marked increase in cereal-type pollen at LLYR4 points to the first convincing evidence for arable </w:t>
      </w:r>
      <w:r w:rsidR="00A13FC0" w:rsidRPr="004A4FE9">
        <w:t>activity</w:t>
      </w:r>
      <w:r w:rsidRPr="004A4FE9">
        <w:t xml:space="preserve"> at </w:t>
      </w:r>
      <w:proofErr w:type="spellStart"/>
      <w:r w:rsidRPr="004A4FE9">
        <w:t>Talsarn</w:t>
      </w:r>
      <w:proofErr w:type="spellEnd"/>
      <w:r w:rsidRPr="004A4FE9">
        <w:t xml:space="preserve">.  </w:t>
      </w:r>
      <w:r w:rsidR="00F01760" w:rsidRPr="004A4FE9">
        <w:t xml:space="preserve">Prior to this time, the evidence for arable activity consisted of rare </w:t>
      </w:r>
      <w:r w:rsidR="00A13FC0">
        <w:t>C</w:t>
      </w:r>
      <w:r w:rsidR="00A13FC0" w:rsidRPr="004A4FE9">
        <w:t>ereal</w:t>
      </w:r>
      <w:r w:rsidR="00F01760" w:rsidRPr="004A4FE9">
        <w:t xml:space="preserve">-type grains or arable weeds, whereas this increase in Cereal-type pollen is also </w:t>
      </w:r>
      <w:r w:rsidRPr="004A4FE9">
        <w:t xml:space="preserve">accompanied by </w:t>
      </w:r>
      <w:r w:rsidR="00F01760" w:rsidRPr="004A4FE9">
        <w:t xml:space="preserve">a </w:t>
      </w:r>
      <w:r w:rsidRPr="004A4FE9">
        <w:t xml:space="preserve">rise in Chenopodiaceae pollen, which is also </w:t>
      </w:r>
      <w:r w:rsidR="00F01760" w:rsidRPr="004A4FE9">
        <w:t>indicative of arable activity</w:t>
      </w:r>
      <w:r w:rsidRPr="004A4FE9">
        <w:t xml:space="preserve">. </w:t>
      </w:r>
      <w:r w:rsidR="00F01760" w:rsidRPr="004A4FE9">
        <w:t xml:space="preserve"> An increase in microcharcoal concentrations in the core at this time could also indicate increased human disturbance in the catchment of the site that may also coincide with increased settlement activity.  </w:t>
      </w:r>
      <w:r w:rsidR="00936054">
        <w:t xml:space="preserve">It is difficult to pinpoint the onset of arable activities elsewhere in Ceredigion as the levels of cereal-type pollen grains are extremely rare for most periods.  They are present as occasion al rare grains at </w:t>
      </w:r>
      <w:proofErr w:type="spellStart"/>
      <w:r w:rsidR="00936054">
        <w:t>Clarach</w:t>
      </w:r>
      <w:proofErr w:type="spellEnd"/>
      <w:r w:rsidR="00936054">
        <w:t xml:space="preserve"> from the early neolithic </w:t>
      </w:r>
      <w:r w:rsidR="00C317A8">
        <w:t xml:space="preserve">(Heyworth et al. 1985) and at Cors </w:t>
      </w:r>
      <w:proofErr w:type="spellStart"/>
      <w:r w:rsidR="00C317A8">
        <w:t>Tregaron</w:t>
      </w:r>
      <w:proofErr w:type="spellEnd"/>
      <w:r w:rsidR="00C317A8">
        <w:t xml:space="preserve"> (Hibbert and </w:t>
      </w:r>
      <w:proofErr w:type="spellStart"/>
      <w:r w:rsidR="00C317A8">
        <w:t>Switsur</w:t>
      </w:r>
      <w:proofErr w:type="spellEnd"/>
      <w:r w:rsidR="00C317A8">
        <w:t xml:space="preserve"> 1976) and </w:t>
      </w:r>
      <w:proofErr w:type="spellStart"/>
      <w:r w:rsidR="00C317A8">
        <w:t>Figyn</w:t>
      </w:r>
      <w:proofErr w:type="spellEnd"/>
      <w:r w:rsidR="00C317A8">
        <w:t xml:space="preserve"> Blaen </w:t>
      </w:r>
      <w:proofErr w:type="spellStart"/>
      <w:r w:rsidR="00C317A8">
        <w:t>Brefi</w:t>
      </w:r>
      <w:proofErr w:type="spellEnd"/>
      <w:r w:rsidR="00C317A8">
        <w:t xml:space="preserve"> (Buckley 2000) from the Middle Bronze Age, but at much lower percentages than at LLYR4.  It is possible that the higher frequency of Cereal-type grains at LLYR4 may be because of the site’s proximity to the bog’s edge, closer to where arable activities may be taking place, or could also be because of the extended counting undertaken at the site that specifically aimed to understand variations in taxa occurring at lower frequencies.  </w:t>
      </w:r>
      <w:r w:rsidRPr="004A4FE9">
        <w:t xml:space="preserve">The contemporary reduction in </w:t>
      </w:r>
      <w:proofErr w:type="spellStart"/>
      <w:r w:rsidRPr="004A4FE9">
        <w:t>Cyperaceae</w:t>
      </w:r>
      <w:proofErr w:type="spellEnd"/>
      <w:r w:rsidRPr="004A4FE9">
        <w:t xml:space="preserve"> pollen </w:t>
      </w:r>
      <w:r w:rsidR="00F01760" w:rsidRPr="004A4FE9">
        <w:t xml:space="preserve">at this time </w:t>
      </w:r>
      <w:r w:rsidRPr="004A4FE9">
        <w:t xml:space="preserve">may indicate that </w:t>
      </w:r>
      <w:r w:rsidR="00F01760" w:rsidRPr="004A4FE9">
        <w:t xml:space="preserve">the evidence for increased </w:t>
      </w:r>
      <w:r w:rsidRPr="004A4FE9">
        <w:t>arable activity may be related to drier local conditions</w:t>
      </w:r>
      <w:r w:rsidR="00F01760" w:rsidRPr="004A4FE9">
        <w:t xml:space="preserve"> or wider </w:t>
      </w:r>
      <w:r w:rsidRPr="004A4FE9">
        <w:t>climate</w:t>
      </w:r>
      <w:r w:rsidR="00F01760" w:rsidRPr="004A4FE9">
        <w:t xml:space="preserve"> change.  This evidence for increased arable activity is also consistent with wider patterns across Britain during the MBA</w:t>
      </w:r>
      <w:r w:rsidR="002A38F1" w:rsidRPr="004A4FE9">
        <w:t>, when there is a shift towards cultivation activities during the later 2</w:t>
      </w:r>
      <w:r w:rsidR="002A38F1" w:rsidRPr="004A4FE9">
        <w:rPr>
          <w:vertAlign w:val="superscript"/>
        </w:rPr>
        <w:t>nd</w:t>
      </w:r>
      <w:r w:rsidR="002A38F1" w:rsidRPr="004A4FE9">
        <w:t xml:space="preserve"> </w:t>
      </w:r>
      <w:r w:rsidR="00A13FC0" w:rsidRPr="004A4FE9">
        <w:t>millennium</w:t>
      </w:r>
      <w:r w:rsidR="002A38F1" w:rsidRPr="004A4FE9">
        <w:t xml:space="preserve"> BC (</w:t>
      </w:r>
      <w:bookmarkStart w:id="14" w:name="_Hlk146572661"/>
      <w:proofErr w:type="spellStart"/>
      <w:r w:rsidR="002A38F1" w:rsidRPr="004A4FE9">
        <w:t>Darvill</w:t>
      </w:r>
      <w:proofErr w:type="spellEnd"/>
      <w:r w:rsidR="002A38F1" w:rsidRPr="004A4FE9">
        <w:t xml:space="preserve"> 2020</w:t>
      </w:r>
      <w:bookmarkEnd w:id="14"/>
      <w:r w:rsidR="002A38F1" w:rsidRPr="004A4FE9">
        <w:t>: 72).</w:t>
      </w:r>
    </w:p>
    <w:p w14:paraId="4C573606" w14:textId="3A696DDC" w:rsidR="00E50968" w:rsidRPr="004A4FE9" w:rsidRDefault="002A38F1" w:rsidP="00E50968">
      <w:pPr>
        <w:jc w:val="both"/>
      </w:pPr>
      <w:r w:rsidRPr="004A4FE9">
        <w:t>During the later centuries of the MBA and the Late Bronze Age (LBA), starting at around 3</w:t>
      </w:r>
      <w:r w:rsidR="008D1181">
        <w:t>,</w:t>
      </w:r>
      <w:r w:rsidRPr="004A4FE9">
        <w:t>265 BP (c.1</w:t>
      </w:r>
      <w:r w:rsidR="008D1181">
        <w:t>,</w:t>
      </w:r>
      <w:r w:rsidRPr="004A4FE9">
        <w:t>315 BC)</w:t>
      </w:r>
      <w:r w:rsidR="00835679" w:rsidRPr="004A4FE9">
        <w:t xml:space="preserve"> until c</w:t>
      </w:r>
      <w:r w:rsidR="00554504">
        <w:t>.</w:t>
      </w:r>
      <w:r w:rsidR="00835679" w:rsidRPr="004A4FE9">
        <w:t>2</w:t>
      </w:r>
      <w:r w:rsidR="008D1181">
        <w:t>,</w:t>
      </w:r>
      <w:r w:rsidR="00835679" w:rsidRPr="004A4FE9">
        <w:t>710 BP</w:t>
      </w:r>
      <w:r w:rsidR="008D1181">
        <w:t xml:space="preserve"> </w:t>
      </w:r>
      <w:r w:rsidR="00835679" w:rsidRPr="004A4FE9">
        <w:t>(c.</w:t>
      </w:r>
      <w:r w:rsidR="00835679" w:rsidRPr="004A4FE9">
        <w:rPr>
          <w:rFonts w:eastAsia="Times New Roman" w:cstheme="minorHAnsi"/>
          <w:lang w:eastAsia="en-GB"/>
        </w:rPr>
        <w:t>760 BC)</w:t>
      </w:r>
      <w:r w:rsidRPr="004A4FE9">
        <w:t>, w</w:t>
      </w:r>
      <w:r w:rsidRPr="002A38F1">
        <w:t xml:space="preserve">etter conditions are implied by the contemporary increase in both </w:t>
      </w:r>
      <w:r w:rsidRPr="002A38F1">
        <w:rPr>
          <w:i/>
          <w:iCs/>
        </w:rPr>
        <w:t xml:space="preserve">Alnus </w:t>
      </w:r>
      <w:proofErr w:type="spellStart"/>
      <w:r w:rsidRPr="002A38F1">
        <w:rPr>
          <w:i/>
          <w:iCs/>
        </w:rPr>
        <w:t>glutinosa</w:t>
      </w:r>
      <w:proofErr w:type="spellEnd"/>
      <w:r w:rsidRPr="002A38F1">
        <w:t xml:space="preserve">, </w:t>
      </w:r>
      <w:proofErr w:type="spellStart"/>
      <w:r w:rsidRPr="002A38F1">
        <w:t>Cyperaceae</w:t>
      </w:r>
      <w:proofErr w:type="spellEnd"/>
      <w:r w:rsidRPr="002A38F1">
        <w:t xml:space="preserve"> and spike in </w:t>
      </w:r>
      <w:proofErr w:type="spellStart"/>
      <w:r w:rsidRPr="002A38F1">
        <w:rPr>
          <w:i/>
          <w:iCs/>
        </w:rPr>
        <w:t>Filipendula</w:t>
      </w:r>
      <w:proofErr w:type="spellEnd"/>
      <w:r w:rsidRPr="002A38F1">
        <w:t xml:space="preserve"> pollen</w:t>
      </w:r>
      <w:r w:rsidRPr="004A4FE9">
        <w:t xml:space="preserve"> in LLYR4</w:t>
      </w:r>
      <w:r w:rsidRPr="002A38F1">
        <w:t xml:space="preserve">.  This spike in </w:t>
      </w:r>
      <w:proofErr w:type="spellStart"/>
      <w:r w:rsidRPr="004A4FE9">
        <w:rPr>
          <w:i/>
          <w:iCs/>
        </w:rPr>
        <w:t>F</w:t>
      </w:r>
      <w:r w:rsidRPr="002A38F1">
        <w:rPr>
          <w:i/>
          <w:iCs/>
        </w:rPr>
        <w:t>ilipenudla</w:t>
      </w:r>
      <w:proofErr w:type="spellEnd"/>
      <w:r w:rsidRPr="002A38F1">
        <w:t xml:space="preserve"> pollen was caused by a cluster of 5 </w:t>
      </w:r>
      <w:proofErr w:type="spellStart"/>
      <w:r w:rsidRPr="004A4FE9">
        <w:rPr>
          <w:i/>
          <w:iCs/>
        </w:rPr>
        <w:t>F</w:t>
      </w:r>
      <w:r w:rsidRPr="002A38F1">
        <w:rPr>
          <w:i/>
          <w:iCs/>
        </w:rPr>
        <w:t>ilipendula</w:t>
      </w:r>
      <w:proofErr w:type="spellEnd"/>
      <w:r w:rsidRPr="002A38F1">
        <w:t xml:space="preserve"> grains, which implies the presence of decayed anthers belonging to complete flowers of that plant (cf</w:t>
      </w:r>
      <w:bookmarkStart w:id="15" w:name="_Hlk94392626"/>
      <w:r w:rsidRPr="002A38F1">
        <w:t>. Leroi-</w:t>
      </w:r>
      <w:proofErr w:type="spellStart"/>
      <w:r w:rsidRPr="002A38F1">
        <w:t>Gourhan</w:t>
      </w:r>
      <w:proofErr w:type="spellEnd"/>
      <w:r w:rsidRPr="002A38F1">
        <w:t xml:space="preserve"> 1975</w:t>
      </w:r>
      <w:bookmarkEnd w:id="15"/>
      <w:r w:rsidRPr="002A38F1">
        <w:t xml:space="preserve">) and that it </w:t>
      </w:r>
      <w:r w:rsidRPr="004A4FE9">
        <w:t>presumably grew</w:t>
      </w:r>
      <w:r w:rsidRPr="002A38F1">
        <w:t xml:space="preserve"> in the immediate surroundings of the sampling site.  However, the lack of an increase in total pollen concentrations would imply that local Alder woodland did not recover locally to the levels observed in previous zones (</w:t>
      </w:r>
      <w:proofErr w:type="gramStart"/>
      <w:r w:rsidRPr="002A38F1">
        <w:t>i.e.</w:t>
      </w:r>
      <w:proofErr w:type="gramEnd"/>
      <w:r w:rsidRPr="002A38F1">
        <w:t xml:space="preserve"> Llyr 4-1).  It is therefore possible that more open wetland habitats expanded in the immediate vicinity of the site and Alder Carr woodland recovered more extensively on a sub-local or reginal level.  Despite the increased proportion of wetland areas, disturbance indicators remain high and there does not appear to be a significant impact on arable indicators.  In fact, </w:t>
      </w:r>
      <w:r w:rsidRPr="004A4FE9">
        <w:t>C</w:t>
      </w:r>
      <w:r w:rsidRPr="002A38F1">
        <w:t>ereal-type pollen remains relatively stable and there is a greater diversity of herbs indicative of arable activity than in previous zones (</w:t>
      </w:r>
      <w:proofErr w:type="gramStart"/>
      <w:r w:rsidRPr="002A38F1">
        <w:t>e.g.</w:t>
      </w:r>
      <w:proofErr w:type="gramEnd"/>
      <w:r w:rsidRPr="002A38F1">
        <w:t xml:space="preserve"> Brassicaceae, Chenopodiaceae, </w:t>
      </w:r>
      <w:r w:rsidRPr="002A38F1">
        <w:rPr>
          <w:i/>
          <w:iCs/>
        </w:rPr>
        <w:t>Epilobium</w:t>
      </w:r>
      <w:r w:rsidRPr="002A38F1">
        <w:t xml:space="preserve">-type and </w:t>
      </w:r>
      <w:r w:rsidRPr="002A38F1">
        <w:rPr>
          <w:i/>
          <w:iCs/>
        </w:rPr>
        <w:t>Solanum nigrum</w:t>
      </w:r>
      <w:r w:rsidRPr="002A38F1">
        <w:t xml:space="preserve"> – though it should be noted that both Brassicaceae and Epilobium-type pollen can be indicative of wetland and arable habitats).  The temporary disappearance of Plantago lanceolata from the pollen record could reflect a reduction in pastoral activity, </w:t>
      </w:r>
      <w:r w:rsidRPr="004A4FE9">
        <w:t>but</w:t>
      </w:r>
      <w:r w:rsidRPr="002A38F1">
        <w:t xml:space="preserve"> </w:t>
      </w:r>
      <w:r w:rsidRPr="004A4FE9">
        <w:t xml:space="preserve">as </w:t>
      </w:r>
      <w:r w:rsidRPr="002A38F1">
        <w:t>other pastoral indicators remain constant or occur throughout this zone (</w:t>
      </w:r>
      <w:proofErr w:type="gramStart"/>
      <w:r w:rsidRPr="002A38F1">
        <w:t>e.g.</w:t>
      </w:r>
      <w:proofErr w:type="gramEnd"/>
      <w:r w:rsidRPr="002A38F1">
        <w:t xml:space="preserve"> </w:t>
      </w:r>
      <w:r w:rsidRPr="002A38F1">
        <w:rPr>
          <w:i/>
          <w:iCs/>
        </w:rPr>
        <w:t xml:space="preserve">Rumex </w:t>
      </w:r>
      <w:proofErr w:type="spellStart"/>
      <w:r w:rsidRPr="002A38F1">
        <w:rPr>
          <w:i/>
          <w:iCs/>
        </w:rPr>
        <w:t>acetosa</w:t>
      </w:r>
      <w:proofErr w:type="spellEnd"/>
      <w:r w:rsidRPr="002A38F1">
        <w:rPr>
          <w:i/>
          <w:iCs/>
        </w:rPr>
        <w:t xml:space="preserve">, Urtica </w:t>
      </w:r>
      <w:proofErr w:type="spellStart"/>
      <w:r w:rsidRPr="002A38F1">
        <w:rPr>
          <w:i/>
          <w:iCs/>
        </w:rPr>
        <w:t>docia</w:t>
      </w:r>
      <w:proofErr w:type="spellEnd"/>
      <w:r w:rsidRPr="002A38F1">
        <w:t>)</w:t>
      </w:r>
      <w:r w:rsidRPr="004A4FE9">
        <w:t xml:space="preserve"> this might not be the case</w:t>
      </w:r>
      <w:r w:rsidRPr="002A38F1">
        <w:t>.</w:t>
      </w:r>
      <w:r w:rsidR="00835679" w:rsidRPr="004A4FE9">
        <w:t xml:space="preserve">  </w:t>
      </w:r>
      <w:r w:rsidR="00E50968" w:rsidRPr="004A4FE9">
        <w:t>The evidence for increased wetland noted at LLYR4 here corresponds with a period of climatic change to wetter and colder conditions at around the turn of the 1</w:t>
      </w:r>
      <w:r w:rsidR="00E50968" w:rsidRPr="004A4FE9">
        <w:rPr>
          <w:vertAlign w:val="superscript"/>
        </w:rPr>
        <w:t>st</w:t>
      </w:r>
      <w:r w:rsidR="00E50968" w:rsidRPr="004A4FE9">
        <w:t xml:space="preserve"> </w:t>
      </w:r>
      <w:proofErr w:type="spellStart"/>
      <w:r w:rsidR="00E50968" w:rsidRPr="004A4FE9">
        <w:t>millenium</w:t>
      </w:r>
      <w:proofErr w:type="spellEnd"/>
      <w:r w:rsidR="00E50968" w:rsidRPr="004A4FE9">
        <w:t xml:space="preserve"> BC.  This phenomenon has often been linked to the abandonment of several upland areas (Tipping </w:t>
      </w:r>
      <w:r w:rsidR="00E50968" w:rsidRPr="004A4FE9">
        <w:rPr>
          <w:i/>
          <w:iCs/>
        </w:rPr>
        <w:t xml:space="preserve">et al. </w:t>
      </w:r>
      <w:r w:rsidR="00E50968" w:rsidRPr="004A4FE9">
        <w:t xml:space="preserve">2008; Turney </w:t>
      </w:r>
      <w:r w:rsidR="00E50968" w:rsidRPr="004A4FE9">
        <w:rPr>
          <w:i/>
          <w:iCs/>
        </w:rPr>
        <w:t xml:space="preserve">et al. </w:t>
      </w:r>
      <w:r w:rsidR="00E50968" w:rsidRPr="004A4FE9">
        <w:t xml:space="preserve">2016; </w:t>
      </w:r>
      <w:proofErr w:type="spellStart"/>
      <w:r w:rsidR="00E50968" w:rsidRPr="004A4FE9">
        <w:t>Darvill</w:t>
      </w:r>
      <w:proofErr w:type="spellEnd"/>
      <w:r w:rsidR="00E50968" w:rsidRPr="004A4FE9">
        <w:t xml:space="preserve"> 2020: 75).  Although the evidence at LLYR4 supports the evidence for wetter conditions, there doesn’t appear to be any evidence for settlement abandonment, </w:t>
      </w:r>
      <w:r w:rsidR="00A0786D">
        <w:t>but</w:t>
      </w:r>
      <w:r w:rsidR="00E50968" w:rsidRPr="004A4FE9">
        <w:t xml:space="preserve"> there is admittedly a possibility that reduced pastoral activity may have occurred.  </w:t>
      </w:r>
    </w:p>
    <w:p w14:paraId="43B22CE8" w14:textId="35058F01" w:rsidR="002A7857" w:rsidRPr="00F47780" w:rsidRDefault="00E50968" w:rsidP="002A7857">
      <w:pPr>
        <w:jc w:val="both"/>
        <w:rPr>
          <w:rFonts w:eastAsia="Times New Roman" w:cstheme="minorHAnsi"/>
          <w:lang w:eastAsia="en-GB"/>
        </w:rPr>
      </w:pPr>
      <w:r w:rsidRPr="004A4FE9">
        <w:lastRenderedPageBreak/>
        <w:t>However, i</w:t>
      </w:r>
      <w:r w:rsidR="00835679" w:rsidRPr="004A4FE9">
        <w:t>n contrast with the record from LLYR4, LLYR14 shows no contemporary increase in wetland indicators</w:t>
      </w:r>
      <w:r w:rsidRPr="004A4FE9">
        <w:t xml:space="preserve"> are observed.  I</w:t>
      </w:r>
      <w:r w:rsidR="00835679" w:rsidRPr="004A4FE9">
        <w:t>nstead</w:t>
      </w:r>
      <w:r w:rsidRPr="004A4FE9">
        <w:t>, during</w:t>
      </w:r>
      <w:r w:rsidR="00835679" w:rsidRPr="004A4FE9">
        <w:t xml:space="preserve"> </w:t>
      </w:r>
      <w:r w:rsidRPr="004A4FE9">
        <w:t>the period from c.</w:t>
      </w:r>
      <w:r w:rsidRPr="004A4FE9">
        <w:rPr>
          <w:rFonts w:eastAsia="Times New Roman" w:cstheme="minorHAnsi"/>
          <w:lang w:eastAsia="en-GB"/>
        </w:rPr>
        <w:t xml:space="preserve"> 3</w:t>
      </w:r>
      <w:r w:rsidR="002A7857">
        <w:rPr>
          <w:rFonts w:eastAsia="Times New Roman" w:cstheme="minorHAnsi"/>
          <w:lang w:eastAsia="en-GB"/>
        </w:rPr>
        <w:t>,</w:t>
      </w:r>
      <w:r w:rsidRPr="004A4FE9">
        <w:rPr>
          <w:rFonts w:eastAsia="Times New Roman" w:cstheme="minorHAnsi"/>
          <w:lang w:eastAsia="en-GB"/>
        </w:rPr>
        <w:t>060-2</w:t>
      </w:r>
      <w:r w:rsidR="002A7857">
        <w:rPr>
          <w:rFonts w:eastAsia="Times New Roman" w:cstheme="minorHAnsi"/>
          <w:lang w:eastAsia="en-GB"/>
        </w:rPr>
        <w:t>,</w:t>
      </w:r>
      <w:r w:rsidRPr="004A4FE9">
        <w:rPr>
          <w:rFonts w:eastAsia="Times New Roman" w:cstheme="minorHAnsi"/>
          <w:lang w:eastAsia="en-GB"/>
        </w:rPr>
        <w:t>650 BP (</w:t>
      </w:r>
      <w:r w:rsidR="00835679" w:rsidRPr="004A4FE9">
        <w:rPr>
          <w:rFonts w:eastAsia="Times New Roman" w:cstheme="minorHAnsi"/>
          <w:lang w:eastAsia="en-GB"/>
        </w:rPr>
        <w:t>c.1</w:t>
      </w:r>
      <w:r w:rsidR="002A7857">
        <w:rPr>
          <w:rFonts w:eastAsia="Times New Roman" w:cstheme="minorHAnsi"/>
          <w:lang w:eastAsia="en-GB"/>
        </w:rPr>
        <w:t>,</w:t>
      </w:r>
      <w:r w:rsidR="00835679" w:rsidRPr="004A4FE9">
        <w:rPr>
          <w:rFonts w:eastAsia="Times New Roman" w:cstheme="minorHAnsi"/>
          <w:lang w:eastAsia="en-GB"/>
        </w:rPr>
        <w:t>110-700 BC</w:t>
      </w:r>
      <w:r w:rsidRPr="004A4FE9">
        <w:rPr>
          <w:rFonts w:eastAsia="Times New Roman" w:cstheme="minorHAnsi"/>
          <w:lang w:eastAsia="en-GB"/>
        </w:rPr>
        <w:t xml:space="preserve">), an increase or </w:t>
      </w:r>
      <w:r w:rsidR="00835679" w:rsidRPr="004A4FE9">
        <w:rPr>
          <w:rFonts w:eastAsia="Times New Roman" w:cstheme="minorHAnsi"/>
          <w:lang w:eastAsia="en-GB"/>
        </w:rPr>
        <w:t xml:space="preserve">spike in anthropogenic indicators </w:t>
      </w:r>
      <w:r w:rsidRPr="004A4FE9">
        <w:rPr>
          <w:rFonts w:eastAsia="Times New Roman" w:cstheme="minorHAnsi"/>
          <w:lang w:eastAsia="en-GB"/>
        </w:rPr>
        <w:t xml:space="preserve">are noted </w:t>
      </w:r>
      <w:r w:rsidR="00835679" w:rsidRPr="004A4FE9">
        <w:rPr>
          <w:rFonts w:eastAsia="Times New Roman" w:cstheme="minorHAnsi"/>
          <w:lang w:eastAsia="en-GB"/>
        </w:rPr>
        <w:t xml:space="preserve">(Cereal-type, Plantago lanceolata, Chenopodiaceae, Caryophyllaceae, </w:t>
      </w:r>
      <w:r w:rsidR="00A11BC4" w:rsidRPr="00F47780">
        <w:rPr>
          <w:rFonts w:eastAsia="Times New Roman" w:cstheme="minorHAnsi"/>
          <w:i/>
          <w:iCs/>
          <w:lang w:eastAsia="en-GB"/>
        </w:rPr>
        <w:t>Euphorbia</w:t>
      </w:r>
      <w:r w:rsidR="00A11BC4">
        <w:rPr>
          <w:rFonts w:eastAsia="Times New Roman" w:cstheme="minorHAnsi"/>
          <w:lang w:eastAsia="en-GB"/>
        </w:rPr>
        <w:t>-type</w:t>
      </w:r>
      <w:r w:rsidR="00835679" w:rsidRPr="004A4FE9">
        <w:rPr>
          <w:rFonts w:eastAsia="Times New Roman" w:cstheme="minorHAnsi"/>
          <w:lang w:eastAsia="en-GB"/>
        </w:rPr>
        <w:t xml:space="preserve">, </w:t>
      </w:r>
      <w:r w:rsidR="00835679" w:rsidRPr="00F47780">
        <w:rPr>
          <w:rFonts w:eastAsia="Times New Roman" w:cstheme="minorHAnsi"/>
          <w:i/>
          <w:iCs/>
          <w:lang w:eastAsia="en-GB"/>
        </w:rPr>
        <w:t xml:space="preserve">Urtica </w:t>
      </w:r>
      <w:proofErr w:type="spellStart"/>
      <w:r w:rsidR="00835679" w:rsidRPr="00F47780">
        <w:rPr>
          <w:rFonts w:eastAsia="Times New Roman" w:cstheme="minorHAnsi"/>
          <w:i/>
          <w:iCs/>
          <w:lang w:eastAsia="en-GB"/>
        </w:rPr>
        <w:t>docia</w:t>
      </w:r>
      <w:proofErr w:type="spellEnd"/>
      <w:r w:rsidR="00835679" w:rsidRPr="004A4FE9">
        <w:rPr>
          <w:rFonts w:eastAsia="Times New Roman" w:cstheme="minorHAnsi"/>
          <w:lang w:eastAsia="en-GB"/>
        </w:rPr>
        <w:t xml:space="preserve"> and microcharcoal) suggest</w:t>
      </w:r>
      <w:r w:rsidRPr="004A4FE9">
        <w:rPr>
          <w:rFonts w:eastAsia="Times New Roman" w:cstheme="minorHAnsi"/>
          <w:lang w:eastAsia="en-GB"/>
        </w:rPr>
        <w:t>ing</w:t>
      </w:r>
      <w:r w:rsidR="00835679" w:rsidRPr="004A4FE9">
        <w:rPr>
          <w:rFonts w:eastAsia="Times New Roman" w:cstheme="minorHAnsi"/>
          <w:lang w:eastAsia="en-GB"/>
        </w:rPr>
        <w:t xml:space="preserve"> increased human activities in the </w:t>
      </w:r>
      <w:r w:rsidRPr="004A4FE9">
        <w:rPr>
          <w:rFonts w:eastAsia="Times New Roman" w:cstheme="minorHAnsi"/>
          <w:lang w:eastAsia="en-GB"/>
        </w:rPr>
        <w:t>site’s pollen catchment</w:t>
      </w:r>
      <w:r w:rsidR="00835679" w:rsidRPr="004A4FE9">
        <w:rPr>
          <w:rFonts w:eastAsia="Times New Roman" w:cstheme="minorHAnsi"/>
          <w:lang w:eastAsia="en-GB"/>
        </w:rPr>
        <w:t xml:space="preserve">, including </w:t>
      </w:r>
      <w:r w:rsidRPr="004A4FE9">
        <w:rPr>
          <w:rFonts w:eastAsia="Times New Roman" w:cstheme="minorHAnsi"/>
          <w:lang w:eastAsia="en-GB"/>
        </w:rPr>
        <w:t xml:space="preserve">an increase in </w:t>
      </w:r>
      <w:r w:rsidR="00835679" w:rsidRPr="004A4FE9">
        <w:rPr>
          <w:rFonts w:eastAsia="Times New Roman" w:cstheme="minorHAnsi"/>
          <w:lang w:eastAsia="en-GB"/>
        </w:rPr>
        <w:t xml:space="preserve">arable and pastoral farming.  </w:t>
      </w:r>
      <w:r w:rsidRPr="004A4FE9">
        <w:rPr>
          <w:rFonts w:eastAsia="Times New Roman" w:cstheme="minorHAnsi"/>
          <w:lang w:eastAsia="en-GB"/>
        </w:rPr>
        <w:t>It should be noted that the changes noted at LLYR14 c</w:t>
      </w:r>
      <w:r w:rsidR="00835679" w:rsidRPr="004A4FE9">
        <w:rPr>
          <w:rFonts w:eastAsia="Times New Roman" w:cstheme="minorHAnsi"/>
          <w:lang w:eastAsia="en-GB"/>
        </w:rPr>
        <w:t xml:space="preserve">orrespond with </w:t>
      </w:r>
      <w:r w:rsidRPr="004A4FE9">
        <w:rPr>
          <w:rFonts w:eastAsia="Times New Roman" w:cstheme="minorHAnsi"/>
          <w:lang w:eastAsia="en-GB"/>
        </w:rPr>
        <w:t xml:space="preserve">the </w:t>
      </w:r>
      <w:r w:rsidR="00835679" w:rsidRPr="004A4FE9">
        <w:rPr>
          <w:rFonts w:eastAsia="Times New Roman" w:cstheme="minorHAnsi"/>
          <w:lang w:eastAsia="en-GB"/>
        </w:rPr>
        <w:t>period of establishment of hillforts in the LBA</w:t>
      </w:r>
      <w:r w:rsidRPr="004A4FE9">
        <w:rPr>
          <w:rFonts w:eastAsia="Times New Roman" w:cstheme="minorHAnsi"/>
          <w:lang w:eastAsia="en-GB"/>
        </w:rPr>
        <w:t xml:space="preserve"> or Early Iron Age (</w:t>
      </w:r>
      <w:r w:rsidR="00835679" w:rsidRPr="004A4FE9">
        <w:rPr>
          <w:rFonts w:eastAsia="Times New Roman" w:cstheme="minorHAnsi"/>
          <w:lang w:eastAsia="en-GB"/>
        </w:rPr>
        <w:t>EIA</w:t>
      </w:r>
      <w:r w:rsidRPr="004A4FE9">
        <w:rPr>
          <w:rFonts w:eastAsia="Times New Roman" w:cstheme="minorHAnsi"/>
          <w:lang w:eastAsia="en-GB"/>
        </w:rPr>
        <w:t xml:space="preserve">).  Therefore, the increase in farming indicators could </w:t>
      </w:r>
      <w:r w:rsidR="00835679" w:rsidRPr="004A4FE9">
        <w:rPr>
          <w:rFonts w:eastAsia="Times New Roman" w:cstheme="minorHAnsi"/>
          <w:lang w:eastAsia="en-GB"/>
        </w:rPr>
        <w:t xml:space="preserve">possibly relate </w:t>
      </w:r>
      <w:r w:rsidRPr="004A4FE9">
        <w:rPr>
          <w:rFonts w:eastAsia="Times New Roman" w:cstheme="minorHAnsi"/>
          <w:lang w:eastAsia="en-GB"/>
        </w:rPr>
        <w:t xml:space="preserve">changes </w:t>
      </w:r>
      <w:r w:rsidR="00835679" w:rsidRPr="004A4FE9">
        <w:rPr>
          <w:rFonts w:eastAsia="Times New Roman" w:cstheme="minorHAnsi"/>
          <w:lang w:eastAsia="en-GB"/>
        </w:rPr>
        <w:t xml:space="preserve">to tenurial </w:t>
      </w:r>
      <w:proofErr w:type="spellStart"/>
      <w:r w:rsidR="00835679" w:rsidRPr="004A4FE9">
        <w:rPr>
          <w:rFonts w:eastAsia="Times New Roman" w:cstheme="minorHAnsi"/>
          <w:lang w:eastAsia="en-GB"/>
        </w:rPr>
        <w:t>structrures</w:t>
      </w:r>
      <w:proofErr w:type="spellEnd"/>
      <w:r w:rsidR="00835679" w:rsidRPr="004A4FE9">
        <w:rPr>
          <w:rFonts w:eastAsia="Times New Roman" w:cstheme="minorHAnsi"/>
          <w:lang w:eastAsia="en-GB"/>
        </w:rPr>
        <w:t xml:space="preserve"> associated with the control of farming resources often associated with the establishment of hillforts (</w:t>
      </w:r>
      <w:bookmarkStart w:id="16" w:name="_Hlk146572693"/>
      <w:r w:rsidR="00835679" w:rsidRPr="004A4FE9">
        <w:rPr>
          <w:rFonts w:eastAsia="Times New Roman" w:cstheme="minorHAnsi"/>
          <w:lang w:eastAsia="en-GB"/>
        </w:rPr>
        <w:t xml:space="preserve">Davis &amp; Sharples </w:t>
      </w:r>
      <w:r w:rsidRPr="004A4FE9">
        <w:rPr>
          <w:rFonts w:eastAsia="Times New Roman" w:cstheme="minorHAnsi"/>
          <w:lang w:eastAsia="en-GB"/>
        </w:rPr>
        <w:t>2</w:t>
      </w:r>
      <w:r w:rsidR="00B56087">
        <w:rPr>
          <w:rFonts w:eastAsia="Times New Roman" w:cstheme="minorHAnsi"/>
          <w:lang w:eastAsia="en-GB"/>
        </w:rPr>
        <w:t>0</w:t>
      </w:r>
      <w:r w:rsidRPr="004A4FE9">
        <w:rPr>
          <w:rFonts w:eastAsia="Times New Roman" w:cstheme="minorHAnsi"/>
          <w:lang w:eastAsia="en-GB"/>
        </w:rPr>
        <w:t>20</w:t>
      </w:r>
      <w:bookmarkEnd w:id="16"/>
      <w:r w:rsidRPr="004A4FE9">
        <w:rPr>
          <w:rFonts w:eastAsia="Times New Roman" w:cstheme="minorHAnsi"/>
          <w:lang w:eastAsia="en-GB"/>
        </w:rPr>
        <w:t>: 176</w:t>
      </w:r>
      <w:r w:rsidR="00835679" w:rsidRPr="004A4FE9">
        <w:rPr>
          <w:rFonts w:eastAsia="Times New Roman" w:cstheme="minorHAnsi"/>
          <w:lang w:eastAsia="en-GB"/>
        </w:rPr>
        <w:t xml:space="preserve">).  Similar trends </w:t>
      </w:r>
      <w:r w:rsidRPr="004A4FE9">
        <w:rPr>
          <w:rFonts w:eastAsia="Times New Roman" w:cstheme="minorHAnsi"/>
          <w:lang w:eastAsia="en-GB"/>
        </w:rPr>
        <w:t xml:space="preserve">to those at LLYR14 can also </w:t>
      </w:r>
      <w:r w:rsidR="008635CF" w:rsidRPr="004A4FE9">
        <w:rPr>
          <w:rFonts w:eastAsia="Times New Roman" w:cstheme="minorHAnsi"/>
          <w:lang w:eastAsia="en-GB"/>
        </w:rPr>
        <w:t>be</w:t>
      </w:r>
      <w:r w:rsidRPr="004A4FE9">
        <w:rPr>
          <w:rFonts w:eastAsia="Times New Roman" w:cstheme="minorHAnsi"/>
          <w:lang w:eastAsia="en-GB"/>
        </w:rPr>
        <w:t xml:space="preserve"> </w:t>
      </w:r>
      <w:r w:rsidR="00835679" w:rsidRPr="004A4FE9">
        <w:rPr>
          <w:rFonts w:eastAsia="Times New Roman" w:cstheme="minorHAnsi"/>
          <w:lang w:eastAsia="en-GB"/>
        </w:rPr>
        <w:t xml:space="preserve">observed </w:t>
      </w:r>
      <w:r w:rsidRPr="004A4FE9">
        <w:rPr>
          <w:rFonts w:eastAsia="Times New Roman" w:cstheme="minorHAnsi"/>
          <w:lang w:eastAsia="en-GB"/>
        </w:rPr>
        <w:t>with</w:t>
      </w:r>
      <w:r w:rsidR="00835679" w:rsidRPr="004A4FE9">
        <w:rPr>
          <w:rFonts w:eastAsia="Times New Roman" w:cstheme="minorHAnsi"/>
          <w:lang w:eastAsia="en-GB"/>
        </w:rPr>
        <w:t xml:space="preserve">in </w:t>
      </w:r>
      <w:proofErr w:type="spellStart"/>
      <w:r w:rsidRPr="004A4FE9">
        <w:rPr>
          <w:rFonts w:eastAsia="Times New Roman" w:cstheme="minorHAnsi"/>
          <w:lang w:eastAsia="en-GB"/>
        </w:rPr>
        <w:t>Bannau</w:t>
      </w:r>
      <w:proofErr w:type="spellEnd"/>
      <w:r w:rsidRPr="004A4FE9">
        <w:rPr>
          <w:rFonts w:eastAsia="Times New Roman" w:cstheme="minorHAnsi"/>
          <w:lang w:eastAsia="en-GB"/>
        </w:rPr>
        <w:t xml:space="preserve"> </w:t>
      </w:r>
      <w:proofErr w:type="spellStart"/>
      <w:r w:rsidRPr="004A4FE9">
        <w:rPr>
          <w:rFonts w:eastAsia="Times New Roman" w:cstheme="minorHAnsi"/>
          <w:lang w:eastAsia="en-GB"/>
        </w:rPr>
        <w:t>Brycheiniog</w:t>
      </w:r>
      <w:proofErr w:type="spellEnd"/>
      <w:r w:rsidRPr="004A4FE9">
        <w:rPr>
          <w:rFonts w:eastAsia="Times New Roman" w:cstheme="minorHAnsi"/>
          <w:lang w:eastAsia="en-GB"/>
        </w:rPr>
        <w:t xml:space="preserve"> National Park </w:t>
      </w:r>
      <w:r w:rsidR="007B6042">
        <w:rPr>
          <w:rFonts w:eastAsia="Times New Roman" w:cstheme="minorHAnsi"/>
          <w:lang w:eastAsia="en-GB"/>
        </w:rPr>
        <w:t>(</w:t>
      </w:r>
      <w:r w:rsidR="00835679" w:rsidRPr="004A4FE9">
        <w:rPr>
          <w:rFonts w:eastAsia="Times New Roman" w:cstheme="minorHAnsi"/>
          <w:lang w:eastAsia="en-GB"/>
        </w:rPr>
        <w:t>BBNP</w:t>
      </w:r>
      <w:r w:rsidR="007B6042">
        <w:rPr>
          <w:rFonts w:eastAsia="Times New Roman" w:cstheme="minorHAnsi"/>
          <w:lang w:eastAsia="en-GB"/>
        </w:rPr>
        <w:t>)</w:t>
      </w:r>
      <w:r w:rsidR="00835679" w:rsidRPr="004A4FE9">
        <w:rPr>
          <w:rFonts w:eastAsia="Times New Roman" w:cstheme="minorHAnsi"/>
          <w:lang w:eastAsia="en-GB"/>
        </w:rPr>
        <w:t>, though preceded by a period of upland abandonment (</w:t>
      </w:r>
      <w:bookmarkStart w:id="17" w:name="_Hlk146572705"/>
      <w:r w:rsidR="00835679" w:rsidRPr="004A4FE9">
        <w:rPr>
          <w:rFonts w:eastAsia="Times New Roman" w:cstheme="minorHAnsi"/>
          <w:lang w:eastAsia="en-GB"/>
        </w:rPr>
        <w:t>Davies 2022</w:t>
      </w:r>
      <w:r w:rsidR="00B56087">
        <w:rPr>
          <w:rFonts w:eastAsia="Times New Roman" w:cstheme="minorHAnsi"/>
          <w:lang w:eastAsia="en-GB"/>
        </w:rPr>
        <w:t>a</w:t>
      </w:r>
      <w:r w:rsidRPr="004A4FE9">
        <w:rPr>
          <w:rFonts w:eastAsia="Times New Roman" w:cstheme="minorHAnsi"/>
          <w:lang w:eastAsia="en-GB"/>
        </w:rPr>
        <w:t>, forthcoming</w:t>
      </w:r>
      <w:bookmarkEnd w:id="17"/>
      <w:r w:rsidR="00835679" w:rsidRPr="004A4FE9">
        <w:rPr>
          <w:rFonts w:eastAsia="Times New Roman" w:cstheme="minorHAnsi"/>
          <w:lang w:eastAsia="en-GB"/>
        </w:rPr>
        <w:t xml:space="preserve">).  </w:t>
      </w:r>
      <w:r w:rsidRPr="004A4FE9">
        <w:rPr>
          <w:rFonts w:eastAsia="Times New Roman" w:cstheme="minorHAnsi"/>
          <w:lang w:eastAsia="en-GB"/>
        </w:rPr>
        <w:t xml:space="preserve">Therefore, </w:t>
      </w:r>
      <w:r w:rsidR="007B6042">
        <w:rPr>
          <w:rFonts w:eastAsia="Times New Roman" w:cstheme="minorHAnsi"/>
          <w:lang w:eastAsia="en-GB"/>
        </w:rPr>
        <w:t>i</w:t>
      </w:r>
      <w:r w:rsidR="007B6042" w:rsidRPr="004A4FE9">
        <w:rPr>
          <w:rFonts w:eastAsia="Times New Roman" w:cstheme="minorHAnsi"/>
          <w:lang w:eastAsia="en-GB"/>
        </w:rPr>
        <w:t xml:space="preserve">n </w:t>
      </w:r>
      <w:r w:rsidR="00835679" w:rsidRPr="004A4FE9">
        <w:rPr>
          <w:rFonts w:eastAsia="Times New Roman" w:cstheme="minorHAnsi"/>
          <w:lang w:eastAsia="en-GB"/>
        </w:rPr>
        <w:t xml:space="preserve">this case, </w:t>
      </w:r>
      <w:r w:rsidRPr="004A4FE9">
        <w:rPr>
          <w:rFonts w:eastAsia="Times New Roman" w:cstheme="minorHAnsi"/>
          <w:lang w:eastAsia="en-GB"/>
        </w:rPr>
        <w:t xml:space="preserve">it is possible that the </w:t>
      </w:r>
      <w:r w:rsidR="00835679" w:rsidRPr="004A4FE9">
        <w:rPr>
          <w:rFonts w:eastAsia="Times New Roman" w:cstheme="minorHAnsi"/>
          <w:lang w:eastAsia="en-GB"/>
        </w:rPr>
        <w:t>increase</w:t>
      </w:r>
      <w:r w:rsidRPr="004A4FE9">
        <w:rPr>
          <w:rFonts w:eastAsia="Times New Roman" w:cstheme="minorHAnsi"/>
          <w:lang w:eastAsia="en-GB"/>
        </w:rPr>
        <w:t xml:space="preserve"> in</w:t>
      </w:r>
      <w:r w:rsidR="00835679" w:rsidRPr="004A4FE9">
        <w:rPr>
          <w:rFonts w:eastAsia="Times New Roman" w:cstheme="minorHAnsi"/>
          <w:lang w:eastAsia="en-GB"/>
        </w:rPr>
        <w:t xml:space="preserve"> anthropogenic indicators could relate to a contemporary shift in settlements from upland to lowland zone</w:t>
      </w:r>
      <w:r w:rsidRPr="004A4FE9">
        <w:rPr>
          <w:rFonts w:eastAsia="Times New Roman" w:cstheme="minorHAnsi"/>
          <w:lang w:eastAsia="en-GB"/>
        </w:rPr>
        <w:t xml:space="preserve">.  </w:t>
      </w:r>
      <w:r w:rsidR="002A7857">
        <w:rPr>
          <w:rFonts w:eastAsia="Times New Roman" w:cstheme="minorHAnsi"/>
          <w:lang w:eastAsia="en-GB"/>
        </w:rPr>
        <w:t>It may be significant that</w:t>
      </w:r>
      <w:r w:rsidR="002A7857">
        <w:rPr>
          <w:rFonts w:cstheme="minorHAnsi"/>
        </w:rPr>
        <w:t xml:space="preserve"> evidence for woodland clearance is observed at </w:t>
      </w:r>
      <w:proofErr w:type="spellStart"/>
      <w:r w:rsidR="002A7857">
        <w:rPr>
          <w:rFonts w:cstheme="minorHAnsi"/>
        </w:rPr>
        <w:t>Clarach</w:t>
      </w:r>
      <w:proofErr w:type="spellEnd"/>
      <w:r w:rsidR="002A7857">
        <w:rPr>
          <w:rFonts w:cstheme="minorHAnsi"/>
        </w:rPr>
        <w:t xml:space="preserve"> Bog immediately prior to 2,843-2,466 Cal. BP (893-616 cal. BC – Bacon recalibration of 2580 </w:t>
      </w:r>
      <w:r w:rsidR="002A7857">
        <w:t>60 BP – Heyworth</w:t>
      </w:r>
      <w:r w:rsidR="002A7857" w:rsidRPr="002A7857">
        <w:rPr>
          <w:i/>
          <w:iCs/>
        </w:rPr>
        <w:t xml:space="preserve"> </w:t>
      </w:r>
      <w:r w:rsidR="002A7857" w:rsidRPr="005456ED">
        <w:rPr>
          <w:i/>
          <w:iCs/>
        </w:rPr>
        <w:t>et al</w:t>
      </w:r>
      <w:r w:rsidR="002A7857">
        <w:t>. 1985)</w:t>
      </w:r>
      <w:r w:rsidR="002A7857">
        <w:rPr>
          <w:rFonts w:cstheme="minorHAnsi"/>
        </w:rPr>
        <w:t xml:space="preserve">, when increased in anthropogenic indicators are also observed, that might be reflective of an intensification of lowland areas of Ceredigion for farming and settlement at this time.  </w:t>
      </w:r>
    </w:p>
    <w:p w14:paraId="54287A7E" w14:textId="77777777" w:rsidR="002A7857" w:rsidRPr="004A4FE9" w:rsidRDefault="002A7857" w:rsidP="00E50968">
      <w:pPr>
        <w:jc w:val="both"/>
        <w:rPr>
          <w:rFonts w:eastAsia="Times New Roman" w:cstheme="minorHAnsi"/>
          <w:lang w:eastAsia="en-GB"/>
        </w:rPr>
      </w:pPr>
    </w:p>
    <w:p w14:paraId="26681937" w14:textId="66FE220B" w:rsidR="00A13FC0" w:rsidRDefault="00E50968" w:rsidP="002A38F1">
      <w:pPr>
        <w:jc w:val="both"/>
      </w:pPr>
      <w:r w:rsidRPr="004A4FE9">
        <w:rPr>
          <w:rFonts w:eastAsia="Times New Roman" w:cstheme="minorHAnsi"/>
          <w:lang w:eastAsia="en-GB"/>
        </w:rPr>
        <w:t>The divergence observed in the pollen record between LLYR4 and 14 at this time could well relate to the aforementioned differences in stratigraphy bet</w:t>
      </w:r>
      <w:r w:rsidR="004A4FE9" w:rsidRPr="004A4FE9">
        <w:rPr>
          <w:rFonts w:eastAsia="Times New Roman" w:cstheme="minorHAnsi"/>
          <w:lang w:eastAsia="en-GB"/>
        </w:rPr>
        <w:t xml:space="preserve">ween the cores.  In consideration of the potential wider catchment area of LLYR14, it is possible that the evidence for increased farming activity during the closing centuries of the Bronze Age may be one noted on a regional level rather than local to </w:t>
      </w:r>
      <w:proofErr w:type="spellStart"/>
      <w:r w:rsidR="004A4FE9" w:rsidRPr="004A4FE9">
        <w:rPr>
          <w:rFonts w:eastAsia="Times New Roman" w:cstheme="minorHAnsi"/>
          <w:lang w:eastAsia="en-GB"/>
        </w:rPr>
        <w:t>Talsarn</w:t>
      </w:r>
      <w:proofErr w:type="spellEnd"/>
      <w:r w:rsidR="004A4FE9" w:rsidRPr="004A4FE9">
        <w:rPr>
          <w:rFonts w:eastAsia="Times New Roman" w:cstheme="minorHAnsi"/>
          <w:lang w:eastAsia="en-GB"/>
        </w:rPr>
        <w:t>.  Alternatively, the possibility of redeposited pollen from older sediments should also be considered as a factor</w:t>
      </w:r>
      <w:r w:rsidR="00FA15FA">
        <w:rPr>
          <w:rFonts w:eastAsia="Times New Roman" w:cstheme="minorHAnsi"/>
          <w:lang w:eastAsia="en-GB"/>
        </w:rPr>
        <w:t xml:space="preserve">.  However, </w:t>
      </w:r>
      <w:r w:rsidR="004A4FE9" w:rsidRPr="004A4FE9">
        <w:rPr>
          <w:rFonts w:eastAsia="Times New Roman" w:cstheme="minorHAnsi"/>
          <w:lang w:eastAsia="en-GB"/>
        </w:rPr>
        <w:t xml:space="preserve">the low frequency of corroded pollen grains </w:t>
      </w:r>
      <w:r w:rsidR="004A4FE9">
        <w:rPr>
          <w:rFonts w:eastAsia="Times New Roman" w:cstheme="minorHAnsi"/>
          <w:lang w:eastAsia="en-GB"/>
        </w:rPr>
        <w:t>which might indicate the presence of grains subject to microbial attack and redeposition</w:t>
      </w:r>
      <w:r w:rsidR="00FA15FA">
        <w:rPr>
          <w:rFonts w:eastAsia="Times New Roman" w:cstheme="minorHAnsi"/>
          <w:lang w:eastAsia="en-GB"/>
        </w:rPr>
        <w:t xml:space="preserve"> (cf. Moore et al. 1991: 168-171) suggests limited bias from a pollen assemblage of mixed date.  </w:t>
      </w:r>
    </w:p>
    <w:p w14:paraId="2641B882" w14:textId="77777777" w:rsidR="00A13FC0" w:rsidRDefault="00A13FC0" w:rsidP="002A38F1">
      <w:pPr>
        <w:jc w:val="both"/>
      </w:pPr>
    </w:p>
    <w:p w14:paraId="5F983C06" w14:textId="77777777" w:rsidR="00A0786D" w:rsidRDefault="00A0786D" w:rsidP="002A38F1">
      <w:pPr>
        <w:jc w:val="both"/>
      </w:pPr>
    </w:p>
    <w:p w14:paraId="6E6210D3" w14:textId="5E7F9587" w:rsidR="00835679" w:rsidRPr="004A4FE9" w:rsidRDefault="00FA15FA" w:rsidP="002A38F1">
      <w:pPr>
        <w:jc w:val="both"/>
      </w:pPr>
      <w:r>
        <w:t>Iron Age – c.2650-1907 BP (c.700-43AD)</w:t>
      </w:r>
    </w:p>
    <w:p w14:paraId="2AEFB72B" w14:textId="343F92DB" w:rsidR="00392476" w:rsidRDefault="00FA15FA" w:rsidP="002A38F1">
      <w:pPr>
        <w:jc w:val="both"/>
        <w:rPr>
          <w:rFonts w:cstheme="minorHAnsi"/>
        </w:rPr>
      </w:pPr>
      <w:r>
        <w:t xml:space="preserve">Deposits dating to the Iron Age are again present in LLYR4 and LLYR14.  The environmental sequence in the peat from LLYR4 extends up to </w:t>
      </w:r>
      <w:r w:rsidR="00A0786D">
        <w:t>c.2,380 BP (</w:t>
      </w:r>
      <w:r>
        <w:t>c.430BC</w:t>
      </w:r>
      <w:r w:rsidR="00A0786D">
        <w:t>)</w:t>
      </w:r>
      <w:r>
        <w:t>, after which stratigraphic changes and magnetic susceptibility analysis indicates pedogenic processes that are likely to affect the reliability of palynological analysis of the core</w:t>
      </w:r>
      <w:r w:rsidR="00392476">
        <w:t xml:space="preserve">.  Consequently, pollen analysis of LLYR4 was limited to the peat deposit.  Organic rich sediments dating to the Iron Age were also identified in core LLYR14, which also contained a peat deposit with a basal humic acid fraction radiocarbon date range of </w:t>
      </w:r>
      <w:r w:rsidR="00392476">
        <w:rPr>
          <w:rFonts w:cstheme="minorHAnsi"/>
        </w:rPr>
        <w:t>2359-2180 Cal. BP (</w:t>
      </w:r>
      <w:r w:rsidR="00392476">
        <w:t xml:space="preserve">2,310 </w:t>
      </w:r>
      <w:r w:rsidR="00392476">
        <w:rPr>
          <w:rFonts w:cstheme="minorHAnsi"/>
        </w:rPr>
        <w:t xml:space="preserve">± 30 BP – 409-230 Cal. BC), or an intercept date on the age-depth model of </w:t>
      </w:r>
      <w:r w:rsidR="00A0786D">
        <w:rPr>
          <w:rFonts w:cstheme="minorHAnsi"/>
        </w:rPr>
        <w:t>c.2,260 BP (</w:t>
      </w:r>
      <w:r w:rsidR="00392476">
        <w:rPr>
          <w:rFonts w:cstheme="minorHAnsi"/>
        </w:rPr>
        <w:t>c.</w:t>
      </w:r>
      <w:r w:rsidR="00A0786D">
        <w:rPr>
          <w:rFonts w:cstheme="minorHAnsi"/>
        </w:rPr>
        <w:t xml:space="preserve">310 BC).  </w:t>
      </w:r>
      <w:r w:rsidR="00392476">
        <w:rPr>
          <w:rFonts w:cstheme="minorHAnsi"/>
        </w:rPr>
        <w:t xml:space="preserve">The pollen analysis of this peat deposit from LLYR14 provides a more secure pollen assemblage than its underlying sediments and fortuitously provides an almost unbroken sequence of peat deposits to follow those identified in LLYR4.  </w:t>
      </w:r>
    </w:p>
    <w:p w14:paraId="10B37553" w14:textId="7605A215" w:rsidR="00ED58AE" w:rsidRDefault="00ED58AE" w:rsidP="00ED58AE">
      <w:pPr>
        <w:jc w:val="both"/>
        <w:rPr>
          <w:rFonts w:cstheme="minorHAnsi"/>
        </w:rPr>
      </w:pPr>
      <w:r>
        <w:rPr>
          <w:rFonts w:cstheme="minorHAnsi"/>
        </w:rPr>
        <w:t>Similarities are observed across the two cores, but additional information is provided by the record from LLYR4.  For example, a contemporary increase in herb levels and reduced woodland taxa (specifically</w:t>
      </w:r>
      <w:r w:rsidR="00A11BC4" w:rsidRPr="00A11BC4">
        <w:rPr>
          <w:rFonts w:cstheme="minorHAnsi"/>
          <w:i/>
          <w:iCs/>
        </w:rPr>
        <w:t xml:space="preserve"> </w:t>
      </w:r>
      <w:r w:rsidR="00A11BC4" w:rsidRPr="005456ED">
        <w:rPr>
          <w:rFonts w:cstheme="minorHAnsi"/>
          <w:i/>
          <w:iCs/>
        </w:rPr>
        <w:t xml:space="preserve">Alnus </w:t>
      </w:r>
      <w:proofErr w:type="spellStart"/>
      <w:r w:rsidR="00A11BC4" w:rsidRPr="005456ED">
        <w:rPr>
          <w:rFonts w:cstheme="minorHAnsi"/>
          <w:i/>
          <w:iCs/>
        </w:rPr>
        <w:t>glutinosa</w:t>
      </w:r>
      <w:proofErr w:type="spellEnd"/>
      <w:r>
        <w:rPr>
          <w:rFonts w:cstheme="minorHAnsi"/>
        </w:rPr>
        <w:t>) are observed at both LLYR14 and Llyr 4 in the late at</w:t>
      </w:r>
      <w:r w:rsidRPr="000717C9">
        <w:rPr>
          <w:rFonts w:cstheme="minorHAnsi"/>
        </w:rPr>
        <w:t xml:space="preserve"> </w:t>
      </w:r>
      <w:r>
        <w:rPr>
          <w:rFonts w:cstheme="minorHAnsi"/>
        </w:rPr>
        <w:t>5</w:t>
      </w:r>
      <w:r w:rsidRPr="005456ED">
        <w:rPr>
          <w:rFonts w:cstheme="minorHAnsi"/>
          <w:vertAlign w:val="superscript"/>
        </w:rPr>
        <w:t>th</w:t>
      </w:r>
      <w:r>
        <w:rPr>
          <w:rFonts w:cstheme="minorHAnsi"/>
        </w:rPr>
        <w:t xml:space="preserve"> century BC, yet fluctuations in other pollen taxa differ.  The fall in Alnus levels </w:t>
      </w:r>
      <w:r w:rsidR="002A7857">
        <w:rPr>
          <w:rFonts w:cstheme="minorHAnsi"/>
        </w:rPr>
        <w:t>appear</w:t>
      </w:r>
      <w:r>
        <w:rPr>
          <w:rFonts w:cstheme="minorHAnsi"/>
        </w:rPr>
        <w:t xml:space="preserve"> to have started slightly earlier than at </w:t>
      </w:r>
      <w:proofErr w:type="gramStart"/>
      <w:r>
        <w:rPr>
          <w:rFonts w:cstheme="minorHAnsi"/>
        </w:rPr>
        <w:t>LLYR14, but</w:t>
      </w:r>
      <w:proofErr w:type="gramEnd"/>
      <w:r>
        <w:rPr>
          <w:rFonts w:cstheme="minorHAnsi"/>
        </w:rPr>
        <w:t xml:space="preserve"> is effect on total AP percentages are more pronounced later in the sequence.  As </w:t>
      </w:r>
      <w:r>
        <w:rPr>
          <w:rFonts w:cstheme="minorHAnsi"/>
        </w:rPr>
        <w:lastRenderedPageBreak/>
        <w:t>this fall in Alnus at LLYR4 occurs alongside increase in taxa that favour drier ground (</w:t>
      </w:r>
      <w:proofErr w:type="gramStart"/>
      <w:r>
        <w:rPr>
          <w:rFonts w:cstheme="minorHAnsi"/>
        </w:rPr>
        <w:t>e.g.</w:t>
      </w:r>
      <w:proofErr w:type="gramEnd"/>
      <w:r>
        <w:rPr>
          <w:rFonts w:cstheme="minorHAnsi"/>
        </w:rPr>
        <w:t xml:space="preserve"> </w:t>
      </w:r>
      <w:r w:rsidRPr="00F47780">
        <w:rPr>
          <w:rFonts w:cstheme="minorHAnsi"/>
          <w:i/>
          <w:iCs/>
        </w:rPr>
        <w:t>Quercus</w:t>
      </w:r>
      <w:r>
        <w:rPr>
          <w:rFonts w:cstheme="minorHAnsi"/>
        </w:rPr>
        <w:t xml:space="preserve"> and </w:t>
      </w:r>
      <w:r w:rsidRPr="00F47780">
        <w:rPr>
          <w:rFonts w:cstheme="minorHAnsi"/>
          <w:i/>
          <w:iCs/>
        </w:rPr>
        <w:t>Corylus avellana</w:t>
      </w:r>
      <w:r w:rsidR="00A11BC4">
        <w:rPr>
          <w:rFonts w:cstheme="minorHAnsi"/>
        </w:rPr>
        <w:t>-type</w:t>
      </w:r>
      <w:r>
        <w:rPr>
          <w:rFonts w:cstheme="minorHAnsi"/>
        </w:rPr>
        <w:t>) and a decline in wetland herbs (</w:t>
      </w:r>
      <w:proofErr w:type="spellStart"/>
      <w:r>
        <w:rPr>
          <w:rFonts w:cstheme="minorHAnsi"/>
        </w:rPr>
        <w:t>Cyperaceae</w:t>
      </w:r>
      <w:proofErr w:type="spellEnd"/>
      <w:r>
        <w:rPr>
          <w:rFonts w:cstheme="minorHAnsi"/>
        </w:rPr>
        <w:t xml:space="preserve"> and </w:t>
      </w:r>
      <w:proofErr w:type="spellStart"/>
      <w:r w:rsidRPr="005456ED">
        <w:rPr>
          <w:rFonts w:cstheme="minorHAnsi"/>
          <w:i/>
          <w:iCs/>
        </w:rPr>
        <w:t>Filipendula</w:t>
      </w:r>
      <w:proofErr w:type="spellEnd"/>
      <w:r>
        <w:rPr>
          <w:rFonts w:cstheme="minorHAnsi"/>
        </w:rPr>
        <w:t xml:space="preserve">), which might relate localised changes in drainage and/or wider climate change.  However, </w:t>
      </w:r>
      <w:bookmarkStart w:id="18" w:name="_Hlk146572731"/>
      <w:proofErr w:type="spellStart"/>
      <w:r w:rsidRPr="003B1D9D">
        <w:rPr>
          <w:rFonts w:cstheme="minorHAnsi"/>
        </w:rPr>
        <w:t>Büntgen</w:t>
      </w:r>
      <w:proofErr w:type="spellEnd"/>
      <w:r w:rsidRPr="003B1D9D">
        <w:rPr>
          <w:rFonts w:cstheme="minorHAnsi"/>
        </w:rPr>
        <w:t xml:space="preserve"> </w:t>
      </w:r>
      <w:r>
        <w:rPr>
          <w:rFonts w:cstheme="minorHAnsi"/>
        </w:rPr>
        <w:t>et al.’s (2011</w:t>
      </w:r>
      <w:bookmarkEnd w:id="18"/>
      <w:r>
        <w:rPr>
          <w:rFonts w:cstheme="minorHAnsi"/>
        </w:rPr>
        <w:t>) study of climate anomalies during the last 2500 years in Central Europe does indicate a period of increased precipitation and reduced temperatures roughly contemporary with the end of the 5</w:t>
      </w:r>
      <w:r w:rsidRPr="005456ED">
        <w:rPr>
          <w:rFonts w:cstheme="minorHAnsi"/>
          <w:vertAlign w:val="superscript"/>
        </w:rPr>
        <w:t>th</w:t>
      </w:r>
      <w:r>
        <w:rPr>
          <w:rFonts w:cstheme="minorHAnsi"/>
        </w:rPr>
        <w:t xml:space="preserve"> century BC, which might suggest that the drier conditions suggested by the </w:t>
      </w:r>
      <w:proofErr w:type="spellStart"/>
      <w:r>
        <w:rPr>
          <w:rFonts w:cstheme="minorHAnsi"/>
        </w:rPr>
        <w:t>Talsarn</w:t>
      </w:r>
      <w:proofErr w:type="spellEnd"/>
      <w:r>
        <w:rPr>
          <w:rFonts w:cstheme="minorHAnsi"/>
        </w:rPr>
        <w:t xml:space="preserve"> pollen record were localised in nature.  Alternatively, the changes in woodland composition and reduced wetland taxa could reflect more open conditions on a local level caused by small scale woodland clearance that did not significantly impact the overall AP percentages.  This may also be supported by the reduction observed in total pollen concentration, which would be consistent with a localised reduction woodland taxa with high pollen productivity.  The subsequent fall in AP percentages at the top of the pollen sequence from LLYR4 may reflect more extensive woodland clearance.  </w:t>
      </w:r>
    </w:p>
    <w:p w14:paraId="6199995A" w14:textId="569864CF" w:rsidR="00ED58AE" w:rsidRDefault="00ED58AE" w:rsidP="00ED58AE">
      <w:pPr>
        <w:jc w:val="both"/>
        <w:rPr>
          <w:rFonts w:cstheme="minorHAnsi"/>
        </w:rPr>
      </w:pPr>
      <w:r>
        <w:rPr>
          <w:rFonts w:cstheme="minorHAnsi"/>
        </w:rPr>
        <w:t xml:space="preserve">From the early first century BC, the peat deposit from LLYR14 represents the only record of palynological changes from </w:t>
      </w:r>
      <w:proofErr w:type="spellStart"/>
      <w:r>
        <w:rPr>
          <w:rFonts w:cstheme="minorHAnsi"/>
        </w:rPr>
        <w:t>Talsarn</w:t>
      </w:r>
      <w:proofErr w:type="spellEnd"/>
      <w:r>
        <w:rPr>
          <w:rFonts w:cstheme="minorHAnsi"/>
        </w:rPr>
        <w:t xml:space="preserve"> analysed to date.  Sampling frequencies within LLLYR14 increase for this deposit to take advantage of the increased reliability of its pollen data in comparison with lower deposits of the core.  The total AP percentages in LLYR14 do fall in comparison with lower levels with the onset of peat </w:t>
      </w:r>
      <w:proofErr w:type="gramStart"/>
      <w:r>
        <w:rPr>
          <w:rFonts w:cstheme="minorHAnsi"/>
        </w:rPr>
        <w:t>growth, but</w:t>
      </w:r>
      <w:proofErr w:type="gramEnd"/>
      <w:r>
        <w:rPr>
          <w:rFonts w:cstheme="minorHAnsi"/>
        </w:rPr>
        <w:t xml:space="preserve"> given that they are similar to those observed within the top of the peat in LLLYR4, this may be a genuine reflection of environmental conditions rather than the product of changes in pollen deposition represented by the change in stratigraphy.</w:t>
      </w:r>
      <w:r w:rsidR="00AC4A79">
        <w:rPr>
          <w:rFonts w:cstheme="minorHAnsi"/>
        </w:rPr>
        <w:t xml:space="preserve">  Additional Iron Age woodland clearances are suggested by a further decrease in AP </w:t>
      </w:r>
      <w:r w:rsidR="00535493">
        <w:rPr>
          <w:rFonts w:cstheme="minorHAnsi"/>
        </w:rPr>
        <w:t>percentages</w:t>
      </w:r>
      <w:r w:rsidR="00AC4A79">
        <w:rPr>
          <w:rFonts w:cstheme="minorHAnsi"/>
        </w:rPr>
        <w:t xml:space="preserve"> </w:t>
      </w:r>
      <w:r w:rsidR="00D235B4">
        <w:rPr>
          <w:rFonts w:cstheme="minorHAnsi"/>
        </w:rPr>
        <w:t xml:space="preserve">at around 2,060 BP (c.110 BC), but do not appear to correspond with any indication of intensification of farming practices, though this may be masked by changes in the site’s pollen catchment associated with reduced woodland cover.  </w:t>
      </w:r>
    </w:p>
    <w:p w14:paraId="3823A3BE" w14:textId="77777777" w:rsidR="00505CD9" w:rsidRPr="005456ED" w:rsidRDefault="00505CD9" w:rsidP="00505CD9">
      <w:pPr>
        <w:jc w:val="both"/>
        <w:rPr>
          <w:rFonts w:cstheme="minorHAnsi"/>
          <w:i/>
          <w:iCs/>
        </w:rPr>
      </w:pPr>
      <w:r w:rsidRPr="005456ED">
        <w:rPr>
          <w:rFonts w:cstheme="minorHAnsi"/>
          <w:i/>
          <w:iCs/>
        </w:rPr>
        <w:t>Romano British – 1907-1540 BP (43-410 AD)</w:t>
      </w:r>
    </w:p>
    <w:p w14:paraId="6E7E1D5C" w14:textId="139E3212" w:rsidR="00D235B4" w:rsidRDefault="00D235B4" w:rsidP="00ED58AE">
      <w:pPr>
        <w:jc w:val="both"/>
        <w:rPr>
          <w:rFonts w:cstheme="minorHAnsi"/>
        </w:rPr>
      </w:pPr>
      <w:r>
        <w:rPr>
          <w:rFonts w:cstheme="minorHAnsi"/>
        </w:rPr>
        <w:t>Pollen zone 14-</w:t>
      </w:r>
      <w:r w:rsidR="00505CD9">
        <w:rPr>
          <w:rFonts w:cstheme="minorHAnsi"/>
        </w:rPr>
        <w:t>6</w:t>
      </w:r>
      <w:r>
        <w:rPr>
          <w:rFonts w:cstheme="minorHAnsi"/>
        </w:rPr>
        <w:t xml:space="preserve">ii in core LLYR14 corresponds almost exactly with the start of the Romano-British period.  During this time evidence for woodland clearance and increased arable activity are </w:t>
      </w:r>
      <w:r w:rsidR="00505CD9">
        <w:rPr>
          <w:rFonts w:cstheme="minorHAnsi"/>
        </w:rPr>
        <w:t>observed alongside</w:t>
      </w:r>
      <w:r>
        <w:rPr>
          <w:rFonts w:cstheme="minorHAnsi"/>
        </w:rPr>
        <w:t xml:space="preserve"> a decrease in Plantago-lanceolata pollen.  These changes may indicate an intensification of arable farming and lower focus on pastoral activity that may reflect the specific demands of the Roman economy in this locale.  </w:t>
      </w:r>
      <w:r w:rsidR="001655D3">
        <w:rPr>
          <w:rFonts w:cstheme="minorHAnsi"/>
        </w:rPr>
        <w:t>Woodland clearances and a</w:t>
      </w:r>
      <w:r>
        <w:rPr>
          <w:rFonts w:cstheme="minorHAnsi"/>
        </w:rPr>
        <w:t xml:space="preserve">n intensification of </w:t>
      </w:r>
      <w:r w:rsidR="001655D3">
        <w:rPr>
          <w:rFonts w:cstheme="minorHAnsi"/>
        </w:rPr>
        <w:t xml:space="preserve">arable </w:t>
      </w:r>
      <w:r>
        <w:rPr>
          <w:rFonts w:cstheme="minorHAnsi"/>
        </w:rPr>
        <w:t xml:space="preserve">activity is commonly observed at other </w:t>
      </w:r>
      <w:r w:rsidR="001655D3">
        <w:rPr>
          <w:rFonts w:cstheme="minorHAnsi"/>
        </w:rPr>
        <w:t>pollen sampling sites for this period (</w:t>
      </w:r>
      <w:bookmarkStart w:id="19" w:name="_Hlk146572751"/>
      <w:r w:rsidR="001655D3">
        <w:rPr>
          <w:rFonts w:cstheme="minorHAnsi"/>
        </w:rPr>
        <w:t>Dark 2000</w:t>
      </w:r>
      <w:bookmarkEnd w:id="19"/>
      <w:r w:rsidR="001655D3">
        <w:rPr>
          <w:rFonts w:cstheme="minorHAnsi"/>
        </w:rPr>
        <w:t xml:space="preserve">: 128-129) and is </w:t>
      </w:r>
      <w:r w:rsidR="00505CD9">
        <w:rPr>
          <w:rFonts w:cstheme="minorHAnsi"/>
        </w:rPr>
        <w:t xml:space="preserve">also </w:t>
      </w:r>
      <w:r w:rsidR="001655D3">
        <w:rPr>
          <w:rFonts w:cstheme="minorHAnsi"/>
        </w:rPr>
        <w:t>observed at other sites with Romano-British palynological data in Ceredigion (</w:t>
      </w:r>
      <w:proofErr w:type="gramStart"/>
      <w:r w:rsidR="001655D3">
        <w:rPr>
          <w:rFonts w:cstheme="minorHAnsi"/>
        </w:rPr>
        <w:t>e.g.</w:t>
      </w:r>
      <w:proofErr w:type="gramEnd"/>
      <w:r w:rsidR="001655D3">
        <w:rPr>
          <w:rFonts w:cstheme="minorHAnsi"/>
        </w:rPr>
        <w:t xml:space="preserve"> Cors </w:t>
      </w:r>
      <w:proofErr w:type="spellStart"/>
      <w:r w:rsidR="001655D3">
        <w:rPr>
          <w:rFonts w:cstheme="minorHAnsi"/>
        </w:rPr>
        <w:t>Tregaron</w:t>
      </w:r>
      <w:proofErr w:type="spellEnd"/>
      <w:r w:rsidR="001655D3">
        <w:rPr>
          <w:rFonts w:cstheme="minorHAnsi"/>
        </w:rPr>
        <w:t xml:space="preserve"> – </w:t>
      </w:r>
      <w:r w:rsidR="00D336E7">
        <w:rPr>
          <w:rFonts w:cstheme="minorHAnsi"/>
        </w:rPr>
        <w:t xml:space="preserve">Turner 1964, </w:t>
      </w:r>
      <w:bookmarkStart w:id="20" w:name="_Hlk146572771"/>
      <w:proofErr w:type="spellStart"/>
      <w:r w:rsidR="001655D3">
        <w:rPr>
          <w:rFonts w:cstheme="minorHAnsi"/>
        </w:rPr>
        <w:t>Morriss</w:t>
      </w:r>
      <w:proofErr w:type="spellEnd"/>
      <w:r w:rsidR="001655D3">
        <w:rPr>
          <w:rFonts w:cstheme="minorHAnsi"/>
        </w:rPr>
        <w:t xml:space="preserve"> </w:t>
      </w:r>
      <w:r w:rsidR="00505CD9">
        <w:rPr>
          <w:rFonts w:cstheme="minorHAnsi"/>
        </w:rPr>
        <w:t>2001</w:t>
      </w:r>
      <w:bookmarkEnd w:id="20"/>
      <w:r w:rsidR="001655D3">
        <w:rPr>
          <w:rFonts w:cstheme="minorHAnsi"/>
        </w:rPr>
        <w:t xml:space="preserve">; </w:t>
      </w:r>
      <w:proofErr w:type="spellStart"/>
      <w:r w:rsidR="00505CD9">
        <w:rPr>
          <w:rFonts w:cstheme="minorHAnsi"/>
        </w:rPr>
        <w:t>Bryniau</w:t>
      </w:r>
      <w:proofErr w:type="spellEnd"/>
      <w:r w:rsidR="00505CD9">
        <w:rPr>
          <w:rFonts w:cstheme="minorHAnsi"/>
        </w:rPr>
        <w:t xml:space="preserve"> Pica – </w:t>
      </w:r>
      <w:bookmarkStart w:id="21" w:name="_Hlk146572782"/>
      <w:r w:rsidR="00505CD9">
        <w:rPr>
          <w:rFonts w:cstheme="minorHAnsi"/>
        </w:rPr>
        <w:t>Buckley &amp; Walker 2001</w:t>
      </w:r>
      <w:bookmarkEnd w:id="21"/>
      <w:r w:rsidR="00505CD9">
        <w:rPr>
          <w:rFonts w:cstheme="minorHAnsi"/>
        </w:rPr>
        <w:t xml:space="preserve">).  </w:t>
      </w:r>
    </w:p>
    <w:p w14:paraId="59F26D31" w14:textId="4CEC3243" w:rsidR="00D235B4" w:rsidRPr="00B56087" w:rsidRDefault="00D235B4" w:rsidP="00ED58AE">
      <w:pPr>
        <w:jc w:val="both"/>
        <w:rPr>
          <w:rFonts w:cstheme="minorHAnsi"/>
        </w:rPr>
      </w:pPr>
      <w:r w:rsidRPr="000B6D69">
        <w:rPr>
          <w:rFonts w:eastAsia="Times New Roman" w:cstheme="minorHAnsi"/>
          <w:lang w:eastAsia="en-GB"/>
        </w:rPr>
        <w:t xml:space="preserve">Woodland clearance and increased arable activity probably related to the onset of the Romano-British period.  The slightly lower </w:t>
      </w:r>
      <w:r w:rsidRPr="000B6D69">
        <w:rPr>
          <w:rFonts w:eastAsia="Times New Roman" w:cstheme="minorHAnsi"/>
          <w:i/>
          <w:iCs/>
          <w:lang w:eastAsia="en-GB"/>
        </w:rPr>
        <w:t>Plantago lanceolata</w:t>
      </w:r>
      <w:r w:rsidRPr="000B6D69">
        <w:rPr>
          <w:rFonts w:eastAsia="Times New Roman" w:cstheme="minorHAnsi"/>
          <w:lang w:eastAsia="en-GB"/>
        </w:rPr>
        <w:t xml:space="preserve"> might indicate a higher focus on arable rather than pastoral activity, which may be related to the specific demands of the Roman economy in the region.  </w:t>
      </w:r>
    </w:p>
    <w:p w14:paraId="06E4B71A" w14:textId="217D284C" w:rsidR="00D235B4" w:rsidRPr="00F47780" w:rsidRDefault="00505CD9" w:rsidP="00ED58AE">
      <w:pPr>
        <w:jc w:val="both"/>
        <w:rPr>
          <w:rFonts w:cstheme="minorHAnsi"/>
          <w:i/>
          <w:iCs/>
        </w:rPr>
      </w:pPr>
      <w:r w:rsidRPr="005456ED">
        <w:rPr>
          <w:rFonts w:cstheme="minorHAnsi"/>
          <w:i/>
          <w:iCs/>
        </w:rPr>
        <w:t>Early medieval – 1540-c.1320 AD</w:t>
      </w:r>
    </w:p>
    <w:p w14:paraId="241F54C5" w14:textId="4664742F" w:rsidR="00505CD9" w:rsidRPr="00505CD9" w:rsidRDefault="00505CD9" w:rsidP="00505CD9">
      <w:pPr>
        <w:jc w:val="both"/>
        <w:rPr>
          <w:rFonts w:cstheme="minorHAnsi"/>
        </w:rPr>
      </w:pPr>
      <w:r>
        <w:rPr>
          <w:rFonts w:cstheme="minorHAnsi"/>
        </w:rPr>
        <w:t xml:space="preserve">Changes in the pollen record from LLYR14 fall almost exactly with the onset of the early medieval period at the start of pollen zone 14-6iii.  Here we see an initial increase in total pollen concentrations and NAP percentages, caused mainly by a spike in </w:t>
      </w:r>
      <w:proofErr w:type="spellStart"/>
      <w:r>
        <w:rPr>
          <w:rFonts w:cstheme="minorHAnsi"/>
        </w:rPr>
        <w:t>Cyperaceae</w:t>
      </w:r>
      <w:proofErr w:type="spellEnd"/>
      <w:r>
        <w:rPr>
          <w:rFonts w:cstheme="minorHAnsi"/>
        </w:rPr>
        <w:t xml:space="preserve"> pollen.  This is followed immediately afterwards by increased AP percentages, caused by increased numbers of </w:t>
      </w:r>
      <w:r w:rsidRPr="005456ED">
        <w:rPr>
          <w:rFonts w:cstheme="minorHAnsi"/>
          <w:i/>
          <w:iCs/>
        </w:rPr>
        <w:t xml:space="preserve">Alnus </w:t>
      </w:r>
      <w:proofErr w:type="spellStart"/>
      <w:r w:rsidRPr="005456ED">
        <w:rPr>
          <w:rFonts w:cstheme="minorHAnsi"/>
          <w:i/>
          <w:iCs/>
        </w:rPr>
        <w:t>glutinosa</w:t>
      </w:r>
      <w:proofErr w:type="spellEnd"/>
      <w:r>
        <w:rPr>
          <w:rFonts w:cstheme="minorHAnsi"/>
        </w:rPr>
        <w:t xml:space="preserve"> and Betula pollen.  It is believed that these changes are interrelated, caused by the </w:t>
      </w:r>
      <w:r w:rsidRPr="00505CD9">
        <w:rPr>
          <w:rFonts w:cstheme="minorHAnsi"/>
        </w:rPr>
        <w:t xml:space="preserve"> possible abandonment of land </w:t>
      </w:r>
      <w:r>
        <w:rPr>
          <w:rFonts w:cstheme="minorHAnsi"/>
        </w:rPr>
        <w:t xml:space="preserve">surrounding the sampling site </w:t>
      </w:r>
      <w:r w:rsidRPr="00505CD9">
        <w:rPr>
          <w:rFonts w:cstheme="minorHAnsi"/>
        </w:rPr>
        <w:t xml:space="preserve">that may have formerly been drained in the </w:t>
      </w:r>
      <w:r>
        <w:rPr>
          <w:rFonts w:cstheme="minorHAnsi"/>
        </w:rPr>
        <w:t xml:space="preserve">Iron Age or </w:t>
      </w:r>
      <w:r w:rsidRPr="00505CD9">
        <w:rPr>
          <w:rFonts w:cstheme="minorHAnsi"/>
        </w:rPr>
        <w:t xml:space="preserve">Romano British period.  </w:t>
      </w:r>
      <w:r w:rsidR="0043515C">
        <w:rPr>
          <w:rFonts w:cstheme="minorHAnsi"/>
        </w:rPr>
        <w:t xml:space="preserve">The increased </w:t>
      </w:r>
      <w:proofErr w:type="spellStart"/>
      <w:r w:rsidR="0043515C">
        <w:rPr>
          <w:rFonts w:cstheme="minorHAnsi"/>
        </w:rPr>
        <w:t>Cyperaceae</w:t>
      </w:r>
      <w:proofErr w:type="spellEnd"/>
      <w:r w:rsidR="0043515C">
        <w:rPr>
          <w:rFonts w:cstheme="minorHAnsi"/>
        </w:rPr>
        <w:t xml:space="preserve"> percentages might </w:t>
      </w:r>
      <w:r w:rsidRPr="00505CD9">
        <w:rPr>
          <w:rFonts w:cstheme="minorHAnsi"/>
        </w:rPr>
        <w:t>reflect the abandonment or cessation of maintenance of drainage ditches that would in turn lead to open wetland recovery followed by woodland habitats favouring wetter growing conditions over the same area. The</w:t>
      </w:r>
      <w:r w:rsidR="0043515C">
        <w:rPr>
          <w:rFonts w:cstheme="minorHAnsi"/>
        </w:rPr>
        <w:t>re is a</w:t>
      </w:r>
      <w:r w:rsidRPr="00505CD9">
        <w:rPr>
          <w:rFonts w:cstheme="minorHAnsi"/>
        </w:rPr>
        <w:t xml:space="preserve"> contemporary </w:t>
      </w:r>
      <w:r w:rsidRPr="00505CD9">
        <w:rPr>
          <w:rFonts w:cstheme="minorHAnsi"/>
        </w:rPr>
        <w:lastRenderedPageBreak/>
        <w:t xml:space="preserve">decrease in arable indicators and initial rise in </w:t>
      </w:r>
      <w:proofErr w:type="spellStart"/>
      <w:r w:rsidRPr="00505CD9">
        <w:rPr>
          <w:rFonts w:cstheme="minorHAnsi"/>
        </w:rPr>
        <w:t>plantago</w:t>
      </w:r>
      <w:proofErr w:type="spellEnd"/>
      <w:r w:rsidRPr="00505CD9">
        <w:rPr>
          <w:rFonts w:cstheme="minorHAnsi"/>
        </w:rPr>
        <w:t xml:space="preserve"> lanceolata might suggest a shift in focus in the farming economy.  </w:t>
      </w:r>
    </w:p>
    <w:p w14:paraId="228D2F8D" w14:textId="3165AE41" w:rsidR="00AC4A79" w:rsidRDefault="00505CD9" w:rsidP="00505CD9">
      <w:pPr>
        <w:jc w:val="both"/>
        <w:rPr>
          <w:rFonts w:cstheme="minorHAnsi"/>
        </w:rPr>
      </w:pPr>
      <w:r w:rsidRPr="00505CD9">
        <w:rPr>
          <w:rFonts w:cstheme="minorHAnsi"/>
        </w:rPr>
        <w:t xml:space="preserve">Widespread contemporary woodland recovery and changes in farming practices at the onset of the early medieval period are noted at several other sites in Wales and further afield (cf. Dark </w:t>
      </w:r>
      <w:r w:rsidR="00B56087">
        <w:rPr>
          <w:rFonts w:cstheme="minorHAnsi"/>
        </w:rPr>
        <w:t>2000</w:t>
      </w:r>
      <w:r w:rsidRPr="00505CD9">
        <w:rPr>
          <w:rFonts w:cstheme="minorHAnsi"/>
        </w:rPr>
        <w:t xml:space="preserve">, </w:t>
      </w:r>
      <w:bookmarkStart w:id="22" w:name="_Hlk146572835"/>
      <w:r w:rsidRPr="00505CD9">
        <w:rPr>
          <w:rFonts w:cstheme="minorHAnsi"/>
        </w:rPr>
        <w:t>Davies 2019</w:t>
      </w:r>
      <w:bookmarkEnd w:id="22"/>
      <w:r w:rsidRPr="00505CD9">
        <w:rPr>
          <w:rFonts w:cstheme="minorHAnsi"/>
        </w:rPr>
        <w:t xml:space="preserve">) that has been interpreted as related to the cessation of Roman administrative structures and a return of focus to localised farming priorities.  This site provides a rare example of a lowland site in Southwest Wales (cf. Davies 2019).  The only comparable example comes from Cors </w:t>
      </w:r>
      <w:proofErr w:type="spellStart"/>
      <w:r w:rsidR="00C208C6">
        <w:rPr>
          <w:rFonts w:cstheme="minorHAnsi"/>
        </w:rPr>
        <w:t>Tregaron</w:t>
      </w:r>
      <w:proofErr w:type="spellEnd"/>
      <w:r w:rsidRPr="00505CD9">
        <w:rPr>
          <w:rFonts w:cstheme="minorHAnsi"/>
        </w:rPr>
        <w:t xml:space="preserve"> (Turner 1964; </w:t>
      </w:r>
      <w:proofErr w:type="spellStart"/>
      <w:r w:rsidRPr="00505CD9">
        <w:rPr>
          <w:rFonts w:cstheme="minorHAnsi"/>
        </w:rPr>
        <w:t>Morriss</w:t>
      </w:r>
      <w:proofErr w:type="spellEnd"/>
      <w:r w:rsidRPr="00505CD9">
        <w:rPr>
          <w:rFonts w:cstheme="minorHAnsi"/>
        </w:rPr>
        <w:t xml:space="preserve"> 2001), where </w:t>
      </w:r>
      <w:r w:rsidR="00C208C6">
        <w:rPr>
          <w:rFonts w:cstheme="minorHAnsi"/>
        </w:rPr>
        <w:t>r</w:t>
      </w:r>
      <w:r w:rsidRPr="00505CD9">
        <w:rPr>
          <w:rFonts w:cstheme="minorHAnsi"/>
        </w:rPr>
        <w:t xml:space="preserve">eforestation and reduced pastoral and arable indicators have been recorded at this time.  The increase in pollen concentrations could feasibly relate to soil formation processes within the peat at this level.  However, the extremely low magnetic susceptibility readings obtained from this part of the core would suggest this is not the case.  Therefore, the increase in pollen concentration is likely to relate to localised increase in Alder car woodland – a taxa which is known to be highly productive in comparison to other taxa (cf. </w:t>
      </w:r>
      <w:proofErr w:type="spellStart"/>
      <w:r w:rsidRPr="00505CD9">
        <w:rPr>
          <w:rFonts w:cstheme="minorHAnsi"/>
        </w:rPr>
        <w:t>Broström</w:t>
      </w:r>
      <w:proofErr w:type="spellEnd"/>
      <w:r w:rsidRPr="00505CD9">
        <w:rPr>
          <w:rFonts w:cstheme="minorHAnsi"/>
        </w:rPr>
        <w:t xml:space="preserve"> et al. 2008). </w:t>
      </w:r>
      <w:r>
        <w:rPr>
          <w:rFonts w:cstheme="minorHAnsi"/>
        </w:rPr>
        <w:t xml:space="preserve"> </w:t>
      </w:r>
    </w:p>
    <w:p w14:paraId="2586CBB4" w14:textId="77777777" w:rsidR="001C1E36" w:rsidRDefault="001C1E36" w:rsidP="001C1E36">
      <w:pPr>
        <w:jc w:val="both"/>
        <w:rPr>
          <w:rFonts w:cstheme="minorHAnsi"/>
        </w:rPr>
      </w:pPr>
      <w:r>
        <w:rPr>
          <w:rFonts w:cstheme="minorHAnsi"/>
        </w:rPr>
        <w:t xml:space="preserve">In the final development phase recorded in the pollen record of LLYR14 evidence for woodland clearance is observed once again starting at c.1,380 BP (c.570 AD) and remain open until the top of the peat deposit dating to approximately 1,320 BP (c.630 AD).  At the same time, spikes in the levels of </w:t>
      </w:r>
      <w:r w:rsidRPr="00127B70">
        <w:rPr>
          <w:rFonts w:cstheme="minorHAnsi"/>
        </w:rPr>
        <w:t xml:space="preserve">Cereal-type, </w:t>
      </w:r>
      <w:r w:rsidRPr="005456ED">
        <w:rPr>
          <w:rFonts w:cstheme="minorHAnsi"/>
          <w:i/>
          <w:iCs/>
        </w:rPr>
        <w:t>Cichorium intybus</w:t>
      </w:r>
      <w:r w:rsidRPr="00127B70">
        <w:rPr>
          <w:rFonts w:cstheme="minorHAnsi"/>
        </w:rPr>
        <w:t xml:space="preserve">-type, Caryophyllaceae, </w:t>
      </w:r>
      <w:r w:rsidRPr="005456ED">
        <w:rPr>
          <w:rFonts w:cstheme="minorHAnsi"/>
          <w:i/>
          <w:iCs/>
        </w:rPr>
        <w:t xml:space="preserve">Rumex </w:t>
      </w:r>
      <w:proofErr w:type="spellStart"/>
      <w:r w:rsidRPr="005456ED">
        <w:rPr>
          <w:rFonts w:cstheme="minorHAnsi"/>
          <w:i/>
          <w:iCs/>
        </w:rPr>
        <w:t>acetosa</w:t>
      </w:r>
      <w:proofErr w:type="spellEnd"/>
      <w:r w:rsidRPr="00127B70">
        <w:rPr>
          <w:rFonts w:cstheme="minorHAnsi"/>
        </w:rPr>
        <w:t xml:space="preserve"> and </w:t>
      </w:r>
      <w:r w:rsidRPr="005456ED">
        <w:rPr>
          <w:rFonts w:cstheme="minorHAnsi"/>
          <w:i/>
          <w:iCs/>
        </w:rPr>
        <w:t xml:space="preserve">Urtica </w:t>
      </w:r>
      <w:proofErr w:type="spellStart"/>
      <w:r w:rsidRPr="005456ED">
        <w:rPr>
          <w:rFonts w:cstheme="minorHAnsi"/>
          <w:i/>
          <w:iCs/>
        </w:rPr>
        <w:t>docia</w:t>
      </w:r>
      <w:proofErr w:type="spellEnd"/>
      <w:r w:rsidRPr="00127B70">
        <w:rPr>
          <w:rFonts w:cstheme="minorHAnsi"/>
        </w:rPr>
        <w:t xml:space="preserve"> </w:t>
      </w:r>
      <w:r>
        <w:rPr>
          <w:rFonts w:cstheme="minorHAnsi"/>
        </w:rPr>
        <w:t xml:space="preserve">suggest an upsurge in human activity and cultivation practices near the sampling site.  It should be noted that the only woodland taxa impacted by the probable woodland clearance is Alnus </w:t>
      </w:r>
      <w:proofErr w:type="spellStart"/>
      <w:r>
        <w:rPr>
          <w:rFonts w:cstheme="minorHAnsi"/>
        </w:rPr>
        <w:t>glutinosa</w:t>
      </w:r>
      <w:proofErr w:type="spellEnd"/>
      <w:r>
        <w:rPr>
          <w:rFonts w:cstheme="minorHAnsi"/>
        </w:rPr>
        <w:t xml:space="preserve">.  In contrast, increased values of </w:t>
      </w:r>
      <w:r w:rsidRPr="005456ED">
        <w:rPr>
          <w:rFonts w:cstheme="minorHAnsi"/>
          <w:i/>
          <w:iCs/>
        </w:rPr>
        <w:t>Betula, Quercus</w:t>
      </w:r>
      <w:r>
        <w:rPr>
          <w:rFonts w:cstheme="minorHAnsi"/>
        </w:rPr>
        <w:t xml:space="preserve"> and </w:t>
      </w:r>
      <w:r w:rsidRPr="005456ED">
        <w:rPr>
          <w:rFonts w:cstheme="minorHAnsi"/>
          <w:i/>
          <w:iCs/>
        </w:rPr>
        <w:t>Corylus avellana</w:t>
      </w:r>
      <w:r>
        <w:rPr>
          <w:rFonts w:cstheme="minorHAnsi"/>
        </w:rPr>
        <w:t xml:space="preserve">-type pollen are observed, that may be related to an </w:t>
      </w:r>
      <w:r w:rsidRPr="0043515C">
        <w:rPr>
          <w:rFonts w:cstheme="minorHAnsi"/>
        </w:rPr>
        <w:t xml:space="preserve">opening of the </w:t>
      </w:r>
      <w:r>
        <w:rPr>
          <w:rFonts w:cstheme="minorHAnsi"/>
        </w:rPr>
        <w:t xml:space="preserve">local woodland </w:t>
      </w:r>
      <w:r w:rsidRPr="0043515C">
        <w:rPr>
          <w:rFonts w:cstheme="minorHAnsi"/>
        </w:rPr>
        <w:t xml:space="preserve">canopy </w:t>
      </w:r>
      <w:r>
        <w:rPr>
          <w:rFonts w:cstheme="minorHAnsi"/>
        </w:rPr>
        <w:t xml:space="preserve">which </w:t>
      </w:r>
      <w:r w:rsidRPr="0043515C">
        <w:rPr>
          <w:rFonts w:cstheme="minorHAnsi"/>
        </w:rPr>
        <w:t>allow</w:t>
      </w:r>
      <w:r>
        <w:rPr>
          <w:rFonts w:cstheme="minorHAnsi"/>
        </w:rPr>
        <w:t>ed an</w:t>
      </w:r>
      <w:r w:rsidRPr="0043515C">
        <w:rPr>
          <w:rFonts w:cstheme="minorHAnsi"/>
        </w:rPr>
        <w:t xml:space="preserve"> increased proportion of pollen from the wider region to reach the sampling site. Initial changes in the herb pollen assembly suggest an increase in arable and disturbance indicators that may be related to increased human activity nearby.  These changes are typical of what is observed elsewhere in Wales at this time at the advent of the </w:t>
      </w:r>
      <w:r>
        <w:rPr>
          <w:rFonts w:cstheme="minorHAnsi"/>
        </w:rPr>
        <w:t>“</w:t>
      </w:r>
      <w:r w:rsidRPr="0043515C">
        <w:rPr>
          <w:rFonts w:cstheme="minorHAnsi"/>
        </w:rPr>
        <w:t>long 8</w:t>
      </w:r>
      <w:r w:rsidRPr="0043515C">
        <w:rPr>
          <w:rFonts w:cstheme="minorHAnsi"/>
          <w:vertAlign w:val="superscript"/>
        </w:rPr>
        <w:t>th</w:t>
      </w:r>
      <w:r w:rsidRPr="0043515C">
        <w:rPr>
          <w:rFonts w:cstheme="minorHAnsi"/>
        </w:rPr>
        <w:t xml:space="preserve"> century</w:t>
      </w:r>
      <w:r>
        <w:rPr>
          <w:rFonts w:cstheme="minorHAnsi"/>
        </w:rPr>
        <w:t xml:space="preserve">”, </w:t>
      </w:r>
      <w:r w:rsidRPr="0043515C">
        <w:rPr>
          <w:rFonts w:cstheme="minorHAnsi"/>
        </w:rPr>
        <w:t>which includes widespread clearance activity and an intensification of farming following the collapse of the immediate post-Roman period (cf. Davies 2019).  Th</w:t>
      </w:r>
      <w:r>
        <w:rPr>
          <w:rFonts w:cstheme="minorHAnsi"/>
        </w:rPr>
        <w:t>ese trends</w:t>
      </w:r>
      <w:r w:rsidRPr="0043515C">
        <w:rPr>
          <w:rFonts w:cstheme="minorHAnsi"/>
        </w:rPr>
        <w:t xml:space="preserve"> </w:t>
      </w:r>
      <w:r>
        <w:rPr>
          <w:rFonts w:cstheme="minorHAnsi"/>
        </w:rPr>
        <w:t>are</w:t>
      </w:r>
      <w:r w:rsidRPr="0043515C">
        <w:rPr>
          <w:rFonts w:cstheme="minorHAnsi"/>
        </w:rPr>
        <w:t xml:space="preserve"> also observed at the nearest sampling sites of relevant date at </w:t>
      </w:r>
      <w:proofErr w:type="spellStart"/>
      <w:r w:rsidRPr="0043515C">
        <w:rPr>
          <w:rFonts w:cstheme="minorHAnsi"/>
        </w:rPr>
        <w:t>Tregaron</w:t>
      </w:r>
      <w:proofErr w:type="spellEnd"/>
      <w:r w:rsidRPr="0043515C">
        <w:rPr>
          <w:rFonts w:cstheme="minorHAnsi"/>
        </w:rPr>
        <w:t xml:space="preserve"> (cf. Turner 1964; </w:t>
      </w:r>
      <w:proofErr w:type="spellStart"/>
      <w:r w:rsidRPr="0043515C">
        <w:rPr>
          <w:rFonts w:cstheme="minorHAnsi"/>
        </w:rPr>
        <w:t>Morriss</w:t>
      </w:r>
      <w:proofErr w:type="spellEnd"/>
      <w:r w:rsidRPr="0043515C">
        <w:rPr>
          <w:rFonts w:cstheme="minorHAnsi"/>
        </w:rPr>
        <w:t xml:space="preserve"> 2001).  It is also worth noting that the pollen record for this </w:t>
      </w:r>
      <w:r>
        <w:rPr>
          <w:rFonts w:cstheme="minorHAnsi"/>
        </w:rPr>
        <w:t xml:space="preserve">zone </w:t>
      </w:r>
      <w:r w:rsidRPr="0043515C">
        <w:rPr>
          <w:rFonts w:cstheme="minorHAnsi"/>
        </w:rPr>
        <w:t>is likely reflective of environmental conditions prior to the grant for the land for ecclesiastical purposes in the 7</w:t>
      </w:r>
      <w:r w:rsidRPr="0043515C">
        <w:rPr>
          <w:rFonts w:cstheme="minorHAnsi"/>
          <w:vertAlign w:val="superscript"/>
        </w:rPr>
        <w:t>th</w:t>
      </w:r>
      <w:r w:rsidRPr="0043515C">
        <w:rPr>
          <w:rFonts w:cstheme="minorHAnsi"/>
        </w:rPr>
        <w:t>-9</w:t>
      </w:r>
      <w:r w:rsidRPr="0043515C">
        <w:rPr>
          <w:rFonts w:cstheme="minorHAnsi"/>
          <w:vertAlign w:val="superscript"/>
        </w:rPr>
        <w:t>th</w:t>
      </w:r>
      <w:r w:rsidRPr="0043515C">
        <w:rPr>
          <w:rFonts w:cstheme="minorHAnsi"/>
        </w:rPr>
        <w:t xml:space="preserve"> century recorded on the </w:t>
      </w:r>
      <w:proofErr w:type="spellStart"/>
      <w:r w:rsidRPr="0043515C">
        <w:rPr>
          <w:rFonts w:cstheme="minorHAnsi"/>
        </w:rPr>
        <w:t>Tesquitus</w:t>
      </w:r>
      <w:proofErr w:type="spellEnd"/>
      <w:r w:rsidRPr="0043515C">
        <w:rPr>
          <w:rFonts w:cstheme="minorHAnsi"/>
        </w:rPr>
        <w:t xml:space="preserve"> stone (cf. </w:t>
      </w:r>
      <w:bookmarkStart w:id="23" w:name="_Hlk146572914"/>
      <w:r w:rsidRPr="0043515C">
        <w:rPr>
          <w:rFonts w:cstheme="minorHAnsi"/>
        </w:rPr>
        <w:t>Edwards 2007</w:t>
      </w:r>
      <w:bookmarkEnd w:id="23"/>
      <w:r w:rsidRPr="0043515C">
        <w:rPr>
          <w:rFonts w:cstheme="minorHAnsi"/>
        </w:rPr>
        <w:t xml:space="preserve">: </w:t>
      </w:r>
      <w:r w:rsidRPr="005456ED">
        <w:rPr>
          <w:rFonts w:cstheme="minorHAnsi"/>
          <w:highlight w:val="yellow"/>
        </w:rPr>
        <w:t>XX</w:t>
      </w:r>
      <w:r w:rsidRPr="0043515C">
        <w:rPr>
          <w:rFonts w:cstheme="minorHAnsi"/>
        </w:rPr>
        <w:t xml:space="preserve">).  It cannot be sure whether they also reflect land use associated with that monastic holding, but one might expect further clearances and an increase in farming activity to occur alongside that grant (cf. Davies 2019 for the possible influence of monastic landholdings on land use in Wales during the early medieval period).  </w:t>
      </w:r>
    </w:p>
    <w:p w14:paraId="6918D5C4" w14:textId="55EEE30D" w:rsidR="002A1F45" w:rsidRPr="004A4FE9" w:rsidRDefault="008949FA" w:rsidP="00901239">
      <w:pPr>
        <w:jc w:val="both"/>
      </w:pPr>
      <w:r>
        <w:rPr>
          <w:rFonts w:cstheme="minorHAnsi"/>
        </w:rPr>
        <w:t xml:space="preserve">It is unfortunate that no environmental sequence has been analysed at </w:t>
      </w:r>
      <w:proofErr w:type="spellStart"/>
      <w:r>
        <w:rPr>
          <w:rFonts w:cstheme="minorHAnsi"/>
        </w:rPr>
        <w:t>Talsarn</w:t>
      </w:r>
      <w:proofErr w:type="spellEnd"/>
      <w:r>
        <w:rPr>
          <w:rFonts w:cstheme="minorHAnsi"/>
        </w:rPr>
        <w:t xml:space="preserve"> contemporary with the early medieval monastery, nor indeed the later Cistercian nunnery at L</w:t>
      </w:r>
      <w:r w:rsidR="001C1E36">
        <w:rPr>
          <w:rFonts w:cstheme="minorHAnsi"/>
        </w:rPr>
        <w:t>l</w:t>
      </w:r>
      <w:r>
        <w:rPr>
          <w:rFonts w:cstheme="minorHAnsi"/>
        </w:rPr>
        <w:t>anllyr.  However, recently obtained radiocarbon dates from peat deposits exposed by archaeological excavations in 2023 indicate the presence of suitable deposits that could provide invaluable information relating to these phases of use of the neighbouring landscape.  This is particularly significant in this case as no other pollen study has been undertaken as close to a medieval monastic centre in Wales (cf. Davies 2019, 2022</w:t>
      </w:r>
      <w:r w:rsidR="00B56087">
        <w:rPr>
          <w:rFonts w:cstheme="minorHAnsi"/>
        </w:rPr>
        <w:t>b</w:t>
      </w:r>
      <w:r>
        <w:rPr>
          <w:rFonts w:cstheme="minorHAnsi"/>
        </w:rPr>
        <w:t xml:space="preserve">).  </w:t>
      </w:r>
      <w:r w:rsidR="00580D87">
        <w:rPr>
          <w:rFonts w:cstheme="minorHAnsi"/>
        </w:rPr>
        <w:t>These deposits may therefore be particularly informative in relation to the potential impact on the environment of Wales by monastic communities during the medieval period.</w:t>
      </w:r>
    </w:p>
    <w:bookmarkEnd w:id="4"/>
    <w:p w14:paraId="3D36D3FB" w14:textId="77777777" w:rsidR="00901239" w:rsidRPr="004A4FE9" w:rsidRDefault="00901239" w:rsidP="00901239">
      <w:pPr>
        <w:spacing w:after="0" w:line="240" w:lineRule="auto"/>
        <w:ind w:left="1440"/>
        <w:rPr>
          <w:i/>
          <w:iCs/>
        </w:rPr>
      </w:pPr>
    </w:p>
    <w:p w14:paraId="3F848F83" w14:textId="7B6F0CC9" w:rsidR="00901239" w:rsidRPr="004A4FE9" w:rsidRDefault="00901239" w:rsidP="00C50070">
      <w:pPr>
        <w:spacing w:after="0" w:line="240" w:lineRule="auto"/>
        <w:rPr>
          <w:b/>
          <w:bCs/>
        </w:rPr>
      </w:pPr>
      <w:r w:rsidRPr="004A4FE9">
        <w:rPr>
          <w:b/>
          <w:bCs/>
          <w:i/>
          <w:iCs/>
        </w:rPr>
        <w:t>8.2.4 Radiocarbon dating</w:t>
      </w:r>
    </w:p>
    <w:p w14:paraId="4F88795C" w14:textId="3BE9CA55" w:rsidR="00F84E6F" w:rsidRDefault="00F84E6F" w:rsidP="00750E27">
      <w:pPr>
        <w:spacing w:after="0" w:line="240" w:lineRule="auto"/>
      </w:pPr>
      <w:bookmarkStart w:id="24" w:name="_Hlk146785039"/>
      <w:r w:rsidRPr="005456ED">
        <w:t xml:space="preserve">A chronological framework for the </w:t>
      </w:r>
      <w:proofErr w:type="spellStart"/>
      <w:r w:rsidRPr="005456ED">
        <w:t>Talsarn</w:t>
      </w:r>
      <w:proofErr w:type="spellEnd"/>
      <w:r w:rsidRPr="005456ED">
        <w:t xml:space="preserve"> cores was established by a series of radiocarbon dates targeting key stratigraphic changes within </w:t>
      </w:r>
      <w:r w:rsidR="001A3F5F">
        <w:t>cores LLYR4, LLYR9a and LLYR14</w:t>
      </w:r>
      <w:r w:rsidRPr="005456ED">
        <w:t>.  Sampling for dating collected 0.5-1cm thic</w:t>
      </w:r>
      <w:r>
        <w:t>k</w:t>
      </w:r>
      <w:r w:rsidRPr="005456ED">
        <w:t xml:space="preserve"> slices of </w:t>
      </w:r>
      <w:r w:rsidR="001A3F5F">
        <w:t xml:space="preserve">peat or organic rich sediments </w:t>
      </w:r>
      <w:r w:rsidRPr="005456ED">
        <w:t xml:space="preserve">from the compressed cores, and were </w:t>
      </w:r>
      <w:r w:rsidRPr="005456ED">
        <w:lastRenderedPageBreak/>
        <w:t>processed at a Beta Analytic, Florida and the Chrono Centre, Belfast</w:t>
      </w:r>
      <w:r>
        <w:t xml:space="preserve"> where both the </w:t>
      </w:r>
      <w:proofErr w:type="spellStart"/>
      <w:r>
        <w:t>humin</w:t>
      </w:r>
      <w:proofErr w:type="spellEnd"/>
      <w:r>
        <w:t xml:space="preserve"> and humic acid fractions of all samples were subject to dating analysis</w:t>
      </w:r>
      <w:r w:rsidRPr="005456ED">
        <w:t xml:space="preserve">.  Table </w:t>
      </w:r>
      <w:r w:rsidR="008635CF">
        <w:t>5</w:t>
      </w:r>
      <w:r w:rsidR="008635CF" w:rsidRPr="005456ED">
        <w:t xml:space="preserve"> </w:t>
      </w:r>
      <w:r w:rsidRPr="005456ED">
        <w:t xml:space="preserve">provides a list of all radiocarbon dates obtained from the cores.  On obtaining the results of radiocarbon dating, age-depth graphs of the cores were produced using </w:t>
      </w:r>
      <w:proofErr w:type="spellStart"/>
      <w:r w:rsidRPr="005456ED">
        <w:t>rbacon</w:t>
      </w:r>
      <w:proofErr w:type="spellEnd"/>
      <w:r w:rsidRPr="005456ED">
        <w:t xml:space="preserve"> 4.0.5 </w:t>
      </w:r>
      <w:r w:rsidRPr="00F84E6F">
        <w:t xml:space="preserve">(Blaauw and Christen 2011).  In </w:t>
      </w:r>
      <w:r>
        <w:t xml:space="preserve">the majority of </w:t>
      </w:r>
      <w:r w:rsidRPr="00F84E6F">
        <w:t xml:space="preserve">cases, it was found that </w:t>
      </w:r>
      <w:r>
        <w:t xml:space="preserve">the </w:t>
      </w:r>
      <w:proofErr w:type="spellStart"/>
      <w:r>
        <w:t>humin</w:t>
      </w:r>
      <w:proofErr w:type="spellEnd"/>
      <w:r>
        <w:t xml:space="preserve"> dates were much later in date than humic acid dates.  In light of the fact that there are no alkaline geological units in the catchment area</w:t>
      </w:r>
      <w:r w:rsidR="00E74435">
        <w:t xml:space="preserve"> that would affect the alkaline soluble </w:t>
      </w:r>
      <w:proofErr w:type="spellStart"/>
      <w:r w:rsidR="00E74435">
        <w:t>fumic</w:t>
      </w:r>
      <w:proofErr w:type="spellEnd"/>
      <w:r w:rsidR="00E74435">
        <w:t xml:space="preserve"> acid fraction of deposits</w:t>
      </w:r>
      <w:r>
        <w:t xml:space="preserve">, it was determined that the humic acid dates would likely be the most reliable dates </w:t>
      </w:r>
      <w:r w:rsidR="00E74435">
        <w:t xml:space="preserve">in this landscape context.  This is broadly supported by the </w:t>
      </w:r>
      <w:r w:rsidR="001A3F5F">
        <w:t>palynological</w:t>
      </w:r>
      <w:r w:rsidR="00E74435">
        <w:t xml:space="preserve"> data</w:t>
      </w:r>
      <w:r w:rsidR="001A3F5F">
        <w:t xml:space="preserve"> from LLYR9a</w:t>
      </w:r>
      <w:r w:rsidR="00E74435">
        <w:t xml:space="preserve">, which shows </w:t>
      </w:r>
      <w:proofErr w:type="spellStart"/>
      <w:r w:rsidR="00E74435">
        <w:t>palaeoenvornmental</w:t>
      </w:r>
      <w:proofErr w:type="spellEnd"/>
      <w:r w:rsidR="00E74435">
        <w:t xml:space="preserve"> changes consistent with the start of the </w:t>
      </w:r>
      <w:proofErr w:type="spellStart"/>
      <w:r w:rsidR="00E74435">
        <w:t>holocene</w:t>
      </w:r>
      <w:proofErr w:type="spellEnd"/>
      <w:r w:rsidR="00E74435">
        <w:t xml:space="preserve"> </w:t>
      </w:r>
      <w:r w:rsidR="001A3F5F">
        <w:t xml:space="preserve">with a humic acid radiocarbon date that matches the known date range of that time </w:t>
      </w:r>
      <w:r w:rsidR="00E74435">
        <w:t>(</w:t>
      </w:r>
      <w:r w:rsidR="001A3F5F">
        <w:t xml:space="preserve">12,040-11,330 Cal. BP, or 10,090-7,370 Cal. BC </w:t>
      </w:r>
      <w:r w:rsidR="00E74435">
        <w:t xml:space="preserve">– see Table </w:t>
      </w:r>
      <w:r w:rsidR="008635CF">
        <w:t>5</w:t>
      </w:r>
      <w:r w:rsidR="00F06539">
        <w:t xml:space="preserve">).  </w:t>
      </w:r>
    </w:p>
    <w:p w14:paraId="18BADB30" w14:textId="77777777" w:rsidR="00E74435" w:rsidRDefault="00E74435" w:rsidP="00750E27">
      <w:pPr>
        <w:spacing w:after="0" w:line="240" w:lineRule="auto"/>
      </w:pPr>
    </w:p>
    <w:p w14:paraId="3D85C8BD" w14:textId="1303F4D3" w:rsidR="00F24EAE" w:rsidRDefault="00F06539" w:rsidP="00750E27">
      <w:pPr>
        <w:spacing w:after="0" w:line="240" w:lineRule="auto"/>
      </w:pPr>
      <w:r>
        <w:t xml:space="preserve">Based on the chronological framework provided by the age depth models in figures </w:t>
      </w:r>
      <w:r w:rsidR="008635CF">
        <w:t>7-9</w:t>
      </w:r>
      <w:r>
        <w:t>, core LLYR14 appears to cover a timeframe ranging from the early post-glacial to the early medieval period</w:t>
      </w:r>
      <w:r w:rsidR="00565403">
        <w:t xml:space="preserve">.  Some dates from LLYR14 </w:t>
      </w:r>
      <w:proofErr w:type="spellStart"/>
      <w:r w:rsidR="00565403">
        <w:t>wer</w:t>
      </w:r>
      <w:proofErr w:type="spellEnd"/>
      <w:r w:rsidR="00565403">
        <w:t xml:space="preserve"> obtained from organic rich sediments rather than peat, which would have a higher potential for redeposited older material.  </w:t>
      </w:r>
    </w:p>
    <w:p w14:paraId="7AAE0DFB" w14:textId="77777777" w:rsidR="00F24EAE" w:rsidRDefault="00F24EAE" w:rsidP="00750E27">
      <w:pPr>
        <w:spacing w:after="0" w:line="240" w:lineRule="auto"/>
      </w:pPr>
    </w:p>
    <w:p w14:paraId="7FE7F02D" w14:textId="7B94131C" w:rsidR="00F06539" w:rsidRDefault="00565403" w:rsidP="00750E27">
      <w:pPr>
        <w:spacing w:after="0" w:line="240" w:lineRule="auto"/>
      </w:pPr>
      <w:r>
        <w:t>However, all dates from the core were sequential, indicating that the palaeoenvironmental data within should also be relatively secure and deposited in a sequential order.  The radiocarbon dates from the top and bottom of the peat deposit in LLYR9a also provided sequential early post-glacial radiocarbon dates</w:t>
      </w:r>
      <w:r w:rsidR="00F24EAE">
        <w:t xml:space="preserve">, whilst LLYR4 provided sequential radiocarbon dates from the top and bottom of the upper peat dating from the late Neolithic to the Early Iron Age.  Additional samples for radiocarbon dating have been taken within middle of peat deposits in all three cores, which will verify peat accumulation rates and seek to provide more secure dating evidence from some of the core sections subject to more detailed analysis.  </w:t>
      </w:r>
    </w:p>
    <w:p w14:paraId="32F2EF70" w14:textId="77777777" w:rsidR="00565403" w:rsidRDefault="00565403" w:rsidP="00750E27">
      <w:pPr>
        <w:spacing w:after="0" w:line="240" w:lineRule="auto"/>
      </w:pPr>
    </w:p>
    <w:p w14:paraId="2E42646B" w14:textId="374A1C80" w:rsidR="00F06539" w:rsidRDefault="001A3F5F" w:rsidP="00750E27">
      <w:pPr>
        <w:spacing w:after="0" w:line="240" w:lineRule="auto"/>
      </w:pPr>
      <w:r>
        <w:t xml:space="preserve">The radiocarbon dates obtained from peat deposits from the three cores are likely to be more secure than those from organic rich sediments.  </w:t>
      </w:r>
      <w:r w:rsidR="00F06539">
        <w:t xml:space="preserve">Readers should therefore take into consideration the fact that the chronological framework for palaeoenvironmental data from LLYR9a and LLYR4 is likely to be more secure than sediments of ‘equivalent date’ from LLYR4 that consist of inorganic and organic rich sediments.  </w:t>
      </w:r>
    </w:p>
    <w:bookmarkEnd w:id="24"/>
    <w:p w14:paraId="0858D505" w14:textId="52CED574" w:rsidR="00E74435" w:rsidRDefault="00E74435" w:rsidP="00750E27">
      <w:pPr>
        <w:spacing w:after="0" w:line="240" w:lineRule="auto"/>
      </w:pPr>
    </w:p>
    <w:p w14:paraId="78CDB62D" w14:textId="77777777" w:rsidR="00B96D7E" w:rsidRDefault="00B96D7E" w:rsidP="00750E27">
      <w:pPr>
        <w:spacing w:after="0" w:line="240" w:lineRule="auto"/>
      </w:pPr>
    </w:p>
    <w:p w14:paraId="3C1CDDA9" w14:textId="77777777" w:rsidR="00B96D7E" w:rsidRDefault="00B96D7E" w:rsidP="00750E27">
      <w:pPr>
        <w:spacing w:after="0" w:line="240" w:lineRule="auto"/>
      </w:pPr>
    </w:p>
    <w:p w14:paraId="2EB5640B" w14:textId="77777777" w:rsidR="00B96D7E" w:rsidRDefault="00B96D7E" w:rsidP="00750E27">
      <w:pPr>
        <w:spacing w:after="0" w:line="240" w:lineRule="auto"/>
      </w:pPr>
    </w:p>
    <w:p w14:paraId="56450036" w14:textId="77777777" w:rsidR="00B96D7E" w:rsidRDefault="00B96D7E" w:rsidP="00750E27">
      <w:pPr>
        <w:spacing w:after="0" w:line="240" w:lineRule="auto"/>
      </w:pPr>
    </w:p>
    <w:p w14:paraId="4C200B32" w14:textId="77777777" w:rsidR="00A33745" w:rsidRDefault="00A33745">
      <w:pPr>
        <w:rPr>
          <w:b/>
          <w:bCs/>
        </w:rPr>
      </w:pPr>
      <w:r>
        <w:rPr>
          <w:b/>
          <w:bCs/>
        </w:rPr>
        <w:t>Bibliography:</w:t>
      </w:r>
    </w:p>
    <w:p w14:paraId="1537DCC4" w14:textId="77777777" w:rsidR="00A33745" w:rsidRPr="000B6D69" w:rsidRDefault="00A33745" w:rsidP="00A33745">
      <w:r w:rsidRPr="000B6D69">
        <w:t>Alley, R.B. and Ágústsdóttir, A.M., 2005. The 8k event: cause and consequences of a major Holocene abrupt climate change. </w:t>
      </w:r>
      <w:r w:rsidRPr="000B6D69">
        <w:rPr>
          <w:i/>
          <w:iCs/>
        </w:rPr>
        <w:t>Quaternary Science Reviews</w:t>
      </w:r>
      <w:r w:rsidRPr="000B6D69">
        <w:t>, </w:t>
      </w:r>
      <w:r w:rsidRPr="000B6D69">
        <w:rPr>
          <w:i/>
          <w:iCs/>
        </w:rPr>
        <w:t>24</w:t>
      </w:r>
      <w:r w:rsidRPr="000B6D69">
        <w:t>(10-11):1123-1149.</w:t>
      </w:r>
    </w:p>
    <w:p w14:paraId="1B1D171C" w14:textId="77777777" w:rsidR="00A33745" w:rsidRPr="000B6D69" w:rsidRDefault="00A33745" w:rsidP="00A33745">
      <w:r w:rsidRPr="000B6D69">
        <w:t xml:space="preserve">Andersen, S.T., 1979. Identification of wild grass and cereal pollen. </w:t>
      </w:r>
      <w:proofErr w:type="spellStart"/>
      <w:r w:rsidRPr="000B6D69">
        <w:rPr>
          <w:i/>
          <w:iCs/>
        </w:rPr>
        <w:t>Aarbog</w:t>
      </w:r>
      <w:proofErr w:type="spellEnd"/>
      <w:r w:rsidRPr="000B6D69">
        <w:rPr>
          <w:i/>
          <w:iCs/>
        </w:rPr>
        <w:t xml:space="preserve">. </w:t>
      </w:r>
      <w:proofErr w:type="spellStart"/>
      <w:r w:rsidRPr="000B6D69">
        <w:rPr>
          <w:i/>
          <w:iCs/>
        </w:rPr>
        <w:t>Danmarks</w:t>
      </w:r>
      <w:proofErr w:type="spellEnd"/>
      <w:r w:rsidRPr="000B6D69">
        <w:rPr>
          <w:i/>
          <w:iCs/>
        </w:rPr>
        <w:t xml:space="preserve"> </w:t>
      </w:r>
      <w:proofErr w:type="spellStart"/>
      <w:r w:rsidRPr="000B6D69">
        <w:rPr>
          <w:i/>
          <w:iCs/>
        </w:rPr>
        <w:t>Geologiske</w:t>
      </w:r>
      <w:proofErr w:type="spellEnd"/>
      <w:r w:rsidRPr="000B6D69">
        <w:rPr>
          <w:i/>
          <w:iCs/>
        </w:rPr>
        <w:t xml:space="preserve"> </w:t>
      </w:r>
      <w:proofErr w:type="spellStart"/>
      <w:r w:rsidRPr="000B6D69">
        <w:rPr>
          <w:i/>
          <w:iCs/>
        </w:rPr>
        <w:t>Undersoegelse</w:t>
      </w:r>
      <w:proofErr w:type="spellEnd"/>
      <w:r w:rsidRPr="000B6D69">
        <w:rPr>
          <w:i/>
          <w:iCs/>
        </w:rPr>
        <w:t xml:space="preserve"> (Denmark)</w:t>
      </w:r>
      <w:r w:rsidRPr="000B6D69">
        <w:t>.</w:t>
      </w:r>
    </w:p>
    <w:p w14:paraId="460C40B9" w14:textId="77777777" w:rsidR="00A33745" w:rsidRPr="000B6D69" w:rsidRDefault="00A33745" w:rsidP="00A33745">
      <w:r w:rsidRPr="000B6D69">
        <w:t xml:space="preserve">Behre, K. 1981 The interpretation of anthropogenic indicators in pollen diagrams.  </w:t>
      </w:r>
      <w:r w:rsidRPr="000B6D69">
        <w:rPr>
          <w:i/>
        </w:rPr>
        <w:t>Pollen et spores</w:t>
      </w:r>
      <w:r w:rsidRPr="000B6D69">
        <w:t xml:space="preserve"> 23, 2: 225-245</w:t>
      </w:r>
    </w:p>
    <w:p w14:paraId="5F1BD1D8" w14:textId="77777777" w:rsidR="00A33745" w:rsidRPr="000B6D69" w:rsidRDefault="00A33745" w:rsidP="00A33745">
      <w:r w:rsidRPr="000B6D69">
        <w:t xml:space="preserve">Bennett, K. D. 1994 </w:t>
      </w:r>
      <w:r w:rsidRPr="000B6D69">
        <w:rPr>
          <w:i/>
          <w:iCs/>
        </w:rPr>
        <w:t>Annotated catalogue of pollen and pteridophyte spore types of the British Isles</w:t>
      </w:r>
      <w:r w:rsidRPr="000B6D69">
        <w:rPr>
          <w:iCs/>
        </w:rPr>
        <w:t xml:space="preserve">. </w:t>
      </w:r>
      <w:r w:rsidRPr="000B6D69">
        <w:t>Cambridge: Department of Plant Sciences, University of Cambridge.</w:t>
      </w:r>
    </w:p>
    <w:p w14:paraId="494E471A" w14:textId="77777777" w:rsidR="00A33745" w:rsidRPr="000B6D69" w:rsidRDefault="00A33745" w:rsidP="00A33745">
      <w:r w:rsidRPr="000B6D69">
        <w:t>Blaauw, M. and Christen, J.A. 2011. Flexible paleoclimate age-depth models using an autoregressive gamma process. </w:t>
      </w:r>
      <w:r w:rsidRPr="000B6D69">
        <w:rPr>
          <w:i/>
          <w:iCs/>
        </w:rPr>
        <w:t>Bayesian analysis</w:t>
      </w:r>
      <w:r w:rsidRPr="000B6D69">
        <w:t>, 6(3): 457-474</w:t>
      </w:r>
    </w:p>
    <w:p w14:paraId="5B0A7F0B" w14:textId="77777777" w:rsidR="00A33745" w:rsidRPr="000B6D69" w:rsidRDefault="00A33745" w:rsidP="00A33745">
      <w:proofErr w:type="spellStart"/>
      <w:r w:rsidRPr="000B6D69">
        <w:lastRenderedPageBreak/>
        <w:t>Broström</w:t>
      </w:r>
      <w:proofErr w:type="spellEnd"/>
      <w:r w:rsidRPr="000B6D69">
        <w:t xml:space="preserve">, A., Nielsen, A.B., Gaillard, M.J., Hjelle, K., Mazier, F., Binney, H., Bunting, J., Fyfe, R., </w:t>
      </w:r>
      <w:proofErr w:type="spellStart"/>
      <w:r w:rsidRPr="000B6D69">
        <w:t>Meltsov</w:t>
      </w:r>
      <w:proofErr w:type="spellEnd"/>
      <w:r w:rsidRPr="000B6D69">
        <w:t>, V., Poska, A. and Räsänen, S., 2008. Pollen productivity estimates of key European plant taxa for quantitative reconstruction of past vegetation: a review. </w:t>
      </w:r>
      <w:r w:rsidRPr="000B6D69">
        <w:rPr>
          <w:i/>
          <w:iCs/>
        </w:rPr>
        <w:t xml:space="preserve">Vegetation history and </w:t>
      </w:r>
      <w:proofErr w:type="spellStart"/>
      <w:r w:rsidRPr="000B6D69">
        <w:rPr>
          <w:i/>
          <w:iCs/>
        </w:rPr>
        <w:t>archaeobotany</w:t>
      </w:r>
      <w:proofErr w:type="spellEnd"/>
      <w:r w:rsidRPr="000B6D69">
        <w:t>, </w:t>
      </w:r>
      <w:r w:rsidRPr="000B6D69">
        <w:rPr>
          <w:i/>
          <w:iCs/>
        </w:rPr>
        <w:t>17</w:t>
      </w:r>
      <w:r w:rsidRPr="000B6D69">
        <w:t>, pp.461-478.</w:t>
      </w:r>
    </w:p>
    <w:p w14:paraId="3CB8B797" w14:textId="77777777" w:rsidR="00A33745" w:rsidRPr="000B6D69" w:rsidRDefault="00A33745" w:rsidP="00A33745">
      <w:r w:rsidRPr="000B6D69">
        <w:t xml:space="preserve">Buckley, S. 2000. </w:t>
      </w:r>
      <w:r w:rsidRPr="000B6D69">
        <w:rPr>
          <w:i/>
          <w:iCs/>
        </w:rPr>
        <w:t>Palaeoecological Investigations of Blanket Mires in Upland Mid-Wales</w:t>
      </w:r>
      <w:r w:rsidRPr="000B6D69">
        <w:t>. Unpublished PhD Thesis, University of Wales Lampeter</w:t>
      </w:r>
    </w:p>
    <w:p w14:paraId="1567F998" w14:textId="77777777" w:rsidR="00A33745" w:rsidRPr="000B6D69" w:rsidRDefault="00A33745" w:rsidP="00A33745">
      <w:r w:rsidRPr="000B6D69">
        <w:t xml:space="preserve">Buckley, </w:t>
      </w:r>
      <w:proofErr w:type="gramStart"/>
      <w:r w:rsidRPr="000B6D69">
        <w:t>S.L.</w:t>
      </w:r>
      <w:proofErr w:type="gramEnd"/>
      <w:r w:rsidRPr="000B6D69">
        <w:t xml:space="preserve"> and Walker, M.J.C., 2001. The </w:t>
      </w:r>
      <w:proofErr w:type="spellStart"/>
      <w:r w:rsidRPr="000B6D69">
        <w:t>Flandrian</w:t>
      </w:r>
      <w:proofErr w:type="spellEnd"/>
      <w:r w:rsidRPr="000B6D69">
        <w:t xml:space="preserve"> vegetation history of upland mid-Wales: </w:t>
      </w:r>
      <w:proofErr w:type="spellStart"/>
      <w:r w:rsidRPr="000B6D69">
        <w:t>Bryniau</w:t>
      </w:r>
      <w:proofErr w:type="spellEnd"/>
      <w:r w:rsidRPr="000B6D69">
        <w:t xml:space="preserve"> Pica. </w:t>
      </w:r>
      <w:r w:rsidRPr="000B6D69">
        <w:rPr>
          <w:i/>
          <w:iCs/>
        </w:rPr>
        <w:t>The Quaternary of West Wales Field Guide</w:t>
      </w:r>
      <w:r w:rsidRPr="000B6D69">
        <w:t>, pp.93-102.</w:t>
      </w:r>
    </w:p>
    <w:p w14:paraId="50DEF89C" w14:textId="77777777" w:rsidR="00A33745" w:rsidRPr="000B6D69" w:rsidRDefault="00A33745" w:rsidP="00A33745">
      <w:proofErr w:type="spellStart"/>
      <w:r w:rsidRPr="000B6D69">
        <w:t>Büntgen</w:t>
      </w:r>
      <w:proofErr w:type="spellEnd"/>
      <w:r w:rsidRPr="000B6D69">
        <w:t xml:space="preserve">, U., Tegel, W., </w:t>
      </w:r>
      <w:proofErr w:type="spellStart"/>
      <w:r w:rsidRPr="000B6D69">
        <w:t>Nicolussi</w:t>
      </w:r>
      <w:proofErr w:type="spellEnd"/>
      <w:r w:rsidRPr="000B6D69">
        <w:t xml:space="preserve">, K., McCormick, M., Frank, D., </w:t>
      </w:r>
      <w:proofErr w:type="spellStart"/>
      <w:r w:rsidRPr="000B6D69">
        <w:t>Trouet</w:t>
      </w:r>
      <w:proofErr w:type="spellEnd"/>
      <w:r w:rsidRPr="000B6D69">
        <w:t xml:space="preserve">, V., Kaplan, J.O., Herzig, F., Heussner, K.U., </w:t>
      </w:r>
      <w:proofErr w:type="spellStart"/>
      <w:r w:rsidRPr="000B6D69">
        <w:t>Wanner</w:t>
      </w:r>
      <w:proofErr w:type="spellEnd"/>
      <w:r w:rsidRPr="000B6D69">
        <w:t xml:space="preserve">, H. and </w:t>
      </w:r>
      <w:proofErr w:type="spellStart"/>
      <w:r w:rsidRPr="000B6D69">
        <w:t>Luterbacher</w:t>
      </w:r>
      <w:proofErr w:type="spellEnd"/>
      <w:r w:rsidRPr="000B6D69">
        <w:t>, J., 2011. 2500 years of European climate variability and human susceptibility. </w:t>
      </w:r>
      <w:r w:rsidRPr="000B6D69">
        <w:rPr>
          <w:i/>
          <w:iCs/>
        </w:rPr>
        <w:t>science</w:t>
      </w:r>
      <w:r w:rsidRPr="000B6D69">
        <w:t>, </w:t>
      </w:r>
      <w:r w:rsidRPr="000B6D69">
        <w:rPr>
          <w:i/>
          <w:iCs/>
        </w:rPr>
        <w:t>331</w:t>
      </w:r>
      <w:r w:rsidRPr="000B6D69">
        <w:t>(6017): 578-582.</w:t>
      </w:r>
    </w:p>
    <w:p w14:paraId="14F461F3" w14:textId="77777777" w:rsidR="00A33745" w:rsidRPr="000B6D69" w:rsidRDefault="00A33745" w:rsidP="00A33745">
      <w:r w:rsidRPr="000B6D69">
        <w:t>Caseldine, C.J., 1981. Surface pollen studies across Bankhead Moss, Fife, Scotland. </w:t>
      </w:r>
      <w:r w:rsidRPr="000B6D69">
        <w:rPr>
          <w:i/>
          <w:iCs/>
        </w:rPr>
        <w:t>Journal of Biogeography</w:t>
      </w:r>
      <w:r w:rsidRPr="000B6D69">
        <w:t>: 7-25.</w:t>
      </w:r>
    </w:p>
    <w:p w14:paraId="7E5E629E" w14:textId="77777777" w:rsidR="00A33745" w:rsidRPr="000B6D69" w:rsidRDefault="00A33745" w:rsidP="00A33745">
      <w:r w:rsidRPr="000B6D69">
        <w:t xml:space="preserve">Chambers, F.M. and Price, S.M., 1985. Palaeoecology of Alnus (alder): early </w:t>
      </w:r>
      <w:r w:rsidRPr="000B6D69">
        <w:rPr>
          <w:rFonts w:hint="eastAsia"/>
        </w:rPr>
        <w:t>post</w:t>
      </w:r>
      <w:r w:rsidRPr="000B6D69">
        <w:rPr>
          <w:rFonts w:hint="eastAsia"/>
        </w:rPr>
        <w:t>‐</w:t>
      </w:r>
      <w:r w:rsidRPr="000B6D69">
        <w:rPr>
          <w:rFonts w:hint="eastAsia"/>
        </w:rPr>
        <w:t>glacial</w:t>
      </w:r>
      <w:r w:rsidRPr="000B6D69">
        <w:t xml:space="preserve"> rise in a valley mire, </w:t>
      </w:r>
      <w:r w:rsidRPr="000B6D69">
        <w:rPr>
          <w:rFonts w:hint="eastAsia"/>
        </w:rPr>
        <w:t>north</w:t>
      </w:r>
      <w:r w:rsidRPr="000B6D69">
        <w:rPr>
          <w:rFonts w:hint="eastAsia"/>
        </w:rPr>
        <w:t>‐</w:t>
      </w:r>
      <w:r w:rsidRPr="000B6D69">
        <w:rPr>
          <w:rFonts w:hint="eastAsia"/>
        </w:rPr>
        <w:t>west</w:t>
      </w:r>
      <w:r w:rsidRPr="000B6D69">
        <w:t xml:space="preserve"> Wales. </w:t>
      </w:r>
      <w:r w:rsidRPr="000B6D69">
        <w:rPr>
          <w:i/>
          <w:iCs/>
        </w:rPr>
        <w:t>New phytologist</w:t>
      </w:r>
      <w:r w:rsidRPr="000B6D69">
        <w:t>, </w:t>
      </w:r>
      <w:r w:rsidRPr="000B6D69">
        <w:rPr>
          <w:i/>
          <w:iCs/>
        </w:rPr>
        <w:t>101</w:t>
      </w:r>
      <w:r w:rsidRPr="000B6D69">
        <w:t>(2), pp.333-344</w:t>
      </w:r>
    </w:p>
    <w:p w14:paraId="05FA4236" w14:textId="77777777" w:rsidR="00A33745" w:rsidRPr="000B6D69" w:rsidRDefault="00A33745" w:rsidP="00A33745">
      <w:r w:rsidRPr="000B6D69">
        <w:t xml:space="preserve">Clapham, A., Tutin, T. and Moore, D. 1987. </w:t>
      </w:r>
      <w:r w:rsidRPr="000B6D69">
        <w:rPr>
          <w:i/>
        </w:rPr>
        <w:t>Flora of the British Isles</w:t>
      </w:r>
      <w:r w:rsidRPr="000B6D69">
        <w:t>.</w:t>
      </w:r>
      <w:r w:rsidRPr="000B6D69">
        <w:rPr>
          <w:i/>
        </w:rPr>
        <w:t xml:space="preserve">  3</w:t>
      </w:r>
      <w:r w:rsidRPr="000B6D69">
        <w:rPr>
          <w:i/>
          <w:vertAlign w:val="superscript"/>
        </w:rPr>
        <w:t>rd</w:t>
      </w:r>
      <w:r w:rsidRPr="000B6D69">
        <w:rPr>
          <w:i/>
        </w:rPr>
        <w:t xml:space="preserve"> edition.</w:t>
      </w:r>
      <w:r w:rsidRPr="000B6D69">
        <w:t xml:space="preserve">  Cambridge: Cambridge University Press</w:t>
      </w:r>
    </w:p>
    <w:p w14:paraId="6CCABA00" w14:textId="77777777" w:rsidR="00A33745" w:rsidRPr="000B6D69" w:rsidRDefault="00A33745" w:rsidP="00A33745">
      <w:r w:rsidRPr="000B6D69">
        <w:t xml:space="preserve">Dark, P. 2000. </w:t>
      </w:r>
      <w:r w:rsidRPr="000B6D69">
        <w:rPr>
          <w:i/>
          <w:iCs/>
        </w:rPr>
        <w:t>The environment of Britain in the first millennium AD</w:t>
      </w:r>
      <w:r w:rsidRPr="000B6D69">
        <w:t>.  London, Duckworth.</w:t>
      </w:r>
    </w:p>
    <w:p w14:paraId="384E8E88" w14:textId="77777777" w:rsidR="00A33745" w:rsidRPr="000B6D69" w:rsidRDefault="00A33745" w:rsidP="00A33745">
      <w:proofErr w:type="spellStart"/>
      <w:r w:rsidRPr="000B6D69">
        <w:t>Darvill</w:t>
      </w:r>
      <w:proofErr w:type="spellEnd"/>
      <w:r w:rsidRPr="000B6D69">
        <w:t xml:space="preserve">. T.  2020. Early Farming Communities: 4000-700 BC. In </w:t>
      </w:r>
      <w:proofErr w:type="spellStart"/>
      <w:r w:rsidRPr="000B6D69">
        <w:t>Darvill</w:t>
      </w:r>
      <w:proofErr w:type="spellEnd"/>
      <w:r w:rsidRPr="000B6D69">
        <w:t>, T., David, A., Griffiths, S., Hart, J., James, H., Murphy, K. and Rackham, J. Timeline: The archaeology of the south Wales gas pipeline.  Cotswold Archaeology Monograph 13, Henry King Ltd, Dorchester: 34-77</w:t>
      </w:r>
    </w:p>
    <w:p w14:paraId="38BECD0D" w14:textId="77777777" w:rsidR="00A33745" w:rsidRPr="000B6D69" w:rsidRDefault="00A33745" w:rsidP="00A33745">
      <w:r w:rsidRPr="000B6D69">
        <w:t xml:space="preserve">Davies, T., 2019. Culture, Climate, </w:t>
      </w:r>
      <w:proofErr w:type="gramStart"/>
      <w:r w:rsidRPr="000B6D69">
        <w:t>Coulter</w:t>
      </w:r>
      <w:proofErr w:type="gramEnd"/>
      <w:r w:rsidRPr="000B6D69">
        <w:t xml:space="preserve"> and Conflict: Pollen Studies from Early Medieval Wales. In Comeau, R., and Seaman, A. </w:t>
      </w:r>
      <w:r w:rsidRPr="000B6D69">
        <w:rPr>
          <w:i/>
          <w:iCs/>
        </w:rPr>
        <w:t xml:space="preserve">Living off the Land. Agriculture in Wales c. 400–1600 AD: </w:t>
      </w:r>
      <w:r w:rsidRPr="000B6D69">
        <w:t>175-198.</w:t>
      </w:r>
    </w:p>
    <w:p w14:paraId="0ACD36CE" w14:textId="77777777" w:rsidR="00A33745" w:rsidRPr="000B6D69" w:rsidRDefault="00A33745" w:rsidP="00A33745">
      <w:r w:rsidRPr="000B6D69">
        <w:t xml:space="preserve">Davies, T. 2022a. A review of palaeoenvironmental research within </w:t>
      </w:r>
      <w:proofErr w:type="spellStart"/>
      <w:r w:rsidRPr="000B6D69">
        <w:t>Bannau</w:t>
      </w:r>
      <w:proofErr w:type="spellEnd"/>
      <w:r w:rsidRPr="000B6D69">
        <w:t xml:space="preserve"> </w:t>
      </w:r>
      <w:proofErr w:type="spellStart"/>
      <w:r w:rsidRPr="000B6D69">
        <w:t>Brycheiniog</w:t>
      </w:r>
      <w:proofErr w:type="spellEnd"/>
      <w:r w:rsidRPr="000B6D69">
        <w:t xml:space="preserve"> (Brecon Beacons) National Park.  Unpublished report to BBNPA</w:t>
      </w:r>
    </w:p>
    <w:p w14:paraId="7DBC3075" w14:textId="77777777" w:rsidR="00A33745" w:rsidRPr="000B6D69" w:rsidRDefault="00A33745" w:rsidP="00A33745">
      <w:r w:rsidRPr="000B6D69">
        <w:t xml:space="preserve">Davies, T., 2022b. War, </w:t>
      </w:r>
      <w:proofErr w:type="gramStart"/>
      <w:r w:rsidRPr="000B6D69">
        <w:t>peace</w:t>
      </w:r>
      <w:proofErr w:type="gramEnd"/>
      <w:r w:rsidRPr="000B6D69">
        <w:t xml:space="preserve"> and pollen: examining the landscape of later medieval Wales.  </w:t>
      </w:r>
      <w:r w:rsidRPr="000B6D69">
        <w:rPr>
          <w:i/>
          <w:iCs/>
        </w:rPr>
        <w:t>Medieval Settlement Research</w:t>
      </w:r>
      <w:r w:rsidRPr="000B6D69">
        <w:t xml:space="preserve"> 37: 22-39</w:t>
      </w:r>
    </w:p>
    <w:p w14:paraId="379BFE7A" w14:textId="77777777" w:rsidR="00A33745" w:rsidRPr="000B6D69" w:rsidRDefault="00A33745" w:rsidP="00A33745">
      <w:r w:rsidRPr="000B6D69">
        <w:t xml:space="preserve">Davis, O. and Sharples, N., 2020. Excavations at Caerau Hillfort, Cardiff: Towards a narrative for the hillforts of south-east Wales.  In Delfino, D., Coimbra, F., Cardoso, D., and Cruz, G. (eds). </w:t>
      </w:r>
      <w:r w:rsidRPr="000B6D69">
        <w:rPr>
          <w:i/>
          <w:iCs/>
        </w:rPr>
        <w:t>Late Prehistoric Fortifications in Europe: Defensive, Symbolic and Territorial Aspects from the Chalcolithic to the Iron Age. Proceedings of the International Colloquium ‘</w:t>
      </w:r>
      <w:proofErr w:type="spellStart"/>
      <w:r w:rsidRPr="000B6D69">
        <w:rPr>
          <w:i/>
          <w:iCs/>
        </w:rPr>
        <w:t>FortMetalAges</w:t>
      </w:r>
      <w:proofErr w:type="spellEnd"/>
      <w:r w:rsidRPr="000B6D69">
        <w:rPr>
          <w:i/>
          <w:iCs/>
        </w:rPr>
        <w:t>’, Guimarães, Portugal,</w:t>
      </w:r>
      <w:r w:rsidRPr="000B6D69">
        <w:t xml:space="preserve">   Archaeopress, Oxford.</w:t>
      </w:r>
    </w:p>
    <w:p w14:paraId="767E5F77" w14:textId="77777777" w:rsidR="00A33745" w:rsidRPr="000B6D69" w:rsidRDefault="00A33745" w:rsidP="00A33745">
      <w:r w:rsidRPr="000B6D69">
        <w:t>Edwards, N., 2007. </w:t>
      </w:r>
      <w:r w:rsidRPr="000B6D69">
        <w:rPr>
          <w:i/>
          <w:iCs/>
        </w:rPr>
        <w:t>A corpus of early Medieval inscribed stones and stone sculpture in Wales/2 South-West Wales</w:t>
      </w:r>
      <w:r w:rsidRPr="000B6D69">
        <w:t>. University of Wales Press.</w:t>
      </w:r>
    </w:p>
    <w:p w14:paraId="69214D91" w14:textId="77777777" w:rsidR="00A33745" w:rsidRPr="000B6D69" w:rsidRDefault="00A33745" w:rsidP="00A33745">
      <w:proofErr w:type="spellStart"/>
      <w:r w:rsidRPr="000B6D69">
        <w:t>Faegri</w:t>
      </w:r>
      <w:proofErr w:type="spellEnd"/>
      <w:r w:rsidRPr="000B6D69">
        <w:t xml:space="preserve">, K. &amp; Iversen, J. 1989. </w:t>
      </w:r>
      <w:r w:rsidRPr="000B6D69">
        <w:rPr>
          <w:i/>
        </w:rPr>
        <w:t>Textbook of Pollen Analysis.  4</w:t>
      </w:r>
      <w:r w:rsidRPr="000B6D69">
        <w:rPr>
          <w:i/>
          <w:vertAlign w:val="superscript"/>
        </w:rPr>
        <w:t>th</w:t>
      </w:r>
      <w:r w:rsidRPr="000B6D69">
        <w:rPr>
          <w:i/>
        </w:rPr>
        <w:t xml:space="preserve"> edition</w:t>
      </w:r>
      <w:r w:rsidRPr="000B6D69">
        <w:t>.  John Wiley &amp; Son. Chichester</w:t>
      </w:r>
    </w:p>
    <w:p w14:paraId="3DA99EE6" w14:textId="77777777" w:rsidR="00A33745" w:rsidRPr="000B6D69" w:rsidRDefault="00A33745" w:rsidP="00A33745">
      <w:r w:rsidRPr="000B6D69">
        <w:t xml:space="preserve">Gale, </w:t>
      </w:r>
      <w:proofErr w:type="gramStart"/>
      <w:r w:rsidRPr="000B6D69">
        <w:t>S.</w:t>
      </w:r>
      <w:proofErr w:type="gramEnd"/>
      <w:r w:rsidRPr="000B6D69">
        <w:t xml:space="preserve"> and Hoare, P.G. 2011. </w:t>
      </w:r>
      <w:r w:rsidRPr="000B6D69">
        <w:rPr>
          <w:i/>
          <w:iCs/>
        </w:rPr>
        <w:t>Quaternary sediments: petrographic methods for the study of unlithified rocks</w:t>
      </w:r>
      <w:r w:rsidRPr="000B6D69">
        <w:t>. Caldwell: Blackburn Press</w:t>
      </w:r>
    </w:p>
    <w:p w14:paraId="2F41B49F" w14:textId="77777777" w:rsidR="00A33745" w:rsidRPr="000B6D69" w:rsidRDefault="00A33745" w:rsidP="00A33745">
      <w:r w:rsidRPr="000B6D69">
        <w:t xml:space="preserve">Grime, J. Hodgson, J. &amp; Hunt, R. 2007 </w:t>
      </w:r>
      <w:r w:rsidRPr="000B6D69">
        <w:rPr>
          <w:i/>
        </w:rPr>
        <w:t>Comparative Plant Ecology: a functional approach to common British species</w:t>
      </w:r>
      <w:r w:rsidRPr="000B6D69">
        <w:t>.  2</w:t>
      </w:r>
      <w:r w:rsidRPr="000B6D69">
        <w:rPr>
          <w:vertAlign w:val="superscript"/>
        </w:rPr>
        <w:t>nd</w:t>
      </w:r>
      <w:r w:rsidRPr="000B6D69">
        <w:t xml:space="preserve"> Edition.  Castlepoint Press, </w:t>
      </w:r>
      <w:proofErr w:type="spellStart"/>
      <w:r w:rsidRPr="000B6D69">
        <w:t>Colvend</w:t>
      </w:r>
      <w:proofErr w:type="spellEnd"/>
      <w:r w:rsidRPr="000B6D69">
        <w:t xml:space="preserve"> </w:t>
      </w:r>
    </w:p>
    <w:p w14:paraId="06BB1427" w14:textId="77777777" w:rsidR="00A33745" w:rsidRPr="000B6D69" w:rsidRDefault="00A33745" w:rsidP="00A33745">
      <w:proofErr w:type="spellStart"/>
      <w:r w:rsidRPr="000B6D69">
        <w:lastRenderedPageBreak/>
        <w:t>Grearey</w:t>
      </w:r>
      <w:proofErr w:type="spellEnd"/>
      <w:r w:rsidRPr="000B6D69">
        <w:t xml:space="preserve">, B., Hill, T. &amp; </w:t>
      </w:r>
      <w:proofErr w:type="spellStart"/>
      <w:r w:rsidRPr="000B6D69">
        <w:t>Tellow</w:t>
      </w:r>
      <w:proofErr w:type="spellEnd"/>
      <w:r w:rsidRPr="000B6D69">
        <w:t xml:space="preserve">, E. 2020 A Palaeoenvironmental Assessment of Deposits at Parc </w:t>
      </w:r>
      <w:proofErr w:type="spellStart"/>
      <w:r w:rsidRPr="000B6D69">
        <w:t>Cybi</w:t>
      </w:r>
      <w:proofErr w:type="spellEnd"/>
      <w:r w:rsidRPr="000B6D69">
        <w:t xml:space="preserve">, Ty Mawr, Anglesey.  In Kenney, J. 2020 Parc </w:t>
      </w:r>
      <w:proofErr w:type="spellStart"/>
      <w:r w:rsidRPr="000B6D69">
        <w:t>Cybi</w:t>
      </w:r>
      <w:proofErr w:type="spellEnd"/>
      <w:r w:rsidRPr="000B6D69">
        <w:t xml:space="preserve">, Holyhead: post excavation assessment of potential report volume II: specialist reports. Unpublished report to the Welsh Government.  </w:t>
      </w:r>
    </w:p>
    <w:p w14:paraId="5200CE38" w14:textId="77777777" w:rsidR="00A33745" w:rsidRPr="000B6D69" w:rsidRDefault="00A33745" w:rsidP="00A33745">
      <w:r w:rsidRPr="000B6D69">
        <w:t xml:space="preserve">Heyworth, A., Kidson, C. and Wilks, P., 1985. Late-glacial and Holocene sediments at </w:t>
      </w:r>
      <w:proofErr w:type="spellStart"/>
      <w:r w:rsidRPr="000B6D69">
        <w:t>Clarach</w:t>
      </w:r>
      <w:proofErr w:type="spellEnd"/>
      <w:r w:rsidRPr="000B6D69">
        <w:t xml:space="preserve"> Bay, near Aberystwyth. The Journal of Ecology, pp.459-480.</w:t>
      </w:r>
    </w:p>
    <w:p w14:paraId="03F42113" w14:textId="77777777" w:rsidR="00A33745" w:rsidRPr="000B6D69" w:rsidRDefault="00A33745" w:rsidP="00A33745">
      <w:r w:rsidRPr="000B6D69">
        <w:t xml:space="preserve">Hibbert, F.A. and </w:t>
      </w:r>
      <w:proofErr w:type="spellStart"/>
      <w:r w:rsidRPr="000B6D69">
        <w:t>Switsur</w:t>
      </w:r>
      <w:proofErr w:type="spellEnd"/>
      <w:r w:rsidRPr="000B6D69">
        <w:t xml:space="preserve">, V.R., 1976. Radiocarbon dating of </w:t>
      </w:r>
      <w:proofErr w:type="spellStart"/>
      <w:r w:rsidRPr="000B6D69">
        <w:t>Flandrian</w:t>
      </w:r>
      <w:proofErr w:type="spellEnd"/>
      <w:r w:rsidRPr="000B6D69">
        <w:t xml:space="preserve"> pollen zones in Wales and northern England. New Phytologist, 77(3), pp.793-807.</w:t>
      </w:r>
    </w:p>
    <w:p w14:paraId="47A58A80" w14:textId="77777777" w:rsidR="00A33745" w:rsidRPr="000B6D69" w:rsidRDefault="00A33745" w:rsidP="00A33745">
      <w:r w:rsidRPr="000B6D69">
        <w:t xml:space="preserve">Jacobson, G.L. and Bradshaw, R.H., 1981. The Selection of Sites for </w:t>
      </w:r>
      <w:proofErr w:type="spellStart"/>
      <w:r w:rsidRPr="000B6D69">
        <w:t>Paleovegetational</w:t>
      </w:r>
      <w:proofErr w:type="spellEnd"/>
      <w:r w:rsidRPr="000B6D69">
        <w:t xml:space="preserve"> Studies1. </w:t>
      </w:r>
      <w:r w:rsidRPr="000B6D69">
        <w:rPr>
          <w:i/>
          <w:iCs/>
        </w:rPr>
        <w:t>Quaternary research</w:t>
      </w:r>
      <w:r w:rsidRPr="000B6D69">
        <w:t>, </w:t>
      </w:r>
      <w:r w:rsidRPr="000B6D69">
        <w:rPr>
          <w:i/>
          <w:iCs/>
        </w:rPr>
        <w:t>16</w:t>
      </w:r>
      <w:r w:rsidRPr="000B6D69">
        <w:t>(1), pp.80-96.</w:t>
      </w:r>
    </w:p>
    <w:p w14:paraId="34BF3DF9" w14:textId="77777777" w:rsidR="00A33745" w:rsidRPr="000B6D69" w:rsidRDefault="00A33745" w:rsidP="00A33745">
      <w:r w:rsidRPr="000B6D69">
        <w:t xml:space="preserve">Moore, P. &amp; Webb, J. 1978 </w:t>
      </w:r>
      <w:r w:rsidRPr="000B6D69">
        <w:rPr>
          <w:i/>
        </w:rPr>
        <w:t>An illustrated guide to pollen analysis</w:t>
      </w:r>
      <w:r w:rsidRPr="000B6D69">
        <w:t xml:space="preserve">.  Hodder &amp; Stoughton, London </w:t>
      </w:r>
    </w:p>
    <w:p w14:paraId="27B93B65" w14:textId="77777777" w:rsidR="00A33745" w:rsidRPr="000B6D69" w:rsidRDefault="00A33745" w:rsidP="00A33745">
      <w:r w:rsidRPr="000B6D69">
        <w:t xml:space="preserve">Moore, P. Webb, J. &amp; Collinson, M. 1991 </w:t>
      </w:r>
      <w:r w:rsidRPr="000B6D69">
        <w:rPr>
          <w:i/>
        </w:rPr>
        <w:t>Pollen Analysis</w:t>
      </w:r>
      <w:r w:rsidRPr="000B6D69">
        <w:t xml:space="preserve">.  Blackwell, Oxford </w:t>
      </w:r>
    </w:p>
    <w:p w14:paraId="0828658A" w14:textId="77777777" w:rsidR="00A33745" w:rsidRPr="000B6D69" w:rsidRDefault="00A33745" w:rsidP="00A33745">
      <w:proofErr w:type="spellStart"/>
      <w:r w:rsidRPr="000B6D69">
        <w:t>Morriss</w:t>
      </w:r>
      <w:proofErr w:type="spellEnd"/>
      <w:r w:rsidRPr="000B6D69">
        <w:t xml:space="preserve">, S.H.M. 2001. </w:t>
      </w:r>
      <w:r w:rsidRPr="000B6D69">
        <w:rPr>
          <w:i/>
          <w:iCs/>
        </w:rPr>
        <w:t>Recent human impact and land use change in Britain and Ireland: a pollen analytical and geochemical study</w:t>
      </w:r>
      <w:r w:rsidRPr="000B6D69">
        <w:t>. Unpublished PhD thesis, University of Southampton.</w:t>
      </w:r>
    </w:p>
    <w:p w14:paraId="10CC1C6D" w14:textId="77777777" w:rsidR="00A33745" w:rsidRPr="000B6D69" w:rsidRDefault="00A33745" w:rsidP="00A33745">
      <w:r w:rsidRPr="000B6D69">
        <w:t>Prentice, I.C., 1985. Pollen representation, source area, and basin size: toward a unified theory of pollen analysis. </w:t>
      </w:r>
      <w:r w:rsidRPr="000B6D69">
        <w:rPr>
          <w:i/>
          <w:iCs/>
        </w:rPr>
        <w:t>Quaternary Research</w:t>
      </w:r>
      <w:r w:rsidRPr="000B6D69">
        <w:t>, </w:t>
      </w:r>
      <w:r w:rsidRPr="000B6D69">
        <w:rPr>
          <w:i/>
          <w:iCs/>
        </w:rPr>
        <w:t>23</w:t>
      </w:r>
      <w:r w:rsidRPr="000B6D69">
        <w:t>(1): 76-86.</w:t>
      </w:r>
    </w:p>
    <w:p w14:paraId="016B4B68" w14:textId="77777777" w:rsidR="00A33745" w:rsidRPr="000B6D69" w:rsidRDefault="00A33745" w:rsidP="00A33745">
      <w:r w:rsidRPr="000B6D69">
        <w:t xml:space="preserve">Simmonds, M., Branch, N., Marshall, P., Hosfield, R. and Black, S., 2021. New insights into Late Devensian </w:t>
      </w:r>
      <w:proofErr w:type="spellStart"/>
      <w:r w:rsidRPr="000B6D69">
        <w:t>Lateglacial</w:t>
      </w:r>
      <w:proofErr w:type="spellEnd"/>
      <w:r w:rsidRPr="000B6D69">
        <w:t xml:space="preserve"> and early Holocene environmental change: Two high-resolution case studies from SE England. </w:t>
      </w:r>
      <w:r w:rsidRPr="000B6D69">
        <w:rPr>
          <w:i/>
          <w:iCs/>
        </w:rPr>
        <w:t>Review of Palaeobotany and Palynology</w:t>
      </w:r>
      <w:r w:rsidRPr="000B6D69">
        <w:t>, </w:t>
      </w:r>
      <w:r w:rsidRPr="000B6D69">
        <w:rPr>
          <w:i/>
          <w:iCs/>
        </w:rPr>
        <w:t>287</w:t>
      </w:r>
      <w:r w:rsidRPr="000B6D69">
        <w:t>, p.104364.</w:t>
      </w:r>
    </w:p>
    <w:p w14:paraId="0C38850A" w14:textId="77777777" w:rsidR="00A33745" w:rsidRPr="000B6D69" w:rsidRDefault="00A33745" w:rsidP="00A33745">
      <w:r w:rsidRPr="000B6D69">
        <w:t xml:space="preserve">Stace, C. 2010 </w:t>
      </w:r>
      <w:r w:rsidRPr="000B6D69">
        <w:rPr>
          <w:i/>
        </w:rPr>
        <w:t>New flora of the British Isles.  3</w:t>
      </w:r>
      <w:r w:rsidRPr="000B6D69">
        <w:rPr>
          <w:i/>
          <w:vertAlign w:val="superscript"/>
        </w:rPr>
        <w:t>rd</w:t>
      </w:r>
      <w:r w:rsidRPr="000B6D69">
        <w:rPr>
          <w:i/>
        </w:rPr>
        <w:t xml:space="preserve"> edition</w:t>
      </w:r>
      <w:r w:rsidRPr="000B6D69">
        <w:t>. Cambridge University Press. Cambridge</w:t>
      </w:r>
    </w:p>
    <w:p w14:paraId="6F548335" w14:textId="77777777" w:rsidR="00A33745" w:rsidRPr="000B6D69" w:rsidRDefault="00A33745" w:rsidP="00A33745">
      <w:r w:rsidRPr="000B6D69">
        <w:t xml:space="preserve">Turner, J. 1964. </w:t>
      </w:r>
      <w:r w:rsidRPr="000B6D69">
        <w:rPr>
          <w:i/>
        </w:rPr>
        <w:t xml:space="preserve">The Anthropogenic Factor in Vegetational History. I. </w:t>
      </w:r>
      <w:proofErr w:type="spellStart"/>
      <w:r w:rsidRPr="000B6D69">
        <w:rPr>
          <w:i/>
        </w:rPr>
        <w:t>Tregaron</w:t>
      </w:r>
      <w:proofErr w:type="spellEnd"/>
      <w:r w:rsidRPr="000B6D69">
        <w:rPr>
          <w:i/>
        </w:rPr>
        <w:t xml:space="preserve"> and </w:t>
      </w:r>
      <w:proofErr w:type="spellStart"/>
      <w:r w:rsidRPr="000B6D69">
        <w:rPr>
          <w:i/>
        </w:rPr>
        <w:t>Whixall</w:t>
      </w:r>
      <w:proofErr w:type="spellEnd"/>
      <w:r w:rsidRPr="000B6D69">
        <w:rPr>
          <w:i/>
        </w:rPr>
        <w:t xml:space="preserve"> Mosses. </w:t>
      </w:r>
      <w:r w:rsidRPr="000B6D69">
        <w:t>New Phytologist 63(1): 73-90</w:t>
      </w:r>
    </w:p>
    <w:p w14:paraId="183A84E6" w14:textId="77777777" w:rsidR="00A33745" w:rsidRPr="00A33745" w:rsidRDefault="00A33745" w:rsidP="00A33745">
      <w:pPr>
        <w:rPr>
          <w:b/>
          <w:bCs/>
        </w:rPr>
      </w:pPr>
    </w:p>
    <w:sectPr w:rsidR="00A33745" w:rsidRPr="00A33745" w:rsidSect="00C50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72F1"/>
    <w:multiLevelType w:val="hybridMultilevel"/>
    <w:tmpl w:val="FDE4C9DC"/>
    <w:lvl w:ilvl="0" w:tplc="A81E061E">
      <w:start w:val="8"/>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A57227"/>
    <w:multiLevelType w:val="hybridMultilevel"/>
    <w:tmpl w:val="5E3CBCEC"/>
    <w:lvl w:ilvl="0" w:tplc="9EA6C95C">
      <w:start w:val="76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D6519"/>
    <w:multiLevelType w:val="hybridMultilevel"/>
    <w:tmpl w:val="56BCF50A"/>
    <w:lvl w:ilvl="0" w:tplc="D74ABE4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0597936">
    <w:abstractNumId w:val="1"/>
  </w:num>
  <w:num w:numId="2" w16cid:durableId="77140484">
    <w:abstractNumId w:val="2"/>
  </w:num>
  <w:num w:numId="3" w16cid:durableId="1933930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239"/>
    <w:rsid w:val="0003150B"/>
    <w:rsid w:val="000717C9"/>
    <w:rsid w:val="00084E20"/>
    <w:rsid w:val="000B6D69"/>
    <w:rsid w:val="000D7A94"/>
    <w:rsid w:val="000F3F79"/>
    <w:rsid w:val="00106765"/>
    <w:rsid w:val="00127B70"/>
    <w:rsid w:val="00132F42"/>
    <w:rsid w:val="00141046"/>
    <w:rsid w:val="001501A7"/>
    <w:rsid w:val="001655D3"/>
    <w:rsid w:val="00174554"/>
    <w:rsid w:val="001A096E"/>
    <w:rsid w:val="001A3F5F"/>
    <w:rsid w:val="001A7280"/>
    <w:rsid w:val="001C1E36"/>
    <w:rsid w:val="001D139B"/>
    <w:rsid w:val="001D5613"/>
    <w:rsid w:val="001E2323"/>
    <w:rsid w:val="001E51B0"/>
    <w:rsid w:val="0020146B"/>
    <w:rsid w:val="00220C85"/>
    <w:rsid w:val="00250571"/>
    <w:rsid w:val="00260D18"/>
    <w:rsid w:val="002753BB"/>
    <w:rsid w:val="002841EA"/>
    <w:rsid w:val="002A1F45"/>
    <w:rsid w:val="002A38F1"/>
    <w:rsid w:val="002A7857"/>
    <w:rsid w:val="002C265D"/>
    <w:rsid w:val="0031659B"/>
    <w:rsid w:val="003179E7"/>
    <w:rsid w:val="003212F6"/>
    <w:rsid w:val="0032460F"/>
    <w:rsid w:val="003413B5"/>
    <w:rsid w:val="00341A61"/>
    <w:rsid w:val="003519B1"/>
    <w:rsid w:val="003638C8"/>
    <w:rsid w:val="00386320"/>
    <w:rsid w:val="00392476"/>
    <w:rsid w:val="00393F29"/>
    <w:rsid w:val="003B1D9D"/>
    <w:rsid w:val="003B56F8"/>
    <w:rsid w:val="003D1352"/>
    <w:rsid w:val="003F66CC"/>
    <w:rsid w:val="0041020B"/>
    <w:rsid w:val="00413E8C"/>
    <w:rsid w:val="0043515C"/>
    <w:rsid w:val="0043553D"/>
    <w:rsid w:val="0048168F"/>
    <w:rsid w:val="004A4FE9"/>
    <w:rsid w:val="004A66D0"/>
    <w:rsid w:val="004C08E0"/>
    <w:rsid w:val="004D06C9"/>
    <w:rsid w:val="00505CD9"/>
    <w:rsid w:val="0053121C"/>
    <w:rsid w:val="00535493"/>
    <w:rsid w:val="00554504"/>
    <w:rsid w:val="005625F2"/>
    <w:rsid w:val="00564FFA"/>
    <w:rsid w:val="00565403"/>
    <w:rsid w:val="00580D87"/>
    <w:rsid w:val="00584ABD"/>
    <w:rsid w:val="005A6CCB"/>
    <w:rsid w:val="005C34EB"/>
    <w:rsid w:val="005C5FA2"/>
    <w:rsid w:val="005D5C15"/>
    <w:rsid w:val="005F256F"/>
    <w:rsid w:val="00600890"/>
    <w:rsid w:val="006020C0"/>
    <w:rsid w:val="00606B53"/>
    <w:rsid w:val="0065619B"/>
    <w:rsid w:val="006667DE"/>
    <w:rsid w:val="006920DE"/>
    <w:rsid w:val="006A0A47"/>
    <w:rsid w:val="006B5A01"/>
    <w:rsid w:val="006B64D8"/>
    <w:rsid w:val="006D3C9F"/>
    <w:rsid w:val="006E6326"/>
    <w:rsid w:val="006E77EB"/>
    <w:rsid w:val="00730704"/>
    <w:rsid w:val="0073736F"/>
    <w:rsid w:val="00750E27"/>
    <w:rsid w:val="00763385"/>
    <w:rsid w:val="0077316A"/>
    <w:rsid w:val="00774326"/>
    <w:rsid w:val="00774B4C"/>
    <w:rsid w:val="007750ED"/>
    <w:rsid w:val="00786E43"/>
    <w:rsid w:val="007B6042"/>
    <w:rsid w:val="007C21E0"/>
    <w:rsid w:val="007C2310"/>
    <w:rsid w:val="007C42DB"/>
    <w:rsid w:val="00835679"/>
    <w:rsid w:val="008532FF"/>
    <w:rsid w:val="008635CF"/>
    <w:rsid w:val="0087323E"/>
    <w:rsid w:val="008750A4"/>
    <w:rsid w:val="00884D6F"/>
    <w:rsid w:val="00885C69"/>
    <w:rsid w:val="0089219C"/>
    <w:rsid w:val="008949FA"/>
    <w:rsid w:val="008B36C5"/>
    <w:rsid w:val="008D1181"/>
    <w:rsid w:val="008D1559"/>
    <w:rsid w:val="00901239"/>
    <w:rsid w:val="00936054"/>
    <w:rsid w:val="00940FFE"/>
    <w:rsid w:val="00970062"/>
    <w:rsid w:val="009C3A9C"/>
    <w:rsid w:val="009D4898"/>
    <w:rsid w:val="009F34E4"/>
    <w:rsid w:val="00A0786D"/>
    <w:rsid w:val="00A11BC4"/>
    <w:rsid w:val="00A13FC0"/>
    <w:rsid w:val="00A26F08"/>
    <w:rsid w:val="00A33745"/>
    <w:rsid w:val="00A451CD"/>
    <w:rsid w:val="00A51887"/>
    <w:rsid w:val="00AC4A79"/>
    <w:rsid w:val="00AD59EF"/>
    <w:rsid w:val="00AD69BC"/>
    <w:rsid w:val="00B0326B"/>
    <w:rsid w:val="00B14B0F"/>
    <w:rsid w:val="00B346F4"/>
    <w:rsid w:val="00B3738A"/>
    <w:rsid w:val="00B56087"/>
    <w:rsid w:val="00B96D7E"/>
    <w:rsid w:val="00B97BA1"/>
    <w:rsid w:val="00BA3569"/>
    <w:rsid w:val="00BA4793"/>
    <w:rsid w:val="00BA7D93"/>
    <w:rsid w:val="00BB0820"/>
    <w:rsid w:val="00BD56FA"/>
    <w:rsid w:val="00BD5797"/>
    <w:rsid w:val="00BE4CA2"/>
    <w:rsid w:val="00BF2926"/>
    <w:rsid w:val="00C208C6"/>
    <w:rsid w:val="00C317A8"/>
    <w:rsid w:val="00C4347B"/>
    <w:rsid w:val="00C50070"/>
    <w:rsid w:val="00CA4C26"/>
    <w:rsid w:val="00CB3BB8"/>
    <w:rsid w:val="00CB6D06"/>
    <w:rsid w:val="00CB7A64"/>
    <w:rsid w:val="00CC4F54"/>
    <w:rsid w:val="00CF3CDE"/>
    <w:rsid w:val="00D06819"/>
    <w:rsid w:val="00D11B2D"/>
    <w:rsid w:val="00D235B4"/>
    <w:rsid w:val="00D336E7"/>
    <w:rsid w:val="00D338B3"/>
    <w:rsid w:val="00D41FFB"/>
    <w:rsid w:val="00D556F2"/>
    <w:rsid w:val="00D56AD5"/>
    <w:rsid w:val="00E30337"/>
    <w:rsid w:val="00E419CD"/>
    <w:rsid w:val="00E44C51"/>
    <w:rsid w:val="00E4707F"/>
    <w:rsid w:val="00E50968"/>
    <w:rsid w:val="00E516E8"/>
    <w:rsid w:val="00E74435"/>
    <w:rsid w:val="00EB35A9"/>
    <w:rsid w:val="00EB7F90"/>
    <w:rsid w:val="00EC093A"/>
    <w:rsid w:val="00EC7D36"/>
    <w:rsid w:val="00ED516E"/>
    <w:rsid w:val="00ED58AE"/>
    <w:rsid w:val="00ED7A96"/>
    <w:rsid w:val="00EE3894"/>
    <w:rsid w:val="00F01760"/>
    <w:rsid w:val="00F06539"/>
    <w:rsid w:val="00F24EAE"/>
    <w:rsid w:val="00F35835"/>
    <w:rsid w:val="00F47780"/>
    <w:rsid w:val="00F84E6F"/>
    <w:rsid w:val="00F84F84"/>
    <w:rsid w:val="00FA15FA"/>
    <w:rsid w:val="00FC4F8D"/>
    <w:rsid w:val="00FD007D"/>
    <w:rsid w:val="00FF265D"/>
    <w:rsid w:val="00FF2FDD"/>
    <w:rsid w:val="00FF3601"/>
    <w:rsid w:val="00FF67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7654D"/>
  <w15:chartTrackingRefBased/>
  <w15:docId w15:val="{8B2C871E-D681-4448-BE5B-02E73A437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7DE"/>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40"/>
    <w:rsid w:val="00413E8C"/>
    <w:pPr>
      <w:spacing w:after="0" w:line="240" w:lineRule="auto"/>
    </w:pPr>
    <w:rPr>
      <w:kern w:val="0"/>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413E8C"/>
    <w:rPr>
      <w:sz w:val="16"/>
      <w:szCs w:val="16"/>
    </w:rPr>
  </w:style>
  <w:style w:type="paragraph" w:styleId="CommentText">
    <w:name w:val="annotation text"/>
    <w:basedOn w:val="Normal"/>
    <w:link w:val="CommentTextChar"/>
    <w:uiPriority w:val="99"/>
    <w:unhideWhenUsed/>
    <w:rsid w:val="00413E8C"/>
    <w:pPr>
      <w:spacing w:line="240" w:lineRule="auto"/>
    </w:pPr>
    <w:rPr>
      <w:rFonts w:eastAsiaTheme="minorHAnsi"/>
      <w:kern w:val="0"/>
      <w:sz w:val="20"/>
      <w:szCs w:val="20"/>
      <w:lang w:eastAsia="en-US"/>
      <w14:ligatures w14:val="none"/>
    </w:rPr>
  </w:style>
  <w:style w:type="character" w:customStyle="1" w:styleId="CommentTextChar">
    <w:name w:val="Comment Text Char"/>
    <w:basedOn w:val="DefaultParagraphFont"/>
    <w:link w:val="CommentText"/>
    <w:uiPriority w:val="99"/>
    <w:rsid w:val="00413E8C"/>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50E27"/>
    <w:rPr>
      <w:rFonts w:eastAsiaTheme="minorEastAsia"/>
      <w:b/>
      <w:bCs/>
      <w:kern w:val="2"/>
      <w:lang w:eastAsia="zh-CN"/>
      <w14:ligatures w14:val="standardContextual"/>
    </w:rPr>
  </w:style>
  <w:style w:type="character" w:customStyle="1" w:styleId="CommentSubjectChar">
    <w:name w:val="Comment Subject Char"/>
    <w:basedOn w:val="CommentTextChar"/>
    <w:link w:val="CommentSubject"/>
    <w:uiPriority w:val="99"/>
    <w:semiHidden/>
    <w:rsid w:val="00750E27"/>
    <w:rPr>
      <w:rFonts w:eastAsiaTheme="minorEastAsia"/>
      <w:b/>
      <w:bCs/>
      <w:kern w:val="0"/>
      <w:sz w:val="20"/>
      <w:szCs w:val="20"/>
      <w:lang w:eastAsia="zh-CN"/>
      <w14:ligatures w14:val="none"/>
    </w:rPr>
  </w:style>
  <w:style w:type="paragraph" w:styleId="ListParagraph">
    <w:name w:val="List Paragraph"/>
    <w:basedOn w:val="Normal"/>
    <w:uiPriority w:val="34"/>
    <w:qFormat/>
    <w:rsid w:val="002753BB"/>
    <w:pPr>
      <w:ind w:left="720"/>
      <w:contextualSpacing/>
    </w:pPr>
  </w:style>
  <w:style w:type="paragraph" w:styleId="Revision">
    <w:name w:val="Revision"/>
    <w:hidden/>
    <w:uiPriority w:val="99"/>
    <w:semiHidden/>
    <w:rsid w:val="00774326"/>
    <w:pPr>
      <w:spacing w:after="0" w:line="240" w:lineRule="auto"/>
    </w:pPr>
    <w:rPr>
      <w:rFonts w:eastAsiaTheme="minorEastAsia"/>
      <w:lang w:eastAsia="zh-CN"/>
    </w:rPr>
  </w:style>
  <w:style w:type="character" w:styleId="PlaceholderText">
    <w:name w:val="Placeholder Text"/>
    <w:basedOn w:val="DefaultParagraphFont"/>
    <w:uiPriority w:val="99"/>
    <w:semiHidden/>
    <w:rsid w:val="0087323E"/>
    <w:rPr>
      <w:color w:val="808080"/>
    </w:rPr>
  </w:style>
  <w:style w:type="table" w:styleId="TableGrid">
    <w:name w:val="Table Grid"/>
    <w:basedOn w:val="TableNormal"/>
    <w:uiPriority w:val="39"/>
    <w:rsid w:val="00ED7A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286">
      <w:bodyDiv w:val="1"/>
      <w:marLeft w:val="0"/>
      <w:marRight w:val="0"/>
      <w:marTop w:val="0"/>
      <w:marBottom w:val="0"/>
      <w:divBdr>
        <w:top w:val="none" w:sz="0" w:space="0" w:color="auto"/>
        <w:left w:val="none" w:sz="0" w:space="0" w:color="auto"/>
        <w:bottom w:val="none" w:sz="0" w:space="0" w:color="auto"/>
        <w:right w:val="none" w:sz="0" w:space="0" w:color="auto"/>
      </w:divBdr>
      <w:divsChild>
        <w:div w:id="1566605234">
          <w:marLeft w:val="0"/>
          <w:marRight w:val="0"/>
          <w:marTop w:val="0"/>
          <w:marBottom w:val="0"/>
          <w:divBdr>
            <w:top w:val="none" w:sz="0" w:space="0" w:color="auto"/>
            <w:left w:val="none" w:sz="0" w:space="0" w:color="auto"/>
            <w:bottom w:val="none" w:sz="0" w:space="0" w:color="auto"/>
            <w:right w:val="none" w:sz="0" w:space="0" w:color="auto"/>
          </w:divBdr>
        </w:div>
        <w:div w:id="1943031394">
          <w:marLeft w:val="0"/>
          <w:marRight w:val="0"/>
          <w:marTop w:val="0"/>
          <w:marBottom w:val="0"/>
          <w:divBdr>
            <w:top w:val="none" w:sz="0" w:space="0" w:color="auto"/>
            <w:left w:val="none" w:sz="0" w:space="0" w:color="auto"/>
            <w:bottom w:val="none" w:sz="0" w:space="0" w:color="auto"/>
            <w:right w:val="none" w:sz="0" w:space="0" w:color="auto"/>
          </w:divBdr>
        </w:div>
        <w:div w:id="776876576">
          <w:marLeft w:val="0"/>
          <w:marRight w:val="0"/>
          <w:marTop w:val="0"/>
          <w:marBottom w:val="0"/>
          <w:divBdr>
            <w:top w:val="none" w:sz="0" w:space="0" w:color="auto"/>
            <w:left w:val="none" w:sz="0" w:space="0" w:color="auto"/>
            <w:bottom w:val="none" w:sz="0" w:space="0" w:color="auto"/>
            <w:right w:val="none" w:sz="0" w:space="0" w:color="auto"/>
          </w:divBdr>
        </w:div>
      </w:divsChild>
    </w:div>
    <w:div w:id="78644447">
      <w:bodyDiv w:val="1"/>
      <w:marLeft w:val="0"/>
      <w:marRight w:val="0"/>
      <w:marTop w:val="0"/>
      <w:marBottom w:val="0"/>
      <w:divBdr>
        <w:top w:val="none" w:sz="0" w:space="0" w:color="auto"/>
        <w:left w:val="none" w:sz="0" w:space="0" w:color="auto"/>
        <w:bottom w:val="none" w:sz="0" w:space="0" w:color="auto"/>
        <w:right w:val="none" w:sz="0" w:space="0" w:color="auto"/>
      </w:divBdr>
    </w:div>
    <w:div w:id="816150005">
      <w:bodyDiv w:val="1"/>
      <w:marLeft w:val="0"/>
      <w:marRight w:val="0"/>
      <w:marTop w:val="0"/>
      <w:marBottom w:val="0"/>
      <w:divBdr>
        <w:top w:val="none" w:sz="0" w:space="0" w:color="auto"/>
        <w:left w:val="none" w:sz="0" w:space="0" w:color="auto"/>
        <w:bottom w:val="none" w:sz="0" w:space="0" w:color="auto"/>
        <w:right w:val="none" w:sz="0" w:space="0" w:color="auto"/>
      </w:divBdr>
    </w:div>
    <w:div w:id="964307954">
      <w:bodyDiv w:val="1"/>
      <w:marLeft w:val="0"/>
      <w:marRight w:val="0"/>
      <w:marTop w:val="0"/>
      <w:marBottom w:val="0"/>
      <w:divBdr>
        <w:top w:val="none" w:sz="0" w:space="0" w:color="auto"/>
        <w:left w:val="none" w:sz="0" w:space="0" w:color="auto"/>
        <w:bottom w:val="none" w:sz="0" w:space="0" w:color="auto"/>
        <w:right w:val="none" w:sz="0" w:space="0" w:color="auto"/>
      </w:divBdr>
      <w:divsChild>
        <w:div w:id="739594994">
          <w:marLeft w:val="0"/>
          <w:marRight w:val="0"/>
          <w:marTop w:val="0"/>
          <w:marBottom w:val="0"/>
          <w:divBdr>
            <w:top w:val="none" w:sz="0" w:space="0" w:color="auto"/>
            <w:left w:val="none" w:sz="0" w:space="0" w:color="auto"/>
            <w:bottom w:val="none" w:sz="0" w:space="0" w:color="auto"/>
            <w:right w:val="none" w:sz="0" w:space="0" w:color="auto"/>
          </w:divBdr>
        </w:div>
        <w:div w:id="696201243">
          <w:marLeft w:val="0"/>
          <w:marRight w:val="0"/>
          <w:marTop w:val="0"/>
          <w:marBottom w:val="0"/>
          <w:divBdr>
            <w:top w:val="none" w:sz="0" w:space="0" w:color="auto"/>
            <w:left w:val="none" w:sz="0" w:space="0" w:color="auto"/>
            <w:bottom w:val="none" w:sz="0" w:space="0" w:color="auto"/>
            <w:right w:val="none" w:sz="0" w:space="0" w:color="auto"/>
          </w:divBdr>
        </w:div>
        <w:div w:id="275136731">
          <w:marLeft w:val="0"/>
          <w:marRight w:val="0"/>
          <w:marTop w:val="0"/>
          <w:marBottom w:val="0"/>
          <w:divBdr>
            <w:top w:val="none" w:sz="0" w:space="0" w:color="auto"/>
            <w:left w:val="none" w:sz="0" w:space="0" w:color="auto"/>
            <w:bottom w:val="none" w:sz="0" w:space="0" w:color="auto"/>
            <w:right w:val="none" w:sz="0" w:space="0" w:color="auto"/>
          </w:divBdr>
        </w:div>
      </w:divsChild>
    </w:div>
    <w:div w:id="1827549921">
      <w:bodyDiv w:val="1"/>
      <w:marLeft w:val="0"/>
      <w:marRight w:val="0"/>
      <w:marTop w:val="0"/>
      <w:marBottom w:val="0"/>
      <w:divBdr>
        <w:top w:val="none" w:sz="0" w:space="0" w:color="auto"/>
        <w:left w:val="none" w:sz="0" w:space="0" w:color="auto"/>
        <w:bottom w:val="none" w:sz="0" w:space="0" w:color="auto"/>
        <w:right w:val="none" w:sz="0" w:space="0" w:color="auto"/>
      </w:divBdr>
    </w:div>
    <w:div w:id="1839421165">
      <w:bodyDiv w:val="1"/>
      <w:marLeft w:val="0"/>
      <w:marRight w:val="0"/>
      <w:marTop w:val="0"/>
      <w:marBottom w:val="0"/>
      <w:divBdr>
        <w:top w:val="none" w:sz="0" w:space="0" w:color="auto"/>
        <w:left w:val="none" w:sz="0" w:space="0" w:color="auto"/>
        <w:bottom w:val="none" w:sz="0" w:space="0" w:color="auto"/>
        <w:right w:val="none" w:sz="0" w:space="0" w:color="auto"/>
      </w:divBdr>
    </w:div>
    <w:div w:id="1896892293">
      <w:bodyDiv w:val="1"/>
      <w:marLeft w:val="0"/>
      <w:marRight w:val="0"/>
      <w:marTop w:val="0"/>
      <w:marBottom w:val="0"/>
      <w:divBdr>
        <w:top w:val="none" w:sz="0" w:space="0" w:color="auto"/>
        <w:left w:val="none" w:sz="0" w:space="0" w:color="auto"/>
        <w:bottom w:val="none" w:sz="0" w:space="0" w:color="auto"/>
        <w:right w:val="none" w:sz="0" w:space="0" w:color="auto"/>
      </w:divBdr>
      <w:divsChild>
        <w:div w:id="515653801">
          <w:marLeft w:val="0"/>
          <w:marRight w:val="0"/>
          <w:marTop w:val="0"/>
          <w:marBottom w:val="0"/>
          <w:divBdr>
            <w:top w:val="none" w:sz="0" w:space="0" w:color="auto"/>
            <w:left w:val="none" w:sz="0" w:space="0" w:color="auto"/>
            <w:bottom w:val="none" w:sz="0" w:space="0" w:color="auto"/>
            <w:right w:val="none" w:sz="0" w:space="0" w:color="auto"/>
          </w:divBdr>
        </w:div>
        <w:div w:id="932595073">
          <w:marLeft w:val="0"/>
          <w:marRight w:val="0"/>
          <w:marTop w:val="0"/>
          <w:marBottom w:val="0"/>
          <w:divBdr>
            <w:top w:val="none" w:sz="0" w:space="0" w:color="auto"/>
            <w:left w:val="none" w:sz="0" w:space="0" w:color="auto"/>
            <w:bottom w:val="none" w:sz="0" w:space="0" w:color="auto"/>
            <w:right w:val="none" w:sz="0" w:space="0" w:color="auto"/>
          </w:divBdr>
        </w:div>
        <w:div w:id="353849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7617</Words>
  <Characters>43420</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Tudur Davies</dc:creator>
  <cp:keywords/>
  <dc:description/>
  <cp:lastModifiedBy>Martin Bates</cp:lastModifiedBy>
  <cp:revision>3</cp:revision>
  <cp:lastPrinted>2023-09-25T09:57:00Z</cp:lastPrinted>
  <dcterms:created xsi:type="dcterms:W3CDTF">2023-09-28T08:55:00Z</dcterms:created>
  <dcterms:modified xsi:type="dcterms:W3CDTF">2023-09-28T08:59:00Z</dcterms:modified>
</cp:coreProperties>
</file>