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D52161" w14:textId="77777777" w:rsidR="00C71D29" w:rsidRDefault="00C71D29" w:rsidP="00C71D29">
      <w:r>
        <w:t>What impact can the challenges of operational policing have on individual and group wellbeing? Why is it important to manage mental wellbeing in policing? 2000 Words</w:t>
      </w:r>
    </w:p>
    <w:p w14:paraId="2F6E6C97" w14:textId="77777777" w:rsidR="00C71D29" w:rsidRDefault="00C71D29" w:rsidP="00C71D29"/>
    <w:p w14:paraId="3A48BB7E" w14:textId="77777777" w:rsidR="00C71D29" w:rsidRDefault="00C71D29" w:rsidP="00C71D29">
      <w:r>
        <w:t xml:space="preserve">This paper will discuss the challenges of operational policing and the effect it can have on individuals within the police force and will aim to highlight the importance of managing mental health and wellbeing. </w:t>
      </w:r>
    </w:p>
    <w:p w14:paraId="134D9410" w14:textId="77777777" w:rsidR="00C71D29" w:rsidRDefault="00C71D29" w:rsidP="00C71D29">
      <w:pPr>
        <w:rPr>
          <w:color w:val="171717"/>
          <w:shd w:val="clear" w:color="auto" w:fill="FFFFFF"/>
        </w:rPr>
      </w:pPr>
      <w:r>
        <w:t>Operational policing is challenging and ever-changing. Police officers have several key responsibilities, such as, responding to emergency calls, investigating crimes, crime prevention, community policing, traffic enforcement, safeguarding and maintaining public order</w:t>
      </w:r>
      <w:sdt>
        <w:sdtPr>
          <w:id w:val="-876161473"/>
          <w:citation/>
        </w:sdtPr>
        <w:sdtContent>
          <w:r>
            <w:fldChar w:fldCharType="begin"/>
          </w:r>
          <w:r>
            <w:instrText xml:space="preserve"> CITATION Col247 \l 2057 </w:instrText>
          </w:r>
          <w:r>
            <w:fldChar w:fldCharType="separate"/>
          </w:r>
          <w:r>
            <w:rPr>
              <w:noProof/>
            </w:rPr>
            <w:t xml:space="preserve"> </w:t>
          </w:r>
          <w:r w:rsidRPr="000D79AE">
            <w:rPr>
              <w:noProof/>
            </w:rPr>
            <w:t>(College of Policing, 2024)</w:t>
          </w:r>
          <w:r>
            <w:fldChar w:fldCharType="end"/>
          </w:r>
        </w:sdtContent>
      </w:sdt>
      <w:r>
        <w:t>. The constant exposure to violence, aggression and traumatic incidents whilst being expected to remain professional, and to be seen as almost unscathed or unaffected by incidents is something that can lead to negative side effects, such as, post traumatic disorder, depression, anxiety</w:t>
      </w:r>
      <w:sdt>
        <w:sdtPr>
          <w:id w:val="1758630255"/>
          <w:citation/>
        </w:sdtPr>
        <w:sdtContent>
          <w:r>
            <w:fldChar w:fldCharType="begin"/>
          </w:r>
          <w:r>
            <w:instrText xml:space="preserve"> CITATION Uni14 \l 2057 </w:instrText>
          </w:r>
          <w:r>
            <w:fldChar w:fldCharType="separate"/>
          </w:r>
          <w:r>
            <w:rPr>
              <w:noProof/>
            </w:rPr>
            <w:t xml:space="preserve"> </w:t>
          </w:r>
          <w:r w:rsidRPr="00923C26">
            <w:rPr>
              <w:noProof/>
            </w:rPr>
            <w:t>(University of Cambridge., 2014)</w:t>
          </w:r>
          <w:r>
            <w:fldChar w:fldCharType="end"/>
          </w:r>
        </w:sdtContent>
      </w:sdt>
      <w:r>
        <w:t>. Post Traumatic Stress Disorder, PTSD</w:t>
      </w:r>
      <w:sdt>
        <w:sdtPr>
          <w:id w:val="516818468"/>
          <w:citation/>
        </w:sdtPr>
        <w:sdtContent>
          <w:r>
            <w:fldChar w:fldCharType="begin"/>
          </w:r>
          <w:r>
            <w:instrText xml:space="preserve"> CITATION NHS22 \l 2057 </w:instrText>
          </w:r>
          <w:r>
            <w:fldChar w:fldCharType="separate"/>
          </w:r>
          <w:r>
            <w:rPr>
              <w:noProof/>
            </w:rPr>
            <w:t xml:space="preserve"> </w:t>
          </w:r>
          <w:r w:rsidRPr="000F5F60">
            <w:rPr>
              <w:noProof/>
            </w:rPr>
            <w:t>(NHS, 2022)</w:t>
          </w:r>
          <w:r>
            <w:fldChar w:fldCharType="end"/>
          </w:r>
        </w:sdtContent>
      </w:sdt>
      <w:r>
        <w:t xml:space="preserve">, has been described as the cumulative effect of frequently experiencing or being exposed to traumatic incidents, however, police officers may often feel as though their concerns are irrelevant and that there is an expectation and an </w:t>
      </w:r>
      <w:r w:rsidRPr="00522D3F">
        <w:t>understanding that it is part of the job</w:t>
      </w:r>
      <w:r>
        <w:t xml:space="preserve">. </w:t>
      </w:r>
      <w:r w:rsidRPr="00522D3F">
        <w:t>Traumatic incidents can be impactful and</w:t>
      </w:r>
      <w:r>
        <w:t xml:space="preserve"> often</w:t>
      </w:r>
      <w:r w:rsidRPr="00522D3F">
        <w:t xml:space="preserve"> require </w:t>
      </w:r>
      <w:r>
        <w:t xml:space="preserve">some </w:t>
      </w:r>
      <w:r w:rsidRPr="00522D3F">
        <w:t>time for the brain to process the incident</w:t>
      </w:r>
      <w:r>
        <w:t>. T</w:t>
      </w:r>
      <w:r w:rsidRPr="00522D3F">
        <w:t>his article discusses Trauma Impact Prevention Techniques (TIPT)</w:t>
      </w:r>
      <w:r>
        <w:t>,</w:t>
      </w:r>
      <w:sdt>
        <w:sdtPr>
          <w:id w:val="-509296588"/>
          <w:citation/>
        </w:sdtPr>
        <w:sdtContent>
          <w:r>
            <w:fldChar w:fldCharType="begin"/>
          </w:r>
          <w:r>
            <w:instrText xml:space="preserve"> CITATION Uni19 \l 2057 </w:instrText>
          </w:r>
          <w:r>
            <w:fldChar w:fldCharType="separate"/>
          </w:r>
          <w:r>
            <w:rPr>
              <w:noProof/>
            </w:rPr>
            <w:t xml:space="preserve"> </w:t>
          </w:r>
          <w:r w:rsidRPr="005D3412">
            <w:rPr>
              <w:noProof/>
            </w:rPr>
            <w:t>(Cambridge, 2019)</w:t>
          </w:r>
          <w:r>
            <w:fldChar w:fldCharType="end"/>
          </w:r>
        </w:sdtContent>
      </w:sdt>
      <w:r>
        <w:t>. The article</w:t>
      </w:r>
      <w:r w:rsidRPr="00522D3F">
        <w:t xml:space="preserve"> states that </w:t>
      </w:r>
      <w:r>
        <w:t>two thirds</w:t>
      </w:r>
      <w:r w:rsidRPr="00522D3F">
        <w:t xml:space="preserve"> of officers on frontline policing aren’t given </w:t>
      </w:r>
      <w:r>
        <w:t>sufficient</w:t>
      </w:r>
      <w:r w:rsidRPr="00522D3F">
        <w:t xml:space="preserve"> time to “make sense” of traumatic incidents before being required to move onto the next job</w:t>
      </w:r>
      <w:r>
        <w:t>. Th</w:t>
      </w:r>
      <w:r w:rsidRPr="00522D3F">
        <w:t xml:space="preserve">is article also highlights the techniques used in trauma impact prevention, </w:t>
      </w:r>
      <w:r>
        <w:t>during the study</w:t>
      </w:r>
      <w:r w:rsidRPr="00522D3F">
        <w:t xml:space="preserve"> </w:t>
      </w:r>
      <w:r>
        <w:t>46</w:t>
      </w:r>
      <w:r w:rsidRPr="00522D3F">
        <w:t xml:space="preserve"> recruits were taught and practised trauma processing techniques </w:t>
      </w:r>
      <w:r>
        <w:t xml:space="preserve">over 3 days </w:t>
      </w:r>
      <w:r w:rsidRPr="00522D3F">
        <w:t xml:space="preserve">which were, </w:t>
      </w:r>
      <w:r w:rsidRPr="00522D3F">
        <w:rPr>
          <w:color w:val="171717"/>
          <w:shd w:val="clear" w:color="auto" w:fill="FFFFFF"/>
        </w:rPr>
        <w:t>allocentric and egocentric</w:t>
      </w:r>
      <w:sdt>
        <w:sdtPr>
          <w:rPr>
            <w:color w:val="171717"/>
            <w:shd w:val="clear" w:color="auto" w:fill="FFFFFF"/>
          </w:rPr>
          <w:id w:val="-665557076"/>
          <w:citation/>
        </w:sdtPr>
        <w:sdtContent>
          <w:r w:rsidRPr="00522D3F">
            <w:rPr>
              <w:color w:val="171717"/>
              <w:shd w:val="clear" w:color="auto" w:fill="FFFFFF"/>
            </w:rPr>
            <w:fldChar w:fldCharType="begin"/>
          </w:r>
          <w:r w:rsidRPr="00522D3F">
            <w:rPr>
              <w:color w:val="171717"/>
              <w:shd w:val="clear" w:color="auto" w:fill="FFFFFF"/>
            </w:rPr>
            <w:instrText xml:space="preserve"> CITATION Ima24 \l 2057 </w:instrText>
          </w:r>
          <w:r w:rsidRPr="00522D3F">
            <w:rPr>
              <w:color w:val="171717"/>
              <w:shd w:val="clear" w:color="auto" w:fill="FFFFFF"/>
            </w:rPr>
            <w:fldChar w:fldCharType="separate"/>
          </w:r>
          <w:r w:rsidRPr="00522D3F">
            <w:rPr>
              <w:noProof/>
              <w:color w:val="171717"/>
              <w:shd w:val="clear" w:color="auto" w:fill="FFFFFF"/>
            </w:rPr>
            <w:t xml:space="preserve"> (Lab, 2024)</w:t>
          </w:r>
          <w:r w:rsidRPr="00522D3F">
            <w:rPr>
              <w:color w:val="171717"/>
              <w:shd w:val="clear" w:color="auto" w:fill="FFFFFF"/>
            </w:rPr>
            <w:fldChar w:fldCharType="end"/>
          </w:r>
        </w:sdtContent>
      </w:sdt>
      <w:r>
        <w:rPr>
          <w:color w:val="171717"/>
          <w:shd w:val="clear" w:color="auto" w:fill="FFFFFF"/>
        </w:rPr>
        <w:t>. Both are said to be beneficial in processing trauma and have been used in forensic investigations, with the results yielding significant improvements on how officers felt about difficult incidents that they have previously faced, with 99% percent being able to use the “safety cues” to reset the stress response. The Trauma Impact Prevention Techniques (TIPT) has experienced largely positive feedback across UK police forces.</w:t>
      </w:r>
    </w:p>
    <w:p w14:paraId="2235E1A3" w14:textId="77777777" w:rsidR="00C71D29" w:rsidRDefault="00C71D29" w:rsidP="00C71D29">
      <w:r>
        <w:t>The expectations of frontline police officers in the United Kingdom continues to evolve</w:t>
      </w:r>
      <w:sdt>
        <w:sdtPr>
          <w:id w:val="-199090136"/>
          <w:citation/>
        </w:sdtPr>
        <w:sdtContent>
          <w:r>
            <w:fldChar w:fldCharType="begin"/>
          </w:r>
          <w:r>
            <w:instrText xml:space="preserve"> CITATION Col213 \l 2057 </w:instrText>
          </w:r>
          <w:r>
            <w:fldChar w:fldCharType="separate"/>
          </w:r>
          <w:r>
            <w:rPr>
              <w:noProof/>
            </w:rPr>
            <w:t xml:space="preserve"> </w:t>
          </w:r>
          <w:r w:rsidRPr="000D4933">
            <w:rPr>
              <w:noProof/>
            </w:rPr>
            <w:t>(College of Policing, 2021)</w:t>
          </w:r>
          <w:r>
            <w:fldChar w:fldCharType="end"/>
          </w:r>
        </w:sdtContent>
      </w:sdt>
      <w:r>
        <w:t xml:space="preserve">. There is an ever-growing demand from the public, and police officers are more accessible to </w:t>
      </w:r>
      <w:r w:rsidRPr="00C71D29">
        <w:rPr>
          <w:color w:val="000000" w:themeColor="text1"/>
        </w:rPr>
        <w:t>members of the public. This can amount to further pressure on police officers which can result in additional struggles with anxiety and mental health issues</w:t>
      </w:r>
      <w:sdt>
        <w:sdtPr>
          <w:rPr>
            <w:color w:val="000000" w:themeColor="text1"/>
          </w:rPr>
          <w:id w:val="438877079"/>
          <w:citation/>
        </w:sdtPr>
        <w:sdtContent>
          <w:r w:rsidRPr="00C71D29">
            <w:rPr>
              <w:color w:val="000000" w:themeColor="text1"/>
            </w:rPr>
            <w:fldChar w:fldCharType="begin"/>
          </w:r>
          <w:r w:rsidRPr="00C71D29">
            <w:rPr>
              <w:color w:val="000000" w:themeColor="text1"/>
            </w:rPr>
            <w:instrText xml:space="preserve"> CITATION Ben21 \l 2057 </w:instrText>
          </w:r>
          <w:r w:rsidRPr="00C71D29">
            <w:rPr>
              <w:color w:val="000000" w:themeColor="text1"/>
            </w:rPr>
            <w:fldChar w:fldCharType="separate"/>
          </w:r>
          <w:r w:rsidRPr="00C71D29">
            <w:rPr>
              <w:noProof/>
              <w:color w:val="000000" w:themeColor="text1"/>
            </w:rPr>
            <w:t xml:space="preserve"> (Butterworth, 2021)</w:t>
          </w:r>
          <w:r w:rsidRPr="00C71D29">
            <w:rPr>
              <w:color w:val="000000" w:themeColor="text1"/>
            </w:rPr>
            <w:fldChar w:fldCharType="end"/>
          </w:r>
        </w:sdtContent>
      </w:sdt>
      <w:r w:rsidRPr="00C71D29">
        <w:rPr>
          <w:color w:val="000000" w:themeColor="text1"/>
        </w:rPr>
        <w:t>. Over the last three decades there has been a change in the culture of policing, for example, 30 years ago police officers would not have discussed their mental health struggles with their colleagues or their families. Fortunately, times have progressed and there is now a more positive drive to openly discuss mental health amongst police officers. The reason for not discussing the impacts of a traumatic incidents and the affect it may have had on their wellbeing, is that it would have been seen as a sign of weakness by their colleagues</w:t>
      </w:r>
      <w:sdt>
        <w:sdtPr>
          <w:rPr>
            <w:color w:val="000000" w:themeColor="text1"/>
          </w:rPr>
          <w:id w:val="-1192141348"/>
          <w:citation/>
        </w:sdtPr>
        <w:sdtContent>
          <w:r w:rsidRPr="00C71D29">
            <w:rPr>
              <w:color w:val="000000" w:themeColor="text1"/>
            </w:rPr>
            <w:fldChar w:fldCharType="begin"/>
          </w:r>
          <w:r w:rsidRPr="00C71D29">
            <w:rPr>
              <w:color w:val="000000" w:themeColor="text1"/>
            </w:rPr>
            <w:instrText xml:space="preserve"> CITATION Mil95 \l 2057 </w:instrText>
          </w:r>
          <w:r w:rsidRPr="00C71D29">
            <w:rPr>
              <w:color w:val="000000" w:themeColor="text1"/>
            </w:rPr>
            <w:fldChar w:fldCharType="separate"/>
          </w:r>
          <w:r w:rsidRPr="00C71D29">
            <w:rPr>
              <w:noProof/>
              <w:color w:val="000000" w:themeColor="text1"/>
            </w:rPr>
            <w:t xml:space="preserve"> (Miller, 1995)</w:t>
          </w:r>
          <w:r w:rsidRPr="00C71D29">
            <w:rPr>
              <w:color w:val="000000" w:themeColor="text1"/>
            </w:rPr>
            <w:fldChar w:fldCharType="end"/>
          </w:r>
        </w:sdtContent>
      </w:sdt>
      <w:r w:rsidRPr="00C71D29">
        <w:rPr>
          <w:color w:val="000000" w:themeColor="text1"/>
        </w:rPr>
        <w:t>. However, there have been positive changes over recent years, with an increase in the willingness to discuss mental health concerns and an improvement in support available to front line officers who may have experienced traumatic incident or who are struggling with mental health</w:t>
      </w:r>
      <w:sdt>
        <w:sdtPr>
          <w:rPr>
            <w:color w:val="000000" w:themeColor="text1"/>
          </w:rPr>
          <w:id w:val="-1243479836"/>
          <w:citation/>
        </w:sdtPr>
        <w:sdtContent>
          <w:r w:rsidRPr="00C71D29">
            <w:rPr>
              <w:color w:val="000000" w:themeColor="text1"/>
            </w:rPr>
            <w:fldChar w:fldCharType="begin"/>
          </w:r>
          <w:r w:rsidRPr="00C71D29">
            <w:rPr>
              <w:color w:val="000000" w:themeColor="text1"/>
            </w:rPr>
            <w:instrText xml:space="preserve"> CITATION Bel15 \l 2057 </w:instrText>
          </w:r>
          <w:r w:rsidRPr="00C71D29">
            <w:rPr>
              <w:color w:val="000000" w:themeColor="text1"/>
            </w:rPr>
            <w:fldChar w:fldCharType="separate"/>
          </w:r>
          <w:r w:rsidRPr="00C71D29">
            <w:rPr>
              <w:noProof/>
              <w:color w:val="000000" w:themeColor="text1"/>
            </w:rPr>
            <w:t xml:space="preserve"> (Bell &amp; Eski, 2015)</w:t>
          </w:r>
          <w:r w:rsidRPr="00C71D29">
            <w:rPr>
              <w:color w:val="000000" w:themeColor="text1"/>
            </w:rPr>
            <w:fldChar w:fldCharType="end"/>
          </w:r>
        </w:sdtContent>
      </w:sdt>
      <w:r w:rsidRPr="00C71D29">
        <w:rPr>
          <w:color w:val="000000" w:themeColor="text1"/>
        </w:rPr>
        <w:t>. Officer wellbeing is now a priority within all police forces across the UK</w:t>
      </w:r>
      <w:sdt>
        <w:sdtPr>
          <w:rPr>
            <w:color w:val="000000" w:themeColor="text1"/>
          </w:rPr>
          <w:id w:val="1485974156"/>
          <w:citation/>
        </w:sdtPr>
        <w:sdtContent>
          <w:r w:rsidRPr="00C71D29">
            <w:rPr>
              <w:color w:val="000000" w:themeColor="text1"/>
            </w:rPr>
            <w:fldChar w:fldCharType="begin"/>
          </w:r>
          <w:r w:rsidRPr="00C71D29">
            <w:rPr>
              <w:color w:val="000000" w:themeColor="text1"/>
            </w:rPr>
            <w:instrText xml:space="preserve"> CITATION Gov19 \l 2057 </w:instrText>
          </w:r>
          <w:r w:rsidRPr="00C71D29">
            <w:rPr>
              <w:color w:val="000000" w:themeColor="text1"/>
            </w:rPr>
            <w:fldChar w:fldCharType="separate"/>
          </w:r>
          <w:r w:rsidRPr="00C71D29">
            <w:rPr>
              <w:noProof/>
              <w:color w:val="000000" w:themeColor="text1"/>
            </w:rPr>
            <w:t xml:space="preserve"> (Gov.uk, 2019)</w:t>
          </w:r>
          <w:r w:rsidRPr="00C71D29">
            <w:rPr>
              <w:color w:val="000000" w:themeColor="text1"/>
            </w:rPr>
            <w:fldChar w:fldCharType="end"/>
          </w:r>
        </w:sdtContent>
      </w:sdt>
      <w:r w:rsidRPr="00C71D29">
        <w:rPr>
          <w:color w:val="000000" w:themeColor="text1"/>
        </w:rPr>
        <w:t xml:space="preserve">, with </w:t>
      </w:r>
      <w:proofErr w:type="gramStart"/>
      <w:r w:rsidRPr="00C71D29">
        <w:rPr>
          <w:color w:val="000000" w:themeColor="text1"/>
        </w:rPr>
        <w:t>a number of</w:t>
      </w:r>
      <w:proofErr w:type="gramEnd"/>
      <w:r w:rsidRPr="00C71D29">
        <w:rPr>
          <w:color w:val="000000" w:themeColor="text1"/>
        </w:rPr>
        <w:t xml:space="preserve"> support systems being created to assist officers with any support they may require. As set out by the college of policing, there is a framework that is committed to the health and wellbeing of frontline</w:t>
      </w:r>
      <w:r>
        <w:t xml:space="preserve"> police officers across the United Kingdom called Oscar Kilo </w:t>
      </w:r>
      <w:sdt>
        <w:sdtPr>
          <w:id w:val="2078006363"/>
          <w:citation/>
        </w:sdtPr>
        <w:sdtContent>
          <w:r>
            <w:fldChar w:fldCharType="begin"/>
          </w:r>
          <w:r>
            <w:instrText xml:space="preserve"> CITATION Osc17 \l 2057 </w:instrText>
          </w:r>
          <w:r>
            <w:fldChar w:fldCharType="separate"/>
          </w:r>
          <w:r w:rsidRPr="003F0E1F">
            <w:rPr>
              <w:noProof/>
            </w:rPr>
            <w:t>(Kilo, 2017)</w:t>
          </w:r>
          <w:r>
            <w:fldChar w:fldCharType="end"/>
          </w:r>
        </w:sdtContent>
      </w:sdt>
      <w:r>
        <w:t xml:space="preserve">. Oscar Kilo was set up in 2017 to provide support and wellbeing to </w:t>
      </w:r>
      <w:r>
        <w:lastRenderedPageBreak/>
        <w:t>emergency workers and can help to identify what systems an organisation already has in place and any gaps there may be, in order to provide the best support possible for employees, alongside the National Police Wellbeing Service (NPWS)</w:t>
      </w:r>
      <w:sdt>
        <w:sdtPr>
          <w:id w:val="-1278491574"/>
          <w:citation/>
        </w:sdtPr>
        <w:sdtContent>
          <w:r>
            <w:fldChar w:fldCharType="begin"/>
          </w:r>
          <w:r>
            <w:instrText xml:space="preserve"> CITATION Nat191 \l 2057 </w:instrText>
          </w:r>
          <w:r>
            <w:fldChar w:fldCharType="separate"/>
          </w:r>
          <w:r>
            <w:rPr>
              <w:noProof/>
            </w:rPr>
            <w:t xml:space="preserve"> </w:t>
          </w:r>
          <w:r w:rsidRPr="002A393E">
            <w:rPr>
              <w:noProof/>
            </w:rPr>
            <w:t>(National Police Wellbeing Service, 2019)</w:t>
          </w:r>
          <w:r>
            <w:fldChar w:fldCharType="end"/>
          </w:r>
        </w:sdtContent>
      </w:sdt>
      <w:r>
        <w:t xml:space="preserve">. The support available includes services such as webinars, videos, peer support (where people who have shared experiences can meet), wellbeing dog visits and wellbeing van visits to the police station. </w:t>
      </w:r>
    </w:p>
    <w:p w14:paraId="081DEA0F" w14:textId="77777777" w:rsidR="00C71D29" w:rsidRDefault="00C71D29" w:rsidP="00C71D29">
      <w:r>
        <w:t>This article discusses the physiological basis of trauma and defines shock and trauma in the following way:</w:t>
      </w:r>
      <w:sdt>
        <w:sdtPr>
          <w:id w:val="-1002348979"/>
          <w:citation/>
        </w:sdtPr>
        <w:sdtContent>
          <w:r>
            <w:fldChar w:fldCharType="begin"/>
          </w:r>
          <w:r>
            <w:instrText xml:space="preserve"> CITATION Ree07 \l 2057 </w:instrText>
          </w:r>
          <w:r>
            <w:fldChar w:fldCharType="separate"/>
          </w:r>
          <w:r>
            <w:rPr>
              <w:noProof/>
            </w:rPr>
            <w:t xml:space="preserve"> </w:t>
          </w:r>
          <w:r w:rsidRPr="00211450">
            <w:rPr>
              <w:noProof/>
            </w:rPr>
            <w:t>(Rees &amp; Smith, 2007)</w:t>
          </w:r>
          <w:r>
            <w:fldChar w:fldCharType="end"/>
          </w:r>
        </w:sdtContent>
      </w:sdt>
      <w:r>
        <w:t>. Trauma, a traumatic experience that arises due to a situation or event that is physically or emotionally stressful, thus challenging the integrity of that person. Shock occurs when a traumatic experience overwhelms the resources of that person and his or her ability to mobilise a defensive response. Traumatisation occurs when the shock response cannot be processed by the system, and as a result the body produces stress related hormones. The article states that if these continue to recycle until they are resolved then the individual may suffer with post-traumatic stress disorder (PTSD). Further reading of the article the authors conclude that given operational police officers are exposed to violent, threatening, and sometimes horrific situations, their environment make them more liable to traumatic stress and state that the negative aspects of the police culture suggest a manifestation of this traumatic cycle. The author conducted research with 118 operational police officers and the purpose of the data collection was to obtain as rich a picture as possible of respondent’s views of the research question and was collected through interviews and questionnaires. The research identified that the operational role of a police officer was widely varied and more often challenging, one interview with a participant officer states that an operational police officer has a complex and difficult role and often have very limited time to process the effects of their experiences. The article also highlights the characteristics of police culture and states that when danger is signalled, people who are attached to each other feel compelled to draw together. This social response helps members of the group to modulate an emotional response and confront the situation more clearly.</w:t>
      </w:r>
    </w:p>
    <w:p w14:paraId="7EA8EBA1" w14:textId="77777777" w:rsidR="00C71D29" w:rsidRDefault="00C71D29" w:rsidP="00C71D29">
      <w:r>
        <w:t>Operational policing can have a significant and detrimental impact on both individuals and a groups’ wellbeing in many ways, such as, poor mental health from frequent exposure to traumatic incidents, burnout from high unmanageable workloads, exhaustion, and often reduces efficiency</w:t>
      </w:r>
      <w:sdt>
        <w:sdtPr>
          <w:id w:val="-656455202"/>
          <w:citation/>
        </w:sdtPr>
        <w:sdtContent>
          <w:r>
            <w:fldChar w:fldCharType="begin"/>
          </w:r>
          <w:r>
            <w:instrText xml:space="preserve"> CITATION Moh14 \l 2057 </w:instrText>
          </w:r>
          <w:r>
            <w:fldChar w:fldCharType="separate"/>
          </w:r>
          <w:r>
            <w:rPr>
              <w:noProof/>
            </w:rPr>
            <w:t xml:space="preserve"> </w:t>
          </w:r>
          <w:r w:rsidRPr="005E5745">
            <w:rPr>
              <w:noProof/>
            </w:rPr>
            <w:t>(Shaikh, 2014)</w:t>
          </w:r>
          <w:r>
            <w:fldChar w:fldCharType="end"/>
          </w:r>
        </w:sdtContent>
      </w:sdt>
      <w:r>
        <w:t xml:space="preserve">. Along with more serious chronic conditions, such as, sleep disorders, anxiety, depression, strain on relationships and family life outside of the job. There are </w:t>
      </w:r>
      <w:proofErr w:type="gramStart"/>
      <w:r>
        <w:t>a number of</w:t>
      </w:r>
      <w:proofErr w:type="gramEnd"/>
      <w:r>
        <w:t xml:space="preserve"> strategies and supportive programmes available to individuals within the police service, which can help to mitigate the effects mentioned above, such as, internal supportive mental health programs. A frequently used programme to help support police officers is (</w:t>
      </w:r>
      <w:proofErr w:type="spellStart"/>
      <w:r>
        <w:t>TRiM</w:t>
      </w:r>
      <w:proofErr w:type="spellEnd"/>
      <w:r>
        <w:t>)</w:t>
      </w:r>
      <w:sdt>
        <w:sdtPr>
          <w:id w:val="-2136174362"/>
          <w:citation/>
        </w:sdtPr>
        <w:sdtContent>
          <w:r>
            <w:fldChar w:fldCharType="begin"/>
          </w:r>
          <w:r>
            <w:instrText xml:space="preserve"> CITATION Wat17 \l 2057 </w:instrText>
          </w:r>
          <w:r>
            <w:fldChar w:fldCharType="separate"/>
          </w:r>
          <w:r>
            <w:rPr>
              <w:noProof/>
            </w:rPr>
            <w:t xml:space="preserve"> </w:t>
          </w:r>
          <w:r w:rsidRPr="00E9458D">
            <w:rPr>
              <w:noProof/>
            </w:rPr>
            <w:t>(Watson &amp; Andrews, 2017)</w:t>
          </w:r>
          <w:r>
            <w:fldChar w:fldCharType="end"/>
          </w:r>
        </w:sdtContent>
      </w:sdt>
      <w:r>
        <w:t xml:space="preserve">. </w:t>
      </w:r>
      <w:proofErr w:type="spellStart"/>
      <w:r>
        <w:t>TRiM</w:t>
      </w:r>
      <w:proofErr w:type="spellEnd"/>
      <w:r>
        <w:t xml:space="preserve"> also known as, Trauma Risk incident Management, can be used by organisations who operate in a high-risk high threat environment, and are likely to be exposed to traumatic incidents or situations. Emergency services organisations, such as UK police forces, ambulance service and the fire service are said to be among </w:t>
      </w:r>
      <w:proofErr w:type="spellStart"/>
      <w:r>
        <w:t>TRiM’s</w:t>
      </w:r>
      <w:proofErr w:type="spellEnd"/>
      <w:r>
        <w:t xml:space="preserve"> biggest clients</w:t>
      </w:r>
      <w:sdt>
        <w:sdtPr>
          <w:id w:val="1260489251"/>
          <w:citation/>
        </w:sdtPr>
        <w:sdtContent>
          <w:r>
            <w:fldChar w:fldCharType="begin"/>
          </w:r>
          <w:r>
            <w:instrText xml:space="preserve"> CITATION Mar01 \l 2057 </w:instrText>
          </w:r>
          <w:r>
            <w:fldChar w:fldCharType="separate"/>
          </w:r>
          <w:r>
            <w:rPr>
              <w:noProof/>
            </w:rPr>
            <w:t xml:space="preserve"> </w:t>
          </w:r>
          <w:r w:rsidRPr="00A30F43">
            <w:rPr>
              <w:noProof/>
            </w:rPr>
            <w:t>(March on Stress, 2001)</w:t>
          </w:r>
          <w:r>
            <w:fldChar w:fldCharType="end"/>
          </w:r>
        </w:sdtContent>
      </w:sdt>
      <w:r>
        <w:t xml:space="preserve">. The goal of </w:t>
      </w:r>
      <w:proofErr w:type="spellStart"/>
      <w:r>
        <w:t>TRiM</w:t>
      </w:r>
      <w:proofErr w:type="spellEnd"/>
      <w:r>
        <w:t xml:space="preserve"> is a trauma-focused peer support system designed to help individuals and groups who may have been exposed to, or have experienced, a traumatic incident or event. Giving police officers additional training, to allow officers have a better understanding of their role (given the complexity of a frontline police officer), flexible scheduling and adequate time off can be seen to improve overall wellbeing. Those who are in a leadership position also play a vital role in creating a positive workplace culture</w:t>
      </w:r>
      <w:sdt>
        <w:sdtPr>
          <w:id w:val="-1847476194"/>
          <w:citation/>
        </w:sdtPr>
        <w:sdtContent>
          <w:r>
            <w:fldChar w:fldCharType="begin"/>
          </w:r>
          <w:r>
            <w:instrText xml:space="preserve"> CITATION Ric22 \l 2057 </w:instrText>
          </w:r>
          <w:r>
            <w:fldChar w:fldCharType="separate"/>
          </w:r>
          <w:r>
            <w:rPr>
              <w:noProof/>
            </w:rPr>
            <w:t xml:space="preserve"> </w:t>
          </w:r>
          <w:r w:rsidRPr="00FE6C87">
            <w:rPr>
              <w:noProof/>
            </w:rPr>
            <w:t>(Richard Segovia, 2022)</w:t>
          </w:r>
          <w:r>
            <w:fldChar w:fldCharType="end"/>
          </w:r>
        </w:sdtContent>
      </w:sdt>
      <w:r>
        <w:t>, which can in turn, provide support to individuals and encourage those who are struggling with their well-being to come forward and ask for support</w:t>
      </w:r>
      <w:sdt>
        <w:sdtPr>
          <w:id w:val="-502972826"/>
          <w:citation/>
        </w:sdtPr>
        <w:sdtContent>
          <w:r>
            <w:fldChar w:fldCharType="begin"/>
          </w:r>
          <w:r>
            <w:instrText xml:space="preserve"> CITATION Gar19 \l 2057 </w:instrText>
          </w:r>
          <w:r>
            <w:fldChar w:fldCharType="separate"/>
          </w:r>
          <w:r>
            <w:rPr>
              <w:noProof/>
            </w:rPr>
            <w:t xml:space="preserve"> </w:t>
          </w:r>
          <w:r w:rsidRPr="002C1381">
            <w:rPr>
              <w:noProof/>
            </w:rPr>
            <w:t>(Staglin, 2019)</w:t>
          </w:r>
          <w:r>
            <w:fldChar w:fldCharType="end"/>
          </w:r>
        </w:sdtContent>
      </w:sdt>
      <w:r>
        <w:t xml:space="preserve">. Identifying </w:t>
      </w:r>
      <w:r>
        <w:lastRenderedPageBreak/>
        <w:t xml:space="preserve">the issues that frontline police officers experience in terms of mental health and wellbeing can help to decrease the detrimental effects that confront operational police officers </w:t>
      </w:r>
      <w:proofErr w:type="gramStart"/>
      <w:r>
        <w:t>on a daily basis</w:t>
      </w:r>
      <w:proofErr w:type="gramEnd"/>
      <w:r>
        <w:t>, leading to a healthier, more efficient and productive police service.</w:t>
      </w:r>
    </w:p>
    <w:p w14:paraId="316489CF" w14:textId="777639C3" w:rsidR="00C71D29" w:rsidRDefault="00C71D29" w:rsidP="00C71D29">
      <w:r>
        <w:t>Group wellbeing is also crucial in policing for several reasons such as operational effectiveness, developing a strong team cohesion thus fostering strong bonds and enhancing teamwork which is essential for effective policing</w:t>
      </w:r>
      <w:sdt>
        <w:sdtPr>
          <w:id w:val="1988124017"/>
          <w:citation/>
        </w:sdtPr>
        <w:sdtContent>
          <w:r>
            <w:fldChar w:fldCharType="begin"/>
          </w:r>
          <w:r>
            <w:instrText xml:space="preserve"> CITATION Aym21 \l 2057 </w:instrText>
          </w:r>
          <w:r>
            <w:fldChar w:fldCharType="separate"/>
          </w:r>
          <w:r>
            <w:rPr>
              <w:noProof/>
            </w:rPr>
            <w:t xml:space="preserve"> </w:t>
          </w:r>
          <w:r w:rsidRPr="00E62A6F">
            <w:rPr>
              <w:noProof/>
            </w:rPr>
            <w:t>(Kafel, 2021)</w:t>
          </w:r>
          <w:r>
            <w:fldChar w:fldCharType="end"/>
          </w:r>
        </w:sdtContent>
      </w:sdt>
      <w:r>
        <w:t>. Morale, motivation, and a supportive work environment helps to retain experienced police officers and reduces staff turnover. The experienced officers are vital in being able to provide peer support to new officers in training or probation, reduce feelings of isolation, enhancing trust, relatability, and support, especially when dealing with high-risk operations. Group wellbeing can also help to improve a stronger workplace culture, promoting values such as respect, integrity, and empathy. This article</w:t>
      </w:r>
      <w:sdt>
        <w:sdtPr>
          <w:id w:val="-1281723151"/>
          <w:citation/>
        </w:sdtPr>
        <w:sdtContent>
          <w:r>
            <w:fldChar w:fldCharType="begin"/>
          </w:r>
          <w:r>
            <w:instrText xml:space="preserve"> CITATION Dem20 \l 2057 </w:instrText>
          </w:r>
          <w:r>
            <w:fldChar w:fldCharType="separate"/>
          </w:r>
          <w:r>
            <w:rPr>
              <w:noProof/>
            </w:rPr>
            <w:t xml:space="preserve"> </w:t>
          </w:r>
          <w:r w:rsidRPr="00EE0A80">
            <w:rPr>
              <w:noProof/>
            </w:rPr>
            <w:t>(Demou, et al., 2020)</w:t>
          </w:r>
          <w:r>
            <w:fldChar w:fldCharType="end"/>
          </w:r>
        </w:sdtContent>
      </w:sdt>
      <w:r>
        <w:t xml:space="preserve"> includes a study with 30 superintendents as the target group and gained an insight into how mental health issues may manifest themselves in a group that are exposed to a frequent number of traumatic incidents. The study does acknowledge its limitations to only target the rank of superintendents, however, the organisers ensured that there was a wide range of experiences and perceptions relating to mental health. The study draws personal experiences of the participants, and the results cover areas ranging from lived-in experiences, work life balance, traumatic incidents, workload, work demand and operational risk factors. One of the most notable personal experiences from the study stated that policing is a people business, and the fundamental importance and core responsibility for those in a leadership position must be to equip, support and encourage every person to be the best they can be, failure to do anything other than that, is a failure of leadership. In conclusion, with the study the authors identified the main stressors as long working hours, workload, culture, leadership, and organisational change. Results from the study yielded some positive results highlighting the importance of interventions, however, it also identified the need for more research to understand fully the components required to prevent negative mental health.</w:t>
      </w:r>
    </w:p>
    <w:p w14:paraId="790789A9" w14:textId="77777777" w:rsidR="00C71D29" w:rsidRDefault="00C71D29" w:rsidP="00C71D29">
      <w:r>
        <w:t>In conclusion, it is evident that operational policing involves a wide range of challenges that can have a significant impact on the general wellbeing and mental health of frontline police officers of all ranks</w:t>
      </w:r>
      <w:sdt>
        <w:sdtPr>
          <w:id w:val="1595360597"/>
          <w:citation/>
        </w:sdtPr>
        <w:sdtContent>
          <w:r>
            <w:fldChar w:fldCharType="begin"/>
          </w:r>
          <w:r>
            <w:instrText xml:space="preserve"> CITATION Tay20 \l 2057 </w:instrText>
          </w:r>
          <w:r>
            <w:fldChar w:fldCharType="separate"/>
          </w:r>
          <w:r>
            <w:rPr>
              <w:noProof/>
            </w:rPr>
            <w:t xml:space="preserve"> </w:t>
          </w:r>
          <w:r w:rsidRPr="009C647F">
            <w:rPr>
              <w:noProof/>
            </w:rPr>
            <w:t>(Taylor &amp; Francis Online, 2020)</w:t>
          </w:r>
          <w:r>
            <w:fldChar w:fldCharType="end"/>
          </w:r>
        </w:sdtContent>
      </w:sdt>
      <w:r>
        <w:t xml:space="preserve">. The challenges that have been highlighted in this paper include those such as, frequent exposure to violent and traumatic incidents, highly stressful situations, long working hours, and the constant need to make quick critical decisions, often whilst under immense pressure. The role of a police officer requires physical and emotional resilience, which can, unfortunately, be accompanied by chronic stress, burnout, mental health disorders such as PTSD, depression, and anxiety. The effect of these challenges together can hinder a police officers’ ability to perform their role effectively, and, as a result can </w:t>
      </w:r>
      <w:proofErr w:type="gramStart"/>
      <w:r>
        <w:t>lead</w:t>
      </w:r>
      <w:proofErr w:type="gramEnd"/>
      <w:r>
        <w:t xml:space="preserve"> to diminished job satisfaction, strained personal relationships at home, and in some cases substance abuse. The stigma of seeking help for mental health issues within the police force remains prevalent, due to the fear of being seen as less capable or not being fit for duty among colleagues</w:t>
      </w:r>
      <w:sdt>
        <w:sdtPr>
          <w:id w:val="1233816403"/>
          <w:citation/>
        </w:sdtPr>
        <w:sdtContent>
          <w:r>
            <w:fldChar w:fldCharType="begin"/>
          </w:r>
          <w:r>
            <w:instrText xml:space="preserve"> CITATION Sag21 \l 2057 </w:instrText>
          </w:r>
          <w:r>
            <w:fldChar w:fldCharType="separate"/>
          </w:r>
          <w:r>
            <w:rPr>
              <w:noProof/>
            </w:rPr>
            <w:t xml:space="preserve"> </w:t>
          </w:r>
          <w:r w:rsidRPr="009C647F">
            <w:rPr>
              <w:noProof/>
            </w:rPr>
            <w:t>(Sage Journals, 2021)</w:t>
          </w:r>
          <w:r>
            <w:fldChar w:fldCharType="end"/>
          </w:r>
        </w:sdtContent>
      </w:sdt>
      <w:r>
        <w:t xml:space="preserve">. Addressing these issues openly requires a comprehensive approach which includes organisational changes, such as promoting a culture of openness around mental health, providing officers with supportive networks inside the job and externally. It is clear the police force is heading in the right direction from where it was thirty to forty years ago, given the supportive that is now much more readily available to officers. However, there is more work that needs to be done to remove the stigma, which will improve police officers’ wellbeing and support them through what is a demanding and stressful role within society. </w:t>
      </w:r>
    </w:p>
    <w:p w14:paraId="5B34B560" w14:textId="7FC73320" w:rsidR="001B3C34" w:rsidRDefault="00C71D29">
      <w:r>
        <w:t>1888 Words, Updated 29/08/2024.</w:t>
      </w:r>
    </w:p>
    <w:p w14:paraId="10856FEB" w14:textId="77777777" w:rsidR="00F44226" w:rsidRDefault="00F44226" w:rsidP="00F44226">
      <w:r>
        <w:lastRenderedPageBreak/>
        <w:t xml:space="preserve">Why </w:t>
      </w:r>
      <w:proofErr w:type="gramStart"/>
      <w:r>
        <w:t>is</w:t>
      </w:r>
      <w:proofErr w:type="gramEnd"/>
      <w:r>
        <w:t xml:space="preserve"> a partnership approach the most effective way to reach groups or communities who are less willing to engage with police? You should consider why certain groups are reluctant to engage with police, and the ways engagement can be achieved. 2000 Words</w:t>
      </w:r>
    </w:p>
    <w:p w14:paraId="6A2351C7" w14:textId="77777777" w:rsidR="00F44226" w:rsidRDefault="00F44226" w:rsidP="00F44226">
      <w:pPr>
        <w:rPr>
          <w:rFonts w:ascii="Play" w:eastAsia="Play" w:hAnsi="Play" w:cs="Play"/>
        </w:rPr>
      </w:pPr>
    </w:p>
    <w:p w14:paraId="68051D1A" w14:textId="77777777" w:rsidR="00F44226" w:rsidRDefault="00F44226" w:rsidP="00F44226">
      <w:pPr>
        <w:rPr>
          <w:rFonts w:ascii="Play" w:eastAsia="Play" w:hAnsi="Play" w:cs="Play"/>
        </w:rPr>
      </w:pPr>
      <w:r>
        <w:rPr>
          <w:rFonts w:ascii="Play" w:eastAsia="Play" w:hAnsi="Play" w:cs="Play"/>
        </w:rPr>
        <w:t>This paper will discuss, highlight and identify the benefits of using a partnership approach as the most effective way of engaging with groups and communities who are less willing to engage with the police.</w:t>
      </w:r>
    </w:p>
    <w:p w14:paraId="273A582C" w14:textId="77777777" w:rsidR="00F44226" w:rsidRDefault="00F44226" w:rsidP="00F44226">
      <w:pPr>
        <w:rPr>
          <w:rFonts w:ascii="Play" w:eastAsia="Play" w:hAnsi="Play" w:cs="Play"/>
        </w:rPr>
      </w:pPr>
      <w:r>
        <w:rPr>
          <w:rFonts w:ascii="Play" w:eastAsia="Play" w:hAnsi="Play" w:cs="Play"/>
        </w:rPr>
        <w:t>Various groups in society are often less willing to engage with the police due to a combination of historical, social, and cultural factors. These groups include, Black and African American Communities, Indigenous Communities, LGBTQ communities, Low-Income individuals, those with criminal records, religious minorities. These groups’ reluctance to engage with police is more often shaped by their previous experiences and encounters with the police, along with a lack of accountability within the police, addressing these issues often requires building trust through community and positive engagement</w:t>
      </w:r>
      <w:r w:rsidRPr="000C2A5F">
        <w:rPr>
          <w:rFonts w:asciiTheme="majorHAnsi" w:hAnsiTheme="majorHAnsi"/>
        </w:rPr>
        <w:t xml:space="preserve"> </w:t>
      </w:r>
      <w:sdt>
        <w:sdtPr>
          <w:rPr>
            <w:rFonts w:asciiTheme="majorHAnsi" w:hAnsiTheme="majorHAnsi"/>
          </w:rPr>
          <w:id w:val="1350767881"/>
          <w:citation/>
        </w:sdtPr>
        <w:sdtContent>
          <w:r>
            <w:rPr>
              <w:rFonts w:asciiTheme="majorHAnsi" w:hAnsiTheme="majorHAnsi"/>
            </w:rPr>
            <w:fldChar w:fldCharType="begin"/>
          </w:r>
          <w:r>
            <w:rPr>
              <w:rFonts w:asciiTheme="majorHAnsi" w:hAnsiTheme="majorHAnsi"/>
            </w:rPr>
            <w:instrText xml:space="preserve"> CITATION Tan21 \l 2057 </w:instrText>
          </w:r>
          <w:r>
            <w:rPr>
              <w:rFonts w:asciiTheme="majorHAnsi" w:hAnsiTheme="majorHAnsi"/>
            </w:rPr>
            <w:fldChar w:fldCharType="separate"/>
          </w:r>
          <w:r>
            <w:rPr>
              <w:rFonts w:asciiTheme="majorHAnsi" w:hAnsiTheme="majorHAnsi"/>
              <w:noProof/>
            </w:rPr>
            <w:t xml:space="preserve"> </w:t>
          </w:r>
          <w:r w:rsidRPr="00C71290">
            <w:rPr>
              <w:rFonts w:asciiTheme="majorHAnsi" w:hAnsiTheme="majorHAnsi"/>
              <w:noProof/>
            </w:rPr>
            <w:t>(Abraham, 2021)</w:t>
          </w:r>
          <w:r>
            <w:rPr>
              <w:rFonts w:asciiTheme="majorHAnsi" w:hAnsiTheme="majorHAnsi"/>
            </w:rPr>
            <w:fldChar w:fldCharType="end"/>
          </w:r>
        </w:sdtContent>
      </w:sdt>
    </w:p>
    <w:p w14:paraId="04554EC7" w14:textId="77777777" w:rsidR="00F44226" w:rsidRDefault="00F44226" w:rsidP="00F44226">
      <w:pPr>
        <w:rPr>
          <w:rFonts w:ascii="Play" w:eastAsia="Play" w:hAnsi="Play" w:cs="Play"/>
        </w:rPr>
      </w:pPr>
      <w:r>
        <w:rPr>
          <w:rFonts w:ascii="Play" w:eastAsia="Play" w:hAnsi="Play" w:cs="Play"/>
        </w:rPr>
        <w:t>Partnership working can be an effective way to reach out and engage with groups that are less willing to engage with the police. Partnership working can build trust and confidence and provide access to new ideas and resources. Building trust is a key core policing responsibility</w:t>
      </w:r>
      <w:r w:rsidRPr="000C2A5F">
        <w:rPr>
          <w:rFonts w:asciiTheme="majorHAnsi" w:hAnsiTheme="majorHAnsi"/>
        </w:rPr>
        <w:t xml:space="preserve"> </w:t>
      </w:r>
      <w:sdt>
        <w:sdtPr>
          <w:rPr>
            <w:rFonts w:asciiTheme="majorHAnsi" w:hAnsiTheme="majorHAnsi"/>
          </w:rPr>
          <w:id w:val="-1345701592"/>
          <w:citation/>
        </w:sdtPr>
        <w:sdtContent>
          <w:r>
            <w:rPr>
              <w:rFonts w:asciiTheme="majorHAnsi" w:hAnsiTheme="majorHAnsi"/>
            </w:rPr>
            <w:fldChar w:fldCharType="begin"/>
          </w:r>
          <w:r>
            <w:rPr>
              <w:rFonts w:asciiTheme="majorHAnsi" w:hAnsiTheme="majorHAnsi"/>
            </w:rPr>
            <w:instrText xml:space="preserve"> CITATION Col20 \l 2057 </w:instrText>
          </w:r>
          <w:r>
            <w:rPr>
              <w:rFonts w:asciiTheme="majorHAnsi" w:hAnsiTheme="majorHAnsi"/>
            </w:rPr>
            <w:fldChar w:fldCharType="separate"/>
          </w:r>
          <w:r>
            <w:rPr>
              <w:rFonts w:asciiTheme="majorHAnsi" w:hAnsiTheme="majorHAnsi"/>
              <w:noProof/>
            </w:rPr>
            <w:t xml:space="preserve"> </w:t>
          </w:r>
          <w:r w:rsidRPr="00C71290">
            <w:rPr>
              <w:rFonts w:asciiTheme="majorHAnsi" w:hAnsiTheme="majorHAnsi"/>
              <w:noProof/>
            </w:rPr>
            <w:t>(College of Policing, 2020)</w:t>
          </w:r>
          <w:r>
            <w:rPr>
              <w:rFonts w:asciiTheme="majorHAnsi" w:hAnsiTheme="majorHAnsi"/>
            </w:rPr>
            <w:fldChar w:fldCharType="end"/>
          </w:r>
        </w:sdtContent>
      </w:sdt>
      <w:r>
        <w:rPr>
          <w:rFonts w:ascii="Play" w:eastAsia="Play" w:hAnsi="Play" w:cs="Play"/>
        </w:rPr>
        <w:t>. When individuals and groups feel they have been treated fairly and with respect, they are more likely to trust and engage with the police and accept their decisions</w:t>
      </w:r>
      <w:sdt>
        <w:sdtPr>
          <w:rPr>
            <w:rFonts w:asciiTheme="majorHAnsi" w:hAnsiTheme="majorHAnsi"/>
          </w:rPr>
          <w:id w:val="1594361287"/>
          <w:citation/>
        </w:sdtPr>
        <w:sdtContent>
          <w:r>
            <w:rPr>
              <w:rFonts w:asciiTheme="majorHAnsi" w:hAnsiTheme="majorHAnsi"/>
            </w:rPr>
            <w:fldChar w:fldCharType="begin"/>
          </w:r>
          <w:r>
            <w:rPr>
              <w:rFonts w:asciiTheme="majorHAnsi" w:hAnsiTheme="majorHAnsi"/>
            </w:rPr>
            <w:instrText xml:space="preserve"> CITATION Ste15 \l 2057 </w:instrText>
          </w:r>
          <w:r>
            <w:rPr>
              <w:rFonts w:asciiTheme="majorHAnsi" w:hAnsiTheme="majorHAnsi"/>
            </w:rPr>
            <w:fldChar w:fldCharType="separate"/>
          </w:r>
          <w:r>
            <w:rPr>
              <w:rFonts w:asciiTheme="majorHAnsi" w:hAnsiTheme="majorHAnsi"/>
              <w:noProof/>
            </w:rPr>
            <w:t xml:space="preserve"> </w:t>
          </w:r>
          <w:r w:rsidRPr="00C71290">
            <w:rPr>
              <w:rFonts w:asciiTheme="majorHAnsi" w:hAnsiTheme="majorHAnsi"/>
              <w:noProof/>
            </w:rPr>
            <w:t>(Otter, 2015)</w:t>
          </w:r>
          <w:r>
            <w:rPr>
              <w:rFonts w:asciiTheme="majorHAnsi" w:hAnsiTheme="majorHAnsi"/>
            </w:rPr>
            <w:fldChar w:fldCharType="end"/>
          </w:r>
        </w:sdtContent>
      </w:sdt>
      <w:r>
        <w:rPr>
          <w:rFonts w:ascii="Play" w:eastAsia="Play" w:hAnsi="Play" w:cs="Play"/>
        </w:rPr>
        <w:t>.This can be beneficial and lead to an increase in community confidence also increasing involvement in community police meetings. Involving the public in identifying and defining problems can also be key to successful neighbourhood policing programs, as the public may feel they are contributing to important matters. Community mapping can help to develop local knowledge of an area which can be particularly valuable in neighbourhoods with groups who do not usually engage with police.</w:t>
      </w:r>
      <w:sdt>
        <w:sdtPr>
          <w:rPr>
            <w:rFonts w:asciiTheme="majorHAnsi" w:hAnsiTheme="majorHAnsi"/>
          </w:rPr>
          <w:id w:val="664202941"/>
          <w:citation/>
        </w:sdtPr>
        <w:sdtContent>
          <w:r>
            <w:rPr>
              <w:rFonts w:asciiTheme="majorHAnsi" w:hAnsiTheme="majorHAnsi"/>
            </w:rPr>
            <w:fldChar w:fldCharType="begin"/>
          </w:r>
          <w:r>
            <w:rPr>
              <w:rFonts w:asciiTheme="majorHAnsi" w:hAnsiTheme="majorHAnsi"/>
            </w:rPr>
            <w:instrText xml:space="preserve"> CITATION Col19 \l 2057 </w:instrText>
          </w:r>
          <w:r>
            <w:rPr>
              <w:rFonts w:asciiTheme="majorHAnsi" w:hAnsiTheme="majorHAnsi"/>
            </w:rPr>
            <w:fldChar w:fldCharType="separate"/>
          </w:r>
          <w:r>
            <w:rPr>
              <w:rFonts w:asciiTheme="majorHAnsi" w:hAnsiTheme="majorHAnsi"/>
              <w:noProof/>
            </w:rPr>
            <w:t xml:space="preserve"> </w:t>
          </w:r>
          <w:r w:rsidRPr="00C71290">
            <w:rPr>
              <w:rFonts w:asciiTheme="majorHAnsi" w:hAnsiTheme="majorHAnsi"/>
              <w:noProof/>
            </w:rPr>
            <w:t>(College of Policing, 2019)</w:t>
          </w:r>
          <w:r>
            <w:rPr>
              <w:rFonts w:asciiTheme="majorHAnsi" w:hAnsiTheme="majorHAnsi"/>
            </w:rPr>
            <w:fldChar w:fldCharType="end"/>
          </w:r>
        </w:sdtContent>
      </w:sdt>
      <w:r>
        <w:rPr>
          <w:rFonts w:asciiTheme="majorHAnsi" w:hAnsiTheme="majorHAnsi"/>
        </w:rPr>
        <w:t xml:space="preserve">. </w:t>
      </w:r>
      <w:r>
        <w:rPr>
          <w:rFonts w:ascii="Play" w:eastAsia="Play" w:hAnsi="Play" w:cs="Play"/>
        </w:rPr>
        <w:t>Community mapping is a participatory process where community members and local organisations, along with authorities, collaboratively create a detailed map that captures various aspects of a community</w:t>
      </w:r>
      <w:sdt>
        <w:sdtPr>
          <w:rPr>
            <w:rFonts w:asciiTheme="majorHAnsi" w:hAnsiTheme="majorHAnsi"/>
          </w:rPr>
          <w:id w:val="-1634014435"/>
          <w:citation/>
        </w:sdtPr>
        <w:sdtContent>
          <w:r>
            <w:rPr>
              <w:rFonts w:asciiTheme="majorHAnsi" w:hAnsiTheme="majorHAnsi"/>
            </w:rPr>
            <w:fldChar w:fldCharType="begin"/>
          </w:r>
          <w:r>
            <w:rPr>
              <w:rFonts w:asciiTheme="majorHAnsi" w:hAnsiTheme="majorHAnsi"/>
            </w:rPr>
            <w:instrText xml:space="preserve"> CITATION Cri23 \l 2057 </w:instrText>
          </w:r>
          <w:r>
            <w:rPr>
              <w:rFonts w:asciiTheme="majorHAnsi" w:hAnsiTheme="majorHAnsi"/>
            </w:rPr>
            <w:fldChar w:fldCharType="separate"/>
          </w:r>
          <w:r>
            <w:rPr>
              <w:rFonts w:asciiTheme="majorHAnsi" w:hAnsiTheme="majorHAnsi"/>
              <w:noProof/>
            </w:rPr>
            <w:t xml:space="preserve"> </w:t>
          </w:r>
          <w:r w:rsidRPr="00C71290">
            <w:rPr>
              <w:rFonts w:asciiTheme="majorHAnsi" w:hAnsiTheme="majorHAnsi"/>
              <w:noProof/>
            </w:rPr>
            <w:t>(CrimeDoor, 2023)</w:t>
          </w:r>
          <w:r>
            <w:rPr>
              <w:rFonts w:asciiTheme="majorHAnsi" w:hAnsiTheme="majorHAnsi"/>
            </w:rPr>
            <w:fldChar w:fldCharType="end"/>
          </w:r>
        </w:sdtContent>
      </w:sdt>
      <w:r>
        <w:rPr>
          <w:rFonts w:ascii="Play" w:eastAsia="Play" w:hAnsi="Play" w:cs="Play"/>
        </w:rPr>
        <w:t xml:space="preserve">. There are </w:t>
      </w:r>
      <w:proofErr w:type="gramStart"/>
      <w:r>
        <w:rPr>
          <w:rFonts w:ascii="Play" w:eastAsia="Play" w:hAnsi="Play" w:cs="Play"/>
        </w:rPr>
        <w:t>a number of</w:t>
      </w:r>
      <w:proofErr w:type="gramEnd"/>
      <w:r>
        <w:rPr>
          <w:rFonts w:ascii="Play" w:eastAsia="Play" w:hAnsi="Play" w:cs="Play"/>
        </w:rPr>
        <w:t xml:space="preserve"> reasons how this tool can be beneficial in policing, such as, enhancing the needs and understanding of the local community and, identifying areas that may be underserved, at risk or in need of further attention from police or other partner agencies. This can help the police to tailor their services to the specific needs of those within the community who may not be willing to engage with police. Community mapping also helps police to identify crime hotspots and areas of social disorder, police can then allocate resources more efficiently and design targeted interventions </w:t>
      </w:r>
      <w:proofErr w:type="gramStart"/>
      <w:r>
        <w:rPr>
          <w:rFonts w:ascii="Play" w:eastAsia="Play" w:hAnsi="Play" w:cs="Play"/>
        </w:rPr>
        <w:t>in an attempt to</w:t>
      </w:r>
      <w:proofErr w:type="gramEnd"/>
      <w:r>
        <w:rPr>
          <w:rFonts w:ascii="Play" w:eastAsia="Play" w:hAnsi="Play" w:cs="Play"/>
        </w:rPr>
        <w:t xml:space="preserve"> prevent crime and reduce disorder. Strengthening community engagement builds trust between the police and those in the community who may not be willing to engage with authorities and can give community members a platform to voice their concerns and priorities thus leading to more cooperative policing efforts and greater community involvement</w:t>
      </w:r>
      <w:sdt>
        <w:sdtPr>
          <w:rPr>
            <w:rFonts w:asciiTheme="majorHAnsi" w:hAnsiTheme="majorHAnsi"/>
          </w:rPr>
          <w:id w:val="-241103094"/>
          <w:citation/>
        </w:sdtPr>
        <w:sdtContent>
          <w:r>
            <w:rPr>
              <w:rFonts w:asciiTheme="majorHAnsi" w:hAnsiTheme="majorHAnsi"/>
            </w:rPr>
            <w:fldChar w:fldCharType="begin"/>
          </w:r>
          <w:r>
            <w:rPr>
              <w:rFonts w:asciiTheme="majorHAnsi" w:hAnsiTheme="majorHAnsi"/>
            </w:rPr>
            <w:instrText xml:space="preserve"> CITATION Lin23 \l 2057 </w:instrText>
          </w:r>
          <w:r>
            <w:rPr>
              <w:rFonts w:asciiTheme="majorHAnsi" w:hAnsiTheme="majorHAnsi"/>
            </w:rPr>
            <w:fldChar w:fldCharType="separate"/>
          </w:r>
          <w:r>
            <w:rPr>
              <w:rFonts w:asciiTheme="majorHAnsi" w:hAnsiTheme="majorHAnsi"/>
              <w:noProof/>
            </w:rPr>
            <w:t xml:space="preserve"> </w:t>
          </w:r>
          <w:r w:rsidRPr="00C71290">
            <w:rPr>
              <w:rFonts w:asciiTheme="majorHAnsi" w:hAnsiTheme="majorHAnsi"/>
              <w:noProof/>
            </w:rPr>
            <w:t>(Linda Nubani, 2023)</w:t>
          </w:r>
          <w:r>
            <w:rPr>
              <w:rFonts w:asciiTheme="majorHAnsi" w:hAnsiTheme="majorHAnsi"/>
            </w:rPr>
            <w:fldChar w:fldCharType="end"/>
          </w:r>
        </w:sdtContent>
      </w:sdt>
      <w:r>
        <w:rPr>
          <w:rFonts w:asciiTheme="majorHAnsi" w:hAnsiTheme="majorHAnsi"/>
        </w:rPr>
        <w:t>.</w:t>
      </w:r>
      <w:r>
        <w:rPr>
          <w:rFonts w:ascii="Play" w:eastAsia="Play" w:hAnsi="Play" w:cs="Play"/>
        </w:rPr>
        <w:t xml:space="preserve"> Community mapping serves as a valuable tool when police are attempting to engage with groups and communities who do not usually engage with the police, this helps to provide a better understanding of the communities they serve, fostering collaboration with local councils and community members can enhance both crime prevention and improve community relations.</w:t>
      </w:r>
    </w:p>
    <w:p w14:paraId="57BBE402" w14:textId="77777777" w:rsidR="00F44226" w:rsidRDefault="00F44226" w:rsidP="00F44226">
      <w:pPr>
        <w:rPr>
          <w:rFonts w:ascii="Play" w:eastAsia="Play" w:hAnsi="Play" w:cs="Play"/>
        </w:rPr>
      </w:pPr>
      <w:r>
        <w:rPr>
          <w:rFonts w:ascii="Play" w:eastAsia="Play" w:hAnsi="Play" w:cs="Play"/>
        </w:rPr>
        <w:t>The College of Policing defines Community Engagement as the process of enabling citizens and communities to participate in policing at their chosen level</w:t>
      </w:r>
      <w:sdt>
        <w:sdtPr>
          <w:rPr>
            <w:rFonts w:asciiTheme="majorHAnsi" w:hAnsiTheme="majorHAnsi"/>
          </w:rPr>
          <w:id w:val="834722122"/>
          <w:citation/>
        </w:sdtPr>
        <w:sdtContent>
          <w:r>
            <w:rPr>
              <w:rFonts w:asciiTheme="majorHAnsi" w:hAnsiTheme="majorHAnsi"/>
            </w:rPr>
            <w:fldChar w:fldCharType="begin"/>
          </w:r>
          <w:r>
            <w:rPr>
              <w:rFonts w:asciiTheme="majorHAnsi" w:hAnsiTheme="majorHAnsi"/>
            </w:rPr>
            <w:instrText xml:space="preserve"> CITATION Col134 \l 2057 </w:instrText>
          </w:r>
          <w:r>
            <w:rPr>
              <w:rFonts w:asciiTheme="majorHAnsi" w:hAnsiTheme="majorHAnsi"/>
            </w:rPr>
            <w:fldChar w:fldCharType="separate"/>
          </w:r>
          <w:r>
            <w:rPr>
              <w:rFonts w:asciiTheme="majorHAnsi" w:hAnsiTheme="majorHAnsi"/>
              <w:noProof/>
            </w:rPr>
            <w:t xml:space="preserve"> </w:t>
          </w:r>
          <w:r w:rsidRPr="00C71290">
            <w:rPr>
              <w:rFonts w:asciiTheme="majorHAnsi" w:hAnsiTheme="majorHAnsi"/>
              <w:noProof/>
            </w:rPr>
            <w:t>(College of Policing, 2013)</w:t>
          </w:r>
          <w:r>
            <w:rPr>
              <w:rFonts w:asciiTheme="majorHAnsi" w:hAnsiTheme="majorHAnsi"/>
            </w:rPr>
            <w:fldChar w:fldCharType="end"/>
          </w:r>
        </w:sdtContent>
      </w:sdt>
      <w:r>
        <w:rPr>
          <w:rFonts w:ascii="Play" w:eastAsia="Play" w:hAnsi="Play" w:cs="Play"/>
        </w:rPr>
        <w:t xml:space="preserve">. This process includes providing information and assurance along with empowering communities to identify and implement solutions to local problems. Community engagement may often be a one-off or repeated </w:t>
      </w:r>
      <w:r>
        <w:rPr>
          <w:rFonts w:ascii="Play" w:eastAsia="Play" w:hAnsi="Play" w:cs="Play"/>
        </w:rPr>
        <w:lastRenderedPageBreak/>
        <w:t xml:space="preserve">over a long period of time. Community engagement should be considered an essential part of police operations due to its influence on all aspects of policing. Ensuring that those from groups and communities are involved is successful, requires strong leadership. Effective engagement has </w:t>
      </w:r>
      <w:proofErr w:type="gramStart"/>
      <w:r>
        <w:rPr>
          <w:rFonts w:ascii="Play" w:eastAsia="Play" w:hAnsi="Play" w:cs="Play"/>
        </w:rPr>
        <w:t>a number of</w:t>
      </w:r>
      <w:proofErr w:type="gramEnd"/>
      <w:r>
        <w:rPr>
          <w:rFonts w:ascii="Play" w:eastAsia="Play" w:hAnsi="Play" w:cs="Play"/>
        </w:rPr>
        <w:t xml:space="preserve"> added benefits, and evidence suggests that it can increase the public’s perception of safety, a general reduction in disorder and anti-social behaviour, an increase in confidence and trust, an improvement in police officers’ attitudes and job satisfaction</w:t>
      </w:r>
      <w:r w:rsidRPr="000C2A5F">
        <w:rPr>
          <w:rFonts w:asciiTheme="majorHAnsi" w:hAnsiTheme="majorHAnsi"/>
        </w:rPr>
        <w:t xml:space="preserve"> </w:t>
      </w:r>
      <w:sdt>
        <w:sdtPr>
          <w:rPr>
            <w:rFonts w:asciiTheme="majorHAnsi" w:hAnsiTheme="majorHAnsi"/>
          </w:rPr>
          <w:id w:val="-2119908395"/>
          <w:citation/>
        </w:sdtPr>
        <w:sdtContent>
          <w:r>
            <w:rPr>
              <w:rFonts w:asciiTheme="majorHAnsi" w:hAnsiTheme="majorHAnsi"/>
            </w:rPr>
            <w:fldChar w:fldCharType="begin"/>
          </w:r>
          <w:r>
            <w:rPr>
              <w:rFonts w:asciiTheme="majorHAnsi" w:hAnsiTheme="majorHAnsi"/>
            </w:rPr>
            <w:instrText xml:space="preserve"> CITATION Chi17 \l 2057 </w:instrText>
          </w:r>
          <w:r>
            <w:rPr>
              <w:rFonts w:asciiTheme="majorHAnsi" w:hAnsiTheme="majorHAnsi"/>
            </w:rPr>
            <w:fldChar w:fldCharType="separate"/>
          </w:r>
          <w:r>
            <w:rPr>
              <w:rFonts w:asciiTheme="majorHAnsi" w:hAnsiTheme="majorHAnsi"/>
              <w:noProof/>
            </w:rPr>
            <w:t xml:space="preserve"> </w:t>
          </w:r>
          <w:r w:rsidRPr="00C71290">
            <w:rPr>
              <w:rFonts w:asciiTheme="majorHAnsi" w:hAnsiTheme="majorHAnsi"/>
              <w:noProof/>
            </w:rPr>
            <w:t>(McLay, 2017)</w:t>
          </w:r>
          <w:r>
            <w:rPr>
              <w:rFonts w:asciiTheme="majorHAnsi" w:hAnsiTheme="majorHAnsi"/>
            </w:rPr>
            <w:fldChar w:fldCharType="end"/>
          </w:r>
        </w:sdtContent>
      </w:sdt>
      <w:r>
        <w:rPr>
          <w:rFonts w:asciiTheme="majorHAnsi" w:hAnsiTheme="majorHAnsi"/>
        </w:rPr>
        <w:t>.</w:t>
      </w:r>
      <w:r>
        <w:rPr>
          <w:rFonts w:ascii="Play" w:eastAsia="Play" w:hAnsi="Play" w:cs="Play"/>
        </w:rPr>
        <w:t xml:space="preserve"> Though, achieving these results is challenging, especially when attempting to engage with groups of communities who do not wish to engage with the police. There are tools that can help the police engage with certain groups such as Community Impact Assessments, also known as CIA’s</w:t>
      </w:r>
      <w:r w:rsidRPr="000C2A5F">
        <w:rPr>
          <w:rFonts w:asciiTheme="majorHAnsi" w:hAnsiTheme="majorHAnsi"/>
        </w:rPr>
        <w:t xml:space="preserve"> </w:t>
      </w:r>
      <w:sdt>
        <w:sdtPr>
          <w:rPr>
            <w:rFonts w:asciiTheme="majorHAnsi" w:hAnsiTheme="majorHAnsi"/>
          </w:rPr>
          <w:id w:val="-319658329"/>
          <w:citation/>
        </w:sdtPr>
        <w:sdtContent>
          <w:r>
            <w:rPr>
              <w:rFonts w:asciiTheme="majorHAnsi" w:hAnsiTheme="majorHAnsi"/>
            </w:rPr>
            <w:fldChar w:fldCharType="begin"/>
          </w:r>
          <w:r>
            <w:rPr>
              <w:rFonts w:asciiTheme="majorHAnsi" w:hAnsiTheme="majorHAnsi"/>
            </w:rPr>
            <w:instrText xml:space="preserve"> CITATION HMI232 \l 2057 </w:instrText>
          </w:r>
          <w:r>
            <w:rPr>
              <w:rFonts w:asciiTheme="majorHAnsi" w:hAnsiTheme="majorHAnsi"/>
            </w:rPr>
            <w:fldChar w:fldCharType="separate"/>
          </w:r>
          <w:r>
            <w:rPr>
              <w:rFonts w:asciiTheme="majorHAnsi" w:hAnsiTheme="majorHAnsi"/>
              <w:noProof/>
            </w:rPr>
            <w:t xml:space="preserve"> </w:t>
          </w:r>
          <w:r w:rsidRPr="00E62D5E">
            <w:rPr>
              <w:rFonts w:asciiTheme="majorHAnsi" w:hAnsiTheme="majorHAnsi"/>
              <w:noProof/>
            </w:rPr>
            <w:t>(HMICFRS, 2023)</w:t>
          </w:r>
          <w:r>
            <w:rPr>
              <w:rFonts w:asciiTheme="majorHAnsi" w:hAnsiTheme="majorHAnsi"/>
            </w:rPr>
            <w:fldChar w:fldCharType="end"/>
          </w:r>
        </w:sdtContent>
      </w:sdt>
      <w:r>
        <w:rPr>
          <w:rFonts w:asciiTheme="majorHAnsi" w:hAnsiTheme="majorHAnsi"/>
        </w:rPr>
        <w:t>.</w:t>
      </w:r>
      <w:r>
        <w:rPr>
          <w:rFonts w:ascii="Play" w:eastAsia="Play" w:hAnsi="Play" w:cs="Play"/>
        </w:rPr>
        <w:t xml:space="preserve"> These are crucial tools that can help police engage with communities that are usually less likely to engage with police. The assessments are structured evaluations which focus on understanding the needs and the unique dynamics of different communities and groups, especially those who may have a historically negative relationship with the police. </w:t>
      </w:r>
      <w:proofErr w:type="gramStart"/>
      <w:r>
        <w:rPr>
          <w:rFonts w:ascii="Play" w:eastAsia="Play" w:hAnsi="Play" w:cs="Play"/>
        </w:rPr>
        <w:t>CIA’s</w:t>
      </w:r>
      <w:proofErr w:type="gramEnd"/>
      <w:r>
        <w:rPr>
          <w:rFonts w:ascii="Play" w:eastAsia="Play" w:hAnsi="Play" w:cs="Play"/>
        </w:rPr>
        <w:t xml:space="preserve"> allow the police to identify the communities needs and concerns, and help to build trust, tailor police strategies, promote collaborative problem solving methods and address historical grievances. In conclusion, CIA’s can be beneficial tools that can help police engage with communities that might otherwise be reluctant to interact with authorities. </w:t>
      </w:r>
    </w:p>
    <w:p w14:paraId="5E271803" w14:textId="77777777" w:rsidR="00F44226" w:rsidRDefault="00F44226" w:rsidP="00F44226">
      <w:pPr>
        <w:rPr>
          <w:rFonts w:ascii="Play" w:eastAsia="Play" w:hAnsi="Play" w:cs="Play"/>
        </w:rPr>
      </w:pPr>
      <w:r>
        <w:rPr>
          <w:rFonts w:ascii="Play" w:eastAsia="Play" w:hAnsi="Play" w:cs="Play"/>
        </w:rPr>
        <w:t>Evidence suggests that the reluctance of certain groups to engage with the police is a complex issue and often influenced by various factors such as historical tensions, fear of reprisal or retaliation, cultural and language barriers, lack of representation, negative perception of police effectiveness, social and economic disparities</w:t>
      </w:r>
      <w:sdt>
        <w:sdtPr>
          <w:rPr>
            <w:rFonts w:asciiTheme="majorHAnsi" w:hAnsiTheme="majorHAnsi"/>
          </w:rPr>
          <w:id w:val="-1209414004"/>
          <w:citation/>
        </w:sdtPr>
        <w:sdtContent>
          <w:r>
            <w:rPr>
              <w:rFonts w:asciiTheme="majorHAnsi" w:hAnsiTheme="majorHAnsi"/>
            </w:rPr>
            <w:fldChar w:fldCharType="begin"/>
          </w:r>
          <w:r>
            <w:rPr>
              <w:rFonts w:asciiTheme="majorHAnsi" w:hAnsiTheme="majorHAnsi"/>
            </w:rPr>
            <w:instrText xml:space="preserve"> CITATION Suz12 \l 2057 </w:instrText>
          </w:r>
          <w:r>
            <w:rPr>
              <w:rFonts w:asciiTheme="majorHAnsi" w:hAnsiTheme="majorHAnsi"/>
            </w:rPr>
            <w:fldChar w:fldCharType="separate"/>
          </w:r>
          <w:r>
            <w:rPr>
              <w:rFonts w:asciiTheme="majorHAnsi" w:hAnsiTheme="majorHAnsi"/>
              <w:noProof/>
            </w:rPr>
            <w:t xml:space="preserve"> </w:t>
          </w:r>
          <w:r w:rsidRPr="00C71290">
            <w:rPr>
              <w:rFonts w:asciiTheme="majorHAnsi" w:hAnsiTheme="majorHAnsi"/>
              <w:noProof/>
            </w:rPr>
            <w:t>(Palmer, 2012)</w:t>
          </w:r>
          <w:r>
            <w:rPr>
              <w:rFonts w:asciiTheme="majorHAnsi" w:hAnsiTheme="majorHAnsi"/>
            </w:rPr>
            <w:fldChar w:fldCharType="end"/>
          </w:r>
        </w:sdtContent>
      </w:sdt>
      <w:r>
        <w:rPr>
          <w:rFonts w:asciiTheme="majorHAnsi" w:hAnsiTheme="majorHAnsi"/>
        </w:rPr>
        <w:t>.</w:t>
      </w:r>
      <w:r>
        <w:rPr>
          <w:rFonts w:ascii="Play" w:eastAsia="Play" w:hAnsi="Play" w:cs="Play"/>
        </w:rPr>
        <w:t xml:space="preserve"> These challenges require police to adopt a sensitive, culturally informed, and community-focused approach to engagement. In April 1981, South London saw rioting for three days, with </w:t>
      </w:r>
      <w:proofErr w:type="gramStart"/>
      <w:r>
        <w:rPr>
          <w:rFonts w:ascii="Play" w:eastAsia="Play" w:hAnsi="Play" w:cs="Play"/>
        </w:rPr>
        <w:t>the majority of</w:t>
      </w:r>
      <w:proofErr w:type="gramEnd"/>
      <w:r>
        <w:rPr>
          <w:rFonts w:ascii="Play" w:eastAsia="Play" w:hAnsi="Play" w:cs="Play"/>
        </w:rPr>
        <w:t xml:space="preserve"> the fighting being between young Black males and the Metropolitan police. The Brixton riots of 1981 continue to be a historical event in the interaction between the Black community and the police, the riots still have a lasting effect on how the police interact with Black communities</w:t>
      </w:r>
      <w:sdt>
        <w:sdtPr>
          <w:rPr>
            <w:rFonts w:asciiTheme="majorHAnsi" w:hAnsiTheme="majorHAnsi"/>
          </w:rPr>
          <w:id w:val="-1604098124"/>
          <w:citation/>
        </w:sdtPr>
        <w:sdtContent>
          <w:r>
            <w:rPr>
              <w:rFonts w:asciiTheme="majorHAnsi" w:hAnsiTheme="majorHAnsi"/>
            </w:rPr>
            <w:fldChar w:fldCharType="begin"/>
          </w:r>
          <w:r>
            <w:rPr>
              <w:rFonts w:asciiTheme="majorHAnsi" w:hAnsiTheme="majorHAnsi"/>
            </w:rPr>
            <w:instrText xml:space="preserve"> CITATION BBC21 \l 2057 </w:instrText>
          </w:r>
          <w:r>
            <w:rPr>
              <w:rFonts w:asciiTheme="majorHAnsi" w:hAnsiTheme="majorHAnsi"/>
            </w:rPr>
            <w:fldChar w:fldCharType="separate"/>
          </w:r>
          <w:r>
            <w:rPr>
              <w:rFonts w:asciiTheme="majorHAnsi" w:hAnsiTheme="majorHAnsi"/>
              <w:noProof/>
            </w:rPr>
            <w:t xml:space="preserve"> </w:t>
          </w:r>
          <w:r w:rsidRPr="004E57E2">
            <w:rPr>
              <w:rFonts w:asciiTheme="majorHAnsi" w:hAnsiTheme="majorHAnsi"/>
              <w:noProof/>
            </w:rPr>
            <w:t>(BBC, 2021)</w:t>
          </w:r>
          <w:r>
            <w:rPr>
              <w:rFonts w:asciiTheme="majorHAnsi" w:hAnsiTheme="majorHAnsi"/>
            </w:rPr>
            <w:fldChar w:fldCharType="end"/>
          </w:r>
        </w:sdtContent>
      </w:sdt>
      <w:r>
        <w:rPr>
          <w:rFonts w:asciiTheme="majorHAnsi" w:hAnsiTheme="majorHAnsi"/>
        </w:rPr>
        <w:t xml:space="preserve">. </w:t>
      </w:r>
      <w:r>
        <w:rPr>
          <w:rFonts w:ascii="Play" w:eastAsia="Play" w:hAnsi="Play" w:cs="Play"/>
        </w:rPr>
        <w:t>The riots highlighted deep-seated issues of racial profiling and systemic racism within the police force. This historical mistrust has been passed down through generations and contributes to ongoing strained relations between the police and Black communities today. Following the riots, Lord Scarman conducted a public investigation into why the riots happened, and in November 1981 the Scarman report was published</w:t>
      </w:r>
      <w:sdt>
        <w:sdtPr>
          <w:rPr>
            <w:rFonts w:asciiTheme="majorHAnsi" w:hAnsiTheme="majorHAnsi"/>
          </w:rPr>
          <w:id w:val="-2007355045"/>
          <w:citation/>
        </w:sdtPr>
        <w:sdtContent>
          <w:r>
            <w:rPr>
              <w:rFonts w:asciiTheme="majorHAnsi" w:hAnsiTheme="majorHAnsi"/>
            </w:rPr>
            <w:fldChar w:fldCharType="begin"/>
          </w:r>
          <w:r>
            <w:rPr>
              <w:rFonts w:asciiTheme="majorHAnsi" w:hAnsiTheme="majorHAnsi"/>
            </w:rPr>
            <w:instrText xml:space="preserve"> CITATION UKP81 \l 2057 </w:instrText>
          </w:r>
          <w:r>
            <w:rPr>
              <w:rFonts w:asciiTheme="majorHAnsi" w:hAnsiTheme="majorHAnsi"/>
            </w:rPr>
            <w:fldChar w:fldCharType="separate"/>
          </w:r>
          <w:r>
            <w:rPr>
              <w:rFonts w:asciiTheme="majorHAnsi" w:hAnsiTheme="majorHAnsi"/>
              <w:noProof/>
            </w:rPr>
            <w:t xml:space="preserve"> </w:t>
          </w:r>
          <w:r w:rsidRPr="00E5424F">
            <w:rPr>
              <w:rFonts w:asciiTheme="majorHAnsi" w:hAnsiTheme="majorHAnsi"/>
              <w:noProof/>
            </w:rPr>
            <w:t>(UK Parliament, 1981)</w:t>
          </w:r>
          <w:r>
            <w:rPr>
              <w:rFonts w:asciiTheme="majorHAnsi" w:hAnsiTheme="majorHAnsi"/>
            </w:rPr>
            <w:fldChar w:fldCharType="end"/>
          </w:r>
        </w:sdtContent>
      </w:sdt>
      <w:r>
        <w:rPr>
          <w:rFonts w:ascii="Play" w:eastAsia="Play" w:hAnsi="Play" w:cs="Play"/>
        </w:rPr>
        <w:t>. The report stated that there was “no doubt racial disadvantage was a fact of current British life” however, it also stated that “institutional racism” did not exist in the London’s Metropolitan police force. The Scarman report brought forward recommendations set out by the Royal Commission on Criminal Procedure and 1984 PACE was introduced. The Police and Criminal Evidence Act’s main purpose was to unify police powers under one Code of Practise and to balance the rights of the individual against the powers of the police</w:t>
      </w:r>
      <w:sdt>
        <w:sdtPr>
          <w:rPr>
            <w:rFonts w:asciiTheme="majorHAnsi" w:hAnsiTheme="majorHAnsi"/>
          </w:rPr>
          <w:id w:val="-1696688026"/>
          <w:citation/>
        </w:sdtPr>
        <w:sdtContent>
          <w:r>
            <w:rPr>
              <w:rFonts w:asciiTheme="majorHAnsi" w:hAnsiTheme="majorHAnsi"/>
            </w:rPr>
            <w:fldChar w:fldCharType="begin"/>
          </w:r>
          <w:r>
            <w:rPr>
              <w:rFonts w:asciiTheme="majorHAnsi" w:hAnsiTheme="majorHAnsi"/>
            </w:rPr>
            <w:instrText xml:space="preserve"> CITATION Gov13 \l 2057 </w:instrText>
          </w:r>
          <w:r>
            <w:rPr>
              <w:rFonts w:asciiTheme="majorHAnsi" w:hAnsiTheme="majorHAnsi"/>
            </w:rPr>
            <w:fldChar w:fldCharType="separate"/>
          </w:r>
          <w:r>
            <w:rPr>
              <w:rFonts w:asciiTheme="majorHAnsi" w:hAnsiTheme="majorHAnsi"/>
              <w:noProof/>
            </w:rPr>
            <w:t xml:space="preserve"> </w:t>
          </w:r>
          <w:r w:rsidRPr="004E57E2">
            <w:rPr>
              <w:rFonts w:asciiTheme="majorHAnsi" w:hAnsiTheme="majorHAnsi"/>
              <w:noProof/>
            </w:rPr>
            <w:t>(Gov.uk, 2013)</w:t>
          </w:r>
          <w:r>
            <w:rPr>
              <w:rFonts w:asciiTheme="majorHAnsi" w:hAnsiTheme="majorHAnsi"/>
            </w:rPr>
            <w:fldChar w:fldCharType="end"/>
          </w:r>
        </w:sdtContent>
      </w:sdt>
      <w:r>
        <w:rPr>
          <w:rFonts w:asciiTheme="majorHAnsi" w:hAnsiTheme="majorHAnsi"/>
        </w:rPr>
        <w:t>.</w:t>
      </w:r>
    </w:p>
    <w:p w14:paraId="1CD10B86" w14:textId="77777777" w:rsidR="00F44226" w:rsidRDefault="00F44226" w:rsidP="00F44226">
      <w:pPr>
        <w:rPr>
          <w:rFonts w:ascii="Play" w:eastAsia="Play" w:hAnsi="Play" w:cs="Play"/>
        </w:rPr>
      </w:pPr>
      <w:r>
        <w:rPr>
          <w:rFonts w:ascii="Play" w:eastAsia="Play" w:hAnsi="Play" w:cs="Play"/>
        </w:rPr>
        <w:t xml:space="preserve">In addition to historical mistrust, there are social and economic disparities which significantly affect how the police engage with certain groups, often leading to differential treatment which can reinforce mistrust and negative outcomes for some communities. </w:t>
      </w:r>
      <w:sdt>
        <w:sdtPr>
          <w:rPr>
            <w:rFonts w:asciiTheme="majorHAnsi" w:hAnsiTheme="majorHAnsi"/>
          </w:rPr>
          <w:id w:val="-947623919"/>
          <w:citation/>
        </w:sdtPr>
        <w:sdtContent>
          <w:r>
            <w:rPr>
              <w:rFonts w:asciiTheme="majorHAnsi" w:hAnsiTheme="majorHAnsi"/>
            </w:rPr>
            <w:fldChar w:fldCharType="begin"/>
          </w:r>
          <w:r>
            <w:rPr>
              <w:rFonts w:asciiTheme="majorHAnsi" w:hAnsiTheme="majorHAnsi"/>
            </w:rPr>
            <w:instrText xml:space="preserve"> CITATION Sus22 \l 2057 </w:instrText>
          </w:r>
          <w:r>
            <w:rPr>
              <w:rFonts w:asciiTheme="majorHAnsi" w:hAnsiTheme="majorHAnsi"/>
            </w:rPr>
            <w:fldChar w:fldCharType="separate"/>
          </w:r>
          <w:r w:rsidRPr="009A43C2">
            <w:rPr>
              <w:rFonts w:asciiTheme="majorHAnsi" w:hAnsiTheme="majorHAnsi"/>
              <w:noProof/>
            </w:rPr>
            <w:t>(Suss &amp; Oliveira, 2022)</w:t>
          </w:r>
          <w:r>
            <w:rPr>
              <w:rFonts w:asciiTheme="majorHAnsi" w:hAnsiTheme="majorHAnsi"/>
            </w:rPr>
            <w:fldChar w:fldCharType="end"/>
          </w:r>
        </w:sdtContent>
      </w:sdt>
      <w:r>
        <w:rPr>
          <w:rFonts w:ascii="Play" w:eastAsia="Play" w:hAnsi="Play" w:cs="Play"/>
        </w:rPr>
        <w:t xml:space="preserve"> Low-income neighbourhoods, often disproportionately populated by racial and ethnic minorities, tend to have a higher police presence which because of this, can lead to more frequent stop searches and arrests, often perpetuating a cycle of criminality and enhancing hostility and mistrust</w:t>
      </w:r>
      <w:sdt>
        <w:sdtPr>
          <w:rPr>
            <w:rFonts w:asciiTheme="majorHAnsi" w:hAnsiTheme="majorHAnsi"/>
          </w:rPr>
          <w:id w:val="27917197"/>
          <w:citation/>
        </w:sdtPr>
        <w:sdtContent>
          <w:r>
            <w:rPr>
              <w:rFonts w:asciiTheme="majorHAnsi" w:hAnsiTheme="majorHAnsi"/>
            </w:rPr>
            <w:fldChar w:fldCharType="begin"/>
          </w:r>
          <w:r>
            <w:rPr>
              <w:rFonts w:asciiTheme="majorHAnsi" w:hAnsiTheme="majorHAnsi"/>
            </w:rPr>
            <w:instrText xml:space="preserve"> CITATION HMI21 \l 2057 </w:instrText>
          </w:r>
          <w:r>
            <w:rPr>
              <w:rFonts w:asciiTheme="majorHAnsi" w:hAnsiTheme="majorHAnsi"/>
            </w:rPr>
            <w:fldChar w:fldCharType="separate"/>
          </w:r>
          <w:r>
            <w:rPr>
              <w:rFonts w:asciiTheme="majorHAnsi" w:hAnsiTheme="majorHAnsi"/>
              <w:noProof/>
            </w:rPr>
            <w:t xml:space="preserve"> </w:t>
          </w:r>
          <w:r w:rsidRPr="00E5424F">
            <w:rPr>
              <w:rFonts w:asciiTheme="majorHAnsi" w:hAnsiTheme="majorHAnsi"/>
              <w:noProof/>
            </w:rPr>
            <w:t>(HMICFRS, 2021)</w:t>
          </w:r>
          <w:r>
            <w:rPr>
              <w:rFonts w:asciiTheme="majorHAnsi" w:hAnsiTheme="majorHAnsi"/>
            </w:rPr>
            <w:fldChar w:fldCharType="end"/>
          </w:r>
        </w:sdtContent>
      </w:sdt>
      <w:r>
        <w:rPr>
          <w:rFonts w:ascii="Play" w:eastAsia="Play" w:hAnsi="Play" w:cs="Play"/>
        </w:rPr>
        <w:t xml:space="preserve"> Furthermore, in certain low-income communities, there may be a lack of adequate police response to serious crimes or a delayed response, making those from certain groups and communities feel neglected and resulting in less engagement with police</w:t>
      </w:r>
      <w:sdt>
        <w:sdtPr>
          <w:rPr>
            <w:rFonts w:ascii="Play" w:eastAsia="Play" w:hAnsi="Play" w:cs="Play"/>
          </w:rPr>
          <w:id w:val="1244999510"/>
          <w:citation/>
        </w:sdtPr>
        <w:sdtContent>
          <w:r>
            <w:rPr>
              <w:rFonts w:ascii="Play" w:eastAsia="Play" w:hAnsi="Play" w:cs="Play"/>
            </w:rPr>
            <w:fldChar w:fldCharType="begin"/>
          </w:r>
          <w:r>
            <w:rPr>
              <w:rFonts w:ascii="Play" w:eastAsia="Play" w:hAnsi="Play" w:cs="Play"/>
            </w:rPr>
            <w:instrText xml:space="preserve"> CITATION Jef22 \l 2057 </w:instrText>
          </w:r>
          <w:r>
            <w:rPr>
              <w:rFonts w:ascii="Play" w:eastAsia="Play" w:hAnsi="Play" w:cs="Play"/>
            </w:rPr>
            <w:fldChar w:fldCharType="separate"/>
          </w:r>
          <w:r>
            <w:rPr>
              <w:rFonts w:ascii="Play" w:eastAsia="Play" w:hAnsi="Play" w:cs="Play"/>
              <w:noProof/>
            </w:rPr>
            <w:t xml:space="preserve"> </w:t>
          </w:r>
          <w:r w:rsidRPr="000C2A5F">
            <w:rPr>
              <w:rFonts w:ascii="Play" w:eastAsia="Play" w:hAnsi="Play" w:cs="Play"/>
              <w:noProof/>
            </w:rPr>
            <w:t>(Gold, 2022)</w:t>
          </w:r>
          <w:r>
            <w:rPr>
              <w:rFonts w:ascii="Play" w:eastAsia="Play" w:hAnsi="Play" w:cs="Play"/>
            </w:rPr>
            <w:fldChar w:fldCharType="end"/>
          </w:r>
        </w:sdtContent>
      </w:sdt>
      <w:r>
        <w:rPr>
          <w:rFonts w:ascii="Play" w:eastAsia="Play" w:hAnsi="Play" w:cs="Play"/>
        </w:rPr>
        <w:t xml:space="preserve"> Criminalisation of those living in poverty can mean that they are also be less willing to engage with police, due to not being able to pay fines or fees for minor infractions, potentially leading to legal consequences including arrest warrants, which, in turn can significantly affect low-income individuals</w:t>
      </w:r>
      <w:sdt>
        <w:sdtPr>
          <w:rPr>
            <w:rFonts w:ascii="Play" w:eastAsia="Play" w:hAnsi="Play" w:cs="Play"/>
          </w:rPr>
          <w:id w:val="2067517550"/>
          <w:citation/>
        </w:sdtPr>
        <w:sdtContent>
          <w:r>
            <w:rPr>
              <w:rFonts w:ascii="Play" w:eastAsia="Play" w:hAnsi="Play" w:cs="Play"/>
            </w:rPr>
            <w:fldChar w:fldCharType="begin"/>
          </w:r>
          <w:r>
            <w:rPr>
              <w:rFonts w:ascii="Play" w:eastAsia="Play" w:hAnsi="Play" w:cs="Play"/>
            </w:rPr>
            <w:instrText xml:space="preserve"> CITATION Amn23 \l 2057 </w:instrText>
          </w:r>
          <w:r>
            <w:rPr>
              <w:rFonts w:ascii="Play" w:eastAsia="Play" w:hAnsi="Play" w:cs="Play"/>
            </w:rPr>
            <w:fldChar w:fldCharType="separate"/>
          </w:r>
          <w:r>
            <w:rPr>
              <w:rFonts w:ascii="Play" w:eastAsia="Play" w:hAnsi="Play" w:cs="Play"/>
              <w:noProof/>
            </w:rPr>
            <w:t xml:space="preserve"> </w:t>
          </w:r>
          <w:r w:rsidRPr="005804C4">
            <w:rPr>
              <w:rFonts w:ascii="Play" w:eastAsia="Play" w:hAnsi="Play" w:cs="Play"/>
              <w:noProof/>
            </w:rPr>
            <w:t xml:space="preserve">(Amnesty International , </w:t>
          </w:r>
          <w:r w:rsidRPr="005804C4">
            <w:rPr>
              <w:rFonts w:ascii="Play" w:eastAsia="Play" w:hAnsi="Play" w:cs="Play"/>
              <w:noProof/>
            </w:rPr>
            <w:lastRenderedPageBreak/>
            <w:t>2023)</w:t>
          </w:r>
          <w:r>
            <w:rPr>
              <w:rFonts w:ascii="Play" w:eastAsia="Play" w:hAnsi="Play" w:cs="Play"/>
            </w:rPr>
            <w:fldChar w:fldCharType="end"/>
          </w:r>
        </w:sdtContent>
      </w:sdt>
      <w:r>
        <w:rPr>
          <w:rFonts w:ascii="Play" w:eastAsia="Play" w:hAnsi="Play" w:cs="Play"/>
        </w:rPr>
        <w:t>. Additionally, homeless individuals may often face criminalisation for activities related to their survival such as loitering, begging, sleeping in public places. Arresting and criminalising these individuals fails to address the root causes of homelessness and instead subjects those to arrest and can lead to unnecessary police involvement, where resources can be deployed elsewhere. The cumulative effect of over-policing and under-policing contributes to a deep-seated mistrust of the police in low-income communities. This mistrust can lead to lower cooperation and engagement with the police making it significantly more difficult to engage and serve these areas within the community. Addressing these issues requires a partnership approach and greater investment into social services. A partnership approach along with greater investment in social services can significantly enhance police engagement with groups who are less likely to engage with the police</w:t>
      </w:r>
      <w:sdt>
        <w:sdtPr>
          <w:rPr>
            <w:rFonts w:ascii="Play" w:eastAsia="Play" w:hAnsi="Play" w:cs="Play"/>
          </w:rPr>
          <w:id w:val="2067998382"/>
          <w:citation/>
        </w:sdtPr>
        <w:sdtContent>
          <w:r>
            <w:rPr>
              <w:rFonts w:ascii="Play" w:eastAsia="Play" w:hAnsi="Play" w:cs="Play"/>
            </w:rPr>
            <w:fldChar w:fldCharType="begin"/>
          </w:r>
          <w:r>
            <w:rPr>
              <w:rFonts w:ascii="Play" w:eastAsia="Play" w:hAnsi="Play" w:cs="Play"/>
            </w:rPr>
            <w:instrText xml:space="preserve"> CITATION ONe14 \l 2057 </w:instrText>
          </w:r>
          <w:r>
            <w:rPr>
              <w:rFonts w:ascii="Play" w:eastAsia="Play" w:hAnsi="Play" w:cs="Play"/>
            </w:rPr>
            <w:fldChar w:fldCharType="separate"/>
          </w:r>
          <w:r>
            <w:rPr>
              <w:rFonts w:ascii="Play" w:eastAsia="Play" w:hAnsi="Play" w:cs="Play"/>
              <w:noProof/>
            </w:rPr>
            <w:t xml:space="preserve"> </w:t>
          </w:r>
          <w:r w:rsidRPr="005804C4">
            <w:rPr>
              <w:rFonts w:ascii="Play" w:eastAsia="Play" w:hAnsi="Play" w:cs="Play"/>
              <w:noProof/>
            </w:rPr>
            <w:t>(O'Neill &amp; McCarthy, 2014)</w:t>
          </w:r>
          <w:r>
            <w:rPr>
              <w:rFonts w:ascii="Play" w:eastAsia="Play" w:hAnsi="Play" w:cs="Play"/>
            </w:rPr>
            <w:fldChar w:fldCharType="end"/>
          </w:r>
        </w:sdtContent>
      </w:sdt>
      <w:r>
        <w:rPr>
          <w:rFonts w:ascii="Play" w:eastAsia="Play" w:hAnsi="Play" w:cs="Play"/>
        </w:rPr>
        <w:t>, by addressing the root causes of issues that often lead to negative interactions with the police, a number of strategies are required to build trust and enhance engagement, such as community policing, a partnership approach places a strong emphasis on community policing where the police work collaboratively with community members to address a number of issues, such as safety concerns, by adopting a collaborative approach it can foster trust as groups will see police as partners rather than adversaries, along with regular communication, joint problem solving efforts and police participation in community events can reduce any barriers and unwillingness to engage with police. Reducing crime through the involvement of partner agencies such as social services, education, healthcare, housing, and mental health support, this involvement of partner agencies can address any underlying factors that contribute to crime and an unwillingness to engage with police. When the partnership approach is effective it can place less burden on the police</w:t>
      </w:r>
      <w:sdt>
        <w:sdtPr>
          <w:rPr>
            <w:rFonts w:ascii="Play" w:eastAsia="Play" w:hAnsi="Play" w:cs="Play"/>
          </w:rPr>
          <w:id w:val="-470291153"/>
          <w:citation/>
        </w:sdtPr>
        <w:sdtContent>
          <w:r>
            <w:rPr>
              <w:rFonts w:ascii="Play" w:eastAsia="Play" w:hAnsi="Play" w:cs="Play"/>
            </w:rPr>
            <w:fldChar w:fldCharType="begin"/>
          </w:r>
          <w:r>
            <w:rPr>
              <w:rFonts w:ascii="Play" w:eastAsia="Play" w:hAnsi="Play" w:cs="Play"/>
            </w:rPr>
            <w:instrText xml:space="preserve"> CITATION Col18 \l 2057 </w:instrText>
          </w:r>
          <w:r>
            <w:rPr>
              <w:rFonts w:ascii="Play" w:eastAsia="Play" w:hAnsi="Play" w:cs="Play"/>
            </w:rPr>
            <w:fldChar w:fldCharType="separate"/>
          </w:r>
          <w:r>
            <w:rPr>
              <w:rFonts w:ascii="Play" w:eastAsia="Play" w:hAnsi="Play" w:cs="Play"/>
              <w:noProof/>
            </w:rPr>
            <w:t xml:space="preserve"> </w:t>
          </w:r>
          <w:r w:rsidRPr="005804C4">
            <w:rPr>
              <w:rFonts w:ascii="Play" w:eastAsia="Play" w:hAnsi="Play" w:cs="Play"/>
              <w:noProof/>
            </w:rPr>
            <w:t>(College of Policing, 2018)</w:t>
          </w:r>
          <w:r>
            <w:rPr>
              <w:rFonts w:ascii="Play" w:eastAsia="Play" w:hAnsi="Play" w:cs="Play"/>
            </w:rPr>
            <w:fldChar w:fldCharType="end"/>
          </w:r>
        </w:sdtContent>
      </w:sdt>
      <w:r>
        <w:rPr>
          <w:rFonts w:ascii="Play" w:eastAsia="Play" w:hAnsi="Play" w:cs="Play"/>
        </w:rPr>
        <w:t>. For example, when social services are proactive and efficient it can allow the police to focus more on their core duties of preventing and solving crimes, rather than being the default responder for social issues such as homelessness, mental health crises, therefore, leading to a more efficient police service. When the police engage with communities in a partnership approach and when those communities see investment in social services and other partnership agencies, this can result in individuals becoming more likely to engage with the police, this cooperation can result in better crime prevention alongside resolution making communities feel safer and more supported in working with the police. To summarise, a greater investment in social services and other partnerships agencies can create an environment where the police can engage more positively, leading to improved trust and a reduction in crime.</w:t>
      </w:r>
    </w:p>
    <w:p w14:paraId="1AB3E4C1" w14:textId="77777777" w:rsidR="00F44226" w:rsidRDefault="00F44226" w:rsidP="00F44226">
      <w:pPr>
        <w:rPr>
          <w:rFonts w:ascii="Play" w:eastAsia="Play" w:hAnsi="Play" w:cs="Play"/>
        </w:rPr>
      </w:pPr>
      <w:r>
        <w:rPr>
          <w:rFonts w:ascii="Play" w:eastAsia="Play" w:hAnsi="Play" w:cs="Play"/>
        </w:rPr>
        <w:t>To conclude, by utilising and implementing a partnership approach is the most effective way to reach out to groups and communities less willing to engage with police, due to creating mutual trust, collaboration, and shared responsibility. By working together with community leaders, residents and other partners, the police can gain deeper insights into the specific needs and concerns of those communities, which can result in police becoming more culturally sensitive and more effective policing</w:t>
      </w:r>
      <w:sdt>
        <w:sdtPr>
          <w:rPr>
            <w:rFonts w:ascii="Play" w:eastAsia="Play" w:hAnsi="Play" w:cs="Play"/>
          </w:rPr>
          <w:id w:val="-1533867915"/>
          <w:citation/>
        </w:sdtPr>
        <w:sdtContent>
          <w:r>
            <w:rPr>
              <w:rFonts w:ascii="Play" w:eastAsia="Play" w:hAnsi="Play" w:cs="Play"/>
            </w:rPr>
            <w:fldChar w:fldCharType="begin"/>
          </w:r>
          <w:r>
            <w:rPr>
              <w:rFonts w:ascii="Play" w:eastAsia="Play" w:hAnsi="Play" w:cs="Play"/>
            </w:rPr>
            <w:instrText xml:space="preserve"> CITATION Sco22 \l 2057 </w:instrText>
          </w:r>
          <w:r>
            <w:rPr>
              <w:rFonts w:ascii="Play" w:eastAsia="Play" w:hAnsi="Play" w:cs="Play"/>
            </w:rPr>
            <w:fldChar w:fldCharType="separate"/>
          </w:r>
          <w:r>
            <w:rPr>
              <w:rFonts w:ascii="Play" w:eastAsia="Play" w:hAnsi="Play" w:cs="Play"/>
              <w:noProof/>
            </w:rPr>
            <w:t xml:space="preserve"> </w:t>
          </w:r>
          <w:r w:rsidRPr="00E60418">
            <w:rPr>
              <w:rFonts w:ascii="Play" w:eastAsia="Play" w:hAnsi="Play" w:cs="Play"/>
              <w:noProof/>
            </w:rPr>
            <w:t>(Wilson, 2022)</w:t>
          </w:r>
          <w:r>
            <w:rPr>
              <w:rFonts w:ascii="Play" w:eastAsia="Play" w:hAnsi="Play" w:cs="Play"/>
            </w:rPr>
            <w:fldChar w:fldCharType="end"/>
          </w:r>
        </w:sdtContent>
      </w:sdt>
      <w:r>
        <w:rPr>
          <w:rFonts w:ascii="Play" w:eastAsia="Play" w:hAnsi="Play" w:cs="Play"/>
        </w:rPr>
        <w:t>, along with a more productive deployment of resources. This strategy can help communities express their concerns and address the underlying causes of why some groups and communities may not engage with the police, furthermore a partnership approach to policing can result in a more cooperative and positive relationship with the community.</w:t>
      </w:r>
    </w:p>
    <w:p w14:paraId="025B8820" w14:textId="77777777" w:rsidR="00F44226" w:rsidRDefault="00F44226" w:rsidP="00F44226">
      <w:pPr>
        <w:rPr>
          <w:rFonts w:ascii="Play" w:eastAsia="Play" w:hAnsi="Play" w:cs="Play"/>
        </w:rPr>
      </w:pPr>
      <w:r>
        <w:rPr>
          <w:rFonts w:ascii="Play" w:eastAsia="Play" w:hAnsi="Play" w:cs="Play"/>
        </w:rPr>
        <w:t>1825 words - Updated 01/09/2024</w:t>
      </w:r>
    </w:p>
    <w:p w14:paraId="1818F541" w14:textId="77777777" w:rsidR="00F44226" w:rsidRDefault="00F44226"/>
    <w:sectPr w:rsidR="00F44226" w:rsidSect="00C71D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Play">
    <w:altName w:val="Calibri"/>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D29"/>
    <w:rsid w:val="001B3C34"/>
    <w:rsid w:val="001E2C89"/>
    <w:rsid w:val="00574049"/>
    <w:rsid w:val="007A1C35"/>
    <w:rsid w:val="00A247DC"/>
    <w:rsid w:val="00BA661F"/>
    <w:rsid w:val="00BC516F"/>
    <w:rsid w:val="00C71D29"/>
    <w:rsid w:val="00F44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DC65E"/>
  <w15:chartTrackingRefBased/>
  <w15:docId w15:val="{269D7D44-4BAF-46CF-96EC-75A6BF501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1D29"/>
  </w:style>
  <w:style w:type="paragraph" w:styleId="Heading1">
    <w:name w:val="heading 1"/>
    <w:basedOn w:val="Normal"/>
    <w:next w:val="Normal"/>
    <w:link w:val="Heading1Char"/>
    <w:uiPriority w:val="9"/>
    <w:qFormat/>
    <w:rsid w:val="00C71D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1D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1D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1D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1D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1D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1D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1D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1D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D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1D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1D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1D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1D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1D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1D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1D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1D29"/>
    <w:rPr>
      <w:rFonts w:eastAsiaTheme="majorEastAsia" w:cstheme="majorBidi"/>
      <w:color w:val="272727" w:themeColor="text1" w:themeTint="D8"/>
    </w:rPr>
  </w:style>
  <w:style w:type="paragraph" w:styleId="Title">
    <w:name w:val="Title"/>
    <w:basedOn w:val="Normal"/>
    <w:next w:val="Normal"/>
    <w:link w:val="TitleChar"/>
    <w:uiPriority w:val="10"/>
    <w:qFormat/>
    <w:rsid w:val="00C71D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1D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1D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1D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1D29"/>
    <w:pPr>
      <w:spacing w:before="160"/>
      <w:jc w:val="center"/>
    </w:pPr>
    <w:rPr>
      <w:i/>
      <w:iCs/>
      <w:color w:val="404040" w:themeColor="text1" w:themeTint="BF"/>
    </w:rPr>
  </w:style>
  <w:style w:type="character" w:customStyle="1" w:styleId="QuoteChar">
    <w:name w:val="Quote Char"/>
    <w:basedOn w:val="DefaultParagraphFont"/>
    <w:link w:val="Quote"/>
    <w:uiPriority w:val="29"/>
    <w:rsid w:val="00C71D29"/>
    <w:rPr>
      <w:i/>
      <w:iCs/>
      <w:color w:val="404040" w:themeColor="text1" w:themeTint="BF"/>
    </w:rPr>
  </w:style>
  <w:style w:type="paragraph" w:styleId="ListParagraph">
    <w:name w:val="List Paragraph"/>
    <w:basedOn w:val="Normal"/>
    <w:uiPriority w:val="34"/>
    <w:qFormat/>
    <w:rsid w:val="00C71D29"/>
    <w:pPr>
      <w:ind w:left="720"/>
      <w:contextualSpacing/>
    </w:pPr>
  </w:style>
  <w:style w:type="character" w:styleId="IntenseEmphasis">
    <w:name w:val="Intense Emphasis"/>
    <w:basedOn w:val="DefaultParagraphFont"/>
    <w:uiPriority w:val="21"/>
    <w:qFormat/>
    <w:rsid w:val="00C71D29"/>
    <w:rPr>
      <w:i/>
      <w:iCs/>
      <w:color w:val="0F4761" w:themeColor="accent1" w:themeShade="BF"/>
    </w:rPr>
  </w:style>
  <w:style w:type="paragraph" w:styleId="IntenseQuote">
    <w:name w:val="Intense Quote"/>
    <w:basedOn w:val="Normal"/>
    <w:next w:val="Normal"/>
    <w:link w:val="IntenseQuoteChar"/>
    <w:uiPriority w:val="30"/>
    <w:qFormat/>
    <w:rsid w:val="00C71D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1D29"/>
    <w:rPr>
      <w:i/>
      <w:iCs/>
      <w:color w:val="0F4761" w:themeColor="accent1" w:themeShade="BF"/>
    </w:rPr>
  </w:style>
  <w:style w:type="character" w:styleId="IntenseReference">
    <w:name w:val="Intense Reference"/>
    <w:basedOn w:val="DefaultParagraphFont"/>
    <w:uiPriority w:val="32"/>
    <w:qFormat/>
    <w:rsid w:val="00C71D2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Col247</b:Tag>
    <b:SourceType>InternetSite</b:SourceType>
    <b:Guid>{8D169113-489F-43FD-A123-DE170DC0CA29}</b:Guid>
    <b:Title>Response Constable</b:Title>
    <b:Year>2024</b:Year>
    <b:YearAccessed>2024</b:YearAccessed>
    <b:MonthAccessed>July</b:MonthAccessed>
    <b:DayAccessed>10</b:DayAccessed>
    <b:URL>https://profdev.college.police.uk/professional-profile/test-9/#:~:text=Assess%20immediate%20threat%2C%20harm%2C%20risk%20and%20vulnerability%20to,commission%20of%20offences%20and%20bring%20offenders%20to%20justice.</b:URL>
    <b:Author>
      <b:Author>
        <b:Corporate>College of Policing</b:Corporate>
      </b:Author>
    </b:Author>
    <b:RefOrder>1</b:RefOrder>
  </b:Source>
  <b:Source>
    <b:Tag>Uni14</b:Tag>
    <b:SourceType>InternetSite</b:SourceType>
    <b:Guid>{0E459DA2-EAE5-4FFA-91AA-EFFC3C5C139A}</b:Guid>
    <b:Author>
      <b:Author>
        <b:Corporate>University of Cambridge.</b:Corporate>
      </b:Author>
    </b:Author>
    <b:Title>Police workforce: almost one in five suffer with a form of PTSD.</b:Title>
    <b:Year>2014</b:Year>
    <b:YearAccessed>2024</b:YearAccessed>
    <b:MonthAccessed>July</b:MonthAccessed>
    <b:DayAccessed>11</b:DayAccessed>
    <b:URL>https://www.cam.ac.uk/stories/police-ptsd</b:URL>
    <b:RefOrder>2</b:RefOrder>
  </b:Source>
  <b:Source>
    <b:Tag>NHS22</b:Tag>
    <b:SourceType>InternetSite</b:SourceType>
    <b:Guid>{F7A2B9AB-8688-4FDF-8B5A-8464421EBD7E}</b:Guid>
    <b:Author>
      <b:Author>
        <b:Corporate>NHS</b:Corporate>
      </b:Author>
    </b:Author>
    <b:Title>Overview - Post-traumatic stress disorder</b:Title>
    <b:Year>2022</b:Year>
    <b:YearAccessed>2024</b:YearAccessed>
    <b:MonthAccessed>July</b:MonthAccessed>
    <b:DayAccessed>25</b:DayAccessed>
    <b:URL>https://www.nhs.uk/mental-health/conditions/post-traumatic-stress-disorder-ptsd/overview/</b:URL>
    <b:RefOrder>3</b:RefOrder>
  </b:Source>
  <b:Source>
    <b:Tag>Uni19</b:Tag>
    <b:SourceType>InternetSite</b:SourceType>
    <b:Guid>{89380339-EB2A-42A3-9239-A2C641FBD65B}</b:Guid>
    <b:Author>
      <b:Author>
        <b:NameList>
          <b:Person>
            <b:Last>Cambridge</b:Last>
            <b:First>University</b:First>
            <b:Middle>of</b:Middle>
          </b:Person>
        </b:NameList>
      </b:Author>
    </b:Author>
    <b:Title>Trauma Impact Prevention Techniques (TIPT)</b:Title>
    <b:Year>2019</b:Year>
    <b:YearAccessed>2024</b:YearAccessed>
    <b:MonthAccessed>July</b:MonthAccessed>
    <b:DayAccessed>11</b:DayAccessed>
    <b:URL>https://www.policingtrauma.sociology.cam.ac.uk/techniques</b:URL>
    <b:RefOrder>4</b:RefOrder>
  </b:Source>
  <b:Source>
    <b:Tag>Ima24</b:Tag>
    <b:SourceType>InternetSite</b:SourceType>
    <b:Guid>{3B033A85-9E58-442E-88F9-7C46428DDB69}</b:Guid>
    <b:Author>
      <b:Author>
        <b:NameList>
          <b:Person>
            <b:Last>Lab</b:Last>
            <b:First>Imagery</b:First>
          </b:Person>
        </b:NameList>
      </b:Author>
    </b:Author>
    <b:Title>Allocentric vs. Egocentric Spatial Processing</b:Title>
    <b:Year>2024</b:Year>
    <b:YearAccessed>2024</b:YearAccessed>
    <b:MonthAccessed>July</b:MonthAccessed>
    <b:DayAccessed>11</b:DayAccessed>
    <b:URL>https://www.nmr.mgh.harvard.edu/mkozhevnlab/?page_id=308</b:URL>
    <b:RefOrder>5</b:RefOrder>
  </b:Source>
  <b:Source>
    <b:Tag>Col213</b:Tag>
    <b:SourceType>InternetSite</b:SourceType>
    <b:Guid>{3875C97B-632B-446E-B858-F8564E043FFA}</b:Guid>
    <b:Author>
      <b:Author>
        <b:Corporate>College of Policing</b:Corporate>
      </b:Author>
    </b:Author>
    <b:Title>Police Constable</b:Title>
    <b:Year>2021</b:Year>
    <b:YearAccessed>2024</b:YearAccessed>
    <b:MonthAccessed>July</b:MonthAccessed>
    <b:DayAccessed>24</b:DayAccessed>
    <b:URL>https://profdev.college.police.uk/professional-profile/police-constable/</b:URL>
    <b:RefOrder>6</b:RefOrder>
  </b:Source>
  <b:Source>
    <b:Tag>Ben21</b:Tag>
    <b:SourceType>InternetSite</b:SourceType>
    <b:Guid>{8F6C0D59-345F-450C-B475-AD683EE9BCE6}</b:Guid>
    <b:Author>
      <b:Author>
        <b:NameList>
          <b:Person>
            <b:Last>Butterworth</b:Last>
            <b:First>Benjamin</b:First>
          </b:Person>
        </b:NameList>
      </b:Author>
    </b:Author>
    <b:Title>Police officers facing mental health crisis as three-quarters faced difficulties in last year, report finds</b:Title>
    <b:Year>2021</b:Year>
    <b:YearAccessed>2024</b:YearAccessed>
    <b:MonthAccessed>August </b:MonthAccessed>
    <b:DayAccessed>19</b:DayAccessed>
    <b:URL>https://inews.co.uk/news/uk/more-than-three-quarters-police-officers-struggled-with-mental-health-last-year-report-finds-1119989#:~:text=Six%20in%2010%20officers%20said%20their%20workload%20had,saying%20they%20were%20%E2%80%98adequately%E2%80%99%20support</b:URL>
    <b:RefOrder>7</b:RefOrder>
  </b:Source>
  <b:Source>
    <b:Tag>Mil95</b:Tag>
    <b:SourceType>Book</b:SourceType>
    <b:Guid>{E51967C2-6071-4F6D-9994-2F1003B2A647}</b:Guid>
    <b:Title>Tough guys: Psychotherapeutic strategies with law enforcement and emergency services personnel.</b:Title>
    <b:Year>1995</b:Year>
    <b:YearAccessed>2024</b:YearAccessed>
    <b:MonthAccessed>July</b:MonthAccessed>
    <b:DayAccessed>25</b:DayAccessed>
    <b:URL>https://www.researchgate.net/profile/Laurence-Miller-2/publication/232432499_Psychotherapeutic_approaches_to_chronic_pain/links/602a764fa6fdcc37a82ab991/Psychotherapeutic-approaches-to-chronic-pain.pdf</b:URL>
    <b:Author>
      <b:Author>
        <b:NameList>
          <b:Person>
            <b:Last>Miller</b:Last>
            <b:First>L</b:First>
          </b:Person>
        </b:NameList>
      </b:Author>
    </b:Author>
    <b:City>Florida</b:City>
    <b:Edition>4</b:Edition>
    <b:Volume>32</b:Volume>
    <b:Pages>592</b:Pages>
    <b:RefOrder>8</b:RefOrder>
  </b:Source>
  <b:Source>
    <b:Tag>Bel15</b:Tag>
    <b:SourceType>InternetSite</b:SourceType>
    <b:Guid>{D0B95524-C60E-4C6C-871E-AC84BCF11A10}</b:Guid>
    <b:Title>‘Break a Leg—It’s all in the mind’: Police Officers’ Attitudes towards Colleagues with Mental Health Issues.</b:Title>
    <b:Year>2015</b:Year>
    <b:YearAccessed>2024</b:YearAccessed>
    <b:MonthAccessed>July</b:MonthAccessed>
    <b:DayAccessed>25</b:DayAccessed>
    <b:URL>https://scholar.google.com/scholar_lookup?journal=Policing&amp;title=%E2%80%98Break+a+legits+all+in+the+mind%E2%80%99:+Police+officers%E2%80%99+attitudes+towards+colleagues+with+mental+health+issues&amp;author=S+Bell&amp;author=Y+Eski&amp;publication_year=2015&amp;pages=1-7&amp;</b:URL>
    <b:Author>
      <b:Author>
        <b:NameList>
          <b:Person>
            <b:Last>Bell</b:Last>
            <b:First>Sean</b:First>
          </b:Person>
          <b:Person>
            <b:Last>Eski</b:Last>
            <b:First>Yarin</b:First>
          </b:Person>
        </b:NameList>
      </b:Author>
    </b:Author>
    <b:RefOrder>9</b:RefOrder>
  </b:Source>
  <b:Source>
    <b:Tag>Gov19</b:Tag>
    <b:SourceType>InternetSite</b:SourceType>
    <b:Guid>{56C1C6D1-D6F7-4237-9DF4-8176058AFC29}</b:Guid>
    <b:Author>
      <b:Author>
        <b:Corporate>Gov.uk</b:Corporate>
      </b:Author>
    </b:Author>
    <b:Title>Government prioritises wellbeing and mental health of officers in new package to support police</b:Title>
    <b:Year>2019</b:Year>
    <b:YearAccessed>2024</b:YearAccessed>
    <b:MonthAccessed>August</b:MonthAccessed>
    <b:DayAccessed>19</b:DayAccessed>
    <b:URL>Officer wellbeing is now a key priority within UK police forces </b:URL>
    <b:RefOrder>10</b:RefOrder>
  </b:Source>
  <b:Source>
    <b:Tag>Osc17</b:Tag>
    <b:SourceType>InternetSite</b:SourceType>
    <b:Guid>{80ED1E07-A81A-4DA8-805F-25C0611C48DA}</b:Guid>
    <b:Author>
      <b:Author>
        <b:NameList>
          <b:Person>
            <b:Last>Kilo</b:Last>
            <b:First>Oscar</b:First>
          </b:Person>
        </b:NameList>
      </b:Author>
    </b:Author>
    <b:Title>Blue Light Wellbeing Framework (BLWF)</b:Title>
    <b:Year>2017</b:Year>
    <b:YearAccessed>2024</b:YearAccessed>
    <b:MonthAccessed>July</b:MonthAccessed>
    <b:DayAccessed>10</b:DayAccessed>
    <b:URL>https://oscarkilo.org.uk/blue-light-wellbeing-framework-blwf</b:URL>
    <b:RefOrder>11</b:RefOrder>
  </b:Source>
  <b:Source>
    <b:Tag>Nat191</b:Tag>
    <b:SourceType>InternetSite</b:SourceType>
    <b:Guid>{C1F610EE-73F4-4267-89D3-F13B2328774A}</b:Guid>
    <b:Author>
      <b:Author>
        <b:Corporate>National Police Wellbeing Service</b:Corporate>
      </b:Author>
    </b:Author>
    <b:Title>National Police Wellbeing Service</b:Title>
    <b:Year>2019</b:Year>
    <b:YearAccessed>2024</b:YearAccessed>
    <b:MonthAccessed>July</b:MonthAccessed>
    <b:DayAccessed>10</b:DayAccessed>
    <b:URL>https://www.oscarkilo.org.uk/about-us</b:URL>
    <b:RefOrder>12</b:RefOrder>
  </b:Source>
  <b:Source>
    <b:Tag>Ree07</b:Tag>
    <b:SourceType>InternetSite</b:SourceType>
    <b:Guid>{26E5747A-7A6E-4976-B637-CBE41C0B19AD}</b:Guid>
    <b:Title>Breaking the silence: the traumatic circle</b:Title>
    <b:Year>2007</b:Year>
    <b:YearAccessed>2024</b:YearAccessed>
    <b:MonthAccessed>July</b:MonthAccessed>
    <b:DayAccessed>24</b:DayAccessed>
    <b:URL>https://www.nationalcac.org/wp-content/uploads/2016/10/Breaking-the-silence-The-traumatic-circle-of-policing.pdf</b:URL>
    <b:Author>
      <b:Author>
        <b:NameList>
          <b:Person>
            <b:Last>Rees</b:Last>
            <b:First>Bronwen</b:First>
          </b:Person>
          <b:Person>
            <b:Last>Smith</b:Last>
            <b:First>Jonathan</b:First>
          </b:Person>
        </b:NameList>
      </b:Author>
    </b:Author>
    <b:InternetSiteTitle>https://www.nationalcac.org</b:InternetSiteTitle>
    <b:Month>September</b:Month>
    <b:Day>14</b:Day>
    <b:RefOrder>13</b:RefOrder>
  </b:Source>
  <b:Source>
    <b:Tag>Moh14</b:Tag>
    <b:SourceType>InternetSite</b:SourceType>
    <b:Guid>{C49FB962-9430-4EF6-A5F1-3C9C42C92B57}</b:Guid>
    <b:Author>
      <b:Author>
        <b:NameList>
          <b:Person>
            <b:Last>Shaikh</b:Last>
            <b:First>Mohsin</b:First>
          </b:Person>
        </b:NameList>
      </b:Author>
    </b:Author>
    <b:Title>Occupational Stress, Burnout and Coping in Police Personnel: Findings from a Systematic Review</b:Title>
    <b:Year>2014</b:Year>
    <b:YearAccessed>2024</b:YearAccessed>
    <b:MonthAccessed>July</b:MonthAccessed>
    <b:DayAccessed>25</b:DayAccessed>
    <b:URL>https://www.researchgate.net/publication/279235713_Occupational_Stress_Burnout_and_Coping_in_Police_Personnel_Findings_from_a_Systematic_Review</b:URL>
    <b:RefOrder>14</b:RefOrder>
  </b:Source>
  <b:Source>
    <b:Tag>Wat17</b:Tag>
    <b:SourceType>InternetSite</b:SourceType>
    <b:Guid>{88A44428-D89B-4A10-B45E-B0DF493123DD}</b:Guid>
    <b:Title>The Effect of a Trauma Risk Management (TRiM) Program on Stigma and Barriers to Help-Seeking in the Police</b:Title>
    <b:Year>2017</b:Year>
    <b:YearAccessed>2024</b:YearAccessed>
    <b:MonthAccessed>July</b:MonthAccessed>
    <b:DayAccessed>2024</b:DayAccessed>
    <b:URL>https://www.researchgate.net/publication/316871375_The_Effect_of_a_Trauma_Risk_Management_TRiM_Program_on_Stigma_and_Barriers_to_Help-Seeking_in_the_Police</b:URL>
    <b:Author>
      <b:Author>
        <b:NameList>
          <b:Person>
            <b:Last>Watson</b:Last>
            <b:First>Louise</b:First>
          </b:Person>
          <b:Person>
            <b:Last>Andrews</b:Last>
            <b:First>Leanne</b:First>
          </b:Person>
        </b:NameList>
      </b:Author>
    </b:Author>
    <b:Month>May</b:Month>
    <b:RefOrder>15</b:RefOrder>
  </b:Source>
  <b:Source>
    <b:Tag>Mar01</b:Tag>
    <b:SourceType>InternetSite</b:SourceType>
    <b:Guid>{4B06B45E-6ED3-4475-A36A-497D4429C107}</b:Guid>
    <b:Author>
      <b:Author>
        <b:Corporate>March on Stress</b:Corporate>
      </b:Author>
    </b:Author>
    <b:Title>Trauma Risk Management (TRiM)</b:Title>
    <b:Year>2001</b:Year>
    <b:YearAccessed>2024</b:YearAccessed>
    <b:MonthAccessed>July</b:MonthAccessed>
    <b:DayAccessed>25</b:DayAccessed>
    <b:URL>https://www.marchonstress.com/page/p/trim</b:URL>
    <b:RefOrder>16</b:RefOrder>
  </b:Source>
  <b:Source>
    <b:Tag>Ric22</b:Tag>
    <b:SourceType>InternetSite</b:SourceType>
    <b:Guid>{7E4620CC-4CEF-4352-9B12-26B4F4C77008}</b:Guid>
    <b:Author>
      <b:Author>
        <b:NameList>
          <b:Person>
            <b:Last>Richard Segovia</b:Last>
            <b:First>Ed.D.</b:First>
          </b:Person>
        </b:NameList>
      </b:Author>
    </b:Author>
    <b:Title>Occupational stress in policing: What the research says and what leaders can do about it</b:Title>
    <b:Year>2022</b:Year>
    <b:YearAccessed>2024</b:YearAccessed>
    <b:MonthAccessed>August</b:MonthAccessed>
    <b:DayAccessed>19</b:DayAccessed>
    <b:URL>https://www.police1.com/smash-the-stigma/articles/occupational-stress-in-policing-what-the-research-says-and-what-leaders-can-do-about-it-2QNm0qN3sNE9lsve/</b:URL>
    <b:RefOrder>17</b:RefOrder>
  </b:Source>
  <b:Source>
    <b:Tag>Gar19</b:Tag>
    <b:SourceType>InternetSite</b:SourceType>
    <b:Guid>{07BFEF7D-1090-4FBA-99DE-D69823FE7234}</b:Guid>
    <b:Author>
      <b:Author>
        <b:NameList>
          <b:Person>
            <b:Last>Staglin</b:Last>
            <b:First>Garen</b:First>
          </b:Person>
        </b:NameList>
      </b:Author>
    </b:Author>
    <b:Title>Creating A Workplace Culture That Values Mental Health</b:Title>
    <b:Year>2019</b:Year>
    <b:YearAccessed>2024</b:YearAccessed>
    <b:MonthAccessed>July</b:MonthAccessed>
    <b:DayAccessed>25</b:DayAccessed>
    <b:URL>https://www.forbes.com/sites/onemind/2019/05/06/creating-a-workplace-culture-that-values-mental-health/</b:URL>
    <b:RefOrder>18</b:RefOrder>
  </b:Source>
  <b:Source>
    <b:Tag>Aym21</b:Tag>
    <b:SourceType>InternetSite</b:SourceType>
    <b:Guid>{A42C05A6-FD15-45A1-B0E0-6F5222D39FFC}</b:Guid>
    <b:Author>
      <b:Author>
        <b:NameList>
          <b:Person>
            <b:Last>Kafel</b:Last>
            <b:First>Ayman</b:First>
          </b:Person>
        </b:NameList>
      </b:Author>
    </b:Author>
    <b:Title>Teamwork is the Key in Law Enforcement</b:Title>
    <b:Year>2021</b:Year>
    <b:YearAccessed>2024</b:YearAccessed>
    <b:MonthAccessed>August</b:MonthAccessed>
    <b:DayAccessed>19</b:DayAccessed>
    <b:URL>https://havokjournal.com/law-enforcement/teamwork-is-the-key-in-law-enforcement/</b:URL>
    <b:RefOrder>19</b:RefOrder>
  </b:Source>
  <b:Source>
    <b:Tag>Dem20</b:Tag>
    <b:SourceType>InternetSite</b:SourceType>
    <b:Guid>{A62B0F41-820C-46BB-AD75-E6848C55BEFB}</b:Guid>
    <b:Title>Understanding the mental health and wellbeing needs of police officers and staff in Scotland.</b:Title>
    <b:Year>2020</b:Year>
    <b:YearAccessed>2024</b:YearAccessed>
    <b:MonthAccessed>July</b:MonthAccessed>
    <b:DayAccessed>25</b:DayAccessed>
    <b:URL>https://www.ncbi.nlm.nih.gov/pmc/articles/PMC7116541/</b:URL>
    <b:Author>
      <b:Author>
        <b:NameList>
          <b:Person>
            <b:Last>Demou</b:Last>
            <b:First>Evangelia</b:First>
          </b:Person>
          <b:Person>
            <b:Last>Hale</b:Last>
            <b:First>Hannah</b:First>
          </b:Person>
          <b:Person>
            <b:Last>Hunt</b:Last>
            <b:First>Kate</b:First>
          </b:Person>
        </b:NameList>
      </b:Author>
    </b:Author>
    <b:RefOrder>20</b:RefOrder>
  </b:Source>
  <b:Source>
    <b:Tag>Tay20</b:Tag>
    <b:SourceType>InternetSite</b:SourceType>
    <b:Guid>{A6CB0E90-D967-4052-8E62-E860CDC3C90A}</b:Guid>
    <b:Author>
      <b:Author>
        <b:Corporate>Taylor &amp; Francis Online</b:Corporate>
      </b:Author>
    </b:Author>
    <b:Title>Understanding the mental health and wellbeing needs of police officers and staff in Scotland</b:Title>
    <b:Year>2020</b:Year>
    <b:YearAccessed>2024</b:YearAccessed>
    <b:MonthAccessed>August</b:MonthAccessed>
    <b:DayAccessed>19</b:DayAccessed>
    <b:URL>https://www.tandfonline.com/doi/full/10.1080/15614263.2020.1772782</b:URL>
    <b:RefOrder>21</b:RefOrder>
  </b:Source>
  <b:Source>
    <b:Tag>Sag21</b:Tag>
    <b:SourceType>InternetSite</b:SourceType>
    <b:Guid>{6B2F380B-2993-443C-92AC-C573083926B4}</b:Guid>
    <b:Author>
      <b:Author>
        <b:Corporate>Sage Journals</b:Corporate>
      </b:Author>
    </b:Author>
    <b:Title>‘Swinging the lead and working the head’ – An explanation as to why mental illness stigma is prevalent in policing</b:Title>
    <b:Year>2021</b:Year>
    <b:YearAccessed>2024</b:YearAccessed>
    <b:MonthAccessed>August</b:MonthAccessed>
    <b:DayAccessed>19</b:DayAccessed>
    <b:URL>https://journals.sagepub.com/doi/full/10.1177/0032258X211049009</b:URL>
    <b:RefOrder>22</b:RefOrder>
  </b:Source>
  <b:Source>
    <b:Tag>Tan21</b:Tag>
    <b:SourceType>InternetSite</b:SourceType>
    <b:Guid>{6C7CA8E2-1E49-4CF8-9259-2668D7DFE183}</b:Guid>
    <b:Author>
      <b:Author>
        <b:NameList>
          <b:Person>
            <b:Last>Abraham</b:Last>
            <b:First>Tanya</b:First>
          </b:Person>
        </b:NameList>
      </b:Author>
    </b:Author>
    <b:Title>Trust in the police has fallen amongst ethnic minority Britons</b:Title>
    <b:Year>2021</b:Year>
    <b:YearAccessed>2024</b:YearAccessed>
    <b:MonthAccessed>August</b:MonthAccessed>
    <b:DayAccessed>27</b:DayAccessed>
    <b:URL>https://yougov.co.uk/politics/articles/40005-trust-police-has-fallen-amongst-ethnic-minority-br?redirect_from=%2Ftopics%2Fpolitics%2Farticles-reports%2F2021%2F12%2F15%2Ftrust-police-has-fallen-amongst-ethnic-minority-br</b:URL>
    <b:RefOrder>1</b:RefOrder>
  </b:Source>
  <b:Source>
    <b:Tag>Col20</b:Tag>
    <b:SourceType>InternetSite</b:SourceType>
    <b:Guid>{14E08A4C-987F-473A-B14C-44431175BBF9}</b:Guid>
    <b:Author>
      <b:Author>
        <b:Corporate>College of Policing</b:Corporate>
      </b:Author>
    </b:Author>
    <b:Title>Partnership working</b:Title>
    <b:Year>2020</b:Year>
    <b:YearAccessed>2024</b:YearAccessed>
    <b:MonthAccessed>August</b:MonthAccessed>
    <b:DayAccessed>27</b:DayAccessed>
    <b:URL>https://www.college.police.uk/app/major-investigation-and-public-protection/hate-crime/partnership-working</b:URL>
    <b:RefOrder>2</b:RefOrder>
  </b:Source>
  <b:Source>
    <b:Tag>Ste15</b:Tag>
    <b:SourceType>InternetSite</b:SourceType>
    <b:Guid>{B8B15653-0742-4A80-AF99-008EC8E4D38E}</b:Guid>
    <b:Author>
      <b:Author>
        <b:NameList>
          <b:Person>
            <b:Last>Otter</b:Last>
            <b:First>Stephen</b:First>
          </b:Person>
        </b:NameList>
      </b:Author>
    </b:Author>
    <b:Title>PEEL: Police legitimacy 2015</b:Title>
    <b:Year>2015</b:Year>
    <b:YearAccessed>2024</b:YearAccessed>
    <b:MonthAccessed>August</b:MonthAccessed>
    <b:DayAccessed>27</b:DayAccessed>
    <b:URL>https://assets-hmicfrs.justiceinspectorates.gov.uk/uploads/peel-police-legitimacy-2015.pdf#:~:text=Fair%20decision-making%20and%20respectful%20treatment%20of%20the%20public,with%20the%20police%20and%20not%20break%20the%20law.</b:URL>
    <b:RefOrder>3</b:RefOrder>
  </b:Source>
  <b:Source>
    <b:Tag>Col19</b:Tag>
    <b:SourceType>InternetSite</b:SourceType>
    <b:Guid>{BB272234-96EE-4C1E-A561-4910061FBBDD}</b:Guid>
    <b:Author>
      <b:Author>
        <b:Corporate>College of Policing</b:Corporate>
      </b:Author>
    </b:Author>
    <b:Title>Neighbourhood policing guidelines</b:Title>
    <b:Year>2019</b:Year>
    <b:YearAccessed>2024</b:YearAccessed>
    <b:MonthAccessed>August</b:MonthAccessed>
    <b:DayAccessed>27</b:DayAccessed>
    <b:URL>https://assets.college.police.uk/s3fs-public/2020-10/NPG_supporting_material_frontline%20%281%29.pdf#:~:text=At%20its%20most%20basic%2C%20community%20mapping%20requires%20developing,with%20transient%20populations%20or%20%E2%80%98hidden%E2%80%99%20groups%2</b:URL>
    <b:RefOrder>4</b:RefOrder>
  </b:Source>
  <b:Source>
    <b:Tag>Cri23</b:Tag>
    <b:SourceType>InternetSite</b:SourceType>
    <b:Guid>{159C5D3B-6EAB-4CC1-B74E-327161A629D1}</b:Guid>
    <b:Author>
      <b:Author>
        <b:NameList>
          <b:Person>
            <b:Last>CrimeDoor</b:Last>
          </b:Person>
        </b:NameList>
      </b:Author>
    </b:Author>
    <b:Title>Applications of Crime Mapping</b:Title>
    <b:Year>2023</b:Year>
    <b:YearAccessed>2024</b:YearAccessed>
    <b:MonthAccessed>August</b:MonthAccessed>
    <b:DayAccessed>27</b:DayAccessed>
    <b:URL>https://crimedoor.com/articles/how-crime-mapping-is-transforming-policing-and-community-safety/#:~:text=A%20community%20crime%20map%20can%20help%20officers%20make,visually%20representing%20the%20locations%20and%20types%20of%20crimes.</b:URL>
    <b:RefOrder>5</b:RefOrder>
  </b:Source>
  <b:Source>
    <b:Tag>Lin23</b:Tag>
    <b:SourceType>InternetSite</b:SourceType>
    <b:Guid>{562C340C-C2CD-4114-B3E7-C696135F2016}</b:Guid>
    <b:Title>Community Engagement in Crime Reduction Strategies: A Tale of Three Cities</b:Title>
    <b:Year>2023</b:Year>
    <b:YearAccessed>2024</b:YearAccessed>
    <b:MonthAccessed>August</b:MonthAccessed>
    <b:DayAccessed>27</b:DayAccessed>
    <b:URL>https://jprm.scholasticahq.com/article/57526-community-engagement-in-crime-reduction-strategies-a-tale-of-three-cities</b:URL>
    <b:Author>
      <b:Author>
        <b:NameList>
          <b:Person>
            <b:Last>Linda Nubani</b:Last>
            <b:First>Harmony</b:First>
            <b:Middle>Fierke-Gmazel, Holly Madill, Alaina De Biasi</b:Middle>
          </b:Person>
        </b:NameList>
      </b:Author>
    </b:Author>
    <b:RefOrder>6</b:RefOrder>
  </b:Source>
  <b:Source>
    <b:Tag>Col134</b:Tag>
    <b:SourceType>InternetSite</b:SourceType>
    <b:Guid>{1E3F3C16-C3EF-4882-BC2D-F5D0E49D34C5}</b:Guid>
    <b:Author>
      <b:Author>
        <b:Corporate>College of Policing</b:Corporate>
      </b:Author>
    </b:Author>
    <b:Title>Community Engagement</b:Title>
    <b:Year>2013</b:Year>
    <b:YearAccessed>2024</b:YearAccessed>
    <b:MonthAccessed>August</b:MonthAccessed>
    <b:DayAccessed>27</b:DayAccessed>
    <b:URL>https://www.college.police.uk/app/engagement-and-communication/engagement</b:URL>
    <b:RefOrder>7</b:RefOrder>
  </b:Source>
  <b:Source>
    <b:Tag>Chi17</b:Tag>
    <b:SourceType>InternetSite</b:SourceType>
    <b:Guid>{7955C286-5E78-4D7B-A02C-F65DEE7B4C32}</b:Guid>
    <b:Author>
      <b:Author>
        <b:NameList>
          <b:Person>
            <b:Last>McLay</b:Last>
            <b:First>Chief</b:First>
            <b:Middle>Cameron S.</b:Middle>
          </b:Person>
        </b:NameList>
      </b:Author>
    </b:Author>
    <b:Title>Building police legitimacy through measuring and managing performance</b:Title>
    <b:Year>2017</b:Year>
    <b:YearAccessed>2024</b:YearAccessed>
    <b:MonthAccessed>August</b:MonthAccessed>
    <b:DayAccessed>27</b:DayAccessed>
    <b:URL>https://www.policinginstitute.org/onpolicing/building-police-legitimacy-through-measuring-and-managing-performance/#:~:text=Police%20must%20work%20with%20the%20active%20engagement%20of,trust%20between%20police%20and%20those%20receiving%20police%20service.</b:URL>
    <b:RefOrder>8</b:RefOrder>
  </b:Source>
  <b:Source>
    <b:Tag>HMI232</b:Tag>
    <b:SourceType>InternetSite</b:SourceType>
    <b:Guid>{05EE4156-EC45-49D5-8265-58372CE673B0}</b:Guid>
    <b:Author>
      <b:Author>
        <b:Corporate>HMICFRS</b:Corporate>
      </b:Author>
    </b:Author>
    <b:Title>Community impact assessment</b:Title>
    <b:Year>2023</b:Year>
    <b:YearAccessed>2024</b:YearAccessed>
    <b:MonthAccessed>August</b:MonthAccessed>
    <b:DayAccessed>25</b:DayAccessed>
    <b:URL>https://hmicfrs.justiceinspectorates.gov.uk/glossary/community-impact-assessment/#:~:text=An%20assessment%20that%20is%20used%20by%20a%20police,and%20develop%20long-term%20plans%20to%20%28re%29build%20community%20confidence.</b:URL>
    <b:RefOrder>9</b:RefOrder>
  </b:Source>
  <b:Source>
    <b:Tag>Suz12</b:Tag>
    <b:SourceType>InternetSite</b:SourceType>
    <b:Guid>{C2F780D7-D097-4A07-A632-8A9F936B91D1}</b:Guid>
    <b:Author>
      <b:Author>
        <b:NameList>
          <b:Person>
            <b:Last>Palmer</b:Last>
            <b:First>Suzella</b:First>
          </b:Person>
        </b:NameList>
      </b:Author>
    </b:Author>
    <b:Title>Dutty Babylon: Policing Black communities and the Politics of resistance.</b:Title>
    <b:Year>2012</b:Year>
    <b:YearAccessed>2024</b:YearAccessed>
    <b:MonthAccessed>August</b:MonthAccessed>
    <b:DayAccessed>27</b:DayAccessed>
    <b:URL>https://www.crimeandjustice.org.uk/sites/crimeandjustice.org.uk/files/09627251.2012.671003.pdf</b:URL>
    <b:RefOrder>10</b:RefOrder>
  </b:Source>
  <b:Source>
    <b:Tag>BBC21</b:Tag>
    <b:SourceType>InternetSite</b:SourceType>
    <b:Guid>{DBA836EF-A21D-428D-8A7D-D9D40B66739F}</b:Guid>
    <b:Author>
      <b:Author>
        <b:Corporate>BBC</b:Corporate>
      </b:Author>
    </b:Author>
    <b:Title>Brixton riots 1981: What happened 40 years ago in London?</b:Title>
    <b:Year>2021</b:Year>
    <b:YearAccessed>2024</b:YearAccessed>
    <b:MonthAccessed>August</b:MonthAccessed>
    <b:DayAccessed>29</b:DayAccessed>
    <b:URL>https://www.bbc.co.uk/newsround/50035769</b:URL>
    <b:RefOrder>11</b:RefOrder>
  </b:Source>
  <b:Source>
    <b:Tag>UKP81</b:Tag>
    <b:SourceType>InternetSite</b:SourceType>
    <b:Guid>{83A6D8CC-0B74-4D07-A607-FDBD417083ED}</b:Guid>
    <b:Author>
      <b:Author>
        <b:Corporate>UK Parliament</b:Corporate>
      </b:Author>
    </b:Author>
    <b:Title>The Scarman Report</b:Title>
    <b:Year>1981</b:Year>
    <b:YearAccessed>2024</b:YearAccessed>
    <b:MonthAccessed>August</b:MonthAccessed>
    <b:DayAccessed>29</b:DayAccessed>
    <b:URL>https://hansard.parliament.uk/Lords/1981-11-25/debates/008514e8-e688-4dfe-ba60-777fee95e3e5/TheScarmanReport</b:URL>
    <b:RefOrder>12</b:RefOrder>
  </b:Source>
  <b:Source>
    <b:Tag>Gov13</b:Tag>
    <b:SourceType>InternetSite</b:SourceType>
    <b:Guid>{7E29680C-54FB-4041-84B3-6176749F4ECE}</b:Guid>
    <b:Author>
      <b:Author>
        <b:Corporate>Gov.uk</b:Corporate>
      </b:Author>
    </b:Author>
    <b:Title>Police and Criminal Evidence Act 1984 (PACE) codes of practice</b:Title>
    <b:Year>2013</b:Year>
    <b:YearAccessed>2024</b:YearAccessed>
    <b:MonthAccessed>August</b:MonthAccessed>
    <b:DayAccessed>29</b:DayAccessed>
    <b:URL>https://www.gov.uk/guidance/police-and-criminal-evidence-act-1984-pace-codes-of-practice#overview</b:URL>
    <b:RefOrder>13</b:RefOrder>
  </b:Source>
  <b:Source>
    <b:Tag>Sus22</b:Tag>
    <b:SourceType>InternetSite</b:SourceType>
    <b:Guid>{E7EE518C-9BC7-436E-88A6-952A3F0E8FF2}</b:Guid>
    <b:Title>Does economic inequality fuel stop and search by the police? Evidence from London suggests the answer is ‘Yes</b:Title>
    <b:Year>2022</b:Year>
    <b:YearAccessed>2024</b:YearAccessed>
    <b:MonthAccessed>August</b:MonthAccessed>
    <b:DayAccessed>29</b:DayAccessed>
    <b:URL>https://blogs.lse.ac.uk/politicsandpolicy/does-economic-inequality-fuel-stop-and-search-by-the-police-evidence-from-london-suggests-the-answer-is-yes/</b:URL>
    <b:Author>
      <b:Author>
        <b:NameList>
          <b:Person>
            <b:Last>Suss</b:Last>
            <b:Middle>H.</b:Middle>
            <b:First>Joel</b:First>
          </b:Person>
          <b:Person>
            <b:Last>Oliveira</b:Last>
            <b:Middle>R.</b:Middle>
            <b:First>Thiago</b:First>
          </b:Person>
        </b:NameList>
      </b:Author>
    </b:Author>
    <b:RefOrder>14</b:RefOrder>
  </b:Source>
  <b:Source>
    <b:Tag>HMI21</b:Tag>
    <b:SourceType>InternetSite</b:SourceType>
    <b:Guid>{0A1EED71-4DC1-45E3-A5DD-7B034833A28B}</b:Guid>
    <b:Author>
      <b:Author>
        <b:Corporate>HMICFRS</b:Corporate>
      </b:Author>
    </b:Author>
    <b:Title>Race and policing</b:Title>
    <b:Year>2021</b:Year>
    <b:YearAccessed>2024</b:YearAccessed>
    <b:MonthAccessed>August</b:MonthAccessed>
    <b:DayAccessed>29</b:DayAccessed>
    <b:URL>https://hmicfrs.justiceinspectorates.gov.uk/our-work/article/race-and-policing/</b:URL>
    <b:RefOrder>15</b:RefOrder>
  </b:Source>
  <b:Source>
    <b:Tag>Jef22</b:Tag>
    <b:SourceType>InternetSite</b:SourceType>
    <b:Guid>{FEBD962A-5992-4D5F-9EB5-5EED2023C7FF}</b:Guid>
    <b:Author>
      <b:Author>
        <b:NameList>
          <b:Person>
            <b:Last>Gold</b:Last>
            <b:First>Jeff</b:First>
          </b:Person>
        </b:NameList>
      </b:Author>
    </b:Author>
    <b:Title>Improving community relations in the police through procedural justice – an action learning initiative.</b:Title>
    <b:Year>2022</b:Year>
    <b:YearAccessed>2024</b:YearAccessed>
    <b:MonthAccessed>September</b:MonthAccessed>
    <b:DayAccessed>01</b:DayAccessed>
    <b:URL>https://www.tandfonline.com/doi/full/10.1080/14767333.2022.2129586</b:URL>
    <b:RefOrder>16</b:RefOrder>
  </b:Source>
  <b:Source>
    <b:Tag>Amn23</b:Tag>
    <b:SourceType>InternetSite</b:SourceType>
    <b:Guid>{36EC2D49-DC97-4D0F-8173-AC30BDF1A0C5}</b:Guid>
    <b:Author>
      <b:Author>
        <b:Corporate>Amnesty International </b:Corporate>
      </b:Author>
    </b:Author>
    <b:Title>DECRIMINALIZATION OF </b:Title>
    <b:Year>2023</b:Year>
    <b:YearAccessed>2024</b:YearAccessed>
    <b:MonthAccessed>September</b:MonthAccessed>
    <b:DayAccessed>01</b:DayAccessed>
    <b:URL>https://www.amnesty.org/en/wp-content/uploads/2023/09/IOR4072042023ENGLISH.pdf#:~:text=Around%20the%20world%2C%20people%20living%20in%20poverty%20are,reflect%20the%20realities%20of%20people%20living%20in%20poverty.3</b:URL>
    <b:RefOrder>17</b:RefOrder>
  </b:Source>
  <b:Source>
    <b:Tag>ONe14</b:Tag>
    <b:SourceType>JournalArticle</b:SourceType>
    <b:Guid>{E79835A8-4A6F-4EB8-B0A8-4C3ACE67AD9F}</b:Guid>
    <b:Title>The Police and Partnership Working: Reflections on Recent Research</b:Title>
    <b:Year>2014</b:Year>
    <b:YearAccessed>2024</b:YearAccessed>
    <b:MonthAccessed>September</b:MonthAccessed>
    <b:DayAccessed>01</b:DayAccessed>
    <b:URL>https://academic.oup.com/policing/article/8/3/243/2893180</b:URL>
    <b:Author>
      <b:Author>
        <b:NameList>
          <b:Person>
            <b:Last>O'Neill</b:Last>
            <b:First>Megan</b:First>
          </b:Person>
          <b:Person>
            <b:Last>McCarthy</b:Last>
            <b:First>Daniel</b:First>
          </b:Person>
        </b:NameList>
      </b:Author>
    </b:Author>
    <b:JournalName>Policing: A Journal of Policy and Practice</b:JournalName>
    <b:Pages>243-253</b:Pages>
    <b:Volume>8</b:Volume>
    <b:Issue>3</b:Issue>
    <b:Month>September</b:Month>
    <b:RefOrder>18</b:RefOrder>
  </b:Source>
  <b:Source>
    <b:Tag>Col18</b:Tag>
    <b:SourceType>InternetSite</b:SourceType>
    <b:Guid>{C128D8CC-B2CA-4CBA-81D6-AEF9F4179838}</b:Guid>
    <b:Title>Partnership working and multi-agency responses/mechanisms</b:Title>
    <b:Year>2018</b:Year>
    <b:Author>
      <b:Author>
        <b:Corporate>College of Policing</b:Corporate>
      </b:Author>
    </b:Author>
    <b:YearAccessed>2024</b:YearAccessed>
    <b:MonthAccessed>September</b:MonthAccessed>
    <b:DayAccessed>01</b:DayAccessed>
    <b:URL>https://www.college.police.uk/app/major-investigation-and-public-protection/domestic-abuse/partnership-working-and-multi-agency-responsesmechanisms</b:URL>
    <b:RefOrder>19</b:RefOrder>
  </b:Source>
  <b:Source>
    <b:Tag>Sco22</b:Tag>
    <b:SourceType>InternetSite</b:SourceType>
    <b:Guid>{B49CCB2D-A04E-474D-BC8E-48478D104DEF}</b:Guid>
    <b:Author>
      <b:Author>
        <b:NameList>
          <b:Person>
            <b:Last>Wilson</b:Last>
            <b:First>Scott</b:First>
          </b:Person>
        </b:NameList>
      </b:Author>
    </b:Author>
    <b:Title>The Importance of Cultural Competency in Policing</b:Title>
    <b:Year>2022</b:Year>
    <b:YearAccessed>2024</b:YearAccessed>
    <b:MonthAccessed>September</b:MonthAccessed>
    <b:DayAccessed>01</b:DayAccessed>
    <b:URL>https://www.faac.com/blog/2022/01/26/the-importance-of-cultural-competency-in-policing/</b:URL>
    <b:RefOrder>20</b:RefOrder>
  </b:Source>
</b:Sources>
</file>

<file path=customXml/itemProps1.xml><?xml version="1.0" encoding="utf-8"?>
<ds:datastoreItem xmlns:ds="http://schemas.openxmlformats.org/officeDocument/2006/customXml" ds:itemID="{C889CA6A-582B-43CC-AF65-120E652E4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3918</Words>
  <Characters>22333</Characters>
  <Application>Microsoft Office Word</Application>
  <DocSecurity>0</DocSecurity>
  <Lines>186</Lines>
  <Paragraphs>52</Paragraphs>
  <ScaleCrop>false</ScaleCrop>
  <Company/>
  <LinksUpToDate>false</LinksUpToDate>
  <CharactersWithSpaces>26199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Rees,James swp8547</dc:creator>
  <cp:keywords/>
  <dc:description/>
  <cp:lastModifiedBy>Rees,James swp8547</cp:lastModifiedBy>
  <cp:revision>2</cp:revision>
  <dcterms:created xsi:type="dcterms:W3CDTF">2024-09-01T17:21:00Z</dcterms:created>
  <dcterms:modified xsi:type="dcterms:W3CDTF">2024-09-01T17:21:00Z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2024-08-29T11:59:07Z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4650c518-5590-4dd9-9678-662b4e390661</vt:lpwstr>
  </property>
  <property fmtid="{D5CDD505-2E9C-101B-9397-08002B2CF9AE}" pid="8" name="MSIP_Label_66cf8fe5-b7b7-4df7-b38d-1c61ac2f6639_ContentBits">
    <vt:lpwstr>0</vt:lpwstr>
  </property>
</Properties>
</file>