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4464" w:rsidRPr="00FA6CBC" w:rsidRDefault="00FA6CBC" w:rsidP="00FA6CBC">
      <w:pPr>
        <w:jc w:val="center"/>
        <w:rPr>
          <w:rFonts w:ascii="Times New Roman" w:hAnsi="Times New Roman" w:cs="Times New Roman"/>
          <w:b/>
        </w:rPr>
      </w:pPr>
      <w:bookmarkStart w:id="0" w:name="_GoBack"/>
      <w:r w:rsidRPr="00FA6CBC">
        <w:rPr>
          <w:rFonts w:ascii="Times New Roman" w:hAnsi="Times New Roman" w:cs="Times New Roman"/>
          <w:b/>
        </w:rPr>
        <w:t>The New General Data Protection Regulations (GDPR) &amp; How It May Affect Dragon Data Office Supplies</w:t>
      </w:r>
    </w:p>
    <w:bookmarkEnd w:id="0"/>
    <w:p w:rsidR="00FA6CBC" w:rsidRPr="00FA6CBC" w:rsidRDefault="00FA6CBC" w:rsidP="00FA6CBC">
      <w:pPr>
        <w:jc w:val="center"/>
        <w:rPr>
          <w:rFonts w:ascii="Times New Roman" w:hAnsi="Times New Roman" w:cs="Times New Roman"/>
          <w:b/>
        </w:rPr>
      </w:pPr>
    </w:p>
    <w:p w:rsidR="00FA6CBC" w:rsidRPr="00FA6CBC" w:rsidRDefault="00FA6CBC" w:rsidP="00FA6CBC">
      <w:pPr>
        <w:jc w:val="center"/>
        <w:rPr>
          <w:rFonts w:ascii="Times New Roman" w:hAnsi="Times New Roman" w:cs="Times New Roman"/>
        </w:rPr>
      </w:pPr>
      <w:r w:rsidRPr="00FA6CBC">
        <w:rPr>
          <w:rFonts w:ascii="Times New Roman" w:hAnsi="Times New Roman" w:cs="Times New Roman"/>
        </w:rPr>
        <w:t>Author: Meg Ford</w:t>
      </w:r>
    </w:p>
    <w:p w:rsidR="00FA6CBC" w:rsidRPr="00FA6CBC" w:rsidRDefault="00FA6CBC" w:rsidP="00FA6CBC">
      <w:pPr>
        <w:jc w:val="center"/>
        <w:rPr>
          <w:rFonts w:ascii="Times New Roman" w:hAnsi="Times New Roman" w:cs="Times New Roman"/>
        </w:rPr>
      </w:pPr>
    </w:p>
    <w:p w:rsidR="00FA6CBC" w:rsidRPr="00FA6CBC" w:rsidRDefault="00FA6CBC" w:rsidP="00FA6CBC">
      <w:pPr>
        <w:jc w:val="center"/>
        <w:rPr>
          <w:rFonts w:ascii="Times New Roman" w:hAnsi="Times New Roman" w:cs="Times New Roman"/>
        </w:rPr>
      </w:pPr>
      <w:r w:rsidRPr="00FA6CBC">
        <w:rPr>
          <w:rFonts w:ascii="Times New Roman" w:hAnsi="Times New Roman" w:cs="Times New Roman"/>
        </w:rPr>
        <w:t>Abstract:</w:t>
      </w:r>
      <w:r w:rsidR="00904EBC">
        <w:rPr>
          <w:rFonts w:ascii="Times New Roman" w:hAnsi="Times New Roman" w:cs="Times New Roman"/>
        </w:rPr>
        <w:t xml:space="preserve"> This report will give a brief introduction to the new GDPR framework and why it is important to company’s like Dragon Office supplies. It will then highlight the key changes to the law before discussing how some may be related and come to affect companies like Dragon Office before coming to a conclusion. </w:t>
      </w:r>
    </w:p>
    <w:p w:rsidR="00FA6CBC" w:rsidRPr="00FA6CBC" w:rsidRDefault="00FA6CBC" w:rsidP="00FA6CBC">
      <w:pPr>
        <w:rPr>
          <w:rFonts w:ascii="Times New Roman" w:hAnsi="Times New Roman" w:cs="Times New Roman"/>
        </w:rPr>
      </w:pPr>
    </w:p>
    <w:p w:rsidR="00FA6CBC" w:rsidRPr="00FA6CBC" w:rsidRDefault="00FA6CBC" w:rsidP="00FA6CBC">
      <w:pPr>
        <w:jc w:val="center"/>
        <w:rPr>
          <w:rFonts w:ascii="Times New Roman" w:hAnsi="Times New Roman" w:cs="Times New Roman"/>
        </w:rPr>
      </w:pPr>
      <w:r w:rsidRPr="00FA6CBC">
        <w:rPr>
          <w:rFonts w:ascii="Times New Roman" w:hAnsi="Times New Roman" w:cs="Times New Roman"/>
        </w:rPr>
        <w:t>Key words:</w:t>
      </w:r>
      <w:r>
        <w:rPr>
          <w:rFonts w:ascii="Times New Roman" w:hAnsi="Times New Roman" w:cs="Times New Roman"/>
        </w:rPr>
        <w:t xml:space="preserve"> GDPR, Europe, Payroll, </w:t>
      </w:r>
      <w:r w:rsidR="00904EBC">
        <w:rPr>
          <w:rFonts w:ascii="Times New Roman" w:hAnsi="Times New Roman" w:cs="Times New Roman"/>
        </w:rPr>
        <w:t xml:space="preserve">Employees, Customers. </w:t>
      </w:r>
    </w:p>
    <w:p w:rsidR="00FA6CBC" w:rsidRPr="00FA6CBC" w:rsidRDefault="00FA6CBC" w:rsidP="00FA6CBC">
      <w:pPr>
        <w:jc w:val="center"/>
        <w:rPr>
          <w:rFonts w:ascii="Times New Roman" w:hAnsi="Times New Roman" w:cs="Times New Roman"/>
        </w:rPr>
      </w:pPr>
    </w:p>
    <w:p w:rsidR="00FA6CBC" w:rsidRPr="00FA6CBC" w:rsidRDefault="00FA6CBC" w:rsidP="00FA6CBC">
      <w:pPr>
        <w:jc w:val="center"/>
        <w:rPr>
          <w:rFonts w:ascii="Times New Roman" w:hAnsi="Times New Roman" w:cs="Times New Roman"/>
          <w:b/>
        </w:rPr>
      </w:pPr>
      <w:r w:rsidRPr="00FA6CBC">
        <w:rPr>
          <w:rFonts w:ascii="Times New Roman" w:hAnsi="Times New Roman" w:cs="Times New Roman"/>
          <w:b/>
        </w:rPr>
        <w:t>Introduction</w:t>
      </w:r>
    </w:p>
    <w:p w:rsidR="00FA6CBC" w:rsidRPr="00FA6CBC" w:rsidRDefault="00FA6CBC" w:rsidP="006E4185">
      <w:pPr>
        <w:spacing w:line="315" w:lineRule="atLeast"/>
        <w:textAlignment w:val="baseline"/>
        <w:rPr>
          <w:rFonts w:ascii="Times New Roman" w:hAnsi="Times New Roman" w:cs="Times New Roman"/>
          <w:color w:val="000000" w:themeColor="text1"/>
        </w:rPr>
      </w:pPr>
      <w:r w:rsidRPr="00FA6CBC">
        <w:rPr>
          <w:rFonts w:ascii="Times New Roman" w:hAnsi="Times New Roman" w:cs="Times New Roman"/>
          <w:color w:val="000000" w:themeColor="text1"/>
        </w:rPr>
        <w:t xml:space="preserve">GDPR is what Europe will now use as a framework for data protection laws. The current UK law is based upon 1995 data protection directive which will be set to change to GDPR towards the end of May 2018 </w:t>
      </w:r>
      <w:sdt>
        <w:sdtPr>
          <w:rPr>
            <w:rFonts w:ascii="Times New Roman" w:hAnsi="Times New Roman" w:cs="Times New Roman"/>
            <w:color w:val="000000" w:themeColor="text1"/>
          </w:rPr>
          <w:id w:val="603383177"/>
          <w:citation/>
        </w:sdtPr>
        <w:sdtContent>
          <w:r w:rsidRPr="00FA6CBC">
            <w:rPr>
              <w:rFonts w:ascii="Times New Roman" w:hAnsi="Times New Roman" w:cs="Times New Roman"/>
              <w:color w:val="000000" w:themeColor="text1"/>
            </w:rPr>
            <w:fldChar w:fldCharType="begin"/>
          </w:r>
          <w:r w:rsidRPr="00FA6CBC">
            <w:rPr>
              <w:rFonts w:ascii="Times New Roman" w:hAnsi="Times New Roman" w:cs="Times New Roman"/>
              <w:color w:val="000000" w:themeColor="text1"/>
            </w:rPr>
            <w:instrText xml:space="preserve"> CITATION MAT18 \l 2057 </w:instrText>
          </w:r>
          <w:r w:rsidRPr="00FA6CBC">
            <w:rPr>
              <w:rFonts w:ascii="Times New Roman" w:hAnsi="Times New Roman" w:cs="Times New Roman"/>
              <w:color w:val="000000" w:themeColor="text1"/>
            </w:rPr>
            <w:fldChar w:fldCharType="separate"/>
          </w:r>
          <w:r w:rsidR="006E4185" w:rsidRPr="006E4185">
            <w:rPr>
              <w:rFonts w:ascii="Times New Roman" w:hAnsi="Times New Roman" w:cs="Times New Roman"/>
              <w:noProof/>
              <w:color w:val="000000" w:themeColor="text1"/>
            </w:rPr>
            <w:t>(BURGESS, 2018)</w:t>
          </w:r>
          <w:r w:rsidRPr="00FA6CBC">
            <w:rPr>
              <w:rFonts w:ascii="Times New Roman" w:hAnsi="Times New Roman" w:cs="Times New Roman"/>
              <w:color w:val="000000" w:themeColor="text1"/>
            </w:rPr>
            <w:fldChar w:fldCharType="end"/>
          </w:r>
        </w:sdtContent>
      </w:sdt>
      <w:r w:rsidRPr="00FA6CBC">
        <w:rPr>
          <w:rFonts w:ascii="Times New Roman" w:hAnsi="Times New Roman" w:cs="Times New Roman"/>
          <w:color w:val="000000" w:themeColor="text1"/>
        </w:rPr>
        <w:t xml:space="preserve">. The new framework is designed to “harmonise” data privacy laws across Europe according to the EU’s GDPR website, the website also claims the new framework will give greater protection rights to individuals </w:t>
      </w:r>
      <w:sdt>
        <w:sdtPr>
          <w:rPr>
            <w:rFonts w:ascii="Times New Roman" w:hAnsi="Times New Roman" w:cs="Times New Roman"/>
            <w:color w:val="000000" w:themeColor="text1"/>
          </w:rPr>
          <w:id w:val="1012348988"/>
          <w:citation/>
        </w:sdtPr>
        <w:sdtContent>
          <w:r w:rsidRPr="00FA6CBC">
            <w:rPr>
              <w:rFonts w:ascii="Times New Roman" w:hAnsi="Times New Roman" w:cs="Times New Roman"/>
              <w:color w:val="000000" w:themeColor="text1"/>
            </w:rPr>
            <w:fldChar w:fldCharType="begin"/>
          </w:r>
          <w:r w:rsidRPr="00FA6CBC">
            <w:rPr>
              <w:rFonts w:ascii="Times New Roman" w:hAnsi="Times New Roman" w:cs="Times New Roman"/>
              <w:color w:val="000000" w:themeColor="text1"/>
            </w:rPr>
            <w:instrText xml:space="preserve"> CITATION MAT18 \l 2057 </w:instrText>
          </w:r>
          <w:r w:rsidRPr="00FA6CBC">
            <w:rPr>
              <w:rFonts w:ascii="Times New Roman" w:hAnsi="Times New Roman" w:cs="Times New Roman"/>
              <w:color w:val="000000" w:themeColor="text1"/>
            </w:rPr>
            <w:fldChar w:fldCharType="separate"/>
          </w:r>
          <w:r w:rsidR="006E4185" w:rsidRPr="006E4185">
            <w:rPr>
              <w:rFonts w:ascii="Times New Roman" w:hAnsi="Times New Roman" w:cs="Times New Roman"/>
              <w:noProof/>
              <w:color w:val="000000" w:themeColor="text1"/>
            </w:rPr>
            <w:t>(BURGESS, 2018)</w:t>
          </w:r>
          <w:r w:rsidRPr="00FA6CBC">
            <w:rPr>
              <w:rFonts w:ascii="Times New Roman" w:hAnsi="Times New Roman" w:cs="Times New Roman"/>
              <w:color w:val="000000" w:themeColor="text1"/>
            </w:rPr>
            <w:fldChar w:fldCharType="end"/>
          </w:r>
        </w:sdtContent>
      </w:sdt>
      <w:r w:rsidRPr="00FA6CBC">
        <w:rPr>
          <w:rFonts w:ascii="Times New Roman" w:hAnsi="Times New Roman" w:cs="Times New Roman"/>
          <w:color w:val="000000" w:themeColor="text1"/>
        </w:rPr>
        <w:t xml:space="preserve">. The new framework will bring huge changes for the public as well as business and bodies that deal with or handle personal information. The changeover to using GDPR has actually been in the pipe line of discussion and negotiation for more than four years and was adopted by both the European Parliament and the European Council in April 2016. After publication of GDPR in the EU Official Journal in May 2016, it will come into </w:t>
      </w:r>
      <w:r w:rsidRPr="006E4185">
        <w:rPr>
          <w:rFonts w:ascii="Times New Roman" w:hAnsi="Times New Roman" w:cs="Times New Roman"/>
          <w:color w:val="000000" w:themeColor="text1"/>
        </w:rPr>
        <w:t>force on May 25, 2018. The two-year preparation period has given businesses and public bodies covered by the regulation to prepare for the changes.</w:t>
      </w:r>
      <w:r w:rsidR="006E4185" w:rsidRPr="006E4185">
        <w:rPr>
          <w:rFonts w:ascii="Times New Roman" w:hAnsi="Times New Roman" w:cs="Times New Roman"/>
          <w:color w:val="000000" w:themeColor="text1"/>
        </w:rPr>
        <w:t xml:space="preserve"> </w:t>
      </w:r>
    </w:p>
    <w:p w:rsidR="00FA6CBC" w:rsidRPr="00FA6CBC" w:rsidRDefault="00FA6CBC" w:rsidP="00FA6CBC">
      <w:pPr>
        <w:rPr>
          <w:rFonts w:ascii="Times New Roman" w:hAnsi="Times New Roman" w:cs="Times New Roman"/>
        </w:rPr>
      </w:pPr>
    </w:p>
    <w:p w:rsidR="00FA6CBC" w:rsidRPr="00FA6CBC" w:rsidRDefault="00FA6CBC" w:rsidP="00FA6CBC">
      <w:pPr>
        <w:jc w:val="center"/>
        <w:rPr>
          <w:rFonts w:ascii="Times New Roman" w:hAnsi="Times New Roman" w:cs="Times New Roman"/>
          <w:b/>
          <w:color w:val="000000" w:themeColor="text1"/>
        </w:rPr>
      </w:pPr>
      <w:r w:rsidRPr="00FA6CBC">
        <w:rPr>
          <w:rFonts w:ascii="Times New Roman" w:hAnsi="Times New Roman" w:cs="Times New Roman"/>
          <w:b/>
          <w:color w:val="000000" w:themeColor="text1"/>
        </w:rPr>
        <w:t>Why is GDPR important?</w:t>
      </w:r>
    </w:p>
    <w:p w:rsidR="00FA6CBC" w:rsidRDefault="00FA6CBC" w:rsidP="00FA6CBC">
      <w:pPr>
        <w:rPr>
          <w:rFonts w:ascii="Times New Roman" w:hAnsi="Times New Roman" w:cs="Times New Roman"/>
          <w:color w:val="000000" w:themeColor="text1"/>
          <w:shd w:val="clear" w:color="auto" w:fill="FFFFFF"/>
        </w:rPr>
      </w:pPr>
      <w:r w:rsidRPr="00FA6CBC">
        <w:rPr>
          <w:rFonts w:ascii="Times New Roman" w:hAnsi="Times New Roman" w:cs="Times New Roman"/>
          <w:color w:val="000000" w:themeColor="text1"/>
          <w:shd w:val="clear" w:color="auto" w:fill="FFFFFF"/>
        </w:rPr>
        <w:t xml:space="preserve">GDPR is important because it improves the protection of European data subjects’ rights and clarifies what companies that process personal data must do to safeguard these rights </w:t>
      </w:r>
    </w:p>
    <w:p w:rsidR="006E4185" w:rsidRPr="00354726" w:rsidRDefault="006E4185" w:rsidP="006E4185">
      <w:pPr>
        <w:spacing w:line="315" w:lineRule="atLeast"/>
        <w:textAlignment w:val="baseline"/>
        <w:rPr>
          <w:rFonts w:ascii="Times New Roman" w:hAnsi="Times New Roman" w:cs="Times New Roman"/>
          <w:color w:val="545454"/>
        </w:rPr>
      </w:pPr>
      <w:r w:rsidRPr="006E4185">
        <w:rPr>
          <w:rFonts w:ascii="Times New Roman" w:hAnsi="Times New Roman" w:cs="Times New Roman"/>
          <w:color w:val="545454"/>
        </w:rPr>
        <w:t>When complying with the new framework a</w:t>
      </w:r>
      <w:r w:rsidRPr="00354726">
        <w:rPr>
          <w:rFonts w:ascii="Times New Roman" w:hAnsi="Times New Roman" w:cs="Times New Roman"/>
          <w:color w:val="545454"/>
        </w:rPr>
        <w:t>ll requests for consent must now comply with the following rules:</w:t>
      </w:r>
    </w:p>
    <w:p w:rsidR="006E4185" w:rsidRPr="00354726"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t>Plain language:</w:t>
      </w:r>
      <w:r w:rsidRPr="00354726">
        <w:rPr>
          <w:rFonts w:ascii="Times New Roman" w:hAnsi="Times New Roman" w:cs="Times New Roman"/>
          <w:color w:val="000000" w:themeColor="text1"/>
        </w:rPr>
        <w:t>  A request for consent must be in an intelligible and accessible form in clear and plain language, and in accordance with the Directive on unfair terms in consumer contracts.</w:t>
      </w:r>
    </w:p>
    <w:p w:rsidR="006E4185" w:rsidRPr="00354726"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t>Separate:</w:t>
      </w:r>
      <w:r w:rsidRPr="00354726">
        <w:rPr>
          <w:rFonts w:ascii="Times New Roman" w:hAnsi="Times New Roman" w:cs="Times New Roman"/>
          <w:color w:val="000000" w:themeColor="text1"/>
        </w:rPr>
        <w:t> When a request for consent is part of a written form, it must be clearly distinguishable.</w:t>
      </w:r>
    </w:p>
    <w:p w:rsidR="006E4185" w:rsidRPr="00354726"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t>Affirmative action:</w:t>
      </w:r>
      <w:r w:rsidRPr="00354726">
        <w:rPr>
          <w:rFonts w:ascii="Times New Roman" w:hAnsi="Times New Roman" w:cs="Times New Roman"/>
          <w:color w:val="000000" w:themeColor="text1"/>
        </w:rPr>
        <w:t> The consent must consist of a clear affirmative action. The use of “pre-ticked boxes” is no longer permitted.</w:t>
      </w:r>
    </w:p>
    <w:p w:rsidR="006E4185" w:rsidRPr="00354726"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t>Consent to all purposes:</w:t>
      </w:r>
      <w:r w:rsidRPr="00354726">
        <w:rPr>
          <w:rFonts w:ascii="Times New Roman" w:hAnsi="Times New Roman" w:cs="Times New Roman"/>
          <w:color w:val="000000" w:themeColor="text1"/>
        </w:rPr>
        <w:t> If you’re going to use an individual’s data for multiple purposes, consent must be given for all of those purposes. You can no longer ‘bundle’ consent. Policy wording is ambiguous, but good practice indicates compliance will equate to a clear explanation that individuals will more than likely be approached via multiple marketing platforms in order to supplement their relationship with a company.</w:t>
      </w:r>
    </w:p>
    <w:p w:rsidR="006E4185" w:rsidRPr="00354726"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t>No detriment</w:t>
      </w:r>
      <w:r w:rsidRPr="00354726">
        <w:rPr>
          <w:rFonts w:ascii="Times New Roman" w:hAnsi="Times New Roman" w:cs="Times New Roman"/>
          <w:color w:val="000000" w:themeColor="text1"/>
        </w:rPr>
        <w:t>: Consent won’t be valid if the consumer doesn’t have a genuine free choice or are being punished by refusing or withdrawing consent.</w:t>
      </w:r>
    </w:p>
    <w:p w:rsidR="006E4185" w:rsidRPr="00354726"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lastRenderedPageBreak/>
        <w:t>No power imbalance</w:t>
      </w:r>
      <w:r w:rsidRPr="00354726">
        <w:rPr>
          <w:rFonts w:ascii="Times New Roman" w:hAnsi="Times New Roman" w:cs="Times New Roman"/>
          <w:color w:val="000000" w:themeColor="text1"/>
        </w:rPr>
        <w:t>: Consent might not be valid if there is a clear imbalance of power between the individual and the controller.</w:t>
      </w:r>
    </w:p>
    <w:p w:rsidR="006E4185" w:rsidRPr="00354726"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t>Not tied to contract</w:t>
      </w:r>
      <w:r w:rsidRPr="00354726">
        <w:rPr>
          <w:rFonts w:ascii="Times New Roman" w:hAnsi="Times New Roman" w:cs="Times New Roman"/>
          <w:color w:val="000000" w:themeColor="text1"/>
        </w:rPr>
        <w:t>: Consent isn’t valid if it’s a condition of performance as part of a contract.</w:t>
      </w:r>
    </w:p>
    <w:p w:rsidR="006E4185" w:rsidRPr="006E4185" w:rsidRDefault="006E4185" w:rsidP="006E4185">
      <w:pPr>
        <w:numPr>
          <w:ilvl w:val="0"/>
          <w:numId w:val="1"/>
        </w:numPr>
        <w:spacing w:line="315" w:lineRule="atLeast"/>
        <w:ind w:left="0"/>
        <w:textAlignment w:val="baseline"/>
        <w:rPr>
          <w:rFonts w:ascii="Times New Roman" w:hAnsi="Times New Roman" w:cs="Times New Roman"/>
          <w:color w:val="000000" w:themeColor="text1"/>
        </w:rPr>
      </w:pPr>
      <w:r w:rsidRPr="006E4185">
        <w:rPr>
          <w:rFonts w:ascii="Times New Roman" w:hAnsi="Times New Roman" w:cs="Times New Roman"/>
          <w:b/>
          <w:bCs/>
          <w:color w:val="000000" w:themeColor="text1"/>
          <w:bdr w:val="none" w:sz="0" w:space="0" w:color="auto" w:frame="1"/>
        </w:rPr>
        <w:t>Withdrawable</w:t>
      </w:r>
      <w:r w:rsidRPr="00354726">
        <w:rPr>
          <w:rFonts w:ascii="Times New Roman" w:hAnsi="Times New Roman" w:cs="Times New Roman"/>
          <w:color w:val="000000" w:themeColor="text1"/>
        </w:rPr>
        <w:t xml:space="preserve">: The individual needs to be able to withdraw consent at any </w:t>
      </w:r>
      <w:r w:rsidRPr="006E4185">
        <w:rPr>
          <w:rFonts w:ascii="Times New Roman" w:hAnsi="Times New Roman" w:cs="Times New Roman"/>
          <w:color w:val="000000" w:themeColor="text1"/>
        </w:rPr>
        <w:t>time and</w:t>
      </w:r>
      <w:r w:rsidRPr="00354726">
        <w:rPr>
          <w:rFonts w:ascii="Times New Roman" w:hAnsi="Times New Roman" w:cs="Times New Roman"/>
          <w:color w:val="000000" w:themeColor="text1"/>
        </w:rPr>
        <w:t xml:space="preserve"> must be told of that right prior to giving consent. In short: it should be as easy to withdraw consent as it is to give it.</w:t>
      </w:r>
    </w:p>
    <w:p w:rsidR="006E4185" w:rsidRPr="00354726" w:rsidRDefault="006E4185" w:rsidP="006E4185">
      <w:pPr>
        <w:spacing w:line="315" w:lineRule="atLeast"/>
        <w:textAlignment w:val="baseline"/>
        <w:rPr>
          <w:rFonts w:ascii="Times New Roman" w:hAnsi="Times New Roman" w:cs="Times New Roman"/>
          <w:color w:val="000000" w:themeColor="text1"/>
        </w:rPr>
      </w:pPr>
      <w:sdt>
        <w:sdtPr>
          <w:rPr>
            <w:rFonts w:ascii="Times New Roman" w:hAnsi="Times New Roman" w:cs="Times New Roman"/>
            <w:color w:val="000000" w:themeColor="text1"/>
          </w:rPr>
          <w:id w:val="-641278660"/>
          <w:citation/>
        </w:sdtPr>
        <w:sdtContent>
          <w:r w:rsidRPr="006E4185">
            <w:rPr>
              <w:rFonts w:ascii="Times New Roman" w:hAnsi="Times New Roman" w:cs="Times New Roman"/>
              <w:color w:val="000000" w:themeColor="text1"/>
            </w:rPr>
            <w:fldChar w:fldCharType="begin"/>
          </w:r>
          <w:r w:rsidRPr="006E4185">
            <w:rPr>
              <w:rFonts w:ascii="Times New Roman" w:hAnsi="Times New Roman" w:cs="Times New Roman"/>
              <w:color w:val="000000" w:themeColor="text1"/>
            </w:rPr>
            <w:instrText xml:space="preserve"> CITATION JAM17 \l 2057 </w:instrText>
          </w:r>
          <w:r w:rsidRPr="006E4185">
            <w:rPr>
              <w:rFonts w:ascii="Times New Roman" w:hAnsi="Times New Roman" w:cs="Times New Roman"/>
              <w:color w:val="000000" w:themeColor="text1"/>
            </w:rPr>
            <w:fldChar w:fldCharType="separate"/>
          </w:r>
          <w:r w:rsidRPr="006E4185">
            <w:rPr>
              <w:rFonts w:ascii="Times New Roman" w:hAnsi="Times New Roman" w:cs="Times New Roman"/>
              <w:noProof/>
              <w:color w:val="000000" w:themeColor="text1"/>
            </w:rPr>
            <w:t>(HOWELLS, 2017)</w:t>
          </w:r>
          <w:r w:rsidRPr="006E4185">
            <w:rPr>
              <w:rFonts w:ascii="Times New Roman" w:hAnsi="Times New Roman" w:cs="Times New Roman"/>
              <w:color w:val="000000" w:themeColor="text1"/>
            </w:rPr>
            <w:fldChar w:fldCharType="end"/>
          </w:r>
        </w:sdtContent>
      </w:sdt>
    </w:p>
    <w:p w:rsidR="006E4185" w:rsidRPr="00FA6CBC" w:rsidRDefault="006E4185" w:rsidP="00FA6CBC">
      <w:pPr>
        <w:rPr>
          <w:rFonts w:ascii="Times New Roman" w:hAnsi="Times New Roman" w:cs="Times New Roman"/>
          <w:color w:val="000000" w:themeColor="text1"/>
          <w:shd w:val="clear" w:color="auto" w:fill="FFFFFF"/>
        </w:rPr>
      </w:pPr>
    </w:p>
    <w:p w:rsidR="00FA6CBC" w:rsidRPr="00FA6CBC" w:rsidRDefault="00FA6CBC" w:rsidP="006E4185">
      <w:pPr>
        <w:jc w:val="center"/>
        <w:rPr>
          <w:rFonts w:ascii="Times New Roman" w:hAnsi="Times New Roman" w:cs="Times New Roman"/>
          <w:b/>
          <w:color w:val="000000" w:themeColor="text1"/>
          <w:shd w:val="clear" w:color="auto" w:fill="FFFFFF"/>
        </w:rPr>
      </w:pPr>
      <w:r w:rsidRPr="00FA6CBC">
        <w:rPr>
          <w:rFonts w:ascii="Times New Roman" w:hAnsi="Times New Roman" w:cs="Times New Roman"/>
          <w:b/>
          <w:color w:val="000000" w:themeColor="text1"/>
          <w:shd w:val="clear" w:color="auto" w:fill="FFFFFF"/>
        </w:rPr>
        <w:t>Key Factors Within the New Framework and How It May Affect Dragon Office Supplies as A Company</w:t>
      </w:r>
    </w:p>
    <w:p w:rsidR="00FA6CBC" w:rsidRDefault="00FA6CBC" w:rsidP="00FA6CBC">
      <w:pPr>
        <w:rPr>
          <w:rFonts w:ascii="Times New Roman" w:hAnsi="Times New Roman" w:cs="Times New Roman"/>
          <w:color w:val="000000" w:themeColor="text1"/>
        </w:rPr>
      </w:pPr>
      <w:r w:rsidRPr="00FA6CBC">
        <w:rPr>
          <w:rFonts w:ascii="Times New Roman" w:hAnsi="Times New Roman" w:cs="Times New Roman"/>
          <w:color w:val="000000" w:themeColor="text1"/>
        </w:rPr>
        <w:t xml:space="preserve">One main key element to look at within the new framework is that GDPR applies to all companies worldwide – not just in the EU, that process personal data of European union citizens. What this means for organisations is that any information relation to EU citizens will have to comply with the requirements of the GDPR. This is a first in data protection laws, GDPR is the first global data protection law. </w:t>
      </w:r>
      <w:r w:rsidRPr="00897621">
        <w:rPr>
          <w:rFonts w:ascii="Times New Roman" w:hAnsi="Times New Roman" w:cs="Times New Roman"/>
          <w:color w:val="000000" w:themeColor="text1"/>
        </w:rPr>
        <w:t>“For the first time, the European Commission [EC] is exporting</w:t>
      </w:r>
      <w:r w:rsidRPr="00FA6CBC">
        <w:rPr>
          <w:rFonts w:ascii="Times New Roman" w:hAnsi="Times New Roman" w:cs="Times New Roman"/>
          <w:color w:val="000000" w:themeColor="text1"/>
        </w:rPr>
        <w:t> </w:t>
      </w:r>
      <w:hyperlink r:id="rId6" w:history="1">
        <w:r w:rsidRPr="00FA6CBC">
          <w:rPr>
            <w:rFonts w:ascii="Times New Roman" w:hAnsi="Times New Roman" w:cs="Times New Roman"/>
            <w:color w:val="000000" w:themeColor="text1"/>
          </w:rPr>
          <w:t>European data protection principles</w:t>
        </w:r>
      </w:hyperlink>
      <w:r w:rsidRPr="00FA6CBC">
        <w:rPr>
          <w:rFonts w:ascii="Times New Roman" w:hAnsi="Times New Roman" w:cs="Times New Roman"/>
          <w:color w:val="000000" w:themeColor="text1"/>
        </w:rPr>
        <w:t> </w:t>
      </w:r>
      <w:r w:rsidRPr="00897621">
        <w:rPr>
          <w:rFonts w:ascii="Times New Roman" w:hAnsi="Times New Roman" w:cs="Times New Roman"/>
          <w:color w:val="000000" w:themeColor="text1"/>
        </w:rPr>
        <w:t>to the rest of the world,” said Kinast</w:t>
      </w:r>
      <w:r w:rsidRPr="00FA6CBC">
        <w:rPr>
          <w:rFonts w:ascii="Times New Roman" w:hAnsi="Times New Roman" w:cs="Times New Roman"/>
          <w:color w:val="000000" w:themeColor="text1"/>
        </w:rPr>
        <w:t xml:space="preserve"> who is a privacy lawyer</w:t>
      </w:r>
      <w:r w:rsidRPr="00897621">
        <w:rPr>
          <w:rFonts w:ascii="Times New Roman" w:hAnsi="Times New Roman" w:cs="Times New Roman"/>
          <w:color w:val="000000" w:themeColor="text1"/>
        </w:rPr>
        <w:t>.</w:t>
      </w:r>
      <w:r w:rsidRPr="00FA6CBC">
        <w:rPr>
          <w:rFonts w:ascii="Times New Roman" w:hAnsi="Times New Roman" w:cs="Times New Roman"/>
          <w:color w:val="000000" w:themeColor="text1"/>
        </w:rPr>
        <w:t xml:space="preserve"> </w:t>
      </w:r>
      <w:r w:rsidRPr="00897621">
        <w:rPr>
          <w:rFonts w:ascii="Times New Roman" w:hAnsi="Times New Roman" w:cs="Times New Roman"/>
          <w:color w:val="000000" w:themeColor="text1"/>
        </w:rPr>
        <w:t>Kinast believes this aspect alone will contribute significantly to a</w:t>
      </w:r>
      <w:r w:rsidRPr="00FA6CBC">
        <w:rPr>
          <w:rFonts w:ascii="Times New Roman" w:hAnsi="Times New Roman" w:cs="Times New Roman"/>
          <w:color w:val="000000" w:themeColor="text1"/>
        </w:rPr>
        <w:t xml:space="preserve">ll companies around the world including those in Europe </w:t>
      </w:r>
      <w:r w:rsidRPr="00897621">
        <w:rPr>
          <w:rFonts w:ascii="Times New Roman" w:hAnsi="Times New Roman" w:cs="Times New Roman"/>
          <w:color w:val="000000" w:themeColor="text1"/>
        </w:rPr>
        <w:t>tak</w:t>
      </w:r>
      <w:r w:rsidRPr="00FA6CBC">
        <w:rPr>
          <w:rFonts w:ascii="Times New Roman" w:hAnsi="Times New Roman" w:cs="Times New Roman"/>
          <w:color w:val="000000" w:themeColor="text1"/>
        </w:rPr>
        <w:t xml:space="preserve">ing data privacy more seriously </w:t>
      </w:r>
      <w:sdt>
        <w:sdtPr>
          <w:rPr>
            <w:rFonts w:ascii="Times New Roman" w:hAnsi="Times New Roman" w:cs="Times New Roman"/>
            <w:color w:val="000000" w:themeColor="text1"/>
          </w:rPr>
          <w:id w:val="-1001278055"/>
          <w:citation/>
        </w:sdtPr>
        <w:sdtContent>
          <w:r w:rsidRPr="00FA6CBC">
            <w:rPr>
              <w:rFonts w:ascii="Times New Roman" w:hAnsi="Times New Roman" w:cs="Times New Roman"/>
              <w:color w:val="000000" w:themeColor="text1"/>
            </w:rPr>
            <w:fldChar w:fldCharType="begin"/>
          </w:r>
          <w:r w:rsidRPr="00FA6CBC">
            <w:rPr>
              <w:rFonts w:ascii="Times New Roman" w:hAnsi="Times New Roman" w:cs="Times New Roman"/>
              <w:color w:val="000000" w:themeColor="text1"/>
            </w:rPr>
            <w:instrText xml:space="preserve"> CITATION War16 \l 2057 </w:instrText>
          </w:r>
          <w:r w:rsidRPr="00FA6CBC">
            <w:rPr>
              <w:rFonts w:ascii="Times New Roman" w:hAnsi="Times New Roman" w:cs="Times New Roman"/>
              <w:color w:val="000000" w:themeColor="text1"/>
            </w:rPr>
            <w:fldChar w:fldCharType="separate"/>
          </w:r>
          <w:r w:rsidR="006E4185" w:rsidRPr="006E4185">
            <w:rPr>
              <w:rFonts w:ascii="Times New Roman" w:hAnsi="Times New Roman" w:cs="Times New Roman"/>
              <w:noProof/>
              <w:color w:val="000000" w:themeColor="text1"/>
            </w:rPr>
            <w:t>(ASHFORD, 2016)</w:t>
          </w:r>
          <w:r w:rsidRPr="00FA6CBC">
            <w:rPr>
              <w:rFonts w:ascii="Times New Roman" w:hAnsi="Times New Roman" w:cs="Times New Roman"/>
              <w:color w:val="000000" w:themeColor="text1"/>
            </w:rPr>
            <w:fldChar w:fldCharType="end"/>
          </w:r>
        </w:sdtContent>
      </w:sdt>
      <w:r w:rsidRPr="00FA6CBC">
        <w:rPr>
          <w:rFonts w:ascii="Times New Roman" w:hAnsi="Times New Roman" w:cs="Times New Roman"/>
          <w:color w:val="000000" w:themeColor="text1"/>
        </w:rPr>
        <w:t>.</w:t>
      </w:r>
      <w:r w:rsidR="00904EBC">
        <w:rPr>
          <w:rFonts w:ascii="Times New Roman" w:hAnsi="Times New Roman" w:cs="Times New Roman"/>
          <w:color w:val="000000" w:themeColor="text1"/>
        </w:rPr>
        <w:t xml:space="preserve"> </w:t>
      </w:r>
    </w:p>
    <w:p w:rsidR="00FA6CBC" w:rsidRDefault="00FA6CBC" w:rsidP="00FA6CBC">
      <w:pPr>
        <w:rPr>
          <w:rFonts w:ascii="Times New Roman" w:hAnsi="Times New Roman" w:cs="Times New Roman"/>
        </w:rPr>
      </w:pPr>
      <w:r w:rsidRPr="00FA6CBC">
        <w:rPr>
          <w:rFonts w:ascii="Times New Roman" w:hAnsi="Times New Roman" w:cs="Times New Roman"/>
          <w:color w:val="000000" w:themeColor="text1"/>
        </w:rPr>
        <w:t>Another key point within the new framework is how it tighten</w:t>
      </w:r>
      <w:r w:rsidR="006E4185">
        <w:rPr>
          <w:rFonts w:ascii="Times New Roman" w:hAnsi="Times New Roman" w:cs="Times New Roman"/>
          <w:color w:val="000000" w:themeColor="text1"/>
        </w:rPr>
        <w:t xml:space="preserve">s the rules for obtaining valid </w:t>
      </w:r>
      <w:r w:rsidRPr="00FA6CBC">
        <w:rPr>
          <w:rFonts w:ascii="Times New Roman" w:hAnsi="Times New Roman" w:cs="Times New Roman"/>
          <w:color w:val="000000" w:themeColor="text1"/>
        </w:rPr>
        <w:t xml:space="preserve">consent to using personal information. Organisation will now need to be clear about how they will you the information, they will have to take into account that silence or inactivity no longer constitutes as consent. All organisations will need to use simple language when asking for consent to collect the personal data </w:t>
      </w:r>
      <w:sdt>
        <w:sdtPr>
          <w:rPr>
            <w:rFonts w:ascii="Times New Roman" w:hAnsi="Times New Roman" w:cs="Times New Roman"/>
            <w:color w:val="000000" w:themeColor="text1"/>
          </w:rPr>
          <w:id w:val="1517196277"/>
          <w:citation/>
        </w:sdtPr>
        <w:sdtContent>
          <w:r w:rsidRPr="00FA6CBC">
            <w:rPr>
              <w:rFonts w:ascii="Times New Roman" w:hAnsi="Times New Roman" w:cs="Times New Roman"/>
              <w:color w:val="000000" w:themeColor="text1"/>
            </w:rPr>
            <w:fldChar w:fldCharType="begin"/>
          </w:r>
          <w:r w:rsidRPr="00FA6CBC">
            <w:rPr>
              <w:rFonts w:ascii="Times New Roman" w:hAnsi="Times New Roman" w:cs="Times New Roman"/>
              <w:color w:val="000000" w:themeColor="text1"/>
            </w:rPr>
            <w:instrText xml:space="preserve"> CITATION War16 \l 2057 </w:instrText>
          </w:r>
          <w:r w:rsidRPr="00FA6CBC">
            <w:rPr>
              <w:rFonts w:ascii="Times New Roman" w:hAnsi="Times New Roman" w:cs="Times New Roman"/>
              <w:color w:val="000000" w:themeColor="text1"/>
            </w:rPr>
            <w:fldChar w:fldCharType="separate"/>
          </w:r>
          <w:r w:rsidR="006E4185" w:rsidRPr="006E4185">
            <w:rPr>
              <w:rFonts w:ascii="Times New Roman" w:hAnsi="Times New Roman" w:cs="Times New Roman"/>
              <w:noProof/>
              <w:color w:val="000000" w:themeColor="text1"/>
            </w:rPr>
            <w:t>(ASHFORD, 2016)</w:t>
          </w:r>
          <w:r w:rsidRPr="00FA6CBC">
            <w:rPr>
              <w:rFonts w:ascii="Times New Roman" w:hAnsi="Times New Roman" w:cs="Times New Roman"/>
              <w:color w:val="000000" w:themeColor="text1"/>
            </w:rPr>
            <w:fldChar w:fldCharType="end"/>
          </w:r>
        </w:sdtContent>
      </w:sdt>
      <w:r w:rsidRPr="00FA6CBC">
        <w:rPr>
          <w:rFonts w:ascii="Times New Roman" w:hAnsi="Times New Roman" w:cs="Times New Roman"/>
          <w:color w:val="000000" w:themeColor="text1"/>
        </w:rPr>
        <w:t xml:space="preserve">. Dragons Office Supplies will need to refresh all existing consents of customers past/present and current employees if they don’t meet the GDPR standard. As previously mentioned </w:t>
      </w:r>
      <w:r w:rsidRPr="00FA6CBC">
        <w:rPr>
          <w:rFonts w:ascii="Times New Roman" w:hAnsi="Times New Roman" w:cs="Times New Roman"/>
        </w:rPr>
        <w:t xml:space="preserve">there must be a positive opt-in – consent cannot be inferred from silence, pre- ticked boxes or inactivity. GDPR must now be completely separate from other terms and conditions, it needs to be made extremely simple if someone wants to withdraw. This may affect dragon office supplies current customer base but can easily be rectified by a simple email asking them to agree to the new data protection framework or by communication when their next order is place. All current systems will need to be upgraded to meet the GDPR standards. Payroll is another department that could potentially be affected by the new GDPR laws </w:t>
      </w:r>
      <w:sdt>
        <w:sdtPr>
          <w:rPr>
            <w:rFonts w:ascii="Times New Roman" w:hAnsi="Times New Roman" w:cs="Times New Roman"/>
          </w:rPr>
          <w:id w:val="1813367015"/>
          <w:citation/>
        </w:sdtPr>
        <w:sdtContent>
          <w:r w:rsidRPr="00FA6CBC">
            <w:rPr>
              <w:rFonts w:ascii="Times New Roman" w:hAnsi="Times New Roman" w:cs="Times New Roman"/>
            </w:rPr>
            <w:fldChar w:fldCharType="begin"/>
          </w:r>
          <w:r w:rsidRPr="00FA6CBC">
            <w:rPr>
              <w:rFonts w:ascii="Times New Roman" w:hAnsi="Times New Roman" w:cs="Times New Roman"/>
            </w:rPr>
            <w:instrText xml:space="preserve"> CITATION EDM18 \l 2057 </w:instrText>
          </w:r>
          <w:r w:rsidRPr="00FA6CBC">
            <w:rPr>
              <w:rFonts w:ascii="Times New Roman" w:hAnsi="Times New Roman" w:cs="Times New Roman"/>
            </w:rPr>
            <w:fldChar w:fldCharType="separate"/>
          </w:r>
          <w:r w:rsidR="006E4185" w:rsidRPr="006E4185">
            <w:rPr>
              <w:rFonts w:ascii="Times New Roman" w:hAnsi="Times New Roman" w:cs="Times New Roman"/>
              <w:noProof/>
            </w:rPr>
            <w:t>(TIRBUTT, 2018)</w:t>
          </w:r>
          <w:r w:rsidRPr="00FA6CBC">
            <w:rPr>
              <w:rFonts w:ascii="Times New Roman" w:hAnsi="Times New Roman" w:cs="Times New Roman"/>
            </w:rPr>
            <w:fldChar w:fldCharType="end"/>
          </w:r>
        </w:sdtContent>
      </w:sdt>
      <w:r w:rsidRPr="00FA6CBC">
        <w:rPr>
          <w:rFonts w:ascii="Times New Roman" w:hAnsi="Times New Roman" w:cs="Times New Roman"/>
        </w:rPr>
        <w:t>. Although the company’s current good practice should meet the majority of requirements for the framework because payroll is already a highly regulated area, it may need to change some of the language it uses to keep it extremely simple and to</w:t>
      </w:r>
      <w:r>
        <w:rPr>
          <w:rFonts w:ascii="Times New Roman" w:hAnsi="Times New Roman" w:cs="Times New Roman"/>
        </w:rPr>
        <w:t xml:space="preserve"> the point. </w:t>
      </w:r>
    </w:p>
    <w:p w:rsidR="00904EBC" w:rsidRPr="006E4185" w:rsidRDefault="00904EBC" w:rsidP="00FA6CBC">
      <w:pPr>
        <w:rPr>
          <w:rFonts w:ascii="Times New Roman" w:hAnsi="Times New Roman" w:cs="Times New Roman"/>
          <w:color w:val="000000" w:themeColor="text1"/>
        </w:rPr>
      </w:pPr>
      <w:r w:rsidRPr="00354726">
        <w:rPr>
          <w:rFonts w:ascii="Times New Roman" w:hAnsi="Times New Roman" w:cs="Times New Roman"/>
          <w:color w:val="000000" w:themeColor="text1"/>
        </w:rPr>
        <w:t xml:space="preserve">In relation to sales and marketing, under the new GDPR framework a customer needs to be able to withdraw </w:t>
      </w:r>
      <w:r w:rsidRPr="00354726">
        <w:rPr>
          <w:rFonts w:ascii="Times New Roman" w:hAnsi="Times New Roman" w:cs="Times New Roman"/>
          <w:color w:val="000000" w:themeColor="text1"/>
          <w:shd w:val="clear" w:color="auto" w:fill="FFFFFF"/>
        </w:rPr>
        <w:t>consent at any time and must be told of that right prior to giving consent. In short: it should be as easy to withdraw consent as it is to give it. If the company is going to use someone’s data for multiple purposes, consent must be given for each purpose, instead of the old practise of bundling them together. good practice indicates compliance will equate to a clear explanation that individuals will more than likely be approached via multiple marketing platforms in order to supplement their relationship with a company</w:t>
      </w:r>
      <w:r w:rsidR="006E4185">
        <w:rPr>
          <w:rFonts w:ascii="Times New Roman" w:hAnsi="Times New Roman" w:cs="Times New Roman"/>
          <w:color w:val="000000" w:themeColor="text1"/>
          <w:shd w:val="clear" w:color="auto" w:fill="FFFFFF"/>
        </w:rPr>
        <w:t xml:space="preserve"> </w:t>
      </w:r>
      <w:sdt>
        <w:sdtPr>
          <w:rPr>
            <w:rFonts w:ascii="Times New Roman" w:hAnsi="Times New Roman" w:cs="Times New Roman"/>
            <w:color w:val="000000" w:themeColor="text1"/>
            <w:shd w:val="clear" w:color="auto" w:fill="FFFFFF"/>
          </w:rPr>
          <w:id w:val="-1582361968"/>
          <w:citation/>
        </w:sdtPr>
        <w:sdtContent>
          <w:r w:rsidR="006E4185">
            <w:rPr>
              <w:rFonts w:ascii="Times New Roman" w:hAnsi="Times New Roman" w:cs="Times New Roman"/>
              <w:color w:val="000000" w:themeColor="text1"/>
              <w:shd w:val="clear" w:color="auto" w:fill="FFFFFF"/>
            </w:rPr>
            <w:fldChar w:fldCharType="begin"/>
          </w:r>
          <w:r w:rsidR="006E4185">
            <w:rPr>
              <w:rFonts w:ascii="Times New Roman" w:hAnsi="Times New Roman" w:cs="Times New Roman"/>
              <w:color w:val="000000" w:themeColor="text1"/>
              <w:shd w:val="clear" w:color="auto" w:fill="FFFFFF"/>
            </w:rPr>
            <w:instrText xml:space="preserve"> CITATION JAM17 \l 2057 </w:instrText>
          </w:r>
          <w:r w:rsidR="006E4185">
            <w:rPr>
              <w:rFonts w:ascii="Times New Roman" w:hAnsi="Times New Roman" w:cs="Times New Roman"/>
              <w:color w:val="000000" w:themeColor="text1"/>
              <w:shd w:val="clear" w:color="auto" w:fill="FFFFFF"/>
            </w:rPr>
            <w:fldChar w:fldCharType="separate"/>
          </w:r>
          <w:r w:rsidR="006E4185" w:rsidRPr="006E4185">
            <w:rPr>
              <w:rFonts w:ascii="Times New Roman" w:hAnsi="Times New Roman" w:cs="Times New Roman"/>
              <w:noProof/>
              <w:color w:val="000000" w:themeColor="text1"/>
              <w:shd w:val="clear" w:color="auto" w:fill="FFFFFF"/>
            </w:rPr>
            <w:t>(HOWELLS, 2017)</w:t>
          </w:r>
          <w:r w:rsidR="006E4185">
            <w:rPr>
              <w:rFonts w:ascii="Times New Roman" w:hAnsi="Times New Roman" w:cs="Times New Roman"/>
              <w:color w:val="000000" w:themeColor="text1"/>
              <w:shd w:val="clear" w:color="auto" w:fill="FFFFFF"/>
            </w:rPr>
            <w:fldChar w:fldCharType="end"/>
          </w:r>
        </w:sdtContent>
      </w:sdt>
      <w:r w:rsidR="006E4185">
        <w:rPr>
          <w:rFonts w:ascii="Times New Roman" w:hAnsi="Times New Roman" w:cs="Times New Roman"/>
          <w:color w:val="000000" w:themeColor="text1"/>
        </w:rPr>
        <w:t>.</w:t>
      </w:r>
    </w:p>
    <w:p w:rsidR="00FA6CBC" w:rsidRDefault="00FA6CBC" w:rsidP="00FA6CBC">
      <w:pPr>
        <w:jc w:val="center"/>
        <w:rPr>
          <w:rFonts w:ascii="Times New Roman" w:hAnsi="Times New Roman" w:cs="Times New Roman"/>
        </w:rPr>
      </w:pPr>
    </w:p>
    <w:p w:rsidR="00CA7AB7" w:rsidRDefault="00CA7AB7" w:rsidP="00CA7AB7">
      <w:pPr>
        <w:jc w:val="center"/>
        <w:rPr>
          <w:rFonts w:ascii="Times New Roman" w:hAnsi="Times New Roman" w:cs="Times New Roman"/>
          <w:b/>
        </w:rPr>
      </w:pPr>
      <w:r>
        <w:rPr>
          <w:rFonts w:ascii="Times New Roman" w:hAnsi="Times New Roman" w:cs="Times New Roman"/>
          <w:b/>
        </w:rPr>
        <w:t>Conclusion</w:t>
      </w:r>
    </w:p>
    <w:p w:rsidR="00CA7AB7" w:rsidRPr="00CA7AB7" w:rsidRDefault="00CA7AB7" w:rsidP="00CA7AB7">
      <w:pPr>
        <w:rPr>
          <w:rFonts w:ascii="Times New Roman" w:hAnsi="Times New Roman" w:cs="Times New Roman"/>
        </w:rPr>
      </w:pPr>
      <w:r w:rsidRPr="00CA7AB7">
        <w:rPr>
          <w:rFonts w:ascii="Times New Roman" w:hAnsi="Times New Roman" w:cs="Times New Roman"/>
        </w:rPr>
        <w:t xml:space="preserve">Although GDPR will create a lot of challenges for any organisations not just Dragon Office Supplies, it will also create opportunities. If a company is to show they value someone’s </w:t>
      </w:r>
      <w:r w:rsidRPr="00CA7AB7">
        <w:rPr>
          <w:rFonts w:ascii="Times New Roman" w:hAnsi="Times New Roman" w:cs="Times New Roman"/>
        </w:rPr>
        <w:lastRenderedPageBreak/>
        <w:t xml:space="preserve">privacy beyond the legal requirements, the more trust will be built with a customer in hope to retain a loyal business relationship. One recommendation for Dragon Supplies is to appoint a data protection office or a data controller who is in charge of GDPR compliance. Failure to comply with the new framework can face extremely tough penalties for the organisation. Fines up to 4% of annual global revenue or 20 million euros whichever is greater </w:t>
      </w:r>
      <w:sdt>
        <w:sdtPr>
          <w:rPr>
            <w:rFonts w:ascii="Times New Roman" w:hAnsi="Times New Roman" w:cs="Times New Roman"/>
          </w:rPr>
          <w:id w:val="1361242279"/>
          <w:citation/>
        </w:sdtPr>
        <w:sdtContent>
          <w:r w:rsidRPr="00CA7AB7">
            <w:rPr>
              <w:rFonts w:ascii="Times New Roman" w:hAnsi="Times New Roman" w:cs="Times New Roman"/>
            </w:rPr>
            <w:fldChar w:fldCharType="begin"/>
          </w:r>
          <w:r w:rsidRPr="00CA7AB7">
            <w:rPr>
              <w:rFonts w:ascii="Times New Roman" w:hAnsi="Times New Roman" w:cs="Times New Roman"/>
            </w:rPr>
            <w:instrText xml:space="preserve"> CITATION JEN18 \l 2057 </w:instrText>
          </w:r>
          <w:r w:rsidRPr="00CA7AB7">
            <w:rPr>
              <w:rFonts w:ascii="Times New Roman" w:hAnsi="Times New Roman" w:cs="Times New Roman"/>
            </w:rPr>
            <w:fldChar w:fldCharType="separate"/>
          </w:r>
          <w:r w:rsidR="006E4185" w:rsidRPr="006E4185">
            <w:rPr>
              <w:rFonts w:ascii="Times New Roman" w:hAnsi="Times New Roman" w:cs="Times New Roman"/>
              <w:noProof/>
            </w:rPr>
            <w:t>(LUND, 2018)</w:t>
          </w:r>
          <w:r w:rsidRPr="00CA7AB7">
            <w:rPr>
              <w:rFonts w:ascii="Times New Roman" w:hAnsi="Times New Roman" w:cs="Times New Roman"/>
            </w:rPr>
            <w:fldChar w:fldCharType="end"/>
          </w:r>
        </w:sdtContent>
      </w:sdt>
      <w:r w:rsidRPr="00CA7AB7">
        <w:rPr>
          <w:rFonts w:ascii="Times New Roman" w:hAnsi="Times New Roman" w:cs="Times New Roman"/>
        </w:rPr>
        <w:t>.</w:t>
      </w:r>
    </w:p>
    <w:p w:rsidR="00FA6CBC" w:rsidRDefault="00CA7AB7" w:rsidP="00CA7AB7">
      <w:pPr>
        <w:rPr>
          <w:rFonts w:ascii="Times New Roman" w:hAnsi="Times New Roman" w:cs="Times New Roman"/>
          <w:b/>
        </w:rPr>
      </w:pPr>
      <w:r>
        <w:rPr>
          <w:rFonts w:ascii="Times New Roman" w:hAnsi="Times New Roman" w:cs="Times New Roman"/>
          <w:b/>
        </w:rPr>
        <w:t xml:space="preserve"> </w:t>
      </w:r>
    </w:p>
    <w:sdt>
      <w:sdtPr>
        <w:id w:val="545488696"/>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rsidR="006E4185" w:rsidRDefault="006E4185">
          <w:pPr>
            <w:pStyle w:val="Heading1"/>
          </w:pPr>
          <w:r>
            <w:t>Works Cited</w:t>
          </w:r>
        </w:p>
        <w:p w:rsidR="006E4185" w:rsidRDefault="006E4185" w:rsidP="006E4185">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ASHFORD, W. (2016). </w:t>
          </w:r>
          <w:r>
            <w:rPr>
              <w:i/>
              <w:iCs/>
              <w:noProof/>
              <w:lang w:val="en-US"/>
            </w:rPr>
            <w:t>Key facts businesses need to note about GDPR</w:t>
          </w:r>
          <w:r>
            <w:rPr>
              <w:noProof/>
              <w:lang w:val="en-US"/>
            </w:rPr>
            <w:t>. Retrieved May 2018, from https://www.computerweekly.com/news/450296306/10-key-facts-businesses-need-to-note-about-the-GDPR</w:t>
          </w:r>
        </w:p>
        <w:p w:rsidR="006E4185" w:rsidRDefault="006E4185" w:rsidP="006E4185">
          <w:pPr>
            <w:pStyle w:val="Bibliography"/>
            <w:ind w:left="720" w:hanging="720"/>
            <w:rPr>
              <w:noProof/>
              <w:lang w:val="en-US"/>
            </w:rPr>
          </w:pPr>
          <w:r>
            <w:rPr>
              <w:noProof/>
              <w:lang w:val="en-US"/>
            </w:rPr>
            <w:t xml:space="preserve">BURGESS, M. (2018). </w:t>
          </w:r>
          <w:r>
            <w:rPr>
              <w:i/>
              <w:iCs/>
              <w:noProof/>
              <w:lang w:val="en-US"/>
            </w:rPr>
            <w:t>Summary guide to GDPR compliance in the UK</w:t>
          </w:r>
          <w:r>
            <w:rPr>
              <w:noProof/>
              <w:lang w:val="en-US"/>
            </w:rPr>
            <w:t>. Retrieved 05 13, 2018, from http://www.wired.co.uk/article/what-is-gdpr-uk-eu-legislation-compliance-summary-fines-2018</w:t>
          </w:r>
        </w:p>
        <w:p w:rsidR="006E4185" w:rsidRDefault="006E4185" w:rsidP="006E4185">
          <w:pPr>
            <w:pStyle w:val="Bibliography"/>
            <w:ind w:left="720" w:hanging="720"/>
            <w:rPr>
              <w:noProof/>
              <w:lang w:val="en-US"/>
            </w:rPr>
          </w:pPr>
          <w:r>
            <w:rPr>
              <w:noProof/>
              <w:lang w:val="en-US"/>
            </w:rPr>
            <w:t xml:space="preserve">HOWELLS, J. (2017). </w:t>
          </w:r>
          <w:r>
            <w:rPr>
              <w:i/>
              <w:iCs/>
              <w:noProof/>
              <w:lang w:val="en-US"/>
            </w:rPr>
            <w:t>gdpr-will-affect-company/</w:t>
          </w:r>
          <w:r>
            <w:rPr>
              <w:noProof/>
              <w:lang w:val="en-US"/>
            </w:rPr>
            <w:t>. Retrieved MAY 2018, from https://www.qualitycompanyformations.co.uk/blog/gdpr-will-affect-company/</w:t>
          </w:r>
        </w:p>
        <w:p w:rsidR="006E4185" w:rsidRDefault="006E4185" w:rsidP="006E4185">
          <w:pPr>
            <w:pStyle w:val="Bibliography"/>
            <w:ind w:left="720" w:hanging="720"/>
            <w:rPr>
              <w:noProof/>
              <w:lang w:val="en-US"/>
            </w:rPr>
          </w:pPr>
          <w:r>
            <w:rPr>
              <w:noProof/>
              <w:lang w:val="en-US"/>
            </w:rPr>
            <w:t xml:space="preserve">LUND, J. (2018). </w:t>
          </w:r>
          <w:r>
            <w:rPr>
              <w:i/>
              <w:iCs/>
              <w:noProof/>
              <w:lang w:val="en-US"/>
            </w:rPr>
            <w:t>What is GDPR and How Does It Impact Your Business?</w:t>
          </w:r>
          <w:r>
            <w:rPr>
              <w:noProof/>
              <w:lang w:val="en-US"/>
            </w:rPr>
            <w:t xml:space="preserve"> Retrieved May 2018, from https://www.superoffice.com/blog/gdpr/</w:t>
          </w:r>
        </w:p>
        <w:p w:rsidR="006E4185" w:rsidRDefault="006E4185" w:rsidP="006E4185">
          <w:pPr>
            <w:pStyle w:val="Bibliography"/>
            <w:ind w:left="720" w:hanging="720"/>
            <w:rPr>
              <w:noProof/>
              <w:lang w:val="en-US"/>
            </w:rPr>
          </w:pPr>
          <w:r>
            <w:rPr>
              <w:noProof/>
              <w:lang w:val="en-US"/>
            </w:rPr>
            <w:t xml:space="preserve">TIRBUTT, E. (2018). </w:t>
          </w:r>
          <w:r>
            <w:rPr>
              <w:i/>
              <w:iCs/>
              <w:noProof/>
              <w:lang w:val="en-US"/>
            </w:rPr>
            <w:t>everything-you-need-to-know-about-payroll-and-gdpr</w:t>
          </w:r>
          <w:r>
            <w:rPr>
              <w:noProof/>
              <w:lang w:val="en-US"/>
            </w:rPr>
            <w:t>. Retrieved MAY 2018, from http://www.hrmagazine.co.uk/article-details/everything-you-need-to-know-about-payroll-and-gdpr</w:t>
          </w:r>
        </w:p>
        <w:p w:rsidR="006E4185" w:rsidRDefault="006E4185" w:rsidP="006E4185">
          <w:r>
            <w:rPr>
              <w:b/>
              <w:bCs/>
            </w:rPr>
            <w:fldChar w:fldCharType="end"/>
          </w:r>
        </w:p>
      </w:sdtContent>
    </w:sdt>
    <w:p w:rsidR="00904EBC" w:rsidRPr="00CA7AB7" w:rsidRDefault="00904EBC" w:rsidP="00CA7AB7">
      <w:pPr>
        <w:rPr>
          <w:rFonts w:ascii="Times New Roman" w:hAnsi="Times New Roman" w:cs="Times New Roman"/>
          <w:b/>
        </w:rPr>
      </w:pPr>
    </w:p>
    <w:sectPr w:rsidR="00904EBC" w:rsidRPr="00CA7AB7" w:rsidSect="00AF2F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01D3F"/>
    <w:multiLevelType w:val="multilevel"/>
    <w:tmpl w:val="80DC1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CBC"/>
    <w:rsid w:val="003E34FB"/>
    <w:rsid w:val="006E4185"/>
    <w:rsid w:val="00904EBC"/>
    <w:rsid w:val="00AF2F26"/>
    <w:rsid w:val="00CA7AB7"/>
    <w:rsid w:val="00EC4DD1"/>
    <w:rsid w:val="00FA6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F0A94"/>
  <w15:chartTrackingRefBased/>
  <w15:docId w15:val="{9468FCC3-BAD1-764C-ABFF-20527C6E6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18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18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E4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958870">
      <w:bodyDiv w:val="1"/>
      <w:marLeft w:val="0"/>
      <w:marRight w:val="0"/>
      <w:marTop w:val="0"/>
      <w:marBottom w:val="0"/>
      <w:divBdr>
        <w:top w:val="none" w:sz="0" w:space="0" w:color="auto"/>
        <w:left w:val="none" w:sz="0" w:space="0" w:color="auto"/>
        <w:bottom w:val="none" w:sz="0" w:space="0" w:color="auto"/>
        <w:right w:val="none" w:sz="0" w:space="0" w:color="auto"/>
      </w:divBdr>
    </w:div>
    <w:div w:id="858154303">
      <w:bodyDiv w:val="1"/>
      <w:marLeft w:val="0"/>
      <w:marRight w:val="0"/>
      <w:marTop w:val="0"/>
      <w:marBottom w:val="0"/>
      <w:divBdr>
        <w:top w:val="none" w:sz="0" w:space="0" w:color="auto"/>
        <w:left w:val="none" w:sz="0" w:space="0" w:color="auto"/>
        <w:bottom w:val="none" w:sz="0" w:space="0" w:color="auto"/>
        <w:right w:val="none" w:sz="0" w:space="0" w:color="auto"/>
      </w:divBdr>
    </w:div>
    <w:div w:id="861939747">
      <w:bodyDiv w:val="1"/>
      <w:marLeft w:val="0"/>
      <w:marRight w:val="0"/>
      <w:marTop w:val="0"/>
      <w:marBottom w:val="0"/>
      <w:divBdr>
        <w:top w:val="none" w:sz="0" w:space="0" w:color="auto"/>
        <w:left w:val="none" w:sz="0" w:space="0" w:color="auto"/>
        <w:bottom w:val="none" w:sz="0" w:space="0" w:color="auto"/>
        <w:right w:val="none" w:sz="0" w:space="0" w:color="auto"/>
      </w:divBdr>
    </w:div>
    <w:div w:id="915166275">
      <w:bodyDiv w:val="1"/>
      <w:marLeft w:val="0"/>
      <w:marRight w:val="0"/>
      <w:marTop w:val="0"/>
      <w:marBottom w:val="0"/>
      <w:divBdr>
        <w:top w:val="none" w:sz="0" w:space="0" w:color="auto"/>
        <w:left w:val="none" w:sz="0" w:space="0" w:color="auto"/>
        <w:bottom w:val="none" w:sz="0" w:space="0" w:color="auto"/>
        <w:right w:val="none" w:sz="0" w:space="0" w:color="auto"/>
      </w:divBdr>
    </w:div>
    <w:div w:id="998851799">
      <w:bodyDiv w:val="1"/>
      <w:marLeft w:val="0"/>
      <w:marRight w:val="0"/>
      <w:marTop w:val="0"/>
      <w:marBottom w:val="0"/>
      <w:divBdr>
        <w:top w:val="none" w:sz="0" w:space="0" w:color="auto"/>
        <w:left w:val="none" w:sz="0" w:space="0" w:color="auto"/>
        <w:bottom w:val="none" w:sz="0" w:space="0" w:color="auto"/>
        <w:right w:val="none" w:sz="0" w:space="0" w:color="auto"/>
      </w:divBdr>
    </w:div>
    <w:div w:id="1172069422">
      <w:bodyDiv w:val="1"/>
      <w:marLeft w:val="0"/>
      <w:marRight w:val="0"/>
      <w:marTop w:val="0"/>
      <w:marBottom w:val="0"/>
      <w:divBdr>
        <w:top w:val="none" w:sz="0" w:space="0" w:color="auto"/>
        <w:left w:val="none" w:sz="0" w:space="0" w:color="auto"/>
        <w:bottom w:val="none" w:sz="0" w:space="0" w:color="auto"/>
        <w:right w:val="none" w:sz="0" w:space="0" w:color="auto"/>
      </w:divBdr>
    </w:div>
    <w:div w:id="1344744138">
      <w:bodyDiv w:val="1"/>
      <w:marLeft w:val="0"/>
      <w:marRight w:val="0"/>
      <w:marTop w:val="0"/>
      <w:marBottom w:val="0"/>
      <w:divBdr>
        <w:top w:val="none" w:sz="0" w:space="0" w:color="auto"/>
        <w:left w:val="none" w:sz="0" w:space="0" w:color="auto"/>
        <w:bottom w:val="none" w:sz="0" w:space="0" w:color="auto"/>
        <w:right w:val="none" w:sz="0" w:space="0" w:color="auto"/>
      </w:divBdr>
    </w:div>
    <w:div w:id="1388335832">
      <w:bodyDiv w:val="1"/>
      <w:marLeft w:val="0"/>
      <w:marRight w:val="0"/>
      <w:marTop w:val="0"/>
      <w:marBottom w:val="0"/>
      <w:divBdr>
        <w:top w:val="none" w:sz="0" w:space="0" w:color="auto"/>
        <w:left w:val="none" w:sz="0" w:space="0" w:color="auto"/>
        <w:bottom w:val="none" w:sz="0" w:space="0" w:color="auto"/>
        <w:right w:val="none" w:sz="0" w:space="0" w:color="auto"/>
      </w:divBdr>
    </w:div>
    <w:div w:id="1570269899">
      <w:bodyDiv w:val="1"/>
      <w:marLeft w:val="0"/>
      <w:marRight w:val="0"/>
      <w:marTop w:val="0"/>
      <w:marBottom w:val="0"/>
      <w:divBdr>
        <w:top w:val="none" w:sz="0" w:space="0" w:color="auto"/>
        <w:left w:val="none" w:sz="0" w:space="0" w:color="auto"/>
        <w:bottom w:val="none" w:sz="0" w:space="0" w:color="auto"/>
        <w:right w:val="none" w:sz="0" w:space="0" w:color="auto"/>
      </w:divBdr>
    </w:div>
    <w:div w:id="190290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mputerweekly.com/news/450280565/Dropbox-gears-up-for-new-EU-data-protection-rule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MAT18</b:Tag>
    <b:SourceType>InternetSite</b:SourceType>
    <b:Guid>{196FDC1C-F17D-AB4E-8159-D1BFDD3B7878}</b:Guid>
    <b:Author>
      <b:Author>
        <b:NameList>
          <b:Person>
            <b:Last>BURGESS</b:Last>
            <b:First>MATT</b:First>
          </b:Person>
        </b:NameList>
      </b:Author>
    </b:Author>
    <b:Title>Summary guide to GDPR compliance in the UK</b:Title>
    <b:URL>http://www.wired.co.uk/article/what-is-gdpr-uk-eu-legislation-compliance-summary-fines-2018</b:URL>
    <b:Year>2018</b:Year>
    <b:YearAccessed>2018</b:YearAccessed>
    <b:MonthAccessed>05</b:MonthAccessed>
    <b:DayAccessed>13</b:DayAccessed>
    <b:RefOrder>1</b:RefOrder>
  </b:Source>
  <b:Source>
    <b:Tag>War16</b:Tag>
    <b:SourceType>InternetSite</b:SourceType>
    <b:Guid>{FD010D1F-5586-EF49-A5F3-EEBECB8A6DFA}</b:Guid>
    <b:Author>
      <b:Author>
        <b:NameList>
          <b:Person>
            <b:Last>ASHFORD</b:Last>
            <b:First>Warwick</b:First>
          </b:Person>
        </b:NameList>
      </b:Author>
    </b:Author>
    <b:Title>Key facts businesses need to note about GDPR</b:Title>
    <b:URL>https://www.computerweekly.com/news/450296306/10-key-facts-businesses-need-to-note-about-the-GDPR</b:URL>
    <b:Year>2016</b:Year>
    <b:YearAccessed>2018</b:YearAccessed>
    <b:MonthAccessed>May</b:MonthAccessed>
    <b:RefOrder>3</b:RefOrder>
  </b:Source>
  <b:Source>
    <b:Tag>EDM18</b:Tag>
    <b:SourceType>InternetSite</b:SourceType>
    <b:Guid>{9EA2605A-B075-A04E-AD0E-3E6A6324E1B0}</b:Guid>
    <b:Author>
      <b:Author>
        <b:NameList>
          <b:Person>
            <b:Last>TIRBUTT</b:Last>
            <b:First>EDMUND</b:First>
          </b:Person>
        </b:NameList>
      </b:Author>
    </b:Author>
    <b:Title>everything-you-need-to-know-about-payroll-and-gdpr</b:Title>
    <b:URL>http://www.hrmagazine.co.uk/article-details/everything-you-need-to-know-about-payroll-and-gdpr</b:URL>
    <b:Year>2018</b:Year>
    <b:YearAccessed>2018</b:YearAccessed>
    <b:MonthAccessed>MAY</b:MonthAccessed>
    <b:RefOrder>4</b:RefOrder>
  </b:Source>
  <b:Source>
    <b:Tag>JEN18</b:Tag>
    <b:SourceType>InternetSite</b:SourceType>
    <b:Guid>{2A0ADC48-FE37-FC4A-8C5E-2441E1AAD8C9}</b:Guid>
    <b:Author>
      <b:Author>
        <b:NameList>
          <b:Person>
            <b:Last>LUND</b:Last>
            <b:First>JENNIFER</b:First>
          </b:Person>
        </b:NameList>
      </b:Author>
    </b:Author>
    <b:Title>What is GDPR and How Does It Impact Your Business?</b:Title>
    <b:URL>https://www.superoffice.com/blog/gdpr/</b:URL>
    <b:Year>2018</b:Year>
    <b:YearAccessed>2018</b:YearAccessed>
    <b:MonthAccessed>May</b:MonthAccessed>
    <b:RefOrder>5</b:RefOrder>
  </b:Source>
  <b:Source>
    <b:Tag>JAM17</b:Tag>
    <b:SourceType>InternetSite</b:SourceType>
    <b:Guid>{BDBEC4C3-74BD-4D42-85C9-0117A6A536D4}</b:Guid>
    <b:Author>
      <b:Author>
        <b:NameList>
          <b:Person>
            <b:Last>HOWELLS</b:Last>
            <b:First>JAMES</b:First>
          </b:Person>
        </b:NameList>
      </b:Author>
    </b:Author>
    <b:Title>gdpr-will-affect-company/</b:Title>
    <b:URL>https://www.qualitycompanyformations.co.uk/blog/gdpr-will-affect-company/</b:URL>
    <b:Year>2017</b:Year>
    <b:YearAccessed>2018</b:YearAccessed>
    <b:MonthAccessed>MAY</b:MonthAccessed>
    <b:RefOrder>2</b:RefOrder>
  </b:Source>
</b:Sources>
</file>

<file path=customXml/itemProps1.xml><?xml version="1.0" encoding="utf-8"?>
<ds:datastoreItem xmlns:ds="http://schemas.openxmlformats.org/officeDocument/2006/customXml" ds:itemID="{752D38AB-0864-F34B-953C-75FE096AE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3</Pages>
  <Words>1214</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Ford (P147701)</dc:creator>
  <cp:keywords/>
  <dc:description/>
  <cp:lastModifiedBy>Meg Ford (P147701)</cp:lastModifiedBy>
  <cp:revision>1</cp:revision>
  <dcterms:created xsi:type="dcterms:W3CDTF">2018-05-21T12:30:00Z</dcterms:created>
  <dcterms:modified xsi:type="dcterms:W3CDTF">2018-05-21T13:36:00Z</dcterms:modified>
</cp:coreProperties>
</file>