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7BEA" w:rsidRPr="0063385F" w:rsidRDefault="0022590D" w:rsidP="00997BEA">
      <w:pPr>
        <w:jc w:val="center"/>
        <w:rPr>
          <w:rFonts w:cs="Times New Roman"/>
          <w:sz w:val="36"/>
          <w:szCs w:val="36"/>
        </w:rPr>
      </w:pPr>
      <w:r>
        <w:rPr>
          <w:rFonts w:cs="Times New Roman"/>
          <w:sz w:val="36"/>
          <w:szCs w:val="36"/>
        </w:rPr>
        <w:t xml:space="preserve">Programme: </w:t>
      </w:r>
      <w:r w:rsidR="00997BEA" w:rsidRPr="0063385F">
        <w:rPr>
          <w:rFonts w:cs="Times New Roman"/>
          <w:sz w:val="36"/>
          <w:szCs w:val="36"/>
        </w:rPr>
        <w:t>Law Portfolio</w:t>
      </w:r>
    </w:p>
    <w:p w:rsidR="00E8610A" w:rsidRPr="0063385F" w:rsidRDefault="00042208" w:rsidP="00997BEA">
      <w:pPr>
        <w:jc w:val="center"/>
        <w:rPr>
          <w:rFonts w:cs="Times New Roman"/>
          <w:sz w:val="36"/>
          <w:szCs w:val="36"/>
        </w:rPr>
      </w:pPr>
      <w:r w:rsidRPr="0063385F">
        <w:rPr>
          <w:rFonts w:cs="Times New Roman"/>
          <w:sz w:val="36"/>
          <w:szCs w:val="36"/>
        </w:rPr>
        <w:t>Module: Criminal Law</w:t>
      </w:r>
    </w:p>
    <w:p w:rsidR="00042208" w:rsidRPr="0063385F" w:rsidRDefault="00042208" w:rsidP="00997BEA">
      <w:pPr>
        <w:jc w:val="center"/>
        <w:rPr>
          <w:rFonts w:cs="Times New Roman"/>
          <w:sz w:val="36"/>
          <w:szCs w:val="36"/>
        </w:rPr>
      </w:pPr>
      <w:r w:rsidRPr="0063385F">
        <w:rPr>
          <w:rFonts w:cs="Times New Roman"/>
          <w:sz w:val="36"/>
          <w:szCs w:val="36"/>
        </w:rPr>
        <w:t>Assignment Title: Liability by Omission</w:t>
      </w: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p w:rsidR="00E8610A" w:rsidRPr="0063385F" w:rsidRDefault="00E8610A">
      <w:pPr>
        <w:rPr>
          <w:rFonts w:cs="Times New Roman"/>
        </w:rPr>
      </w:pPr>
    </w:p>
    <w:sdt>
      <w:sdtPr>
        <w:rPr>
          <w:rFonts w:ascii="Times New Roman" w:eastAsiaTheme="minorHAnsi" w:hAnsi="Times New Roman" w:cs="Times New Roman"/>
          <w:color w:val="auto"/>
          <w:sz w:val="24"/>
          <w:szCs w:val="22"/>
        </w:rPr>
        <w:id w:val="2074695319"/>
        <w:docPartObj>
          <w:docPartGallery w:val="Table of Contents"/>
          <w:docPartUnique/>
        </w:docPartObj>
      </w:sdtPr>
      <w:sdtEndPr>
        <w:rPr>
          <w:b/>
          <w:bCs/>
          <w:noProof/>
        </w:rPr>
      </w:sdtEndPr>
      <w:sdtContent>
        <w:p w:rsidR="000B319A" w:rsidRPr="0063385F" w:rsidRDefault="000B319A" w:rsidP="0022590D">
          <w:pPr>
            <w:pStyle w:val="TOCHeading"/>
            <w:jc w:val="center"/>
            <w:rPr>
              <w:rFonts w:ascii="Times New Roman" w:hAnsi="Times New Roman" w:cs="Times New Roman"/>
            </w:rPr>
          </w:pPr>
          <w:r w:rsidRPr="0063385F">
            <w:rPr>
              <w:rFonts w:ascii="Times New Roman" w:hAnsi="Times New Roman" w:cs="Times New Roman"/>
            </w:rPr>
            <w:t>Table of Contents</w:t>
          </w:r>
        </w:p>
        <w:p w:rsidR="0063385F" w:rsidRDefault="000B319A">
          <w:pPr>
            <w:pStyle w:val="TOC1"/>
            <w:tabs>
              <w:tab w:val="right" w:leader="dot" w:pos="9350"/>
            </w:tabs>
            <w:rPr>
              <w:rFonts w:asciiTheme="minorHAnsi" w:eastAsiaTheme="minorEastAsia" w:hAnsiTheme="minorHAnsi"/>
              <w:noProof/>
              <w:sz w:val="22"/>
            </w:rPr>
          </w:pPr>
          <w:r w:rsidRPr="0063385F">
            <w:rPr>
              <w:rFonts w:cs="Times New Roman"/>
            </w:rPr>
            <w:fldChar w:fldCharType="begin"/>
          </w:r>
          <w:r w:rsidRPr="0063385F">
            <w:rPr>
              <w:rFonts w:cs="Times New Roman"/>
            </w:rPr>
            <w:instrText xml:space="preserve"> TOC \o "1-3" \h \z \u </w:instrText>
          </w:r>
          <w:r w:rsidRPr="0063385F">
            <w:rPr>
              <w:rFonts w:cs="Times New Roman"/>
            </w:rPr>
            <w:fldChar w:fldCharType="separate"/>
          </w:r>
          <w:hyperlink w:anchor="_Toc119189905" w:history="1">
            <w:r w:rsidR="0063385F" w:rsidRPr="00721120">
              <w:rPr>
                <w:rStyle w:val="Hyperlink"/>
                <w:rFonts w:cs="Times New Roman"/>
                <w:noProof/>
              </w:rPr>
              <w:t>Introduction</w:t>
            </w:r>
            <w:r w:rsidR="0063385F">
              <w:rPr>
                <w:noProof/>
                <w:webHidden/>
              </w:rPr>
              <w:tab/>
            </w:r>
            <w:r w:rsidR="0063385F">
              <w:rPr>
                <w:noProof/>
                <w:webHidden/>
              </w:rPr>
              <w:fldChar w:fldCharType="begin"/>
            </w:r>
            <w:r w:rsidR="0063385F">
              <w:rPr>
                <w:noProof/>
                <w:webHidden/>
              </w:rPr>
              <w:instrText xml:space="preserve"> PAGEREF _Toc119189905 \h </w:instrText>
            </w:r>
            <w:r w:rsidR="0063385F">
              <w:rPr>
                <w:noProof/>
                <w:webHidden/>
              </w:rPr>
            </w:r>
            <w:r w:rsidR="0063385F">
              <w:rPr>
                <w:noProof/>
                <w:webHidden/>
              </w:rPr>
              <w:fldChar w:fldCharType="separate"/>
            </w:r>
            <w:r w:rsidR="0063385F">
              <w:rPr>
                <w:noProof/>
                <w:webHidden/>
              </w:rPr>
              <w:t>3</w:t>
            </w:r>
            <w:r w:rsidR="0063385F">
              <w:rPr>
                <w:noProof/>
                <w:webHidden/>
              </w:rPr>
              <w:fldChar w:fldCharType="end"/>
            </w:r>
          </w:hyperlink>
        </w:p>
        <w:p w:rsidR="0063385F" w:rsidRDefault="00D14E6C">
          <w:pPr>
            <w:pStyle w:val="TOC1"/>
            <w:tabs>
              <w:tab w:val="right" w:leader="dot" w:pos="9350"/>
            </w:tabs>
            <w:rPr>
              <w:rFonts w:asciiTheme="minorHAnsi" w:eastAsiaTheme="minorEastAsia" w:hAnsiTheme="minorHAnsi"/>
              <w:noProof/>
              <w:sz w:val="22"/>
            </w:rPr>
          </w:pPr>
          <w:hyperlink w:anchor="_Toc119189906" w:history="1">
            <w:r w:rsidR="0063385F" w:rsidRPr="00721120">
              <w:rPr>
                <w:rStyle w:val="Hyperlink"/>
                <w:rFonts w:cs="Times New Roman"/>
                <w:noProof/>
              </w:rPr>
              <w:t>Discussion of the situations in which failing to act can result in criminal liability</w:t>
            </w:r>
            <w:r w:rsidR="0063385F">
              <w:rPr>
                <w:noProof/>
                <w:webHidden/>
              </w:rPr>
              <w:tab/>
            </w:r>
            <w:r w:rsidR="0063385F">
              <w:rPr>
                <w:noProof/>
                <w:webHidden/>
              </w:rPr>
              <w:fldChar w:fldCharType="begin"/>
            </w:r>
            <w:r w:rsidR="0063385F">
              <w:rPr>
                <w:noProof/>
                <w:webHidden/>
              </w:rPr>
              <w:instrText xml:space="preserve"> PAGEREF _Toc119189906 \h </w:instrText>
            </w:r>
            <w:r w:rsidR="0063385F">
              <w:rPr>
                <w:noProof/>
                <w:webHidden/>
              </w:rPr>
            </w:r>
            <w:r w:rsidR="0063385F">
              <w:rPr>
                <w:noProof/>
                <w:webHidden/>
              </w:rPr>
              <w:fldChar w:fldCharType="separate"/>
            </w:r>
            <w:r w:rsidR="0063385F">
              <w:rPr>
                <w:noProof/>
                <w:webHidden/>
              </w:rPr>
              <w:t>3</w:t>
            </w:r>
            <w:r w:rsidR="0063385F">
              <w:rPr>
                <w:noProof/>
                <w:webHidden/>
              </w:rPr>
              <w:fldChar w:fldCharType="end"/>
            </w:r>
          </w:hyperlink>
        </w:p>
        <w:p w:rsidR="0063385F" w:rsidRDefault="00D14E6C">
          <w:pPr>
            <w:pStyle w:val="TOC2"/>
            <w:tabs>
              <w:tab w:val="right" w:leader="dot" w:pos="9350"/>
            </w:tabs>
            <w:rPr>
              <w:rFonts w:asciiTheme="minorHAnsi" w:eastAsiaTheme="minorEastAsia" w:hAnsiTheme="minorHAnsi"/>
              <w:noProof/>
              <w:sz w:val="22"/>
            </w:rPr>
          </w:pPr>
          <w:hyperlink w:anchor="_Toc119189907" w:history="1">
            <w:r w:rsidR="0063385F" w:rsidRPr="00721120">
              <w:rPr>
                <w:rStyle w:val="Hyperlink"/>
                <w:rFonts w:cs="Times New Roman"/>
                <w:noProof/>
              </w:rPr>
              <w:t>A crime related failure to act</w:t>
            </w:r>
            <w:r w:rsidR="0063385F">
              <w:rPr>
                <w:noProof/>
                <w:webHidden/>
              </w:rPr>
              <w:tab/>
            </w:r>
            <w:r w:rsidR="0063385F">
              <w:rPr>
                <w:noProof/>
                <w:webHidden/>
              </w:rPr>
              <w:fldChar w:fldCharType="begin"/>
            </w:r>
            <w:r w:rsidR="0063385F">
              <w:rPr>
                <w:noProof/>
                <w:webHidden/>
              </w:rPr>
              <w:instrText xml:space="preserve"> PAGEREF _Toc119189907 \h </w:instrText>
            </w:r>
            <w:r w:rsidR="0063385F">
              <w:rPr>
                <w:noProof/>
                <w:webHidden/>
              </w:rPr>
            </w:r>
            <w:r w:rsidR="0063385F">
              <w:rPr>
                <w:noProof/>
                <w:webHidden/>
              </w:rPr>
              <w:fldChar w:fldCharType="separate"/>
            </w:r>
            <w:r w:rsidR="0063385F">
              <w:rPr>
                <w:noProof/>
                <w:webHidden/>
              </w:rPr>
              <w:t>3</w:t>
            </w:r>
            <w:r w:rsidR="0063385F">
              <w:rPr>
                <w:noProof/>
                <w:webHidden/>
              </w:rPr>
              <w:fldChar w:fldCharType="end"/>
            </w:r>
          </w:hyperlink>
        </w:p>
        <w:p w:rsidR="0063385F" w:rsidRDefault="00D14E6C">
          <w:pPr>
            <w:pStyle w:val="TOC2"/>
            <w:tabs>
              <w:tab w:val="right" w:leader="dot" w:pos="9350"/>
            </w:tabs>
            <w:rPr>
              <w:rFonts w:asciiTheme="minorHAnsi" w:eastAsiaTheme="minorEastAsia" w:hAnsiTheme="minorHAnsi"/>
              <w:noProof/>
              <w:sz w:val="22"/>
            </w:rPr>
          </w:pPr>
          <w:hyperlink w:anchor="_Toc119189908" w:history="1">
            <w:r w:rsidR="0063385F" w:rsidRPr="00721120">
              <w:rPr>
                <w:rStyle w:val="Hyperlink"/>
                <w:rFonts w:cs="Times New Roman"/>
                <w:noProof/>
              </w:rPr>
              <w:t>Whether there is a general duty to act in criminal law</w:t>
            </w:r>
            <w:r w:rsidR="0063385F">
              <w:rPr>
                <w:noProof/>
                <w:webHidden/>
              </w:rPr>
              <w:tab/>
            </w:r>
            <w:r w:rsidR="0063385F">
              <w:rPr>
                <w:noProof/>
                <w:webHidden/>
              </w:rPr>
              <w:fldChar w:fldCharType="begin"/>
            </w:r>
            <w:r w:rsidR="0063385F">
              <w:rPr>
                <w:noProof/>
                <w:webHidden/>
              </w:rPr>
              <w:instrText xml:space="preserve"> PAGEREF _Toc119189908 \h </w:instrText>
            </w:r>
            <w:r w:rsidR="0063385F">
              <w:rPr>
                <w:noProof/>
                <w:webHidden/>
              </w:rPr>
            </w:r>
            <w:r w:rsidR="0063385F">
              <w:rPr>
                <w:noProof/>
                <w:webHidden/>
              </w:rPr>
              <w:fldChar w:fldCharType="separate"/>
            </w:r>
            <w:r w:rsidR="0063385F">
              <w:rPr>
                <w:noProof/>
                <w:webHidden/>
              </w:rPr>
              <w:t>3</w:t>
            </w:r>
            <w:r w:rsidR="0063385F">
              <w:rPr>
                <w:noProof/>
                <w:webHidden/>
              </w:rPr>
              <w:fldChar w:fldCharType="end"/>
            </w:r>
          </w:hyperlink>
        </w:p>
        <w:p w:rsidR="0063385F" w:rsidRDefault="00D14E6C">
          <w:pPr>
            <w:pStyle w:val="TOC2"/>
            <w:tabs>
              <w:tab w:val="right" w:leader="dot" w:pos="9350"/>
            </w:tabs>
            <w:rPr>
              <w:rFonts w:asciiTheme="minorHAnsi" w:eastAsiaTheme="minorEastAsia" w:hAnsiTheme="minorHAnsi"/>
              <w:noProof/>
              <w:sz w:val="22"/>
            </w:rPr>
          </w:pPr>
          <w:hyperlink w:anchor="_Toc119189909" w:history="1">
            <w:r w:rsidR="0063385F" w:rsidRPr="00721120">
              <w:rPr>
                <w:rStyle w:val="Hyperlink"/>
                <w:rFonts w:cs="Times New Roman"/>
                <w:noProof/>
              </w:rPr>
              <w:t>The requirements for a crime to be committed by omission</w:t>
            </w:r>
            <w:r w:rsidR="0063385F">
              <w:rPr>
                <w:noProof/>
                <w:webHidden/>
              </w:rPr>
              <w:tab/>
            </w:r>
            <w:r w:rsidR="0063385F">
              <w:rPr>
                <w:noProof/>
                <w:webHidden/>
              </w:rPr>
              <w:fldChar w:fldCharType="begin"/>
            </w:r>
            <w:r w:rsidR="0063385F">
              <w:rPr>
                <w:noProof/>
                <w:webHidden/>
              </w:rPr>
              <w:instrText xml:space="preserve"> PAGEREF _Toc119189909 \h </w:instrText>
            </w:r>
            <w:r w:rsidR="0063385F">
              <w:rPr>
                <w:noProof/>
                <w:webHidden/>
              </w:rPr>
            </w:r>
            <w:r w:rsidR="0063385F">
              <w:rPr>
                <w:noProof/>
                <w:webHidden/>
              </w:rPr>
              <w:fldChar w:fldCharType="separate"/>
            </w:r>
            <w:r w:rsidR="0063385F">
              <w:rPr>
                <w:noProof/>
                <w:webHidden/>
              </w:rPr>
              <w:t>4</w:t>
            </w:r>
            <w:r w:rsidR="0063385F">
              <w:rPr>
                <w:noProof/>
                <w:webHidden/>
              </w:rPr>
              <w:fldChar w:fldCharType="end"/>
            </w:r>
          </w:hyperlink>
        </w:p>
        <w:p w:rsidR="0063385F" w:rsidRDefault="00D14E6C">
          <w:pPr>
            <w:pStyle w:val="TOC2"/>
            <w:tabs>
              <w:tab w:val="right" w:leader="dot" w:pos="9350"/>
            </w:tabs>
            <w:rPr>
              <w:rFonts w:asciiTheme="minorHAnsi" w:eastAsiaTheme="minorEastAsia" w:hAnsiTheme="minorHAnsi"/>
              <w:noProof/>
              <w:sz w:val="22"/>
            </w:rPr>
          </w:pPr>
          <w:hyperlink w:anchor="_Toc119189910" w:history="1">
            <w:r w:rsidR="0063385F" w:rsidRPr="00721120">
              <w:rPr>
                <w:rStyle w:val="Hyperlink"/>
                <w:rFonts w:cs="Times New Roman"/>
                <w:noProof/>
              </w:rPr>
              <w:t>Statutory duty to act</w:t>
            </w:r>
            <w:r w:rsidR="0063385F">
              <w:rPr>
                <w:noProof/>
                <w:webHidden/>
              </w:rPr>
              <w:tab/>
            </w:r>
            <w:r w:rsidR="0063385F">
              <w:rPr>
                <w:noProof/>
                <w:webHidden/>
              </w:rPr>
              <w:fldChar w:fldCharType="begin"/>
            </w:r>
            <w:r w:rsidR="0063385F">
              <w:rPr>
                <w:noProof/>
                <w:webHidden/>
              </w:rPr>
              <w:instrText xml:space="preserve"> PAGEREF _Toc119189910 \h </w:instrText>
            </w:r>
            <w:r w:rsidR="0063385F">
              <w:rPr>
                <w:noProof/>
                <w:webHidden/>
              </w:rPr>
            </w:r>
            <w:r w:rsidR="0063385F">
              <w:rPr>
                <w:noProof/>
                <w:webHidden/>
              </w:rPr>
              <w:fldChar w:fldCharType="separate"/>
            </w:r>
            <w:r w:rsidR="0063385F">
              <w:rPr>
                <w:noProof/>
                <w:webHidden/>
              </w:rPr>
              <w:t>4</w:t>
            </w:r>
            <w:r w:rsidR="0063385F">
              <w:rPr>
                <w:noProof/>
                <w:webHidden/>
              </w:rPr>
              <w:fldChar w:fldCharType="end"/>
            </w:r>
          </w:hyperlink>
        </w:p>
        <w:p w:rsidR="0063385F" w:rsidRDefault="00D14E6C">
          <w:pPr>
            <w:pStyle w:val="TOC2"/>
            <w:tabs>
              <w:tab w:val="right" w:leader="dot" w:pos="9350"/>
            </w:tabs>
            <w:rPr>
              <w:rFonts w:asciiTheme="minorHAnsi" w:eastAsiaTheme="minorEastAsia" w:hAnsiTheme="minorHAnsi"/>
              <w:noProof/>
              <w:sz w:val="22"/>
            </w:rPr>
          </w:pPr>
          <w:hyperlink w:anchor="_Toc119189911" w:history="1">
            <w:r w:rsidR="0063385F" w:rsidRPr="00721120">
              <w:rPr>
                <w:rStyle w:val="Hyperlink"/>
                <w:rFonts w:cs="Times New Roman"/>
                <w:noProof/>
              </w:rPr>
              <w:t>Contractual/ duty to act</w:t>
            </w:r>
            <w:r w:rsidR="0063385F">
              <w:rPr>
                <w:noProof/>
                <w:webHidden/>
              </w:rPr>
              <w:tab/>
            </w:r>
            <w:r w:rsidR="0063385F">
              <w:rPr>
                <w:noProof/>
                <w:webHidden/>
              </w:rPr>
              <w:fldChar w:fldCharType="begin"/>
            </w:r>
            <w:r w:rsidR="0063385F">
              <w:rPr>
                <w:noProof/>
                <w:webHidden/>
              </w:rPr>
              <w:instrText xml:space="preserve"> PAGEREF _Toc119189911 \h </w:instrText>
            </w:r>
            <w:r w:rsidR="0063385F">
              <w:rPr>
                <w:noProof/>
                <w:webHidden/>
              </w:rPr>
            </w:r>
            <w:r w:rsidR="0063385F">
              <w:rPr>
                <w:noProof/>
                <w:webHidden/>
              </w:rPr>
              <w:fldChar w:fldCharType="separate"/>
            </w:r>
            <w:r w:rsidR="0063385F">
              <w:rPr>
                <w:noProof/>
                <w:webHidden/>
              </w:rPr>
              <w:t>5</w:t>
            </w:r>
            <w:r w:rsidR="0063385F">
              <w:rPr>
                <w:noProof/>
                <w:webHidden/>
              </w:rPr>
              <w:fldChar w:fldCharType="end"/>
            </w:r>
          </w:hyperlink>
        </w:p>
        <w:p w:rsidR="0063385F" w:rsidRDefault="00D14E6C">
          <w:pPr>
            <w:pStyle w:val="TOC2"/>
            <w:tabs>
              <w:tab w:val="right" w:leader="dot" w:pos="9350"/>
            </w:tabs>
            <w:rPr>
              <w:rFonts w:asciiTheme="minorHAnsi" w:eastAsiaTheme="minorEastAsia" w:hAnsiTheme="minorHAnsi"/>
              <w:noProof/>
              <w:sz w:val="22"/>
            </w:rPr>
          </w:pPr>
          <w:hyperlink w:anchor="_Toc119189912" w:history="1">
            <w:r w:rsidR="0063385F" w:rsidRPr="00721120">
              <w:rPr>
                <w:rStyle w:val="Hyperlink"/>
                <w:rFonts w:cs="Times New Roman"/>
                <w:noProof/>
              </w:rPr>
              <w:t>A common law duty to act arise</w:t>
            </w:r>
            <w:r w:rsidR="0063385F">
              <w:rPr>
                <w:noProof/>
                <w:webHidden/>
              </w:rPr>
              <w:tab/>
            </w:r>
            <w:r w:rsidR="0063385F">
              <w:rPr>
                <w:noProof/>
                <w:webHidden/>
              </w:rPr>
              <w:fldChar w:fldCharType="begin"/>
            </w:r>
            <w:r w:rsidR="0063385F">
              <w:rPr>
                <w:noProof/>
                <w:webHidden/>
              </w:rPr>
              <w:instrText xml:space="preserve"> PAGEREF _Toc119189912 \h </w:instrText>
            </w:r>
            <w:r w:rsidR="0063385F">
              <w:rPr>
                <w:noProof/>
                <w:webHidden/>
              </w:rPr>
            </w:r>
            <w:r w:rsidR="0063385F">
              <w:rPr>
                <w:noProof/>
                <w:webHidden/>
              </w:rPr>
              <w:fldChar w:fldCharType="separate"/>
            </w:r>
            <w:r w:rsidR="0063385F">
              <w:rPr>
                <w:noProof/>
                <w:webHidden/>
              </w:rPr>
              <w:t>5</w:t>
            </w:r>
            <w:r w:rsidR="0063385F">
              <w:rPr>
                <w:noProof/>
                <w:webHidden/>
              </w:rPr>
              <w:fldChar w:fldCharType="end"/>
            </w:r>
          </w:hyperlink>
        </w:p>
        <w:p w:rsidR="0063385F" w:rsidRDefault="00D14E6C">
          <w:pPr>
            <w:pStyle w:val="TOC2"/>
            <w:tabs>
              <w:tab w:val="right" w:leader="dot" w:pos="9350"/>
            </w:tabs>
            <w:rPr>
              <w:rFonts w:asciiTheme="minorHAnsi" w:eastAsiaTheme="minorEastAsia" w:hAnsiTheme="minorHAnsi"/>
              <w:noProof/>
              <w:sz w:val="22"/>
            </w:rPr>
          </w:pPr>
          <w:hyperlink w:anchor="_Toc119189913" w:history="1">
            <w:r w:rsidR="0063385F" w:rsidRPr="00721120">
              <w:rPr>
                <w:rStyle w:val="Hyperlink"/>
                <w:rFonts w:cs="Times New Roman"/>
                <w:noProof/>
              </w:rPr>
              <w:t>A duty to act stop</w:t>
            </w:r>
            <w:r w:rsidR="0063385F">
              <w:rPr>
                <w:noProof/>
                <w:webHidden/>
              </w:rPr>
              <w:tab/>
            </w:r>
            <w:r w:rsidR="0063385F">
              <w:rPr>
                <w:noProof/>
                <w:webHidden/>
              </w:rPr>
              <w:fldChar w:fldCharType="begin"/>
            </w:r>
            <w:r w:rsidR="0063385F">
              <w:rPr>
                <w:noProof/>
                <w:webHidden/>
              </w:rPr>
              <w:instrText xml:space="preserve"> PAGEREF _Toc119189913 \h </w:instrText>
            </w:r>
            <w:r w:rsidR="0063385F">
              <w:rPr>
                <w:noProof/>
                <w:webHidden/>
              </w:rPr>
            </w:r>
            <w:r w:rsidR="0063385F">
              <w:rPr>
                <w:noProof/>
                <w:webHidden/>
              </w:rPr>
              <w:fldChar w:fldCharType="separate"/>
            </w:r>
            <w:r w:rsidR="0063385F">
              <w:rPr>
                <w:noProof/>
                <w:webHidden/>
              </w:rPr>
              <w:t>6</w:t>
            </w:r>
            <w:r w:rsidR="0063385F">
              <w:rPr>
                <w:noProof/>
                <w:webHidden/>
              </w:rPr>
              <w:fldChar w:fldCharType="end"/>
            </w:r>
          </w:hyperlink>
        </w:p>
        <w:p w:rsidR="0063385F" w:rsidRDefault="00D14E6C">
          <w:pPr>
            <w:pStyle w:val="TOC2"/>
            <w:tabs>
              <w:tab w:val="right" w:leader="dot" w:pos="9350"/>
            </w:tabs>
            <w:rPr>
              <w:rFonts w:asciiTheme="minorHAnsi" w:eastAsiaTheme="minorEastAsia" w:hAnsiTheme="minorHAnsi"/>
              <w:noProof/>
              <w:sz w:val="22"/>
            </w:rPr>
          </w:pPr>
          <w:hyperlink w:anchor="_Toc119189914" w:history="1">
            <w:r w:rsidR="0063385F" w:rsidRPr="00721120">
              <w:rPr>
                <w:rStyle w:val="Hyperlink"/>
                <w:rFonts w:cs="Times New Roman"/>
                <w:noProof/>
              </w:rPr>
              <w:t>The pros and cons of having a general duty to act</w:t>
            </w:r>
            <w:r w:rsidR="0063385F">
              <w:rPr>
                <w:noProof/>
                <w:webHidden/>
              </w:rPr>
              <w:tab/>
            </w:r>
            <w:r w:rsidR="0063385F">
              <w:rPr>
                <w:noProof/>
                <w:webHidden/>
              </w:rPr>
              <w:fldChar w:fldCharType="begin"/>
            </w:r>
            <w:r w:rsidR="0063385F">
              <w:rPr>
                <w:noProof/>
                <w:webHidden/>
              </w:rPr>
              <w:instrText xml:space="preserve"> PAGEREF _Toc119189914 \h </w:instrText>
            </w:r>
            <w:r w:rsidR="0063385F">
              <w:rPr>
                <w:noProof/>
                <w:webHidden/>
              </w:rPr>
            </w:r>
            <w:r w:rsidR="0063385F">
              <w:rPr>
                <w:noProof/>
                <w:webHidden/>
              </w:rPr>
              <w:fldChar w:fldCharType="separate"/>
            </w:r>
            <w:r w:rsidR="0063385F">
              <w:rPr>
                <w:noProof/>
                <w:webHidden/>
              </w:rPr>
              <w:t>7</w:t>
            </w:r>
            <w:r w:rsidR="0063385F">
              <w:rPr>
                <w:noProof/>
                <w:webHidden/>
              </w:rPr>
              <w:fldChar w:fldCharType="end"/>
            </w:r>
          </w:hyperlink>
        </w:p>
        <w:p w:rsidR="0063385F" w:rsidRDefault="00D14E6C">
          <w:pPr>
            <w:pStyle w:val="TOC1"/>
            <w:tabs>
              <w:tab w:val="right" w:leader="dot" w:pos="9350"/>
            </w:tabs>
            <w:rPr>
              <w:rFonts w:asciiTheme="minorHAnsi" w:eastAsiaTheme="minorEastAsia" w:hAnsiTheme="minorHAnsi"/>
              <w:noProof/>
              <w:sz w:val="22"/>
            </w:rPr>
          </w:pPr>
          <w:hyperlink w:anchor="_Toc119189915" w:history="1">
            <w:r w:rsidR="0063385F" w:rsidRPr="00721120">
              <w:rPr>
                <w:rStyle w:val="Hyperlink"/>
                <w:rFonts w:cs="Times New Roman"/>
                <w:noProof/>
              </w:rPr>
              <w:t>Conclusion</w:t>
            </w:r>
            <w:r w:rsidR="0063385F">
              <w:rPr>
                <w:noProof/>
                <w:webHidden/>
              </w:rPr>
              <w:tab/>
            </w:r>
            <w:r w:rsidR="0063385F">
              <w:rPr>
                <w:noProof/>
                <w:webHidden/>
              </w:rPr>
              <w:fldChar w:fldCharType="begin"/>
            </w:r>
            <w:r w:rsidR="0063385F">
              <w:rPr>
                <w:noProof/>
                <w:webHidden/>
              </w:rPr>
              <w:instrText xml:space="preserve"> PAGEREF _Toc119189915 \h </w:instrText>
            </w:r>
            <w:r w:rsidR="0063385F">
              <w:rPr>
                <w:noProof/>
                <w:webHidden/>
              </w:rPr>
            </w:r>
            <w:r w:rsidR="0063385F">
              <w:rPr>
                <w:noProof/>
                <w:webHidden/>
              </w:rPr>
              <w:fldChar w:fldCharType="separate"/>
            </w:r>
            <w:r w:rsidR="0063385F">
              <w:rPr>
                <w:noProof/>
                <w:webHidden/>
              </w:rPr>
              <w:t>7</w:t>
            </w:r>
            <w:r w:rsidR="0063385F">
              <w:rPr>
                <w:noProof/>
                <w:webHidden/>
              </w:rPr>
              <w:fldChar w:fldCharType="end"/>
            </w:r>
          </w:hyperlink>
        </w:p>
        <w:p w:rsidR="0063385F" w:rsidRDefault="00D14E6C">
          <w:pPr>
            <w:pStyle w:val="TOC1"/>
            <w:tabs>
              <w:tab w:val="right" w:leader="dot" w:pos="9350"/>
            </w:tabs>
            <w:rPr>
              <w:rFonts w:asciiTheme="minorHAnsi" w:eastAsiaTheme="minorEastAsia" w:hAnsiTheme="minorHAnsi"/>
              <w:noProof/>
              <w:sz w:val="22"/>
            </w:rPr>
          </w:pPr>
          <w:hyperlink w:anchor="_Toc119189916" w:history="1">
            <w:r w:rsidR="0063385F" w:rsidRPr="00721120">
              <w:rPr>
                <w:rStyle w:val="Hyperlink"/>
                <w:rFonts w:cs="Times New Roman"/>
                <w:noProof/>
              </w:rPr>
              <w:t>References</w:t>
            </w:r>
            <w:r w:rsidR="0063385F">
              <w:rPr>
                <w:noProof/>
                <w:webHidden/>
              </w:rPr>
              <w:tab/>
            </w:r>
            <w:r w:rsidR="0063385F">
              <w:rPr>
                <w:noProof/>
                <w:webHidden/>
              </w:rPr>
              <w:fldChar w:fldCharType="begin"/>
            </w:r>
            <w:r w:rsidR="0063385F">
              <w:rPr>
                <w:noProof/>
                <w:webHidden/>
              </w:rPr>
              <w:instrText xml:space="preserve"> PAGEREF _Toc119189916 \h </w:instrText>
            </w:r>
            <w:r w:rsidR="0063385F">
              <w:rPr>
                <w:noProof/>
                <w:webHidden/>
              </w:rPr>
            </w:r>
            <w:r w:rsidR="0063385F">
              <w:rPr>
                <w:noProof/>
                <w:webHidden/>
              </w:rPr>
              <w:fldChar w:fldCharType="separate"/>
            </w:r>
            <w:r w:rsidR="0063385F">
              <w:rPr>
                <w:noProof/>
                <w:webHidden/>
              </w:rPr>
              <w:t>8</w:t>
            </w:r>
            <w:r w:rsidR="0063385F">
              <w:rPr>
                <w:noProof/>
                <w:webHidden/>
              </w:rPr>
              <w:fldChar w:fldCharType="end"/>
            </w:r>
          </w:hyperlink>
        </w:p>
        <w:p w:rsidR="000B319A" w:rsidRPr="0063385F" w:rsidRDefault="000B319A">
          <w:pPr>
            <w:rPr>
              <w:rFonts w:cs="Times New Roman"/>
            </w:rPr>
          </w:pPr>
          <w:r w:rsidRPr="0063385F">
            <w:rPr>
              <w:rFonts w:cs="Times New Roman"/>
              <w:b/>
              <w:bCs/>
              <w:noProof/>
            </w:rPr>
            <w:fldChar w:fldCharType="end"/>
          </w:r>
        </w:p>
      </w:sdtContent>
    </w:sdt>
    <w:p w:rsidR="000B319A" w:rsidRPr="0063385F" w:rsidRDefault="000B319A">
      <w:pPr>
        <w:rPr>
          <w:rFonts w:cs="Times New Roman"/>
        </w:rPr>
      </w:pPr>
    </w:p>
    <w:p w:rsidR="000B319A" w:rsidRPr="0063385F" w:rsidRDefault="000B319A">
      <w:pPr>
        <w:rPr>
          <w:rFonts w:cs="Times New Roman"/>
        </w:rPr>
      </w:pPr>
    </w:p>
    <w:p w:rsidR="000B319A" w:rsidRPr="0063385F" w:rsidRDefault="000B319A">
      <w:pPr>
        <w:rPr>
          <w:rFonts w:cs="Times New Roman"/>
        </w:rPr>
      </w:pPr>
    </w:p>
    <w:p w:rsidR="000B319A" w:rsidRPr="0063385F" w:rsidRDefault="000B319A">
      <w:pPr>
        <w:rPr>
          <w:rFonts w:cs="Times New Roman"/>
        </w:rPr>
      </w:pPr>
    </w:p>
    <w:p w:rsidR="000B319A" w:rsidRPr="0063385F" w:rsidRDefault="000B319A">
      <w:pPr>
        <w:rPr>
          <w:rFonts w:cs="Times New Roman"/>
        </w:rPr>
      </w:pPr>
    </w:p>
    <w:p w:rsidR="000B319A" w:rsidRPr="0063385F" w:rsidRDefault="000B319A">
      <w:pPr>
        <w:rPr>
          <w:rFonts w:cs="Times New Roman"/>
        </w:rPr>
      </w:pPr>
    </w:p>
    <w:p w:rsidR="000B319A" w:rsidRPr="0063385F" w:rsidRDefault="000B319A">
      <w:pPr>
        <w:rPr>
          <w:rFonts w:cs="Times New Roman"/>
        </w:rPr>
      </w:pPr>
    </w:p>
    <w:p w:rsidR="000B319A" w:rsidRPr="0063385F" w:rsidRDefault="000B319A">
      <w:pPr>
        <w:rPr>
          <w:rFonts w:cs="Times New Roman"/>
        </w:rPr>
      </w:pPr>
    </w:p>
    <w:p w:rsidR="000B319A" w:rsidRPr="0063385F" w:rsidRDefault="000B319A">
      <w:pPr>
        <w:rPr>
          <w:rFonts w:cs="Times New Roman"/>
        </w:rPr>
      </w:pPr>
    </w:p>
    <w:p w:rsidR="007A2FA1" w:rsidRPr="0063385F" w:rsidRDefault="007A2FA1" w:rsidP="007A2FA1">
      <w:pPr>
        <w:pStyle w:val="Heading1"/>
        <w:rPr>
          <w:rFonts w:cs="Times New Roman"/>
        </w:rPr>
      </w:pPr>
      <w:bookmarkStart w:id="0" w:name="_Toc119189905"/>
      <w:r w:rsidRPr="0063385F">
        <w:rPr>
          <w:rFonts w:cs="Times New Roman"/>
        </w:rPr>
        <w:t>Introduction</w:t>
      </w:r>
      <w:bookmarkEnd w:id="0"/>
    </w:p>
    <w:p w:rsidR="007A2FA1" w:rsidRPr="0063385F" w:rsidRDefault="0022590D" w:rsidP="007A2FA1">
      <w:pPr>
        <w:rPr>
          <w:rFonts w:cs="Times New Roman"/>
        </w:rPr>
      </w:pPr>
      <w:r>
        <w:rPr>
          <w:rFonts w:cs="Times New Roman"/>
        </w:rPr>
        <w:t>In this porfolio</w:t>
      </w:r>
      <w:bookmarkStart w:id="1" w:name="_GoBack"/>
      <w:bookmarkEnd w:id="1"/>
      <w:r w:rsidR="007A2FA1" w:rsidRPr="0063385F">
        <w:rPr>
          <w:rFonts w:cs="Times New Roman"/>
        </w:rPr>
        <w:t>, various situations ha</w:t>
      </w:r>
      <w:r w:rsidR="00C01C3B">
        <w:rPr>
          <w:rFonts w:cs="Times New Roman"/>
        </w:rPr>
        <w:t>ve</w:t>
      </w:r>
      <w:r w:rsidR="007A2FA1" w:rsidRPr="0063385F">
        <w:rPr>
          <w:rFonts w:cs="Times New Roman"/>
        </w:rPr>
        <w:t xml:space="preserve"> been reflected which give rise to </w:t>
      </w:r>
      <w:r w:rsidR="00C01C3B">
        <w:rPr>
          <w:rFonts w:cs="Times New Roman"/>
        </w:rPr>
        <w:t xml:space="preserve">the </w:t>
      </w:r>
      <w:r w:rsidR="007A2FA1" w:rsidRPr="0063385F">
        <w:rPr>
          <w:rFonts w:cs="Times New Roman"/>
        </w:rPr>
        <w:t>criminal offen</w:t>
      </w:r>
      <w:r w:rsidR="00C01C3B">
        <w:rPr>
          <w:rFonts w:cs="Times New Roman"/>
        </w:rPr>
        <w:t>s</w:t>
      </w:r>
      <w:r w:rsidR="007A2FA1" w:rsidRPr="0063385F">
        <w:rPr>
          <w:rFonts w:cs="Times New Roman"/>
        </w:rPr>
        <w:t>e. These situation</w:t>
      </w:r>
      <w:r w:rsidR="00C01C3B">
        <w:rPr>
          <w:rFonts w:cs="Times New Roman"/>
        </w:rPr>
        <w:t>s</w:t>
      </w:r>
      <w:r w:rsidR="007A2FA1" w:rsidRPr="0063385F">
        <w:rPr>
          <w:rFonts w:cs="Times New Roman"/>
        </w:rPr>
        <w:t xml:space="preserve"> can be arising from failing to act, commission, duty to act stop, contractual duty, general duty to act</w:t>
      </w:r>
      <w:r w:rsidR="00C01C3B">
        <w:rPr>
          <w:rFonts w:cs="Times New Roman"/>
        </w:rPr>
        <w:t>,</w:t>
      </w:r>
      <w:r w:rsidR="007A2FA1" w:rsidRPr="0063385F">
        <w:rPr>
          <w:rFonts w:cs="Times New Roman"/>
        </w:rPr>
        <w:t xml:space="preserve"> etc.</w:t>
      </w:r>
    </w:p>
    <w:p w:rsidR="00E8610A" w:rsidRPr="0063385F" w:rsidRDefault="00E27B5E" w:rsidP="008E58B2">
      <w:pPr>
        <w:pStyle w:val="Heading1"/>
        <w:rPr>
          <w:rFonts w:cs="Times New Roman"/>
        </w:rPr>
      </w:pPr>
      <w:bookmarkStart w:id="2" w:name="_Toc119189906"/>
      <w:r w:rsidRPr="0063385F">
        <w:rPr>
          <w:rFonts w:cs="Times New Roman"/>
        </w:rPr>
        <w:t>Discussion of the situations in which failing to act can result in criminal liability</w:t>
      </w:r>
      <w:bookmarkEnd w:id="2"/>
    </w:p>
    <w:p w:rsidR="00E8610A" w:rsidRPr="0063385F" w:rsidRDefault="000B4EB7" w:rsidP="008E58B2">
      <w:pPr>
        <w:pStyle w:val="Heading2"/>
        <w:rPr>
          <w:rFonts w:cs="Times New Roman"/>
        </w:rPr>
      </w:pPr>
      <w:bookmarkStart w:id="3" w:name="_Toc119189907"/>
      <w:r w:rsidRPr="0063385F">
        <w:rPr>
          <w:rFonts w:cs="Times New Roman"/>
        </w:rPr>
        <w:t>A</w:t>
      </w:r>
      <w:r w:rsidR="00E8610A" w:rsidRPr="0063385F">
        <w:rPr>
          <w:rFonts w:cs="Times New Roman"/>
          <w:sz w:val="24"/>
        </w:rPr>
        <w:t xml:space="preserve"> crime</w:t>
      </w:r>
      <w:r w:rsidR="00C01C3B">
        <w:rPr>
          <w:rFonts w:cs="Times New Roman"/>
          <w:sz w:val="24"/>
        </w:rPr>
        <w:t>-</w:t>
      </w:r>
      <w:r w:rsidRPr="0063385F">
        <w:rPr>
          <w:rFonts w:cs="Times New Roman"/>
        </w:rPr>
        <w:t>related failure to act</w:t>
      </w:r>
      <w:bookmarkEnd w:id="3"/>
    </w:p>
    <w:p w:rsidR="00C90A3E" w:rsidRPr="0063385F" w:rsidRDefault="00C04FE9" w:rsidP="00D5229E">
      <w:pPr>
        <w:rPr>
          <w:rFonts w:cs="Times New Roman"/>
        </w:rPr>
      </w:pPr>
      <w:r w:rsidRPr="0063385F">
        <w:rPr>
          <w:rFonts w:cs="Times New Roman"/>
        </w:rPr>
        <w:t>One can be held criminally liable for a crime if they do nothing while they are legally obligated to act and are in a position to act</w:t>
      </w:r>
      <w:r w:rsidR="00D5229E" w:rsidRPr="0063385F">
        <w:rPr>
          <w:rFonts w:cs="Times New Roman"/>
        </w:rPr>
        <w:t xml:space="preserve"> (</w:t>
      </w:r>
      <w:r w:rsidR="00D5229E" w:rsidRPr="0063385F">
        <w:rPr>
          <w:rFonts w:cs="Times New Roman"/>
          <w:shd w:val="clear" w:color="auto" w:fill="FFFFFF"/>
        </w:rPr>
        <w:t>Amatrudo, 2018</w:t>
      </w:r>
      <w:r w:rsidR="00D5229E" w:rsidRPr="0063385F">
        <w:rPr>
          <w:rFonts w:cs="Times New Roman"/>
        </w:rPr>
        <w:t>)</w:t>
      </w:r>
      <w:r w:rsidR="00E8610A" w:rsidRPr="0063385F">
        <w:rPr>
          <w:rFonts w:cs="Times New Roman"/>
        </w:rPr>
        <w:t>.</w:t>
      </w:r>
      <w:r w:rsidR="00621E19" w:rsidRPr="0063385F">
        <w:rPr>
          <w:rFonts w:cs="Times New Roman"/>
        </w:rPr>
        <w:t xml:space="preserve"> </w:t>
      </w:r>
      <w:r w:rsidR="008A059F" w:rsidRPr="0063385F">
        <w:rPr>
          <w:rFonts w:cs="Times New Roman"/>
        </w:rPr>
        <w:t xml:space="preserve">When someone creates a potentially harmful situation, he or she has a duty of care to take reasonable precautions </w:t>
      </w:r>
      <w:r w:rsidR="007201D9" w:rsidRPr="0063385F">
        <w:rPr>
          <w:rFonts w:cs="Times New Roman"/>
        </w:rPr>
        <w:t xml:space="preserve">or to avoid bringing about </w:t>
      </w:r>
      <w:r w:rsidR="008A059F" w:rsidRPr="0063385F">
        <w:rPr>
          <w:rFonts w:cs="Times New Roman"/>
        </w:rPr>
        <w:t>injury to others</w:t>
      </w:r>
      <w:r w:rsidR="007201D9" w:rsidRPr="0063385F">
        <w:rPr>
          <w:rFonts w:cs="Times New Roman"/>
        </w:rPr>
        <w:t xml:space="preserve"> and properties</w:t>
      </w:r>
      <w:r w:rsidR="008A059F" w:rsidRPr="0063385F">
        <w:rPr>
          <w:rFonts w:cs="Times New Roman"/>
        </w:rPr>
        <w:t>. Innocence is no excuse for ignoring the responsibility to protect others from danger.</w:t>
      </w:r>
      <w:r w:rsidR="00426093" w:rsidRPr="0063385F">
        <w:rPr>
          <w:rFonts w:cs="Times New Roman"/>
        </w:rPr>
        <w:t xml:space="preserve"> </w:t>
      </w:r>
    </w:p>
    <w:p w:rsidR="00102E8C" w:rsidRPr="0063385F" w:rsidRDefault="00102E8C" w:rsidP="00D5229E">
      <w:pPr>
        <w:rPr>
          <w:rFonts w:cs="Times New Roman"/>
        </w:rPr>
      </w:pPr>
      <w:r w:rsidRPr="0063385F">
        <w:rPr>
          <w:rFonts w:cs="Times New Roman"/>
        </w:rPr>
        <w:t xml:space="preserve">It is related to </w:t>
      </w:r>
      <w:r w:rsidRPr="0063385F">
        <w:rPr>
          <w:rFonts w:cs="Times New Roman"/>
        </w:rPr>
        <w:tab/>
        <w:t>R v Miller [1983]</w:t>
      </w:r>
      <w:r w:rsidR="00B5560F" w:rsidRPr="0063385F">
        <w:rPr>
          <w:rFonts w:cs="Times New Roman"/>
        </w:rPr>
        <w:t xml:space="preserve"> case. </w:t>
      </w:r>
      <w:r w:rsidR="005A4E8E" w:rsidRPr="0063385F">
        <w:rPr>
          <w:rFonts w:cs="Times New Roman"/>
        </w:rPr>
        <w:t>As another illustration of how inaction might result in criminal culpability, consider the case of a defendant who has a unique connection to the injury and yet does nothing to prevent it</w:t>
      </w:r>
      <w:r w:rsidR="00D5229E" w:rsidRPr="0063385F">
        <w:rPr>
          <w:rFonts w:cs="Times New Roman"/>
        </w:rPr>
        <w:t xml:space="preserve"> (</w:t>
      </w:r>
      <w:r w:rsidR="00D5229E" w:rsidRPr="0063385F">
        <w:rPr>
          <w:rFonts w:cs="Times New Roman"/>
          <w:shd w:val="clear" w:color="auto" w:fill="FFFFFF"/>
        </w:rPr>
        <w:t>Amatrudo, 2018</w:t>
      </w:r>
      <w:r w:rsidR="00D5229E" w:rsidRPr="0063385F">
        <w:rPr>
          <w:rFonts w:cs="Times New Roman"/>
        </w:rPr>
        <w:t>)</w:t>
      </w:r>
      <w:r w:rsidR="005A4E8E" w:rsidRPr="0063385F">
        <w:rPr>
          <w:rFonts w:cs="Times New Roman"/>
        </w:rPr>
        <w:t xml:space="preserve">. A man in </w:t>
      </w:r>
      <w:r w:rsidR="000B0A80" w:rsidRPr="0063385F">
        <w:rPr>
          <w:rFonts w:cs="Times New Roman"/>
        </w:rPr>
        <w:t xml:space="preserve">Millar </w:t>
      </w:r>
      <w:r w:rsidR="005A4E8E" w:rsidRPr="0063385F">
        <w:rPr>
          <w:rFonts w:cs="Times New Roman"/>
        </w:rPr>
        <w:t xml:space="preserve">[1983] deliberately lit his mattress on fire while he was sleeping. The man woke up to find his mattress on fire but made no attempt to put it out, instead relocating to another room in the complex. As would have been expected, the structure caught fire and collapsed. </w:t>
      </w:r>
      <w:r w:rsidR="00CC3893" w:rsidRPr="0063385F">
        <w:rPr>
          <w:rFonts w:cs="Times New Roman"/>
        </w:rPr>
        <w:t>The "continuous act theory" was fundamental to the Appeals Court's conclusion. However, the House of Lords ruled that Miller would be held liable for the blaze because he had not taken enough safety precautions</w:t>
      </w:r>
      <w:r w:rsidR="005A4E8E" w:rsidRPr="0063385F">
        <w:rPr>
          <w:rFonts w:cs="Times New Roman"/>
        </w:rPr>
        <w:t>. Their line of thinking was predicated on the fact that Miller's willful inaction after starting the fire constituted a breach of duty</w:t>
      </w:r>
      <w:r w:rsidR="00D5229E" w:rsidRPr="0063385F">
        <w:rPr>
          <w:rFonts w:cs="Times New Roman"/>
        </w:rPr>
        <w:t xml:space="preserve"> (</w:t>
      </w:r>
      <w:r w:rsidR="00D5229E" w:rsidRPr="0063385F">
        <w:rPr>
          <w:rFonts w:cs="Times New Roman"/>
          <w:shd w:val="clear" w:color="auto" w:fill="FFFFFF"/>
        </w:rPr>
        <w:t>Amatrudo, 2018</w:t>
      </w:r>
      <w:r w:rsidR="00D5229E" w:rsidRPr="0063385F">
        <w:rPr>
          <w:rFonts w:cs="Times New Roman"/>
        </w:rPr>
        <w:t>)</w:t>
      </w:r>
      <w:r w:rsidR="005A4E8E" w:rsidRPr="0063385F">
        <w:rPr>
          <w:rFonts w:cs="Times New Roman"/>
        </w:rPr>
        <w:t>. Above, I indicated that a comparable explanation for Fagan exists, and I believe that this explanation is superior to the ongoing act doctrine because it is grounded in a more transparent concept of obligation. Once again, M has a responsibility to act in ways that are not in his own best interest since his actions pose a threat and cause harm to others.</w:t>
      </w:r>
    </w:p>
    <w:p w:rsidR="00E8610A" w:rsidRPr="0063385F" w:rsidRDefault="000B4EB7" w:rsidP="008E58B2">
      <w:pPr>
        <w:pStyle w:val="Heading2"/>
        <w:rPr>
          <w:rFonts w:cs="Times New Roman"/>
        </w:rPr>
      </w:pPr>
      <w:bookmarkStart w:id="4" w:name="_Toc119189908"/>
      <w:r w:rsidRPr="0063385F">
        <w:rPr>
          <w:rFonts w:cs="Times New Roman"/>
        </w:rPr>
        <w:t xml:space="preserve">Whether there is a </w:t>
      </w:r>
      <w:r w:rsidR="00E8610A" w:rsidRPr="0063385F">
        <w:rPr>
          <w:rFonts w:cs="Times New Roman"/>
          <w:sz w:val="24"/>
        </w:rPr>
        <w:t xml:space="preserve">general duty to act in </w:t>
      </w:r>
      <w:r w:rsidRPr="0063385F">
        <w:rPr>
          <w:rFonts w:cs="Times New Roman"/>
        </w:rPr>
        <w:t>criminal law</w:t>
      </w:r>
      <w:bookmarkEnd w:id="4"/>
    </w:p>
    <w:p w:rsidR="00E8610A" w:rsidRPr="0063385F" w:rsidRDefault="00FA6705" w:rsidP="00D5229E">
      <w:pPr>
        <w:rPr>
          <w:rFonts w:cs="Times New Roman"/>
        </w:rPr>
      </w:pPr>
      <w:r w:rsidRPr="0063385F">
        <w:rPr>
          <w:rFonts w:cs="Times New Roman"/>
        </w:rPr>
        <w:t>Unless they fit into one of the tightly defined categories, members of the public have no obligation to take any action on their behalf under current English law</w:t>
      </w:r>
      <w:r w:rsidR="00D5229E" w:rsidRPr="0063385F">
        <w:rPr>
          <w:rFonts w:cs="Times New Roman"/>
        </w:rPr>
        <w:t xml:space="preserve"> (</w:t>
      </w:r>
      <w:r w:rsidR="00D5229E" w:rsidRPr="0063385F">
        <w:rPr>
          <w:rFonts w:cs="Times New Roman"/>
          <w:shd w:val="clear" w:color="auto" w:fill="FFFFFF"/>
        </w:rPr>
        <w:t>Chouaibi et al., 2021</w:t>
      </w:r>
      <w:r w:rsidR="00D5229E" w:rsidRPr="0063385F">
        <w:rPr>
          <w:rFonts w:cs="Times New Roman"/>
        </w:rPr>
        <w:t>)</w:t>
      </w:r>
      <w:r w:rsidRPr="0063385F">
        <w:rPr>
          <w:rFonts w:cs="Times New Roman"/>
        </w:rPr>
        <w:t>. Thus, a member of the public who saw someone drowning in a river but chose to ignore the situation would be breaking no laws by failing to rescue the victim, although feeling a great moral imperative to do so. Therefore, no citizen may be held accountable for inaction in such a scenario.</w:t>
      </w:r>
    </w:p>
    <w:p w:rsidR="00FA6705" w:rsidRPr="0063385F" w:rsidRDefault="00FA6705" w:rsidP="00FA6705">
      <w:pPr>
        <w:rPr>
          <w:rFonts w:cs="Times New Roman"/>
          <w:b/>
          <w:bCs/>
          <w:szCs w:val="24"/>
        </w:rPr>
      </w:pPr>
    </w:p>
    <w:p w:rsidR="00FA6705" w:rsidRPr="0063385F" w:rsidRDefault="00F11B36" w:rsidP="00997BEA">
      <w:pPr>
        <w:pStyle w:val="Heading2"/>
        <w:rPr>
          <w:rFonts w:cs="Times New Roman"/>
        </w:rPr>
      </w:pPr>
      <w:bookmarkStart w:id="5" w:name="_Toc119189909"/>
      <w:r w:rsidRPr="0063385F">
        <w:rPr>
          <w:rFonts w:cs="Times New Roman"/>
        </w:rPr>
        <w:t>T</w:t>
      </w:r>
      <w:r w:rsidR="00FA6705" w:rsidRPr="0063385F">
        <w:rPr>
          <w:rFonts w:cs="Times New Roman"/>
          <w:sz w:val="24"/>
        </w:rPr>
        <w:t>he requirements for a cr</w:t>
      </w:r>
      <w:r w:rsidRPr="0063385F">
        <w:rPr>
          <w:rFonts w:cs="Times New Roman"/>
        </w:rPr>
        <w:t>ime to be committed by omission</w:t>
      </w:r>
      <w:bookmarkEnd w:id="5"/>
    </w:p>
    <w:p w:rsidR="00B83785" w:rsidRPr="0063385F" w:rsidRDefault="00B83785" w:rsidP="00D5229E">
      <w:pPr>
        <w:rPr>
          <w:rFonts w:cs="Times New Roman"/>
          <w:szCs w:val="24"/>
        </w:rPr>
      </w:pPr>
      <w:r w:rsidRPr="0063385F">
        <w:rPr>
          <w:rFonts w:cs="Times New Roman"/>
          <w:szCs w:val="24"/>
        </w:rPr>
        <w:t xml:space="preserve">Omission, defined as the failure to act, carries with it a set of legal consequences that are distinct from those associated with </w:t>
      </w:r>
      <w:r w:rsidR="00C01C3B">
        <w:rPr>
          <w:rFonts w:cs="Times New Roman"/>
          <w:szCs w:val="24"/>
        </w:rPr>
        <w:t xml:space="preserve">an </w:t>
      </w:r>
      <w:r w:rsidRPr="0063385F">
        <w:rPr>
          <w:rFonts w:cs="Times New Roman"/>
          <w:szCs w:val="24"/>
        </w:rPr>
        <w:t>action</w:t>
      </w:r>
      <w:r w:rsidR="00D5229E" w:rsidRPr="0063385F">
        <w:rPr>
          <w:rFonts w:cs="Times New Roman"/>
          <w:szCs w:val="24"/>
        </w:rPr>
        <w:t xml:space="preserve"> (</w:t>
      </w:r>
      <w:r w:rsidR="00D5229E" w:rsidRPr="0063385F">
        <w:rPr>
          <w:rFonts w:cs="Times New Roman"/>
          <w:color w:val="222222"/>
          <w:szCs w:val="24"/>
          <w:shd w:val="clear" w:color="auto" w:fill="FFFFFF"/>
        </w:rPr>
        <w:t>Fordham and Choo, 2019</w:t>
      </w:r>
      <w:r w:rsidR="00D5229E" w:rsidRPr="0063385F">
        <w:rPr>
          <w:rFonts w:cs="Times New Roman"/>
          <w:szCs w:val="24"/>
        </w:rPr>
        <w:t>)</w:t>
      </w:r>
      <w:r w:rsidRPr="0063385F">
        <w:rPr>
          <w:rFonts w:cs="Times New Roman"/>
          <w:szCs w:val="24"/>
        </w:rPr>
        <w:t xml:space="preserve">. </w:t>
      </w:r>
      <w:r w:rsidR="006A30D3" w:rsidRPr="0063385F">
        <w:rPr>
          <w:rFonts w:cs="Times New Roman"/>
          <w:szCs w:val="24"/>
        </w:rPr>
        <w:t>If the law imposes some duty on the defendant, and he or she fails in that duty, the failure to act constitutes an actus reus and establishes criminal liability.</w:t>
      </w:r>
      <w:r w:rsidR="002453C7" w:rsidRPr="0063385F">
        <w:rPr>
          <w:rFonts w:cs="Times New Roman"/>
          <w:szCs w:val="24"/>
        </w:rPr>
        <w:t xml:space="preserve"> In tort law, a defendant will be held liable for failing to take an action only in very limited circumstances, when it is proven that the defendant had a responsibility to do so.</w:t>
      </w:r>
    </w:p>
    <w:p w:rsidR="00C21C92" w:rsidRPr="0063385F" w:rsidRDefault="00743C39" w:rsidP="002453C7">
      <w:pPr>
        <w:rPr>
          <w:rFonts w:cs="Times New Roman"/>
          <w:szCs w:val="24"/>
        </w:rPr>
      </w:pPr>
      <w:r w:rsidRPr="0063385F">
        <w:rPr>
          <w:rFonts w:cs="Times New Roman"/>
          <w:szCs w:val="24"/>
        </w:rPr>
        <w:t xml:space="preserve">It is relevant to Airedale NHS Trust v Bland [1993] case. </w:t>
      </w:r>
      <w:r w:rsidR="00C21C92" w:rsidRPr="0063385F">
        <w:rPr>
          <w:rFonts w:cs="Times New Roman"/>
          <w:szCs w:val="24"/>
        </w:rPr>
        <w:t>Since the Hillsborough tragedy, Tony Bland has remained in a permanent vegetative state</w:t>
      </w:r>
      <w:r w:rsidR="00D5229E" w:rsidRPr="0063385F">
        <w:rPr>
          <w:rFonts w:cs="Times New Roman"/>
          <w:szCs w:val="24"/>
        </w:rPr>
        <w:t xml:space="preserve"> (</w:t>
      </w:r>
      <w:r w:rsidR="00D5229E" w:rsidRPr="0063385F">
        <w:rPr>
          <w:rFonts w:cs="Times New Roman"/>
          <w:color w:val="222222"/>
          <w:szCs w:val="24"/>
          <w:shd w:val="clear" w:color="auto" w:fill="FFFFFF"/>
        </w:rPr>
        <w:t>Howe, 2016</w:t>
      </w:r>
      <w:r w:rsidR="00D5229E" w:rsidRPr="0063385F">
        <w:rPr>
          <w:rFonts w:cs="Times New Roman"/>
          <w:szCs w:val="24"/>
        </w:rPr>
        <w:t>)</w:t>
      </w:r>
      <w:r w:rsidR="00C21C92" w:rsidRPr="0063385F">
        <w:rPr>
          <w:rFonts w:cs="Times New Roman"/>
          <w:szCs w:val="24"/>
        </w:rPr>
        <w:t>. He had been in this condition for three years, with just life support keeping him alive. Since his brain was still active, he was theoretically still alive since it managed his pulse rate, respiration, and digesti</w:t>
      </w:r>
      <w:r w:rsidR="00C01C3B">
        <w:rPr>
          <w:rFonts w:cs="Times New Roman"/>
          <w:szCs w:val="24"/>
        </w:rPr>
        <w:t>on</w:t>
      </w:r>
      <w:r w:rsidR="00C21C92" w:rsidRPr="0063385F">
        <w:rPr>
          <w:rFonts w:cs="Times New Roman"/>
          <w:szCs w:val="24"/>
        </w:rPr>
        <w:t>. Although he was not unconscious, there was no chance of his survival. With his parents' permission, the hospital sought a ruling that would allow it to stop providing him with mechanical breathing, feeding, and hydration, as well as any other medical care aimed at keeping him alive.</w:t>
      </w:r>
    </w:p>
    <w:p w:rsidR="009E3063" w:rsidRPr="0063385F" w:rsidRDefault="009E3063" w:rsidP="002453C7">
      <w:pPr>
        <w:rPr>
          <w:rFonts w:cs="Times New Roman"/>
          <w:szCs w:val="24"/>
        </w:rPr>
      </w:pPr>
      <w:r w:rsidRPr="0063385F">
        <w:rPr>
          <w:rFonts w:cs="Times New Roman"/>
          <w:szCs w:val="24"/>
        </w:rPr>
        <w:t xml:space="preserve">In this case, however, treatment withdrawal was more accurately described as </w:t>
      </w:r>
      <w:r w:rsidR="00A11E11" w:rsidRPr="0063385F">
        <w:rPr>
          <w:rFonts w:cs="Times New Roman"/>
          <w:szCs w:val="24"/>
        </w:rPr>
        <w:t>omission</w:t>
      </w:r>
      <w:r w:rsidRPr="0063385F">
        <w:rPr>
          <w:rFonts w:cs="Times New Roman"/>
          <w:szCs w:val="24"/>
        </w:rPr>
        <w:t>. If there was an obligation to act, then failing to do so would be negligent</w:t>
      </w:r>
      <w:r w:rsidR="00D5229E" w:rsidRPr="0063385F">
        <w:rPr>
          <w:rFonts w:cs="Times New Roman"/>
          <w:szCs w:val="24"/>
        </w:rPr>
        <w:t xml:space="preserve"> (</w:t>
      </w:r>
      <w:r w:rsidR="00D5229E" w:rsidRPr="0063385F">
        <w:rPr>
          <w:rFonts w:cs="Times New Roman"/>
          <w:color w:val="222222"/>
          <w:szCs w:val="24"/>
          <w:shd w:val="clear" w:color="auto" w:fill="FFFFFF"/>
        </w:rPr>
        <w:t>Fordham and Choo, 2019</w:t>
      </w:r>
      <w:r w:rsidR="00D5229E" w:rsidRPr="0063385F">
        <w:rPr>
          <w:rFonts w:cs="Times New Roman"/>
          <w:szCs w:val="24"/>
        </w:rPr>
        <w:t>)</w:t>
      </w:r>
      <w:r w:rsidRPr="0063385F">
        <w:rPr>
          <w:rFonts w:cs="Times New Roman"/>
          <w:szCs w:val="24"/>
        </w:rPr>
        <w:t>. If providing care would be counterproductive, the doctor was under no obligation to do so. Tony Bland has no desire to continue the artificial feeding procedure that is necessary to sustain his life because there is no hope that it will improve his health.</w:t>
      </w:r>
    </w:p>
    <w:p w:rsidR="00FA6705" w:rsidRPr="0063385F" w:rsidRDefault="00C01C3B" w:rsidP="00997BEA">
      <w:pPr>
        <w:pStyle w:val="Heading2"/>
        <w:rPr>
          <w:rFonts w:cs="Times New Roman"/>
        </w:rPr>
      </w:pPr>
      <w:bookmarkStart w:id="6" w:name="_Toc119189910"/>
      <w:r>
        <w:rPr>
          <w:rFonts w:cs="Times New Roman"/>
        </w:rPr>
        <w:t>The s</w:t>
      </w:r>
      <w:r w:rsidR="007D09B0" w:rsidRPr="0063385F">
        <w:rPr>
          <w:rFonts w:cs="Times New Roman"/>
        </w:rPr>
        <w:t>tatutory duty to act</w:t>
      </w:r>
      <w:bookmarkEnd w:id="6"/>
    </w:p>
    <w:p w:rsidR="00F80055" w:rsidRPr="0063385F" w:rsidRDefault="00CF0EC2" w:rsidP="00FA6705">
      <w:pPr>
        <w:rPr>
          <w:rFonts w:cs="Times New Roman"/>
          <w:bCs/>
          <w:szCs w:val="24"/>
        </w:rPr>
      </w:pPr>
      <w:r w:rsidRPr="0063385F">
        <w:rPr>
          <w:rFonts w:cs="Times New Roman"/>
          <w:bCs/>
          <w:szCs w:val="24"/>
        </w:rPr>
        <w:t>The term "duty to act" refers to the legal requirement to take action to prevent or lessen the likelihood of harm to oneself, another, or the general population</w:t>
      </w:r>
      <w:r w:rsidR="00D5229E" w:rsidRPr="0063385F">
        <w:rPr>
          <w:rFonts w:cs="Times New Roman"/>
          <w:bCs/>
          <w:szCs w:val="24"/>
        </w:rPr>
        <w:t xml:space="preserve"> (</w:t>
      </w:r>
      <w:r w:rsidR="00D5229E" w:rsidRPr="0063385F">
        <w:rPr>
          <w:rFonts w:cs="Times New Roman"/>
          <w:szCs w:val="24"/>
          <w:shd w:val="clear" w:color="auto" w:fill="FFFFFF"/>
        </w:rPr>
        <w:t>Ashford, 2019</w:t>
      </w:r>
      <w:r w:rsidR="00D5229E" w:rsidRPr="0063385F">
        <w:rPr>
          <w:rFonts w:cs="Times New Roman"/>
          <w:bCs/>
          <w:szCs w:val="24"/>
        </w:rPr>
        <w:t>)</w:t>
      </w:r>
      <w:r w:rsidRPr="0063385F">
        <w:rPr>
          <w:rFonts w:cs="Times New Roman"/>
          <w:bCs/>
          <w:szCs w:val="24"/>
        </w:rPr>
        <w:t>. Personal injury law examines and, in certain cases, litigates an individual's alleged failure to take reasonable safety measures to protect others from potential damage</w:t>
      </w:r>
      <w:r w:rsidR="00F80055" w:rsidRPr="0063385F">
        <w:rPr>
          <w:rFonts w:cs="Times New Roman"/>
          <w:bCs/>
          <w:szCs w:val="24"/>
        </w:rPr>
        <w:t>.</w:t>
      </w:r>
    </w:p>
    <w:p w:rsidR="00CA70B5" w:rsidRPr="0063385F" w:rsidRDefault="00CA70B5" w:rsidP="00FA6705">
      <w:pPr>
        <w:rPr>
          <w:rFonts w:cs="Times New Roman"/>
          <w:bCs/>
          <w:szCs w:val="24"/>
        </w:rPr>
      </w:pPr>
      <w:r w:rsidRPr="0063385F">
        <w:rPr>
          <w:rFonts w:cs="Times New Roman"/>
          <w:bCs/>
          <w:szCs w:val="24"/>
        </w:rPr>
        <w:t>It is relevant to R v Instan [1893] case law. In this case, Instan's aunt, a 73-year-old woman, was the person responsible for her care and upkeep</w:t>
      </w:r>
      <w:r w:rsidR="00D5229E" w:rsidRPr="0063385F">
        <w:rPr>
          <w:rFonts w:cs="Times New Roman"/>
          <w:bCs/>
          <w:szCs w:val="24"/>
        </w:rPr>
        <w:t xml:space="preserve"> (</w:t>
      </w:r>
      <w:r w:rsidR="00D5229E" w:rsidRPr="0063385F">
        <w:rPr>
          <w:rFonts w:cs="Times New Roman"/>
          <w:szCs w:val="24"/>
          <w:shd w:val="clear" w:color="auto" w:fill="FFFFFF"/>
        </w:rPr>
        <w:t>Ashworth and Horder, 2013</w:t>
      </w:r>
      <w:r w:rsidR="00D5229E" w:rsidRPr="0063385F">
        <w:rPr>
          <w:rFonts w:cs="Times New Roman"/>
          <w:bCs/>
          <w:szCs w:val="24"/>
        </w:rPr>
        <w:t>)</w:t>
      </w:r>
      <w:r w:rsidRPr="0063385F">
        <w:rPr>
          <w:rFonts w:cs="Times New Roman"/>
          <w:bCs/>
          <w:szCs w:val="24"/>
        </w:rPr>
        <w:t>. Prior to developing gangrene in her leg, the decedent enjoyed good health and was able to care for herself. During this period, Instan did not seek medical attention, did not inform neighbors of the dead's condition, and did not even give the deceased any of the food she had brought in from outside vendors. It was first determined that Instan was convicted of manslaughter by the jury. There was an appeal from Instan.</w:t>
      </w:r>
    </w:p>
    <w:p w:rsidR="00191ED1" w:rsidRPr="0063385F" w:rsidRDefault="00191ED1" w:rsidP="00FA6705">
      <w:pPr>
        <w:rPr>
          <w:rFonts w:cs="Times New Roman"/>
          <w:bCs/>
          <w:szCs w:val="24"/>
        </w:rPr>
      </w:pPr>
      <w:r w:rsidRPr="0063385F">
        <w:rPr>
          <w:rFonts w:cs="Times New Roman"/>
          <w:bCs/>
          <w:szCs w:val="24"/>
        </w:rPr>
        <w:t>If Instan owed the deceased person a duty of care given the circumstances, and if the deceased person's death was hastened as a result of her carelessness, these are fundamental questions for the law</w:t>
      </w:r>
      <w:r w:rsidR="00D5229E" w:rsidRPr="0063385F">
        <w:rPr>
          <w:rFonts w:cs="Times New Roman"/>
          <w:bCs/>
          <w:szCs w:val="24"/>
        </w:rPr>
        <w:t xml:space="preserve"> (</w:t>
      </w:r>
      <w:r w:rsidR="00D5229E" w:rsidRPr="0063385F">
        <w:rPr>
          <w:rFonts w:cs="Times New Roman"/>
          <w:szCs w:val="24"/>
          <w:shd w:val="clear" w:color="auto" w:fill="FFFFFF"/>
        </w:rPr>
        <w:t>Ashworth and Horder, 2013</w:t>
      </w:r>
      <w:r w:rsidR="00D5229E" w:rsidRPr="0063385F">
        <w:rPr>
          <w:rFonts w:cs="Times New Roman"/>
          <w:bCs/>
          <w:szCs w:val="24"/>
        </w:rPr>
        <w:t>)</w:t>
      </w:r>
      <w:r w:rsidRPr="0063385F">
        <w:rPr>
          <w:rFonts w:cs="Times New Roman"/>
          <w:bCs/>
          <w:szCs w:val="24"/>
        </w:rPr>
        <w:t xml:space="preserve">. On Instan's behalf, a lawyer contended that the duty was not enforceable under common law since it </w:t>
      </w:r>
      <w:r w:rsidR="00972D3B" w:rsidRPr="0063385F">
        <w:rPr>
          <w:rFonts w:cs="Times New Roman"/>
          <w:bCs/>
          <w:szCs w:val="24"/>
        </w:rPr>
        <w:t>may be</w:t>
      </w:r>
      <w:r w:rsidRPr="0063385F">
        <w:rPr>
          <w:rFonts w:cs="Times New Roman"/>
          <w:bCs/>
          <w:szCs w:val="24"/>
        </w:rPr>
        <w:t xml:space="preserve"> enforced by</w:t>
      </w:r>
      <w:r w:rsidR="00972D3B" w:rsidRPr="0063385F">
        <w:rPr>
          <w:rFonts w:cs="Times New Roman"/>
          <w:bCs/>
          <w:szCs w:val="24"/>
        </w:rPr>
        <w:t xml:space="preserve"> statute,</w:t>
      </w:r>
      <w:r w:rsidRPr="0063385F">
        <w:rPr>
          <w:rFonts w:cs="Times New Roman"/>
          <w:bCs/>
          <w:szCs w:val="24"/>
        </w:rPr>
        <w:t xml:space="preserve"> legislation, contract, or common law.</w:t>
      </w:r>
    </w:p>
    <w:p w:rsidR="00C621D6" w:rsidRPr="0063385F" w:rsidRDefault="00C621D6" w:rsidP="00FA6705">
      <w:pPr>
        <w:rPr>
          <w:rFonts w:cs="Times New Roman"/>
          <w:bCs/>
          <w:szCs w:val="24"/>
        </w:rPr>
      </w:pPr>
      <w:r w:rsidRPr="0063385F">
        <w:rPr>
          <w:rFonts w:cs="Times New Roman"/>
          <w:bCs/>
          <w:szCs w:val="24"/>
        </w:rPr>
        <w:t xml:space="preserve">The victim was only able to receive care from Instan during her gangrene infection, and she was the only one who knew what was wrong with her in her dying days. This led the court to conclude that Instan obliged the victim </w:t>
      </w:r>
      <w:r w:rsidR="00C01C3B">
        <w:rPr>
          <w:rFonts w:cs="Times New Roman"/>
          <w:bCs/>
          <w:szCs w:val="24"/>
        </w:rPr>
        <w:t xml:space="preserve">with </w:t>
      </w:r>
      <w:r w:rsidRPr="0063385F">
        <w:rPr>
          <w:rFonts w:cs="Times New Roman"/>
          <w:bCs/>
          <w:szCs w:val="24"/>
        </w:rPr>
        <w:t>a duty of care, which she breached by engaging in the aforementioned conduct. It was thought that not doing so would hasten the decedent's death at the very least. The conviction was upheld following the dismissal of the appeal.</w:t>
      </w:r>
    </w:p>
    <w:p w:rsidR="00FA6705" w:rsidRPr="0063385F" w:rsidRDefault="0071362A" w:rsidP="00997BEA">
      <w:pPr>
        <w:pStyle w:val="Heading2"/>
        <w:rPr>
          <w:rFonts w:cs="Times New Roman"/>
        </w:rPr>
      </w:pPr>
      <w:bookmarkStart w:id="7" w:name="_Toc119189911"/>
      <w:r w:rsidRPr="0063385F">
        <w:rPr>
          <w:rFonts w:cs="Times New Roman"/>
        </w:rPr>
        <w:t>Contractual</w:t>
      </w:r>
      <w:r w:rsidR="00FA6705" w:rsidRPr="0063385F">
        <w:rPr>
          <w:rFonts w:cs="Times New Roman"/>
          <w:sz w:val="24"/>
        </w:rPr>
        <w:t xml:space="preserve">/ duty </w:t>
      </w:r>
      <w:r w:rsidRPr="0063385F">
        <w:rPr>
          <w:rFonts w:cs="Times New Roman"/>
        </w:rPr>
        <w:t>to act</w:t>
      </w:r>
      <w:bookmarkEnd w:id="7"/>
      <w:r w:rsidR="00FA6705" w:rsidRPr="0063385F">
        <w:rPr>
          <w:rFonts w:cs="Times New Roman"/>
          <w:sz w:val="24"/>
        </w:rPr>
        <w:t xml:space="preserve"> </w:t>
      </w:r>
    </w:p>
    <w:p w:rsidR="00F93AA5" w:rsidRPr="0063385F" w:rsidRDefault="00F93AA5" w:rsidP="009F2F1F">
      <w:pPr>
        <w:rPr>
          <w:rFonts w:cs="Times New Roman"/>
          <w:szCs w:val="24"/>
        </w:rPr>
      </w:pPr>
      <w:r w:rsidRPr="0063385F">
        <w:rPr>
          <w:rFonts w:cs="Times New Roman"/>
          <w:szCs w:val="24"/>
        </w:rPr>
        <w:t xml:space="preserve">A person's legal responsibility to provide care for another person arises from an obligation imposed by </w:t>
      </w:r>
      <w:r w:rsidR="00C01C3B">
        <w:rPr>
          <w:rFonts w:cs="Times New Roman"/>
          <w:szCs w:val="24"/>
        </w:rPr>
        <w:t xml:space="preserve">a </w:t>
      </w:r>
      <w:r w:rsidRPr="0063385F">
        <w:rPr>
          <w:rFonts w:cs="Times New Roman"/>
          <w:szCs w:val="24"/>
        </w:rPr>
        <w:t>contract.</w:t>
      </w:r>
      <w:r w:rsidR="009F2F1F" w:rsidRPr="0063385F">
        <w:rPr>
          <w:rFonts w:cs="Times New Roman"/>
          <w:szCs w:val="24"/>
        </w:rPr>
        <w:t xml:space="preserve"> R v. Pittwood [1902] is the seminal case law on this responsibility. D here was a gatekeeper at a railroad crossing</w:t>
      </w:r>
      <w:r w:rsidR="00D5229E" w:rsidRPr="0063385F">
        <w:rPr>
          <w:rFonts w:cs="Times New Roman"/>
          <w:szCs w:val="24"/>
        </w:rPr>
        <w:t xml:space="preserve"> (</w:t>
      </w:r>
      <w:r w:rsidR="00D5229E" w:rsidRPr="0063385F">
        <w:rPr>
          <w:rFonts w:cs="Times New Roman"/>
          <w:color w:val="222222"/>
          <w:szCs w:val="24"/>
          <w:shd w:val="clear" w:color="auto" w:fill="FFFFFF"/>
        </w:rPr>
        <w:t>Henne et al., 2019</w:t>
      </w:r>
      <w:r w:rsidR="00D5229E" w:rsidRPr="0063385F">
        <w:rPr>
          <w:rFonts w:cs="Times New Roman"/>
          <w:szCs w:val="24"/>
        </w:rPr>
        <w:t>)</w:t>
      </w:r>
      <w:r w:rsidR="009F2F1F" w:rsidRPr="0063385F">
        <w:rPr>
          <w:rFonts w:cs="Times New Roman"/>
          <w:szCs w:val="24"/>
        </w:rPr>
        <w:t>. The gate was left open to enable a wagon pas</w:t>
      </w:r>
      <w:r w:rsidR="00C01C3B">
        <w:rPr>
          <w:rFonts w:cs="Times New Roman"/>
          <w:szCs w:val="24"/>
        </w:rPr>
        <w:t>s</w:t>
      </w:r>
      <w:r w:rsidR="009F2F1F" w:rsidRPr="0063385F">
        <w:rPr>
          <w:rFonts w:cs="Times New Roman"/>
          <w:szCs w:val="24"/>
        </w:rPr>
        <w:t>, and he went to get lunch without closing it. D was found guilty of manslaughter after he was found responsible for the death of a person who had been struck by a train. The courts never stated explicitly</w:t>
      </w:r>
      <w:r w:rsidR="00C01C3B">
        <w:rPr>
          <w:rFonts w:cs="Times New Roman"/>
          <w:szCs w:val="24"/>
        </w:rPr>
        <w:t>,</w:t>
      </w:r>
      <w:r w:rsidR="009F2F1F" w:rsidRPr="0063385F">
        <w:rPr>
          <w:rFonts w:cs="Times New Roman"/>
          <w:szCs w:val="24"/>
        </w:rPr>
        <w:t xml:space="preserve"> however, at what point in time an employer's responsibility for a given shift ends. When the employment is ended, that is the sole certain event.</w:t>
      </w:r>
      <w:r w:rsidR="00093271" w:rsidRPr="0063385F">
        <w:rPr>
          <w:rFonts w:cs="Times New Roman"/>
          <w:szCs w:val="24"/>
        </w:rPr>
        <w:t xml:space="preserve"> As he failed to close the gate as required by </w:t>
      </w:r>
      <w:r w:rsidR="00C01C3B">
        <w:rPr>
          <w:rFonts w:cs="Times New Roman"/>
          <w:szCs w:val="24"/>
        </w:rPr>
        <w:t xml:space="preserve">the </w:t>
      </w:r>
      <w:r w:rsidR="00093271" w:rsidRPr="0063385F">
        <w:rPr>
          <w:rFonts w:cs="Times New Roman"/>
          <w:szCs w:val="24"/>
        </w:rPr>
        <w:t>contract, he committed a crime.</w:t>
      </w:r>
    </w:p>
    <w:p w:rsidR="00FA6705" w:rsidRPr="0063385F" w:rsidRDefault="00042208" w:rsidP="00997BEA">
      <w:pPr>
        <w:pStyle w:val="Heading2"/>
        <w:rPr>
          <w:rFonts w:cs="Times New Roman"/>
        </w:rPr>
      </w:pPr>
      <w:bookmarkStart w:id="8" w:name="_Toc119189912"/>
      <w:r w:rsidRPr="0063385F">
        <w:rPr>
          <w:rFonts w:cs="Times New Roman"/>
        </w:rPr>
        <w:t>A common law duty to act arise</w:t>
      </w:r>
      <w:bookmarkEnd w:id="8"/>
      <w:r w:rsidR="00C01C3B">
        <w:rPr>
          <w:rFonts w:cs="Times New Roman"/>
        </w:rPr>
        <w:t>s</w:t>
      </w:r>
    </w:p>
    <w:p w:rsidR="00246CED" w:rsidRPr="0063385F" w:rsidRDefault="00EF58BF" w:rsidP="00EF58BF">
      <w:pPr>
        <w:rPr>
          <w:rFonts w:cs="Times New Roman"/>
          <w:szCs w:val="24"/>
        </w:rPr>
      </w:pPr>
      <w:r w:rsidRPr="0063385F">
        <w:rPr>
          <w:rFonts w:cs="Times New Roman"/>
        </w:rPr>
        <w:t xml:space="preserve">Generally speaking, no duty to take action exists unless a legal or contractual obligation makes it so. </w:t>
      </w:r>
      <w:r w:rsidR="004D747F" w:rsidRPr="0063385F">
        <w:rPr>
          <w:rFonts w:cs="Times New Roman"/>
          <w:szCs w:val="24"/>
        </w:rPr>
        <w:t xml:space="preserve">Taking on the obligations of another person means assuming responsibility, whether formally or informally, </w:t>
      </w:r>
      <w:r w:rsidR="00C01C3B">
        <w:rPr>
          <w:rFonts w:cs="Times New Roman"/>
          <w:szCs w:val="24"/>
        </w:rPr>
        <w:t xml:space="preserve">which </w:t>
      </w:r>
      <w:r w:rsidR="004D747F" w:rsidRPr="0063385F">
        <w:rPr>
          <w:rFonts w:cs="Times New Roman"/>
          <w:szCs w:val="24"/>
        </w:rPr>
        <w:t>might give rise to a duty to act</w:t>
      </w:r>
      <w:r w:rsidR="00D5229E" w:rsidRPr="0063385F">
        <w:rPr>
          <w:rFonts w:cs="Times New Roman"/>
          <w:szCs w:val="24"/>
        </w:rPr>
        <w:t xml:space="preserve"> (</w:t>
      </w:r>
      <w:r w:rsidR="00D5229E" w:rsidRPr="0063385F">
        <w:rPr>
          <w:rFonts w:cs="Times New Roman"/>
          <w:color w:val="222222"/>
          <w:szCs w:val="24"/>
          <w:shd w:val="clear" w:color="auto" w:fill="FFFFFF"/>
        </w:rPr>
        <w:t>Cobb, 2010</w:t>
      </w:r>
      <w:r w:rsidR="00D5229E" w:rsidRPr="0063385F">
        <w:rPr>
          <w:rFonts w:cs="Times New Roman"/>
          <w:szCs w:val="24"/>
        </w:rPr>
        <w:t>)</w:t>
      </w:r>
      <w:r w:rsidRPr="0063385F">
        <w:rPr>
          <w:rFonts w:cs="Times New Roman"/>
          <w:szCs w:val="24"/>
        </w:rPr>
        <w:t>.</w:t>
      </w:r>
      <w:r w:rsidR="00A93F36" w:rsidRPr="0063385F">
        <w:rPr>
          <w:rFonts w:cs="Times New Roman"/>
          <w:szCs w:val="24"/>
        </w:rPr>
        <w:t xml:space="preserve"> Someone might verbalize their adoption of responsibility by saying they will look out for someone who is particularly vulnerable or in need. In cases when one party has repeatedly given aid to another, an implicit sense of duty may have developed.</w:t>
      </w:r>
    </w:p>
    <w:p w:rsidR="00A93F36" w:rsidRPr="0063385F" w:rsidRDefault="00A93F36" w:rsidP="00A93F36">
      <w:pPr>
        <w:rPr>
          <w:rFonts w:cs="Times New Roman"/>
        </w:rPr>
      </w:pPr>
      <w:r w:rsidRPr="0063385F">
        <w:rPr>
          <w:rFonts w:cs="Times New Roman"/>
          <w:szCs w:val="24"/>
        </w:rPr>
        <w:t>In the case of R v Stone &amp; Dobinson (1977), a person has a duty of care toward another once that person has freely assumed responsibility for the well</w:t>
      </w:r>
      <w:r w:rsidR="00C01C3B">
        <w:rPr>
          <w:rFonts w:cs="Times New Roman"/>
          <w:szCs w:val="24"/>
        </w:rPr>
        <w:t>-</w:t>
      </w:r>
      <w:r w:rsidRPr="0063385F">
        <w:rPr>
          <w:rFonts w:cs="Times New Roman"/>
          <w:szCs w:val="24"/>
        </w:rPr>
        <w:t>being of the latter</w:t>
      </w:r>
      <w:r w:rsidR="00D5229E" w:rsidRPr="0063385F">
        <w:rPr>
          <w:rFonts w:cs="Times New Roman"/>
          <w:szCs w:val="24"/>
        </w:rPr>
        <w:t xml:space="preserve"> (</w:t>
      </w:r>
      <w:r w:rsidR="00D5229E" w:rsidRPr="0063385F">
        <w:rPr>
          <w:rFonts w:cs="Times New Roman"/>
          <w:color w:val="222222"/>
          <w:szCs w:val="24"/>
          <w:shd w:val="clear" w:color="auto" w:fill="FFFFFF"/>
        </w:rPr>
        <w:t>Cobb, 2010</w:t>
      </w:r>
      <w:r w:rsidR="00D5229E" w:rsidRPr="0063385F">
        <w:rPr>
          <w:rFonts w:cs="Times New Roman"/>
          <w:szCs w:val="24"/>
        </w:rPr>
        <w:t>)</w:t>
      </w:r>
      <w:r w:rsidRPr="0063385F">
        <w:rPr>
          <w:rFonts w:cs="Times New Roman"/>
          <w:szCs w:val="24"/>
        </w:rPr>
        <w:t>.</w:t>
      </w:r>
      <w:r w:rsidR="00755BFF" w:rsidRPr="0063385F">
        <w:rPr>
          <w:rFonts w:cs="Times New Roman"/>
          <w:szCs w:val="24"/>
        </w:rPr>
        <w:t xml:space="preserve"> Ted </w:t>
      </w:r>
      <w:r w:rsidR="00052A8A" w:rsidRPr="0063385F">
        <w:rPr>
          <w:rFonts w:cs="Times New Roman"/>
          <w:szCs w:val="24"/>
        </w:rPr>
        <w:t xml:space="preserve">Stone, 67 years old, was blind, </w:t>
      </w:r>
      <w:r w:rsidR="00755BFF" w:rsidRPr="0063385F">
        <w:rPr>
          <w:rFonts w:cs="Times New Roman"/>
          <w:szCs w:val="24"/>
        </w:rPr>
        <w:t xml:space="preserve">deaf, lacked a discernible sense of smell, and had a low IQ. His maid and mistress of eight years, Dobinson, was a 43-year-old woman who was deemed incompetent and unable. </w:t>
      </w:r>
      <w:r w:rsidR="00C01C3B">
        <w:rPr>
          <w:rFonts w:cs="Times New Roman"/>
          <w:szCs w:val="24"/>
        </w:rPr>
        <w:t>R</w:t>
      </w:r>
      <w:r w:rsidR="00755BFF" w:rsidRPr="0063385F">
        <w:rPr>
          <w:rFonts w:cs="Times New Roman"/>
          <w:szCs w:val="24"/>
        </w:rPr>
        <w:t>ecently, Ted's sister Fanny has moved in with them. Formerly, she shared a home with another sister, but they eventually grew apart. She was mentally unstable and anorexic. They promised to take care of her and Ted and Gwendolyn accepted her. Fanny's health worsened, however, and she was discovered dead in her bed</w:t>
      </w:r>
      <w:r w:rsidR="00D5229E" w:rsidRPr="0063385F">
        <w:rPr>
          <w:rFonts w:cs="Times New Roman"/>
          <w:szCs w:val="24"/>
        </w:rPr>
        <w:t xml:space="preserve"> (</w:t>
      </w:r>
      <w:r w:rsidR="00D5229E" w:rsidRPr="0063385F">
        <w:rPr>
          <w:rFonts w:cs="Times New Roman"/>
          <w:color w:val="222222"/>
          <w:szCs w:val="24"/>
          <w:shd w:val="clear" w:color="auto" w:fill="FFFFFF"/>
        </w:rPr>
        <w:t>Cobb, 2010</w:t>
      </w:r>
      <w:r w:rsidR="00D5229E" w:rsidRPr="0063385F">
        <w:rPr>
          <w:rFonts w:cs="Times New Roman"/>
          <w:szCs w:val="24"/>
        </w:rPr>
        <w:t>)</w:t>
      </w:r>
      <w:r w:rsidR="00755BFF" w:rsidRPr="0063385F">
        <w:rPr>
          <w:rFonts w:cs="Times New Roman"/>
          <w:szCs w:val="24"/>
        </w:rPr>
        <w:t>.</w:t>
      </w:r>
      <w:r w:rsidR="00052A8A" w:rsidRPr="0063385F">
        <w:rPr>
          <w:rFonts w:cs="Times New Roman"/>
          <w:szCs w:val="24"/>
        </w:rPr>
        <w:t xml:space="preserve"> Dobinson and Stone promised to take her responsibility. As they failed to do it, the court</w:t>
      </w:r>
      <w:r w:rsidR="00052A8A" w:rsidRPr="0063385F">
        <w:rPr>
          <w:rFonts w:cs="Times New Roman"/>
        </w:rPr>
        <w:t xml:space="preserve"> held them accountable for Fanny’s death.</w:t>
      </w:r>
    </w:p>
    <w:p w:rsidR="00FA6705" w:rsidRPr="0063385F" w:rsidRDefault="00042208" w:rsidP="00997BEA">
      <w:pPr>
        <w:pStyle w:val="Heading2"/>
        <w:rPr>
          <w:rFonts w:cs="Times New Roman"/>
        </w:rPr>
      </w:pPr>
      <w:bookmarkStart w:id="9" w:name="_Toc119189913"/>
      <w:r w:rsidRPr="0063385F">
        <w:rPr>
          <w:rFonts w:cs="Times New Roman"/>
        </w:rPr>
        <w:t>A</w:t>
      </w:r>
      <w:r w:rsidR="00FA6705" w:rsidRPr="0063385F">
        <w:rPr>
          <w:rFonts w:cs="Times New Roman"/>
        </w:rPr>
        <w:t xml:space="preserve"> duty to act st</w:t>
      </w:r>
      <w:r w:rsidRPr="0063385F">
        <w:rPr>
          <w:rFonts w:cs="Times New Roman"/>
        </w:rPr>
        <w:t>op</w:t>
      </w:r>
      <w:bookmarkEnd w:id="9"/>
    </w:p>
    <w:p w:rsidR="0068457A" w:rsidRPr="0063385F" w:rsidRDefault="0043336F" w:rsidP="00FA6705">
      <w:pPr>
        <w:rPr>
          <w:rFonts w:cs="Times New Roman"/>
          <w:bCs/>
          <w:szCs w:val="24"/>
        </w:rPr>
      </w:pPr>
      <w:r w:rsidRPr="0063385F">
        <w:rPr>
          <w:rFonts w:cs="Times New Roman"/>
          <w:bCs/>
          <w:szCs w:val="24"/>
        </w:rPr>
        <w:t>One of the most common tort law concepts, "</w:t>
      </w:r>
      <w:r w:rsidR="00664460" w:rsidRPr="0063385F">
        <w:rPr>
          <w:rFonts w:cs="Times New Roman"/>
          <w:bCs/>
          <w:szCs w:val="24"/>
        </w:rPr>
        <w:t>act</w:t>
      </w:r>
      <w:r w:rsidRPr="0063385F">
        <w:rPr>
          <w:rFonts w:cs="Times New Roman"/>
          <w:bCs/>
          <w:szCs w:val="24"/>
        </w:rPr>
        <w:t xml:space="preserve"> to </w:t>
      </w:r>
      <w:r w:rsidR="00664460" w:rsidRPr="0063385F">
        <w:rPr>
          <w:rFonts w:cs="Times New Roman"/>
          <w:bCs/>
          <w:szCs w:val="24"/>
        </w:rPr>
        <w:t>stop</w:t>
      </w:r>
      <w:r w:rsidRPr="0063385F">
        <w:rPr>
          <w:rFonts w:cs="Times New Roman"/>
          <w:bCs/>
          <w:szCs w:val="24"/>
        </w:rPr>
        <w:t>" refers to situations in which one party's failure to save another's life might result in legal consequences</w:t>
      </w:r>
      <w:r w:rsidR="00D5229E" w:rsidRPr="0063385F">
        <w:rPr>
          <w:rFonts w:cs="Times New Roman"/>
          <w:bCs/>
          <w:szCs w:val="24"/>
        </w:rPr>
        <w:t xml:space="preserve"> (</w:t>
      </w:r>
      <w:r w:rsidR="00D5229E" w:rsidRPr="0063385F">
        <w:rPr>
          <w:rFonts w:cs="Times New Roman"/>
          <w:shd w:val="clear" w:color="auto" w:fill="FFFFFF"/>
        </w:rPr>
        <w:t>Sluiter, G., 2021</w:t>
      </w:r>
      <w:r w:rsidR="00D5229E" w:rsidRPr="0063385F">
        <w:rPr>
          <w:rFonts w:cs="Times New Roman"/>
          <w:bCs/>
          <w:szCs w:val="24"/>
        </w:rPr>
        <w:t>)</w:t>
      </w:r>
      <w:r w:rsidRPr="0063385F">
        <w:rPr>
          <w:rFonts w:cs="Times New Roman"/>
          <w:bCs/>
          <w:szCs w:val="24"/>
        </w:rPr>
        <w:t>.</w:t>
      </w:r>
      <w:r w:rsidR="00D5229E" w:rsidRPr="0063385F">
        <w:rPr>
          <w:rFonts w:cs="Times New Roman"/>
          <w:bCs/>
          <w:szCs w:val="24"/>
        </w:rPr>
        <w:t xml:space="preserve"> </w:t>
      </w:r>
    </w:p>
    <w:p w:rsidR="006326CB" w:rsidRPr="0063385F" w:rsidRDefault="006326CB" w:rsidP="00FA6705">
      <w:pPr>
        <w:rPr>
          <w:rFonts w:cs="Times New Roman"/>
          <w:bCs/>
          <w:szCs w:val="24"/>
        </w:rPr>
      </w:pPr>
      <w:r w:rsidRPr="0063385F">
        <w:rPr>
          <w:rFonts w:cs="Times New Roman"/>
          <w:bCs/>
          <w:szCs w:val="24"/>
        </w:rPr>
        <w:t xml:space="preserve">It is </w:t>
      </w:r>
      <w:r w:rsidR="00C90511" w:rsidRPr="0063385F">
        <w:rPr>
          <w:rFonts w:cs="Times New Roman"/>
          <w:bCs/>
          <w:szCs w:val="24"/>
        </w:rPr>
        <w:t>relevant</w:t>
      </w:r>
      <w:r w:rsidRPr="0063385F">
        <w:rPr>
          <w:rFonts w:cs="Times New Roman"/>
          <w:bCs/>
          <w:szCs w:val="24"/>
        </w:rPr>
        <w:t xml:space="preserve"> to R v Dytham (1979) case. </w:t>
      </w:r>
      <w:r w:rsidR="00C90511" w:rsidRPr="0063385F">
        <w:rPr>
          <w:rFonts w:cs="Times New Roman"/>
          <w:bCs/>
          <w:szCs w:val="24"/>
        </w:rPr>
        <w:t>A police officer is obligated to take action in the public's best interest. Officers have a responsibility to protect the public and should never deliberately disregard this obligation</w:t>
      </w:r>
      <w:r w:rsidR="00D5229E" w:rsidRPr="0063385F">
        <w:rPr>
          <w:rFonts w:cs="Times New Roman"/>
          <w:bCs/>
          <w:szCs w:val="24"/>
        </w:rPr>
        <w:t xml:space="preserve"> (</w:t>
      </w:r>
      <w:r w:rsidR="00D5229E" w:rsidRPr="0063385F">
        <w:rPr>
          <w:rFonts w:cs="Times New Roman"/>
          <w:shd w:val="clear" w:color="auto" w:fill="FFFFFF"/>
        </w:rPr>
        <w:t>Sluiter, G., 2021</w:t>
      </w:r>
      <w:r w:rsidR="00D5229E" w:rsidRPr="0063385F">
        <w:rPr>
          <w:rFonts w:cs="Times New Roman"/>
          <w:bCs/>
          <w:szCs w:val="24"/>
        </w:rPr>
        <w:t>)</w:t>
      </w:r>
      <w:r w:rsidR="00C90511" w:rsidRPr="0063385F">
        <w:rPr>
          <w:rFonts w:cs="Times New Roman"/>
          <w:bCs/>
          <w:szCs w:val="24"/>
        </w:rPr>
        <w:t>.</w:t>
      </w:r>
    </w:p>
    <w:p w:rsidR="00C90511" w:rsidRPr="0063385F" w:rsidRDefault="00C90511" w:rsidP="00FA6705">
      <w:pPr>
        <w:rPr>
          <w:rFonts w:cs="Times New Roman"/>
          <w:bCs/>
          <w:szCs w:val="24"/>
        </w:rPr>
      </w:pPr>
      <w:r w:rsidRPr="0063385F">
        <w:rPr>
          <w:rFonts w:cs="Times New Roman"/>
          <w:bCs/>
          <w:szCs w:val="24"/>
        </w:rPr>
        <w:t>The cop was there while a bouncer brutally murdered the victim. The defendant did nothing to aid the situation and fled after his shift ended without calling for backup. This defendant faces charges of official misconduct.</w:t>
      </w:r>
    </w:p>
    <w:p w:rsidR="00AF6AF1" w:rsidRPr="0063385F" w:rsidRDefault="00B50915" w:rsidP="00FA6705">
      <w:pPr>
        <w:rPr>
          <w:rFonts w:cs="Times New Roman"/>
          <w:bCs/>
          <w:szCs w:val="24"/>
        </w:rPr>
      </w:pPr>
      <w:r w:rsidRPr="0063385F">
        <w:rPr>
          <w:rFonts w:cs="Times New Roman"/>
          <w:bCs/>
          <w:szCs w:val="24"/>
        </w:rPr>
        <w:t xml:space="preserve">The defendant's official status imposed upon him a responsibility to act in the public interest. </w:t>
      </w:r>
      <w:r w:rsidR="00AF6AF1" w:rsidRPr="0063385F">
        <w:rPr>
          <w:rFonts w:cs="Times New Roman"/>
          <w:bCs/>
          <w:szCs w:val="24"/>
        </w:rPr>
        <w:t>The court ruled that law enforcement officers have an obligation to protect the public and cannot knowingly violate this responsibility in their actions or inactions</w:t>
      </w:r>
      <w:r w:rsidR="00D5229E" w:rsidRPr="0063385F">
        <w:rPr>
          <w:rFonts w:cs="Times New Roman"/>
          <w:bCs/>
          <w:szCs w:val="24"/>
        </w:rPr>
        <w:t xml:space="preserve"> (</w:t>
      </w:r>
      <w:r w:rsidR="00D5229E" w:rsidRPr="0063385F">
        <w:rPr>
          <w:rFonts w:cs="Times New Roman"/>
          <w:shd w:val="clear" w:color="auto" w:fill="FFFFFF"/>
        </w:rPr>
        <w:t>Sluiter, G., 2021</w:t>
      </w:r>
      <w:r w:rsidR="00D5229E" w:rsidRPr="0063385F">
        <w:rPr>
          <w:rFonts w:cs="Times New Roman"/>
          <w:bCs/>
          <w:szCs w:val="24"/>
        </w:rPr>
        <w:t>)</w:t>
      </w:r>
      <w:r w:rsidR="00AF6AF1" w:rsidRPr="0063385F">
        <w:rPr>
          <w:rFonts w:cs="Times New Roman"/>
          <w:bCs/>
          <w:szCs w:val="24"/>
        </w:rPr>
        <w:t xml:space="preserve">. </w:t>
      </w:r>
      <w:r w:rsidR="00C01C3B">
        <w:rPr>
          <w:rFonts w:cs="Times New Roman"/>
          <w:bCs/>
          <w:szCs w:val="24"/>
        </w:rPr>
        <w:t>The a</w:t>
      </w:r>
      <w:r w:rsidR="00AF6AF1" w:rsidRPr="0063385F">
        <w:rPr>
          <w:rFonts w:cs="Times New Roman"/>
          <w:bCs/>
          <w:szCs w:val="24"/>
        </w:rPr>
        <w:t xml:space="preserve">bsence of action can sometimes constitute </w:t>
      </w:r>
      <w:r w:rsidR="00C01C3B">
        <w:rPr>
          <w:rFonts w:cs="Times New Roman"/>
          <w:bCs/>
          <w:szCs w:val="24"/>
        </w:rPr>
        <w:t xml:space="preserve">an </w:t>
      </w:r>
      <w:r w:rsidR="00AF6AF1" w:rsidRPr="0063385F">
        <w:rPr>
          <w:rFonts w:cs="Times New Roman"/>
          <w:bCs/>
          <w:szCs w:val="24"/>
        </w:rPr>
        <w:t>official commission. So he was found guilty.</w:t>
      </w:r>
    </w:p>
    <w:p w:rsidR="00042208" w:rsidRPr="0063385F" w:rsidRDefault="00042208" w:rsidP="00997BEA">
      <w:pPr>
        <w:pStyle w:val="Heading2"/>
        <w:rPr>
          <w:rFonts w:cs="Times New Roman"/>
          <w:sz w:val="24"/>
        </w:rPr>
      </w:pPr>
      <w:bookmarkStart w:id="10" w:name="_Toc119189914"/>
      <w:r w:rsidRPr="0063385F">
        <w:rPr>
          <w:rFonts w:cs="Times New Roman"/>
        </w:rPr>
        <w:t>The</w:t>
      </w:r>
      <w:r w:rsidR="00FA6705" w:rsidRPr="0063385F">
        <w:rPr>
          <w:rFonts w:cs="Times New Roman"/>
          <w:sz w:val="24"/>
        </w:rPr>
        <w:t xml:space="preserve"> </w:t>
      </w:r>
      <w:r w:rsidRPr="0063385F">
        <w:rPr>
          <w:rFonts w:cs="Times New Roman"/>
        </w:rPr>
        <w:t>pros</w:t>
      </w:r>
      <w:r w:rsidR="00FA6705" w:rsidRPr="0063385F">
        <w:rPr>
          <w:rFonts w:cs="Times New Roman"/>
          <w:sz w:val="24"/>
        </w:rPr>
        <w:t xml:space="preserve"> and </w:t>
      </w:r>
      <w:r w:rsidRPr="0063385F">
        <w:rPr>
          <w:rFonts w:cs="Times New Roman"/>
        </w:rPr>
        <w:t>cons</w:t>
      </w:r>
      <w:r w:rsidR="00FA6705" w:rsidRPr="0063385F">
        <w:rPr>
          <w:rFonts w:cs="Times New Roman"/>
          <w:sz w:val="24"/>
        </w:rPr>
        <w:t xml:space="preserve"> of</w:t>
      </w:r>
      <w:r w:rsidRPr="0063385F">
        <w:rPr>
          <w:rFonts w:cs="Times New Roman"/>
        </w:rPr>
        <w:t xml:space="preserve"> having a general duty to act</w:t>
      </w:r>
      <w:bookmarkEnd w:id="10"/>
    </w:p>
    <w:p w:rsidR="00E8610A" w:rsidRPr="0063385F" w:rsidRDefault="00F86B49">
      <w:pPr>
        <w:rPr>
          <w:rFonts w:cs="Times New Roman"/>
        </w:rPr>
      </w:pPr>
      <w:r w:rsidRPr="0063385F">
        <w:rPr>
          <w:rFonts w:cs="Times New Roman"/>
        </w:rPr>
        <w:t>The case for establishing a general responsibility of care can be countered by those who argue against it. Proponents of a general duty to ensure the protection of others say that doing so would help uphold moral standards</w:t>
      </w:r>
      <w:r w:rsidR="0063385F" w:rsidRPr="0063385F">
        <w:rPr>
          <w:rFonts w:cs="Times New Roman"/>
        </w:rPr>
        <w:t xml:space="preserve"> </w:t>
      </w:r>
      <w:r w:rsidR="0063385F" w:rsidRPr="0063385F">
        <w:rPr>
          <w:rFonts w:cs="Times New Roman"/>
          <w:bCs/>
          <w:szCs w:val="24"/>
        </w:rPr>
        <w:t>(</w:t>
      </w:r>
      <w:r w:rsidR="0063385F" w:rsidRPr="0063385F">
        <w:rPr>
          <w:rFonts w:cs="Times New Roman"/>
          <w:szCs w:val="24"/>
          <w:shd w:val="clear" w:color="auto" w:fill="FFFFFF"/>
        </w:rPr>
        <w:t>Ashford, 2019</w:t>
      </w:r>
      <w:r w:rsidR="0063385F" w:rsidRPr="0063385F">
        <w:rPr>
          <w:rFonts w:cs="Times New Roman"/>
          <w:bCs/>
          <w:szCs w:val="24"/>
        </w:rPr>
        <w:t>)</w:t>
      </w:r>
      <w:r w:rsidRPr="0063385F">
        <w:rPr>
          <w:rFonts w:cs="Times New Roman"/>
        </w:rPr>
        <w:t xml:space="preserve">. One counterargument is that helping an injured person can end up doing more damage than good. Also, do you expect everyone at a beach where a person is drowning </w:t>
      </w:r>
      <w:r w:rsidR="00063F01" w:rsidRPr="0063385F">
        <w:rPr>
          <w:rFonts w:cs="Times New Roman"/>
        </w:rPr>
        <w:t xml:space="preserve">to jump in and try to save them if there is no one to supervise the beach? What happens if they don't, can everyone in the room be sent </w:t>
      </w:r>
      <w:r w:rsidR="00C01C3B">
        <w:rPr>
          <w:rFonts w:cs="Times New Roman"/>
        </w:rPr>
        <w:t>to</w:t>
      </w:r>
      <w:r w:rsidR="00063F01" w:rsidRPr="0063385F">
        <w:rPr>
          <w:rFonts w:cs="Times New Roman"/>
        </w:rPr>
        <w:t xml:space="preserve"> jail? Unfortunately, it appears that the general duty of care cannot be applied here. Thieves may sometimes seem to be helpless victims in order to elicit pity from their intended victims. </w:t>
      </w:r>
      <w:r w:rsidR="00221EAB" w:rsidRPr="0063385F">
        <w:rPr>
          <w:rFonts w:cs="Times New Roman"/>
        </w:rPr>
        <w:t xml:space="preserve">This suggests that an increase in criminal activity may accompany the </w:t>
      </w:r>
      <w:r w:rsidR="007F050B" w:rsidRPr="0063385F">
        <w:rPr>
          <w:rFonts w:cs="Times New Roman"/>
        </w:rPr>
        <w:t>enforcement</w:t>
      </w:r>
      <w:r w:rsidR="00221EAB" w:rsidRPr="0063385F">
        <w:rPr>
          <w:rFonts w:cs="Times New Roman"/>
        </w:rPr>
        <w:t xml:space="preserve"> of a general duty of care.</w:t>
      </w:r>
    </w:p>
    <w:p w:rsidR="00A466F1" w:rsidRPr="0063385F" w:rsidRDefault="00A466F1" w:rsidP="000B319A">
      <w:pPr>
        <w:pStyle w:val="Heading1"/>
        <w:rPr>
          <w:rFonts w:cs="Times New Roman"/>
        </w:rPr>
      </w:pPr>
      <w:bookmarkStart w:id="11" w:name="_Toc119189915"/>
      <w:r w:rsidRPr="0063385F">
        <w:rPr>
          <w:rFonts w:cs="Times New Roman"/>
        </w:rPr>
        <w:t>Conclusion</w:t>
      </w:r>
      <w:bookmarkEnd w:id="11"/>
    </w:p>
    <w:p w:rsidR="00A466F1" w:rsidRPr="0063385F" w:rsidRDefault="00A466F1">
      <w:pPr>
        <w:rPr>
          <w:rFonts w:cs="Times New Roman"/>
        </w:rPr>
      </w:pPr>
      <w:r w:rsidRPr="0063385F">
        <w:rPr>
          <w:rFonts w:cs="Times New Roman"/>
        </w:rPr>
        <w:t>This covers various situation that draw</w:t>
      </w:r>
      <w:r w:rsidR="00C01C3B">
        <w:rPr>
          <w:rFonts w:cs="Times New Roman"/>
        </w:rPr>
        <w:t>s</w:t>
      </w:r>
      <w:r w:rsidRPr="0063385F">
        <w:rPr>
          <w:rFonts w:cs="Times New Roman"/>
        </w:rPr>
        <w:t xml:space="preserve"> </w:t>
      </w:r>
      <w:r w:rsidR="00C01C3B">
        <w:rPr>
          <w:rFonts w:cs="Times New Roman"/>
        </w:rPr>
        <w:t xml:space="preserve">an </w:t>
      </w:r>
      <w:r w:rsidRPr="0063385F">
        <w:rPr>
          <w:rFonts w:cs="Times New Roman"/>
        </w:rPr>
        <w:t xml:space="preserve">example from past case scenario to explain failing to act or </w:t>
      </w:r>
      <w:r w:rsidR="000B319A" w:rsidRPr="0063385F">
        <w:rPr>
          <w:rFonts w:cs="Times New Roman"/>
        </w:rPr>
        <w:t>omission</w:t>
      </w:r>
      <w:r w:rsidRPr="0063385F">
        <w:rPr>
          <w:rFonts w:cs="Times New Roman"/>
        </w:rPr>
        <w:t xml:space="preserve">. It also describes </w:t>
      </w:r>
      <w:r w:rsidR="00C01C3B">
        <w:rPr>
          <w:rFonts w:cs="Times New Roman"/>
        </w:rPr>
        <w:t xml:space="preserve">the </w:t>
      </w:r>
      <w:r w:rsidR="000B319A" w:rsidRPr="0063385F">
        <w:rPr>
          <w:rFonts w:cs="Times New Roman"/>
        </w:rPr>
        <w:t xml:space="preserve">advantages and disadvantages of having </w:t>
      </w:r>
      <w:r w:rsidR="00C01C3B">
        <w:rPr>
          <w:rFonts w:cs="Times New Roman"/>
        </w:rPr>
        <w:t xml:space="preserve">the </w:t>
      </w:r>
      <w:r w:rsidR="000B319A" w:rsidRPr="0063385F">
        <w:rPr>
          <w:rFonts w:cs="Times New Roman"/>
        </w:rPr>
        <w:t xml:space="preserve">general duty to act. It also discusses a duty to stop, </w:t>
      </w:r>
      <w:r w:rsidR="00C01C3B">
        <w:rPr>
          <w:rFonts w:cs="Times New Roman"/>
        </w:rPr>
        <w:t xml:space="preserve">the </w:t>
      </w:r>
      <w:r w:rsidR="000B319A" w:rsidRPr="0063385F">
        <w:rPr>
          <w:rFonts w:cs="Times New Roman"/>
        </w:rPr>
        <w:t>contractual duty to act that prevent</w:t>
      </w:r>
      <w:r w:rsidR="00C01C3B">
        <w:rPr>
          <w:rFonts w:cs="Times New Roman"/>
        </w:rPr>
        <w:t>s</w:t>
      </w:r>
      <w:r w:rsidR="000B319A" w:rsidRPr="0063385F">
        <w:rPr>
          <w:rFonts w:cs="Times New Roman"/>
        </w:rPr>
        <w:t xml:space="preserve"> harm.</w:t>
      </w:r>
    </w:p>
    <w:p w:rsidR="00445EE2" w:rsidRPr="0063385F" w:rsidRDefault="00445EE2">
      <w:pPr>
        <w:rPr>
          <w:rFonts w:cs="Times New Roman"/>
        </w:rPr>
      </w:pPr>
    </w:p>
    <w:p w:rsidR="0063385F" w:rsidRPr="0063385F" w:rsidRDefault="0063385F">
      <w:pPr>
        <w:rPr>
          <w:rFonts w:cs="Times New Roman"/>
        </w:rPr>
      </w:pPr>
    </w:p>
    <w:p w:rsidR="0063385F" w:rsidRPr="0063385F" w:rsidRDefault="0063385F">
      <w:pPr>
        <w:rPr>
          <w:rFonts w:cs="Times New Roman"/>
        </w:rPr>
      </w:pPr>
    </w:p>
    <w:p w:rsidR="0063385F" w:rsidRPr="0063385F" w:rsidRDefault="0063385F">
      <w:pPr>
        <w:rPr>
          <w:rFonts w:cs="Times New Roman"/>
        </w:rPr>
      </w:pPr>
    </w:p>
    <w:p w:rsidR="0063385F" w:rsidRPr="0063385F" w:rsidRDefault="0063385F">
      <w:pPr>
        <w:rPr>
          <w:rFonts w:cs="Times New Roman"/>
        </w:rPr>
      </w:pPr>
    </w:p>
    <w:p w:rsidR="0063385F" w:rsidRPr="0063385F" w:rsidRDefault="0063385F">
      <w:pPr>
        <w:rPr>
          <w:rFonts w:cs="Times New Roman"/>
        </w:rPr>
      </w:pPr>
    </w:p>
    <w:p w:rsidR="0063385F" w:rsidRPr="0063385F" w:rsidRDefault="0063385F">
      <w:pPr>
        <w:rPr>
          <w:rFonts w:cs="Times New Roman"/>
        </w:rPr>
      </w:pPr>
    </w:p>
    <w:p w:rsidR="0063385F" w:rsidRPr="0063385F" w:rsidRDefault="0063385F">
      <w:pPr>
        <w:rPr>
          <w:rFonts w:cs="Times New Roman"/>
        </w:rPr>
      </w:pPr>
    </w:p>
    <w:p w:rsidR="0063385F" w:rsidRPr="0063385F" w:rsidRDefault="0063385F">
      <w:pPr>
        <w:rPr>
          <w:rFonts w:cs="Times New Roman"/>
        </w:rPr>
      </w:pPr>
    </w:p>
    <w:p w:rsidR="0063385F" w:rsidRPr="0063385F" w:rsidRDefault="0063385F">
      <w:pPr>
        <w:rPr>
          <w:rFonts w:cs="Times New Roman"/>
        </w:rPr>
      </w:pPr>
    </w:p>
    <w:p w:rsidR="0063385F" w:rsidRPr="0063385F" w:rsidRDefault="0063385F">
      <w:pPr>
        <w:rPr>
          <w:rFonts w:cs="Times New Roman"/>
        </w:rPr>
      </w:pPr>
    </w:p>
    <w:p w:rsidR="0063385F" w:rsidRPr="0063385F" w:rsidRDefault="0063385F" w:rsidP="0063385F">
      <w:pPr>
        <w:pStyle w:val="Heading1"/>
        <w:rPr>
          <w:rFonts w:cs="Times New Roman"/>
        </w:rPr>
      </w:pPr>
      <w:bookmarkStart w:id="12" w:name="_Toc119189916"/>
      <w:r w:rsidRPr="0063385F">
        <w:rPr>
          <w:rFonts w:cs="Times New Roman"/>
        </w:rPr>
        <w:t>References</w:t>
      </w:r>
      <w:bookmarkEnd w:id="12"/>
    </w:p>
    <w:p w:rsidR="00D5229E" w:rsidRPr="0063385F" w:rsidRDefault="00D5229E" w:rsidP="00D5229E">
      <w:pPr>
        <w:rPr>
          <w:rFonts w:cs="Times New Roman"/>
        </w:rPr>
      </w:pPr>
      <w:r w:rsidRPr="0063385F">
        <w:rPr>
          <w:rFonts w:cs="Times New Roman"/>
          <w:shd w:val="clear" w:color="auto" w:fill="FFFFFF"/>
        </w:rPr>
        <w:t>Amatrudo, A., 2018. Organisations and Their Enterprise in UK Criminal Law and in International Law. In </w:t>
      </w:r>
      <w:r w:rsidRPr="0063385F">
        <w:rPr>
          <w:rFonts w:cs="Times New Roman"/>
          <w:i/>
          <w:iCs/>
          <w:shd w:val="clear" w:color="auto" w:fill="FFFFFF"/>
        </w:rPr>
        <w:t>Criminal Actions and Social Situations</w:t>
      </w:r>
      <w:r w:rsidRPr="0063385F">
        <w:rPr>
          <w:rFonts w:cs="Times New Roman"/>
          <w:shd w:val="clear" w:color="auto" w:fill="FFFFFF"/>
        </w:rPr>
        <w:t> (pp. 89-115). Palgrave Macmillan, London.</w:t>
      </w:r>
    </w:p>
    <w:p w:rsidR="00D5229E" w:rsidRPr="0063385F" w:rsidRDefault="00D5229E" w:rsidP="00D5229E">
      <w:pPr>
        <w:rPr>
          <w:rFonts w:cs="Times New Roman"/>
          <w:shd w:val="clear" w:color="auto" w:fill="FFFFFF"/>
        </w:rPr>
      </w:pPr>
      <w:r w:rsidRPr="0063385F">
        <w:rPr>
          <w:rFonts w:cs="Times New Roman"/>
          <w:shd w:val="clear" w:color="auto" w:fill="FFFFFF"/>
        </w:rPr>
        <w:t>Ashford, C., 2019. Male sex work and the Internet effect: Time to re-evaluate the criminal law?. </w:t>
      </w:r>
      <w:r w:rsidRPr="0063385F">
        <w:rPr>
          <w:rFonts w:cs="Times New Roman"/>
          <w:i/>
          <w:iCs/>
          <w:shd w:val="clear" w:color="auto" w:fill="FFFFFF"/>
        </w:rPr>
        <w:t>The Journal of Criminal Law</w:t>
      </w:r>
      <w:r w:rsidRPr="0063385F">
        <w:rPr>
          <w:rFonts w:cs="Times New Roman"/>
          <w:shd w:val="clear" w:color="auto" w:fill="FFFFFF"/>
        </w:rPr>
        <w:t>, </w:t>
      </w:r>
      <w:r w:rsidRPr="0063385F">
        <w:rPr>
          <w:rFonts w:cs="Times New Roman"/>
          <w:i/>
          <w:iCs/>
          <w:shd w:val="clear" w:color="auto" w:fill="FFFFFF"/>
        </w:rPr>
        <w:t>73</w:t>
      </w:r>
      <w:r w:rsidRPr="0063385F">
        <w:rPr>
          <w:rFonts w:cs="Times New Roman"/>
          <w:shd w:val="clear" w:color="auto" w:fill="FFFFFF"/>
        </w:rPr>
        <w:t>(3), pp.258-280.</w:t>
      </w:r>
    </w:p>
    <w:p w:rsidR="00D5229E" w:rsidRPr="0063385F" w:rsidRDefault="00D5229E" w:rsidP="00D5229E">
      <w:pPr>
        <w:rPr>
          <w:rFonts w:cs="Times New Roman"/>
          <w:shd w:val="clear" w:color="auto" w:fill="FFFFFF"/>
        </w:rPr>
      </w:pPr>
      <w:r w:rsidRPr="0063385F">
        <w:rPr>
          <w:rFonts w:cs="Times New Roman"/>
          <w:shd w:val="clear" w:color="auto" w:fill="FFFFFF"/>
        </w:rPr>
        <w:t>Ashworth, A. and Horder, J., 2013. </w:t>
      </w:r>
      <w:r w:rsidRPr="0063385F">
        <w:rPr>
          <w:rFonts w:cs="Times New Roman"/>
          <w:i/>
          <w:iCs/>
          <w:shd w:val="clear" w:color="auto" w:fill="FFFFFF"/>
        </w:rPr>
        <w:t>Principles of criminal law</w:t>
      </w:r>
      <w:r w:rsidRPr="0063385F">
        <w:rPr>
          <w:rFonts w:cs="Times New Roman"/>
          <w:shd w:val="clear" w:color="auto" w:fill="FFFFFF"/>
        </w:rPr>
        <w:t>. Oxford university press.</w:t>
      </w:r>
    </w:p>
    <w:p w:rsidR="00D5229E" w:rsidRPr="0063385F" w:rsidRDefault="00D5229E" w:rsidP="00D5229E">
      <w:pPr>
        <w:rPr>
          <w:rFonts w:cs="Times New Roman"/>
          <w:shd w:val="clear" w:color="auto" w:fill="FFFFFF"/>
        </w:rPr>
      </w:pPr>
      <w:r w:rsidRPr="0063385F">
        <w:rPr>
          <w:rFonts w:cs="Times New Roman"/>
          <w:shd w:val="clear" w:color="auto" w:fill="FFFFFF"/>
        </w:rPr>
        <w:t>Chouaibi, S., Chouaibi, J. and Rossi, M., 2021. ESG and corporate financial performance: the mediating role of green innovation: UK common law versus Germany civil law. </w:t>
      </w:r>
      <w:r w:rsidRPr="0063385F">
        <w:rPr>
          <w:rFonts w:cs="Times New Roman"/>
          <w:i/>
          <w:iCs/>
          <w:shd w:val="clear" w:color="auto" w:fill="FFFFFF"/>
        </w:rPr>
        <w:t>EuroMed Journal of Business</w:t>
      </w:r>
      <w:r w:rsidRPr="0063385F">
        <w:rPr>
          <w:rFonts w:cs="Times New Roman"/>
          <w:shd w:val="clear" w:color="auto" w:fill="FFFFFF"/>
        </w:rPr>
        <w:t>.</w:t>
      </w:r>
    </w:p>
    <w:p w:rsidR="00D5229E" w:rsidRPr="0063385F" w:rsidRDefault="00D5229E" w:rsidP="00D5229E">
      <w:pPr>
        <w:rPr>
          <w:rFonts w:cs="Times New Roman"/>
          <w:shd w:val="clear" w:color="auto" w:fill="FFFFFF"/>
        </w:rPr>
      </w:pPr>
      <w:r w:rsidRPr="0063385F">
        <w:rPr>
          <w:rFonts w:cs="Times New Roman"/>
          <w:shd w:val="clear" w:color="auto" w:fill="FFFFFF"/>
        </w:rPr>
        <w:t>Cobb, N., 2010. Re-Reading Criminal Law through a Feminist Lens: R v Stone and Dobinson. </w:t>
      </w:r>
      <w:r w:rsidRPr="0063385F">
        <w:rPr>
          <w:rFonts w:cs="Times New Roman"/>
          <w:i/>
          <w:iCs/>
          <w:shd w:val="clear" w:color="auto" w:fill="FFFFFF"/>
        </w:rPr>
        <w:t>Inter Alia</w:t>
      </w:r>
      <w:r w:rsidRPr="0063385F">
        <w:rPr>
          <w:rFonts w:cs="Times New Roman"/>
          <w:shd w:val="clear" w:color="auto" w:fill="FFFFFF"/>
        </w:rPr>
        <w:t>, p.80.</w:t>
      </w:r>
    </w:p>
    <w:p w:rsidR="00D5229E" w:rsidRPr="0063385F" w:rsidRDefault="00D5229E" w:rsidP="00D5229E">
      <w:pPr>
        <w:rPr>
          <w:rFonts w:cs="Times New Roman"/>
        </w:rPr>
      </w:pPr>
      <w:r w:rsidRPr="0063385F">
        <w:rPr>
          <w:rFonts w:cs="Times New Roman"/>
          <w:shd w:val="clear" w:color="auto" w:fill="FFFFFF"/>
        </w:rPr>
        <w:t>Fordham, M. and Choo, H.T., 2019. " Cutting the thread of life"-the right to cease medical treatment: Airedale NHS Trust v Bland. </w:t>
      </w:r>
      <w:r w:rsidRPr="0063385F">
        <w:rPr>
          <w:rFonts w:cs="Times New Roman"/>
          <w:i/>
          <w:iCs/>
          <w:shd w:val="clear" w:color="auto" w:fill="FFFFFF"/>
        </w:rPr>
        <w:t>Singapore Journal of Legal Studies</w:t>
      </w:r>
      <w:r w:rsidRPr="0063385F">
        <w:rPr>
          <w:rFonts w:cs="Times New Roman"/>
          <w:shd w:val="clear" w:color="auto" w:fill="FFFFFF"/>
        </w:rPr>
        <w:t>, (July 1993), pp.235-244.</w:t>
      </w:r>
    </w:p>
    <w:p w:rsidR="00D5229E" w:rsidRPr="0063385F" w:rsidRDefault="00D5229E" w:rsidP="00D5229E">
      <w:pPr>
        <w:rPr>
          <w:rFonts w:cs="Times New Roman"/>
          <w:shd w:val="clear" w:color="auto" w:fill="FFFFFF"/>
        </w:rPr>
      </w:pPr>
      <w:r w:rsidRPr="0063385F">
        <w:rPr>
          <w:rFonts w:cs="Times New Roman"/>
          <w:shd w:val="clear" w:color="auto" w:fill="FFFFFF"/>
        </w:rPr>
        <w:t>Henne, P., Bello, P., Khemlani, S. and De Brigard, F., 2019. Norms and the meaning of omissive enabling conditions.</w:t>
      </w:r>
    </w:p>
    <w:p w:rsidR="00D5229E" w:rsidRPr="0063385F" w:rsidRDefault="00D5229E" w:rsidP="00D5229E">
      <w:pPr>
        <w:rPr>
          <w:rFonts w:cs="Times New Roman"/>
          <w:shd w:val="clear" w:color="auto" w:fill="FFFFFF"/>
        </w:rPr>
      </w:pPr>
      <w:r w:rsidRPr="0063385F">
        <w:rPr>
          <w:rFonts w:cs="Times New Roman"/>
          <w:shd w:val="clear" w:color="auto" w:fill="FFFFFF"/>
        </w:rPr>
        <w:t>Howe, J., 2016. The persistent vegetative state, treatment withdrawal, and the Hillsborough disaster: Airedale NHS Trust v Bland. </w:t>
      </w:r>
      <w:r w:rsidRPr="0063385F">
        <w:rPr>
          <w:rFonts w:cs="Times New Roman"/>
          <w:i/>
          <w:iCs/>
          <w:shd w:val="clear" w:color="auto" w:fill="FFFFFF"/>
        </w:rPr>
        <w:t>Practical Neurology</w:t>
      </w:r>
      <w:r w:rsidRPr="0063385F">
        <w:rPr>
          <w:rFonts w:cs="Times New Roman"/>
          <w:shd w:val="clear" w:color="auto" w:fill="FFFFFF"/>
        </w:rPr>
        <w:t>, </w:t>
      </w:r>
      <w:r w:rsidRPr="0063385F">
        <w:rPr>
          <w:rFonts w:cs="Times New Roman"/>
          <w:i/>
          <w:iCs/>
          <w:shd w:val="clear" w:color="auto" w:fill="FFFFFF"/>
        </w:rPr>
        <w:t>6</w:t>
      </w:r>
      <w:r w:rsidRPr="0063385F">
        <w:rPr>
          <w:rFonts w:cs="Times New Roman"/>
          <w:shd w:val="clear" w:color="auto" w:fill="FFFFFF"/>
        </w:rPr>
        <w:t>(4), pp.238-246.</w:t>
      </w:r>
    </w:p>
    <w:p w:rsidR="00D5229E" w:rsidRPr="0063385F" w:rsidRDefault="00D5229E" w:rsidP="00D5229E">
      <w:pPr>
        <w:rPr>
          <w:rFonts w:cs="Times New Roman"/>
          <w:shd w:val="clear" w:color="auto" w:fill="FFFFFF"/>
        </w:rPr>
      </w:pPr>
      <w:r w:rsidRPr="0063385F">
        <w:rPr>
          <w:rFonts w:cs="Times New Roman"/>
          <w:shd w:val="clear" w:color="auto" w:fill="FFFFFF"/>
        </w:rPr>
        <w:t>Sluiter, G., 2021. K. Kittichaisaree, International Criminal Law, Oxford University Press, Oxford2001, 482 pp., UK£ 25.99. ISBN 0-19-876577-0. </w:t>
      </w:r>
      <w:r w:rsidRPr="0063385F">
        <w:rPr>
          <w:rFonts w:cs="Times New Roman"/>
          <w:i/>
          <w:iCs/>
          <w:shd w:val="clear" w:color="auto" w:fill="FFFFFF"/>
        </w:rPr>
        <w:t>Netherlands International Law Review</w:t>
      </w:r>
      <w:r w:rsidRPr="0063385F">
        <w:rPr>
          <w:rFonts w:cs="Times New Roman"/>
          <w:shd w:val="clear" w:color="auto" w:fill="FFFFFF"/>
        </w:rPr>
        <w:t>, </w:t>
      </w:r>
      <w:r w:rsidRPr="0063385F">
        <w:rPr>
          <w:rFonts w:cs="Times New Roman"/>
          <w:i/>
          <w:iCs/>
          <w:shd w:val="clear" w:color="auto" w:fill="FFFFFF"/>
        </w:rPr>
        <w:t>49</w:t>
      </w:r>
      <w:r w:rsidRPr="0063385F">
        <w:rPr>
          <w:rFonts w:cs="Times New Roman"/>
          <w:shd w:val="clear" w:color="auto" w:fill="FFFFFF"/>
        </w:rPr>
        <w:t>(1), pp.139-143.</w:t>
      </w:r>
    </w:p>
    <w:sectPr w:rsidR="00D5229E" w:rsidRPr="0063385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14E6C" w:rsidRDefault="00D14E6C" w:rsidP="0063385F">
      <w:pPr>
        <w:spacing w:after="0" w:line="240" w:lineRule="auto"/>
      </w:pPr>
      <w:r>
        <w:separator/>
      </w:r>
    </w:p>
  </w:endnote>
  <w:endnote w:type="continuationSeparator" w:id="0">
    <w:p w:rsidR="00D14E6C" w:rsidRDefault="00D14E6C" w:rsidP="00633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590D" w:rsidRDefault="0022590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4495363"/>
      <w:docPartObj>
        <w:docPartGallery w:val="Page Numbers (Bottom of Page)"/>
        <w:docPartUnique/>
      </w:docPartObj>
    </w:sdtPr>
    <w:sdtEndPr>
      <w:rPr>
        <w:noProof/>
      </w:rPr>
    </w:sdtEndPr>
    <w:sdtContent>
      <w:p w:rsidR="0063385F" w:rsidRDefault="0063385F">
        <w:pPr>
          <w:pStyle w:val="Footer"/>
          <w:jc w:val="right"/>
        </w:pPr>
        <w:r>
          <w:fldChar w:fldCharType="begin"/>
        </w:r>
        <w:r>
          <w:instrText xml:space="preserve"> PAGE   \* MERGEFORMAT </w:instrText>
        </w:r>
        <w:r>
          <w:fldChar w:fldCharType="separate"/>
        </w:r>
        <w:r w:rsidR="00D14E6C">
          <w:rPr>
            <w:noProof/>
          </w:rPr>
          <w:t>1</w:t>
        </w:r>
        <w:r>
          <w:rPr>
            <w:noProof/>
          </w:rPr>
          <w:fldChar w:fldCharType="end"/>
        </w:r>
      </w:p>
    </w:sdtContent>
  </w:sdt>
  <w:p w:rsidR="0063385F" w:rsidRDefault="0063385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590D" w:rsidRDefault="002259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14E6C" w:rsidRDefault="00D14E6C" w:rsidP="0063385F">
      <w:pPr>
        <w:spacing w:after="0" w:line="240" w:lineRule="auto"/>
      </w:pPr>
      <w:r>
        <w:separator/>
      </w:r>
    </w:p>
  </w:footnote>
  <w:footnote w:type="continuationSeparator" w:id="0">
    <w:p w:rsidR="00D14E6C" w:rsidRDefault="00D14E6C" w:rsidP="0063385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590D" w:rsidRDefault="0022590D">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590D" w:rsidRDefault="0022590D">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590D" w:rsidRDefault="0022590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1579ED"/>
    <w:multiLevelType w:val="hybridMultilevel"/>
    <w:tmpl w:val="F2F8CD24"/>
    <w:lvl w:ilvl="0" w:tplc="DD6AE7C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9242EB"/>
    <w:multiLevelType w:val="hybridMultilevel"/>
    <w:tmpl w:val="024A0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C1568F9"/>
    <w:multiLevelType w:val="hybridMultilevel"/>
    <w:tmpl w:val="D8B662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I3sTQzMDE1tjQzNzVV0lEKTi0uzszPAykwrAUA45buhCwAAAA="/>
  </w:docVars>
  <w:rsids>
    <w:rsidRoot w:val="002A0E5F"/>
    <w:rsid w:val="00042208"/>
    <w:rsid w:val="00052A8A"/>
    <w:rsid w:val="00063F01"/>
    <w:rsid w:val="00093271"/>
    <w:rsid w:val="000B0A80"/>
    <w:rsid w:val="000B319A"/>
    <w:rsid w:val="000B4EB7"/>
    <w:rsid w:val="00102E8C"/>
    <w:rsid w:val="00191ED1"/>
    <w:rsid w:val="001F57CD"/>
    <w:rsid w:val="00221EAB"/>
    <w:rsid w:val="0022590D"/>
    <w:rsid w:val="002453C7"/>
    <w:rsid w:val="00246CED"/>
    <w:rsid w:val="002A0E5F"/>
    <w:rsid w:val="003A7CA6"/>
    <w:rsid w:val="00426093"/>
    <w:rsid w:val="0043336F"/>
    <w:rsid w:val="00445EE2"/>
    <w:rsid w:val="004610B2"/>
    <w:rsid w:val="004D747F"/>
    <w:rsid w:val="005A2508"/>
    <w:rsid w:val="005A4E8E"/>
    <w:rsid w:val="00616847"/>
    <w:rsid w:val="00621E19"/>
    <w:rsid w:val="006326CB"/>
    <w:rsid w:val="0063385F"/>
    <w:rsid w:val="00664460"/>
    <w:rsid w:val="0068457A"/>
    <w:rsid w:val="006A30D3"/>
    <w:rsid w:val="0071362A"/>
    <w:rsid w:val="007201D9"/>
    <w:rsid w:val="0072695B"/>
    <w:rsid w:val="00742609"/>
    <w:rsid w:val="00743C39"/>
    <w:rsid w:val="00755BFF"/>
    <w:rsid w:val="00770CF3"/>
    <w:rsid w:val="007A2FA1"/>
    <w:rsid w:val="007D09B0"/>
    <w:rsid w:val="007F050B"/>
    <w:rsid w:val="008103E1"/>
    <w:rsid w:val="008A059F"/>
    <w:rsid w:val="008E58B2"/>
    <w:rsid w:val="00972D3B"/>
    <w:rsid w:val="00997BEA"/>
    <w:rsid w:val="009E3063"/>
    <w:rsid w:val="009F2F1F"/>
    <w:rsid w:val="00A11E11"/>
    <w:rsid w:val="00A466F1"/>
    <w:rsid w:val="00A70BED"/>
    <w:rsid w:val="00A93F36"/>
    <w:rsid w:val="00AC2AEC"/>
    <w:rsid w:val="00AF6AF1"/>
    <w:rsid w:val="00B50915"/>
    <w:rsid w:val="00B5560F"/>
    <w:rsid w:val="00B83785"/>
    <w:rsid w:val="00C01C3B"/>
    <w:rsid w:val="00C04FE9"/>
    <w:rsid w:val="00C21C92"/>
    <w:rsid w:val="00C621D6"/>
    <w:rsid w:val="00C90511"/>
    <w:rsid w:val="00C90A3E"/>
    <w:rsid w:val="00CA70B5"/>
    <w:rsid w:val="00CC3893"/>
    <w:rsid w:val="00CF0EC2"/>
    <w:rsid w:val="00D14E6C"/>
    <w:rsid w:val="00D5229E"/>
    <w:rsid w:val="00D6127A"/>
    <w:rsid w:val="00E27B5E"/>
    <w:rsid w:val="00E62BF8"/>
    <w:rsid w:val="00E8610A"/>
    <w:rsid w:val="00E9437B"/>
    <w:rsid w:val="00EF1A9C"/>
    <w:rsid w:val="00EF58BF"/>
    <w:rsid w:val="00F00C68"/>
    <w:rsid w:val="00F11B36"/>
    <w:rsid w:val="00F80055"/>
    <w:rsid w:val="00F86B49"/>
    <w:rsid w:val="00F93AA5"/>
    <w:rsid w:val="00FA67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1A9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58B2"/>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E58B2"/>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610A"/>
    <w:pPr>
      <w:spacing w:line="259" w:lineRule="auto"/>
      <w:ind w:left="720"/>
      <w:contextualSpacing/>
      <w:jc w:val="left"/>
    </w:pPr>
    <w:rPr>
      <w:rFonts w:asciiTheme="minorHAnsi" w:eastAsiaTheme="minorEastAsia" w:hAnsiTheme="minorHAnsi"/>
      <w:sz w:val="22"/>
      <w:lang w:val="en-GB" w:eastAsia="zh-CN"/>
    </w:rPr>
  </w:style>
  <w:style w:type="paragraph" w:styleId="NoSpacing">
    <w:name w:val="No Spacing"/>
    <w:uiPriority w:val="1"/>
    <w:qFormat/>
    <w:rsid w:val="00F00C68"/>
    <w:pPr>
      <w:spacing w:after="0" w:line="240" w:lineRule="auto"/>
    </w:pPr>
    <w:rPr>
      <w:rFonts w:eastAsiaTheme="minorEastAsia"/>
      <w:lang w:val="en-GB" w:eastAsia="zh-CN"/>
    </w:rPr>
  </w:style>
  <w:style w:type="character" w:customStyle="1" w:styleId="Heading1Char">
    <w:name w:val="Heading 1 Char"/>
    <w:basedOn w:val="DefaultParagraphFont"/>
    <w:link w:val="Heading1"/>
    <w:uiPriority w:val="9"/>
    <w:rsid w:val="008E58B2"/>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8E58B2"/>
    <w:rPr>
      <w:rFonts w:ascii="Times New Roman" w:eastAsiaTheme="majorEastAsia" w:hAnsi="Times New Roman" w:cstheme="majorBidi"/>
      <w:color w:val="2E74B5" w:themeColor="accent1" w:themeShade="BF"/>
      <w:sz w:val="28"/>
      <w:szCs w:val="26"/>
    </w:rPr>
  </w:style>
  <w:style w:type="paragraph" w:styleId="TOCHeading">
    <w:name w:val="TOC Heading"/>
    <w:basedOn w:val="Heading1"/>
    <w:next w:val="Normal"/>
    <w:uiPriority w:val="39"/>
    <w:unhideWhenUsed/>
    <w:qFormat/>
    <w:rsid w:val="000B319A"/>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0B319A"/>
    <w:pPr>
      <w:spacing w:after="100"/>
    </w:pPr>
  </w:style>
  <w:style w:type="paragraph" w:styleId="TOC2">
    <w:name w:val="toc 2"/>
    <w:basedOn w:val="Normal"/>
    <w:next w:val="Normal"/>
    <w:autoRedefine/>
    <w:uiPriority w:val="39"/>
    <w:unhideWhenUsed/>
    <w:rsid w:val="000B319A"/>
    <w:pPr>
      <w:spacing w:after="100"/>
      <w:ind w:left="240"/>
    </w:pPr>
  </w:style>
  <w:style w:type="character" w:styleId="Hyperlink">
    <w:name w:val="Hyperlink"/>
    <w:basedOn w:val="DefaultParagraphFont"/>
    <w:uiPriority w:val="99"/>
    <w:unhideWhenUsed/>
    <w:rsid w:val="000B319A"/>
    <w:rPr>
      <w:color w:val="0563C1" w:themeColor="hyperlink"/>
      <w:u w:val="single"/>
    </w:rPr>
  </w:style>
  <w:style w:type="paragraph" w:styleId="Header">
    <w:name w:val="header"/>
    <w:basedOn w:val="Normal"/>
    <w:link w:val="HeaderChar"/>
    <w:uiPriority w:val="99"/>
    <w:unhideWhenUsed/>
    <w:rsid w:val="006338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385F"/>
    <w:rPr>
      <w:rFonts w:ascii="Times New Roman" w:hAnsi="Times New Roman"/>
      <w:sz w:val="24"/>
    </w:rPr>
  </w:style>
  <w:style w:type="paragraph" w:styleId="Footer">
    <w:name w:val="footer"/>
    <w:basedOn w:val="Normal"/>
    <w:link w:val="FooterChar"/>
    <w:uiPriority w:val="99"/>
    <w:unhideWhenUsed/>
    <w:rsid w:val="006338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385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B1E1E-3D19-4071-ADD4-5D69CBEAE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2232</Words>
  <Characters>10984</Characters>
  <Application>Microsoft Office Word</Application>
  <DocSecurity>0</DocSecurity>
  <Lines>219</Lines>
  <Paragraphs>73</Paragraphs>
  <ScaleCrop>false</ScaleCrop>
  <Company/>
  <LinksUpToDate>false</LinksUpToDate>
  <CharactersWithSpaces>13143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2022-11-12T19:43:00Z</dcterms:created>
  <dcterms:modified xsi:type="dcterms:W3CDTF">2022-11-12T19:43:00Z</dcterms:modified>
</cp:coreProperties>
</file>