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r w:rsidDel="00000000" w:rsidR="00000000" w:rsidRPr="00000000">
        <w:rPr>
          <w:rtl w:val="0"/>
        </w:rPr>
        <w:t xml:space="preserve">Hilton Worldwide Holdings Inc. — Comprehensive 5-Year Financial Summary &amp; Strategic Assessment</w:t>
      </w:r>
    </w:p>
    <w:p w:rsidR="00000000" w:rsidDel="00000000" w:rsidP="00000000" w:rsidRDefault="00000000" w:rsidRPr="00000000" w14:paraId="00000002">
      <w:pPr>
        <w:rPr/>
      </w:pPr>
      <w:r w:rsidDel="00000000" w:rsidR="00000000" w:rsidRPr="00000000">
        <w:rPr>
          <w:rtl w:val="0"/>
        </w:rPr>
        <w:t xml:space="preserve">Analysis Period: Fiscal Years 2021 through 2025 | Data Source: SEC Form 10-K Filings</w:t>
      </w:r>
    </w:p>
    <w:p w:rsidR="00000000" w:rsidDel="00000000" w:rsidP="00000000" w:rsidRDefault="00000000" w:rsidRPr="00000000" w14:paraId="00000003">
      <w:pPr>
        <w:pStyle w:val="Heading2"/>
        <w:rPr/>
      </w:pPr>
      <w:r w:rsidDel="00000000" w:rsidR="00000000" w:rsidRPr="00000000">
        <w:rPr>
          <w:rtl w:val="0"/>
        </w:rPr>
        <w:t xml:space="preserve">1. Executive Summary &amp; Post-Pandemic Top-Line Recovery</w:t>
      </w:r>
    </w:p>
    <w:p w:rsidR="00000000" w:rsidDel="00000000" w:rsidP="00000000" w:rsidRDefault="00000000" w:rsidRPr="00000000" w14:paraId="00000004">
      <w:pPr>
        <w:rPr/>
      </w:pPr>
      <w:r w:rsidDel="00000000" w:rsidR="00000000" w:rsidRPr="00000000">
        <w:rPr>
          <w:rtl w:val="0"/>
        </w:rPr>
        <w:t xml:space="preserve">Over the five-year observation window from 2021 through 2025, Hilton Worldwide Holdings Inc. demonstrated an exceptional operational and financial rebound following the global disruptions of the early 2020s. Total revenues surged from $5,788 million in 2021 to $12,039 million by 2025, representing more than a 100-percent expansion in overall top-line billing. Core revenues before reimbursements—which isolate Hilton's proprietary earnings from pass-through property costs—similarly doubled from $2,444 million to $4,954 million. This sustained multi-year growth was fueled by a strong secular recovery in leisure travel, the progressive normalization of business transient bookings, and exceptionally resilient pricing power that drove higher Average Daily Rates (ADR) and systemic occupancy improvements worldwide.</w:t>
      </w:r>
    </w:p>
    <w:p w:rsidR="00000000" w:rsidDel="00000000" w:rsidP="00000000" w:rsidRDefault="00000000" w:rsidRPr="00000000" w14:paraId="00000005">
      <w:pPr>
        <w:pStyle w:val="Heading2"/>
        <w:rPr/>
      </w:pPr>
      <w:r w:rsidDel="00000000" w:rsidR="00000000" w:rsidRPr="00000000">
        <w:rPr>
          <w:rtl w:val="0"/>
        </w:rPr>
        <w:t xml:space="preserve">2. Asset-Light Scaling Efficiency &amp; Profitability Trends</w:t>
      </w:r>
    </w:p>
    <w:p w:rsidR="00000000" w:rsidDel="00000000" w:rsidP="00000000" w:rsidRDefault="00000000" w:rsidRPr="00000000" w14:paraId="00000006">
      <w:pPr>
        <w:rPr/>
      </w:pPr>
      <w:r w:rsidDel="00000000" w:rsidR="00000000" w:rsidRPr="00000000">
        <w:rPr>
          <w:rtl w:val="0"/>
        </w:rPr>
        <w:t xml:space="preserve">A defining hallmark of Hilton’s long-term strategy is its high-margin, asset-light franchising and licensing model. Throughout the 2021–2025 timeframe, high-margin franchise and licensing fees grew rapidly, escalating from $1,493 million in 2021 to $2,780 million in 2025. This structural advantage is clearly evidenced in the company's profitability ratios: the Gross Margin climbed steadily year-over-year from 72.22 percent in 2021 to 77.92 percent in 2025, underscoring how effectively fee-based revenue scales against relatively stable ownership operating expenses. Operating margins experienced a post-recovery peak at 23.87 percent in 2022 before stabilizing and operating efficiently around 22.37 percent by 2025, while net profit margins remained robust, averaging between 11 and 14 percent across the period.</w:t>
      </w:r>
    </w:p>
    <w:p w:rsidR="00000000" w:rsidDel="00000000" w:rsidP="00000000" w:rsidRDefault="00000000" w:rsidRPr="00000000" w14:paraId="00000007">
      <w:pPr>
        <w:pStyle w:val="Heading2"/>
        <w:rPr/>
      </w:pPr>
      <w:r w:rsidDel="00000000" w:rsidR="00000000" w:rsidRPr="00000000">
        <w:rPr>
          <w:rtl w:val="0"/>
        </w:rPr>
        <w:t xml:space="preserve">3. Liquidity &amp; Working Capital Management</w:t>
      </w:r>
    </w:p>
    <w:p w:rsidR="00000000" w:rsidDel="00000000" w:rsidP="00000000" w:rsidRDefault="00000000" w:rsidRPr="00000000" w14:paraId="00000008">
      <w:pPr>
        <w:rPr/>
      </w:pPr>
      <w:r w:rsidDel="00000000" w:rsidR="00000000" w:rsidRPr="00000000">
        <w:rPr>
          <w:rtl w:val="0"/>
        </w:rPr>
        <w:t xml:space="preserve">Hilton operates with a structural and intentional working capital deficit, characterized by current ratios consistently tracking below 1.0x (decreasing from 0.95x in 2021 to 0.66x in 2025). Rather than signaling financial distress, this metric is typical for large-scale hospitality enterprises that manage massive deferred revenue obligations—such as unearned guest loyalty program liabilities (Hilton Honors)—which require services or future stays rather than immediate cash liquidation. Quick ratios and cash ratios moved from 0.85x and 0.50x down to 0.59x and 0.22x respectively, reflecting an aggressive optimization of cash balances and working capital deployment in favor of active shareholder distributions.</w:t>
      </w:r>
    </w:p>
    <w:p w:rsidR="00000000" w:rsidDel="00000000" w:rsidP="00000000" w:rsidRDefault="00000000" w:rsidRPr="00000000" w14:paraId="00000009">
      <w:pPr>
        <w:pStyle w:val="Heading2"/>
        <w:rPr/>
      </w:pPr>
      <w:r w:rsidDel="00000000" w:rsidR="00000000" w:rsidRPr="00000000">
        <w:rPr>
          <w:rtl w:val="0"/>
        </w:rPr>
        <w:t xml:space="preserve">4. Asset Utilization &amp; Operational Efficiency</w:t>
      </w:r>
    </w:p>
    <w:p w:rsidR="00000000" w:rsidDel="00000000" w:rsidP="00000000" w:rsidRDefault="00000000" w:rsidRPr="00000000" w14:paraId="0000000A">
      <w:pPr>
        <w:rPr/>
      </w:pPr>
      <w:r w:rsidDel="00000000" w:rsidR="00000000" w:rsidRPr="00000000">
        <w:rPr>
          <w:rtl w:val="0"/>
        </w:rPr>
        <w:t xml:space="preserve">Operational efficiency ratios confirm that Hilton successfully optimized its asset base as demand returned. Asset turnover nearly doubled, rising from 0.37x in 2021 to 0.72x in 2025, proving that management extracted substantially higher revenue per dollar of total assets as global properties ramped up operations. Fixed asset turnover showed sharp episodic spikes (peaking at 31.33x in 2022) before settling at 17.60x in 2025 due to localized adjustments in property carrying values, lease capitalizations, and the ongoing expansion of asset-light management agreements that minimize fixed capital outlays.</w:t>
      </w:r>
    </w:p>
    <w:p w:rsidR="00000000" w:rsidDel="00000000" w:rsidP="00000000" w:rsidRDefault="00000000" w:rsidRPr="00000000" w14:paraId="0000000B">
      <w:pPr>
        <w:pStyle w:val="Heading2"/>
        <w:rPr/>
      </w:pPr>
      <w:r w:rsidDel="00000000" w:rsidR="00000000" w:rsidRPr="00000000">
        <w:rPr>
          <w:rtl w:val="0"/>
        </w:rPr>
        <w:t xml:space="preserve">5. Capital Structure, Deficit, &amp; Solvency Ratios</w:t>
      </w:r>
    </w:p>
    <w:p w:rsidR="00000000" w:rsidDel="00000000" w:rsidP="00000000" w:rsidRDefault="00000000" w:rsidRPr="00000000" w14:paraId="0000000C">
      <w:pPr>
        <w:rPr/>
      </w:pPr>
      <w:r w:rsidDel="00000000" w:rsidR="00000000" w:rsidRPr="00000000">
        <w:rPr>
          <w:rtl w:val="0"/>
        </w:rPr>
        <w:t xml:space="preserve">Hilton’s balance sheet reflects aggressive capital return policies, notably multi-billion-dollar annual share repurchases and consistent dividend payments (e.g., spending over $3.1 billion on stock buybacks in 2025 alone). These transactions generated a substantial accumulated deficit and negative stockholders' equity, rendering traditional equity-based leverage ratios (such as Debt-to-Equity) negative. However, a truer test of solvency—the Interest Coverage Ratio—demonstrated stable earnings protection, holding safely between 4.17x and 5.05x from 2022 onward. This confirms that operating income comfortably covers debt servicing obligations despite a leveraged equity structure.</w:t>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