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5C42D" w14:textId="6B6D6251" w:rsidR="00F522A4" w:rsidRDefault="00F522A4">
      <w:pPr>
        <w:rPr>
          <w:rFonts w:ascii="Arial" w:hAnsi="Arial" w:cs="Arial"/>
          <w:sz w:val="48"/>
          <w:szCs w:val="48"/>
        </w:rPr>
      </w:pPr>
      <w:r w:rsidRPr="00F522A4">
        <w:rPr>
          <w:rFonts w:ascii="Arial" w:hAnsi="Arial" w:cs="Arial"/>
          <w:sz w:val="48"/>
          <w:szCs w:val="48"/>
        </w:rPr>
        <w:t xml:space="preserve">Abbi Crocker    </w:t>
      </w:r>
      <w:r>
        <w:rPr>
          <w:rFonts w:ascii="Arial" w:hAnsi="Arial" w:cs="Arial"/>
          <w:sz w:val="48"/>
          <w:szCs w:val="48"/>
        </w:rPr>
        <w:t xml:space="preserve"> </w:t>
      </w:r>
      <w:r w:rsidRPr="00F522A4">
        <w:rPr>
          <w:rFonts w:ascii="Arial" w:hAnsi="Arial" w:cs="Arial"/>
          <w:sz w:val="48"/>
          <w:szCs w:val="48"/>
        </w:rPr>
        <w:t xml:space="preserve">                  Student No. 1901489 </w:t>
      </w:r>
    </w:p>
    <w:p w14:paraId="5E619D7B" w14:textId="61E372CA" w:rsidR="00F522A4" w:rsidRDefault="00F522A4">
      <w:pPr>
        <w:rPr>
          <w:rFonts w:ascii="Arial" w:hAnsi="Arial" w:cs="Arial"/>
          <w:sz w:val="48"/>
          <w:szCs w:val="48"/>
        </w:rPr>
      </w:pPr>
    </w:p>
    <w:p w14:paraId="6DB799EE" w14:textId="3799248A" w:rsidR="00F522A4" w:rsidRDefault="00F522A4">
      <w:pPr>
        <w:rPr>
          <w:rFonts w:ascii="Arial" w:hAnsi="Arial" w:cs="Arial"/>
          <w:sz w:val="48"/>
          <w:szCs w:val="48"/>
        </w:rPr>
      </w:pPr>
    </w:p>
    <w:p w14:paraId="091B9D53" w14:textId="239BD2A8" w:rsidR="00F522A4" w:rsidRPr="00F522A4" w:rsidRDefault="00F522A4" w:rsidP="00F522A4">
      <w:pPr>
        <w:jc w:val="center"/>
        <w:rPr>
          <w:rFonts w:ascii="Arial" w:hAnsi="Arial" w:cs="Arial"/>
          <w:sz w:val="52"/>
          <w:szCs w:val="52"/>
        </w:rPr>
      </w:pPr>
      <w:r w:rsidRPr="00F522A4">
        <w:rPr>
          <w:rFonts w:ascii="Arial" w:hAnsi="Arial" w:cs="Arial"/>
          <w:sz w:val="52"/>
          <w:szCs w:val="52"/>
        </w:rPr>
        <w:t>a) Critically analyse the process and procedures adopted by the First Attending Officer (FAO) at a crime scene to prevent cross contamination</w:t>
      </w:r>
    </w:p>
    <w:p w14:paraId="2BED2EEE" w14:textId="05A04A40" w:rsidR="00F522A4" w:rsidRDefault="00F522A4" w:rsidP="00F522A4">
      <w:pPr>
        <w:jc w:val="center"/>
        <w:rPr>
          <w:rFonts w:ascii="Arial" w:hAnsi="Arial" w:cs="Arial"/>
          <w:sz w:val="48"/>
          <w:szCs w:val="48"/>
        </w:rPr>
      </w:pPr>
    </w:p>
    <w:p w14:paraId="714D3856" w14:textId="3A773933" w:rsidR="00F522A4" w:rsidRDefault="00F522A4" w:rsidP="00F522A4">
      <w:pPr>
        <w:jc w:val="center"/>
        <w:rPr>
          <w:rFonts w:ascii="Arial" w:hAnsi="Arial" w:cs="Arial"/>
          <w:sz w:val="48"/>
          <w:szCs w:val="48"/>
        </w:rPr>
      </w:pPr>
    </w:p>
    <w:p w14:paraId="0ADA1A0B" w14:textId="6C25DA88" w:rsidR="00F522A4" w:rsidRDefault="00F522A4" w:rsidP="00F522A4">
      <w:pPr>
        <w:jc w:val="center"/>
        <w:rPr>
          <w:rFonts w:ascii="Arial" w:hAnsi="Arial" w:cs="Arial"/>
          <w:sz w:val="48"/>
          <w:szCs w:val="48"/>
        </w:rPr>
      </w:pPr>
    </w:p>
    <w:p w14:paraId="033D78A3" w14:textId="77777777" w:rsidR="00F522A4" w:rsidRDefault="00F522A4" w:rsidP="00F522A4">
      <w:pPr>
        <w:jc w:val="center"/>
        <w:rPr>
          <w:rFonts w:ascii="Arial" w:hAnsi="Arial" w:cs="Arial"/>
          <w:sz w:val="48"/>
          <w:szCs w:val="48"/>
        </w:rPr>
      </w:pPr>
    </w:p>
    <w:p w14:paraId="16A54E7F" w14:textId="5EC11C1A" w:rsidR="00F522A4" w:rsidRDefault="00F522A4" w:rsidP="00F522A4">
      <w:pPr>
        <w:jc w:val="center"/>
        <w:rPr>
          <w:rFonts w:ascii="Arial" w:hAnsi="Arial" w:cs="Arial"/>
          <w:sz w:val="48"/>
          <w:szCs w:val="48"/>
        </w:rPr>
      </w:pPr>
    </w:p>
    <w:p w14:paraId="315FF39A" w14:textId="0DCCD1FB" w:rsidR="00F522A4" w:rsidRPr="00F522A4" w:rsidRDefault="00F522A4" w:rsidP="00F522A4">
      <w:pPr>
        <w:jc w:val="center"/>
        <w:rPr>
          <w:rFonts w:ascii="Arial" w:hAnsi="Arial" w:cs="Arial"/>
          <w:sz w:val="52"/>
          <w:szCs w:val="52"/>
        </w:rPr>
      </w:pPr>
      <w:r w:rsidRPr="00F522A4">
        <w:rPr>
          <w:rFonts w:ascii="Arial" w:hAnsi="Arial" w:cs="Arial"/>
          <w:sz w:val="52"/>
          <w:szCs w:val="52"/>
        </w:rPr>
        <w:t>b) Critically analyse methods in practice for the recovery and examination at crime scenes evaluating legislation, policies and strategies with regard to forensic recovery and examination</w:t>
      </w:r>
    </w:p>
    <w:p w14:paraId="49A586BA" w14:textId="6E2E696E" w:rsidR="00F522A4" w:rsidRDefault="00F522A4" w:rsidP="00F522A4">
      <w:pPr>
        <w:rPr>
          <w:rFonts w:ascii="Arial" w:hAnsi="Arial" w:cs="Arial"/>
          <w:sz w:val="48"/>
          <w:szCs w:val="48"/>
        </w:rPr>
      </w:pPr>
    </w:p>
    <w:p w14:paraId="1335A0A0" w14:textId="77777777" w:rsidR="00F522A4" w:rsidRDefault="00F522A4" w:rsidP="00F522A4">
      <w:pPr>
        <w:rPr>
          <w:rFonts w:ascii="Arial" w:hAnsi="Arial" w:cs="Arial"/>
          <w:sz w:val="48"/>
          <w:szCs w:val="48"/>
        </w:rPr>
      </w:pPr>
    </w:p>
    <w:p w14:paraId="3805FE7E" w14:textId="0772A5B7" w:rsidR="00F522A4" w:rsidRPr="00F522A4" w:rsidRDefault="00F522A4" w:rsidP="00F522A4">
      <w:pPr>
        <w:jc w:val="center"/>
        <w:rPr>
          <w:rFonts w:ascii="Arial" w:hAnsi="Arial" w:cs="Arial"/>
          <w:b/>
          <w:bCs/>
          <w:sz w:val="48"/>
          <w:szCs w:val="48"/>
        </w:rPr>
      </w:pPr>
      <w:r w:rsidRPr="00F522A4">
        <w:rPr>
          <w:rFonts w:ascii="Arial" w:hAnsi="Arial" w:cs="Arial"/>
          <w:b/>
          <w:bCs/>
          <w:sz w:val="48"/>
          <w:szCs w:val="48"/>
        </w:rPr>
        <w:t>Forensic Recovery &amp; Examination – BMPL6002</w:t>
      </w:r>
    </w:p>
    <w:p w14:paraId="17C956EA" w14:textId="6849C7F9" w:rsidR="0068399E" w:rsidRDefault="00F522A4">
      <w:pPr>
        <w:rPr>
          <w:rFonts w:ascii="Arial" w:hAnsi="Arial" w:cs="Arial"/>
          <w:sz w:val="24"/>
          <w:szCs w:val="24"/>
        </w:rPr>
      </w:pPr>
      <w:r>
        <w:rPr>
          <w:rFonts w:ascii="Arial" w:hAnsi="Arial" w:cs="Arial"/>
          <w:sz w:val="24"/>
          <w:szCs w:val="24"/>
        </w:rPr>
        <w:t xml:space="preserve"> </w:t>
      </w:r>
    </w:p>
    <w:p w14:paraId="71899597" w14:textId="2CC619A5" w:rsidR="00F522A4" w:rsidRDefault="00F522A4" w:rsidP="00610017">
      <w:pPr>
        <w:spacing w:line="480" w:lineRule="auto"/>
        <w:rPr>
          <w:rFonts w:ascii="Arial" w:hAnsi="Arial" w:cs="Arial"/>
          <w:b/>
          <w:bCs/>
          <w:sz w:val="24"/>
          <w:szCs w:val="24"/>
        </w:rPr>
      </w:pPr>
      <w:r>
        <w:rPr>
          <w:rFonts w:ascii="Arial" w:hAnsi="Arial" w:cs="Arial"/>
          <w:b/>
          <w:bCs/>
          <w:sz w:val="24"/>
          <w:szCs w:val="24"/>
        </w:rPr>
        <w:lastRenderedPageBreak/>
        <w:t xml:space="preserve">Part A </w:t>
      </w:r>
    </w:p>
    <w:p w14:paraId="5501658A" w14:textId="18E6430C" w:rsidR="0017411F" w:rsidRDefault="009D555F" w:rsidP="00610017">
      <w:pPr>
        <w:spacing w:line="480" w:lineRule="auto"/>
        <w:rPr>
          <w:rFonts w:ascii="Arial" w:hAnsi="Arial" w:cs="Arial"/>
          <w:sz w:val="24"/>
          <w:szCs w:val="24"/>
        </w:rPr>
      </w:pPr>
      <w:r>
        <w:rPr>
          <w:rFonts w:ascii="Arial" w:hAnsi="Arial" w:cs="Arial"/>
          <w:sz w:val="24"/>
          <w:szCs w:val="24"/>
        </w:rPr>
        <w:t xml:space="preserve">          </w:t>
      </w:r>
      <w:r w:rsidR="009E0A66">
        <w:rPr>
          <w:rFonts w:ascii="Arial" w:hAnsi="Arial" w:cs="Arial"/>
          <w:sz w:val="24"/>
          <w:szCs w:val="24"/>
        </w:rPr>
        <w:t>When justifying a definition for forensic science, it can be interpretated as form of science that is applied in law enforcement</w:t>
      </w:r>
      <w:r w:rsidR="0017411F">
        <w:rPr>
          <w:rFonts w:ascii="Arial" w:hAnsi="Arial" w:cs="Arial"/>
          <w:sz w:val="24"/>
          <w:szCs w:val="24"/>
        </w:rPr>
        <w:t>, but the term</w:t>
      </w:r>
      <w:r w:rsidR="0017411F" w:rsidRPr="0017411F">
        <w:rPr>
          <w:rFonts w:ascii="Arial" w:hAnsi="Arial" w:cs="Arial"/>
          <w:sz w:val="24"/>
          <w:szCs w:val="24"/>
        </w:rPr>
        <w:t xml:space="preserve"> is more precisely defined as the use of science by the police and courts in the investigation of crimes </w:t>
      </w:r>
      <w:r w:rsidR="0017411F">
        <w:rPr>
          <w:rFonts w:ascii="Arial" w:hAnsi="Arial" w:cs="Arial"/>
          <w:sz w:val="24"/>
          <w:szCs w:val="24"/>
        </w:rPr>
        <w:t>that can subsequently be given as</w:t>
      </w:r>
      <w:r w:rsidR="0017411F" w:rsidRPr="0017411F">
        <w:rPr>
          <w:rFonts w:ascii="Arial" w:hAnsi="Arial" w:cs="Arial"/>
          <w:sz w:val="24"/>
          <w:szCs w:val="24"/>
        </w:rPr>
        <w:t xml:space="preserve"> evidence in any later trial</w:t>
      </w:r>
      <w:r w:rsidR="009E0A66">
        <w:rPr>
          <w:rFonts w:ascii="Arial" w:hAnsi="Arial" w:cs="Arial"/>
          <w:sz w:val="24"/>
          <w:szCs w:val="24"/>
        </w:rPr>
        <w:t xml:space="preserve"> (White et al, 2004, p 1).</w:t>
      </w:r>
      <w:r w:rsidR="0017411F">
        <w:rPr>
          <w:rFonts w:ascii="Arial" w:hAnsi="Arial" w:cs="Arial"/>
          <w:sz w:val="24"/>
          <w:szCs w:val="24"/>
        </w:rPr>
        <w:t xml:space="preserve"> Forensic science is a method that has experiences masses of advance both medically and scientifically since the first discovery in the 6</w:t>
      </w:r>
      <w:r w:rsidR="0017411F" w:rsidRPr="0017411F">
        <w:rPr>
          <w:rFonts w:ascii="Arial" w:hAnsi="Arial" w:cs="Arial"/>
          <w:sz w:val="24"/>
          <w:szCs w:val="24"/>
          <w:vertAlign w:val="superscript"/>
        </w:rPr>
        <w:t>th</w:t>
      </w:r>
      <w:r w:rsidR="0017411F">
        <w:rPr>
          <w:rFonts w:ascii="Arial" w:hAnsi="Arial" w:cs="Arial"/>
          <w:sz w:val="24"/>
          <w:szCs w:val="24"/>
        </w:rPr>
        <w:t xml:space="preserve"> Century (White et al, 2004, p 2). </w:t>
      </w:r>
      <w:r w:rsidR="00FD5C11">
        <w:rPr>
          <w:rFonts w:ascii="Arial" w:hAnsi="Arial" w:cs="Arial"/>
          <w:sz w:val="24"/>
          <w:szCs w:val="24"/>
        </w:rPr>
        <w:t>Forensics contribute significant assistance to the police as t</w:t>
      </w:r>
      <w:r w:rsidR="00172042" w:rsidRPr="00172042">
        <w:rPr>
          <w:rFonts w:ascii="Arial" w:hAnsi="Arial" w:cs="Arial"/>
          <w:sz w:val="24"/>
          <w:szCs w:val="24"/>
        </w:rPr>
        <w:t>he collecting of forensic evidence is sometimes the only way to prove or disprove a link between a suspect and a victim or a crime scene, or to determine a plausible sequence of events</w:t>
      </w:r>
      <w:r w:rsidR="00FD5C11">
        <w:rPr>
          <w:rFonts w:ascii="Arial" w:hAnsi="Arial" w:cs="Arial"/>
          <w:sz w:val="24"/>
          <w:szCs w:val="24"/>
        </w:rPr>
        <w:t xml:space="preserve"> (Bell, 2013). </w:t>
      </w:r>
    </w:p>
    <w:p w14:paraId="5F3631EE" w14:textId="0088EEAA" w:rsidR="0001065D" w:rsidRDefault="009D555F" w:rsidP="00610017">
      <w:pPr>
        <w:spacing w:line="480" w:lineRule="auto"/>
        <w:rPr>
          <w:rFonts w:ascii="Arial" w:hAnsi="Arial" w:cs="Arial"/>
          <w:sz w:val="24"/>
          <w:szCs w:val="24"/>
        </w:rPr>
      </w:pPr>
      <w:r>
        <w:rPr>
          <w:rFonts w:ascii="Arial" w:hAnsi="Arial" w:cs="Arial"/>
          <w:sz w:val="24"/>
          <w:szCs w:val="24"/>
        </w:rPr>
        <w:t xml:space="preserve">          </w:t>
      </w:r>
      <w:r w:rsidR="0001065D">
        <w:rPr>
          <w:rFonts w:ascii="Arial" w:hAnsi="Arial" w:cs="Arial"/>
          <w:sz w:val="24"/>
          <w:szCs w:val="24"/>
        </w:rPr>
        <w:t xml:space="preserve">Forensic evidence is suggestibly difficult to disrupt, which backdates to Edmond </w:t>
      </w:r>
      <w:proofErr w:type="spellStart"/>
      <w:r w:rsidR="0001065D">
        <w:rPr>
          <w:rFonts w:ascii="Arial" w:hAnsi="Arial" w:cs="Arial"/>
          <w:sz w:val="24"/>
          <w:szCs w:val="24"/>
        </w:rPr>
        <w:t>Locard’s</w:t>
      </w:r>
      <w:proofErr w:type="spellEnd"/>
      <w:r w:rsidR="0001065D">
        <w:rPr>
          <w:rFonts w:ascii="Arial" w:hAnsi="Arial" w:cs="Arial"/>
          <w:sz w:val="24"/>
          <w:szCs w:val="24"/>
        </w:rPr>
        <w:t xml:space="preserve"> principle of exchange, first introduced in 1877 (Bryant and Bryant, 2021, p 604).</w:t>
      </w:r>
      <w:r w:rsidR="00B62009">
        <w:rPr>
          <w:rFonts w:ascii="Arial" w:hAnsi="Arial" w:cs="Arial"/>
          <w:sz w:val="24"/>
          <w:szCs w:val="24"/>
        </w:rPr>
        <w:t xml:space="preserve"> It is sought that w</w:t>
      </w:r>
      <w:r w:rsidR="00B62009" w:rsidRPr="00B62009">
        <w:rPr>
          <w:rFonts w:ascii="Arial" w:hAnsi="Arial" w:cs="Arial"/>
          <w:sz w:val="24"/>
          <w:szCs w:val="24"/>
        </w:rPr>
        <w:t>hen we handle an object, a small amount of material is trans</w:t>
      </w:r>
      <w:r w:rsidR="00B62009">
        <w:rPr>
          <w:rFonts w:ascii="Arial" w:hAnsi="Arial" w:cs="Arial"/>
          <w:sz w:val="24"/>
          <w:szCs w:val="24"/>
        </w:rPr>
        <w:t>ported</w:t>
      </w:r>
      <w:r w:rsidR="00B62009" w:rsidRPr="00B62009">
        <w:rPr>
          <w:rFonts w:ascii="Arial" w:hAnsi="Arial" w:cs="Arial"/>
          <w:sz w:val="24"/>
          <w:szCs w:val="24"/>
        </w:rPr>
        <w:t xml:space="preserve"> from our hands </w:t>
      </w:r>
      <w:r w:rsidR="00B62009">
        <w:rPr>
          <w:rFonts w:ascii="Arial" w:hAnsi="Arial" w:cs="Arial"/>
          <w:sz w:val="24"/>
          <w:szCs w:val="24"/>
        </w:rPr>
        <w:t>on</w:t>
      </w:r>
      <w:r w:rsidR="00B62009" w:rsidRPr="00B62009">
        <w:rPr>
          <w:rFonts w:ascii="Arial" w:hAnsi="Arial" w:cs="Arial"/>
          <w:sz w:val="24"/>
          <w:szCs w:val="24"/>
        </w:rPr>
        <w:t xml:space="preserve">to the object, and it may </w:t>
      </w:r>
      <w:r w:rsidR="00B62009">
        <w:rPr>
          <w:rFonts w:ascii="Arial" w:hAnsi="Arial" w:cs="Arial"/>
          <w:sz w:val="24"/>
          <w:szCs w:val="24"/>
        </w:rPr>
        <w:t xml:space="preserve">expectedly </w:t>
      </w:r>
      <w:r w:rsidR="00B62009" w:rsidRPr="00B62009">
        <w:rPr>
          <w:rFonts w:ascii="Arial" w:hAnsi="Arial" w:cs="Arial"/>
          <w:sz w:val="24"/>
          <w:szCs w:val="24"/>
        </w:rPr>
        <w:t>stay there for a short period of time</w:t>
      </w:r>
      <w:r w:rsidR="00B62009">
        <w:rPr>
          <w:rFonts w:ascii="Arial" w:hAnsi="Arial" w:cs="Arial"/>
          <w:sz w:val="24"/>
          <w:szCs w:val="24"/>
        </w:rPr>
        <w:t xml:space="preserve">. Edmond </w:t>
      </w:r>
      <w:proofErr w:type="spellStart"/>
      <w:r w:rsidR="0001065D">
        <w:rPr>
          <w:rFonts w:ascii="Arial" w:hAnsi="Arial" w:cs="Arial"/>
          <w:sz w:val="24"/>
          <w:szCs w:val="24"/>
        </w:rPr>
        <w:t>Locard’s</w:t>
      </w:r>
      <w:proofErr w:type="spellEnd"/>
      <w:r w:rsidR="0001065D">
        <w:rPr>
          <w:rFonts w:ascii="Arial" w:hAnsi="Arial" w:cs="Arial"/>
          <w:sz w:val="24"/>
          <w:szCs w:val="24"/>
        </w:rPr>
        <w:t xml:space="preserve"> theory entails that ‘every contact leaves a trace’, simplifying that </w:t>
      </w:r>
      <w:r w:rsidR="00B62009">
        <w:rPr>
          <w:rFonts w:ascii="Arial" w:hAnsi="Arial" w:cs="Arial"/>
          <w:sz w:val="24"/>
          <w:szCs w:val="24"/>
        </w:rPr>
        <w:t>t</w:t>
      </w:r>
      <w:r w:rsidR="00B62009" w:rsidRPr="00B62009">
        <w:rPr>
          <w:rFonts w:ascii="Arial" w:hAnsi="Arial" w:cs="Arial"/>
          <w:sz w:val="24"/>
          <w:szCs w:val="24"/>
        </w:rPr>
        <w:t>he suspect's material would be discovered on the victim, and vice versa</w:t>
      </w:r>
      <w:r w:rsidR="00B62009">
        <w:rPr>
          <w:rFonts w:ascii="Arial" w:hAnsi="Arial" w:cs="Arial"/>
          <w:sz w:val="24"/>
          <w:szCs w:val="24"/>
        </w:rPr>
        <w:t xml:space="preserve">. </w:t>
      </w:r>
    </w:p>
    <w:p w14:paraId="461ABF08" w14:textId="5B2A80B5" w:rsidR="00614FBF" w:rsidRDefault="009D555F" w:rsidP="00610017">
      <w:pPr>
        <w:spacing w:line="480" w:lineRule="auto"/>
        <w:rPr>
          <w:rFonts w:ascii="Arial" w:hAnsi="Arial" w:cs="Arial"/>
          <w:sz w:val="24"/>
          <w:szCs w:val="24"/>
        </w:rPr>
      </w:pPr>
      <w:r>
        <w:rPr>
          <w:rFonts w:ascii="Arial" w:hAnsi="Arial" w:cs="Arial"/>
          <w:sz w:val="24"/>
          <w:szCs w:val="24"/>
        </w:rPr>
        <w:t xml:space="preserve">          </w:t>
      </w:r>
      <w:r w:rsidR="00614FBF">
        <w:rPr>
          <w:rFonts w:ascii="Arial" w:hAnsi="Arial" w:cs="Arial"/>
          <w:sz w:val="24"/>
          <w:szCs w:val="24"/>
        </w:rPr>
        <w:t xml:space="preserve">The three main types of forensic evidence are trace evidence, DNA and impressions (College of Policing, 2017). Trace evidence is referred to as </w:t>
      </w:r>
      <w:r w:rsidR="00D750DE">
        <w:rPr>
          <w:rFonts w:ascii="Arial" w:hAnsi="Arial" w:cs="Arial"/>
          <w:sz w:val="24"/>
          <w:szCs w:val="24"/>
        </w:rPr>
        <w:t xml:space="preserve">material </w:t>
      </w:r>
      <w:r w:rsidR="00D750DE" w:rsidRPr="00D750DE">
        <w:rPr>
          <w:rFonts w:ascii="Arial" w:hAnsi="Arial" w:cs="Arial"/>
          <w:sz w:val="24"/>
          <w:szCs w:val="24"/>
        </w:rPr>
        <w:t>substance</w:t>
      </w:r>
      <w:r w:rsidR="00D750DE">
        <w:rPr>
          <w:rFonts w:ascii="Arial" w:hAnsi="Arial" w:cs="Arial"/>
          <w:sz w:val="24"/>
          <w:szCs w:val="24"/>
        </w:rPr>
        <w:t>s that are left</w:t>
      </w:r>
      <w:r w:rsidR="00D750DE" w:rsidRPr="00D750DE">
        <w:rPr>
          <w:rFonts w:ascii="Arial" w:hAnsi="Arial" w:cs="Arial"/>
          <w:sz w:val="24"/>
          <w:szCs w:val="24"/>
        </w:rPr>
        <w:t xml:space="preserve"> in very small quantities</w:t>
      </w:r>
      <w:r w:rsidR="00D750DE">
        <w:rPr>
          <w:rFonts w:ascii="Arial" w:hAnsi="Arial" w:cs="Arial"/>
          <w:sz w:val="24"/>
          <w:szCs w:val="24"/>
        </w:rPr>
        <w:t xml:space="preserve">, such as fibres and glass, DNA which is </w:t>
      </w:r>
      <w:r w:rsidR="00F26B03">
        <w:rPr>
          <w:rFonts w:ascii="Arial" w:hAnsi="Arial" w:cs="Arial"/>
          <w:sz w:val="24"/>
          <w:szCs w:val="24"/>
        </w:rPr>
        <w:t>made up from nucleus found in cells within the human body that result in specific biological processes in the body, such as blood and saliva</w:t>
      </w:r>
      <w:r w:rsidR="005204D2">
        <w:rPr>
          <w:rFonts w:ascii="Arial" w:hAnsi="Arial" w:cs="Arial"/>
          <w:sz w:val="24"/>
          <w:szCs w:val="24"/>
        </w:rPr>
        <w:t xml:space="preserve"> (Bryant and Bryant, 2021, p 615)</w:t>
      </w:r>
      <w:r w:rsidR="00F26B03">
        <w:rPr>
          <w:rFonts w:ascii="Arial" w:hAnsi="Arial" w:cs="Arial"/>
          <w:sz w:val="24"/>
          <w:szCs w:val="24"/>
        </w:rPr>
        <w:t xml:space="preserve">, and impressions which are marks left behind </w:t>
      </w:r>
      <w:r w:rsidR="005204D2">
        <w:rPr>
          <w:rFonts w:ascii="Arial" w:hAnsi="Arial" w:cs="Arial"/>
          <w:sz w:val="24"/>
          <w:szCs w:val="24"/>
        </w:rPr>
        <w:t xml:space="preserve">by one’s fingers and shoes (Bryant and Bryant, 2021, p 613). </w:t>
      </w:r>
    </w:p>
    <w:p w14:paraId="7FC1A565" w14:textId="7BDC71A0" w:rsidR="000B72FB" w:rsidRDefault="001E255A" w:rsidP="00610017">
      <w:pPr>
        <w:spacing w:line="480" w:lineRule="auto"/>
        <w:rPr>
          <w:rFonts w:ascii="Arial" w:hAnsi="Arial" w:cs="Arial"/>
          <w:sz w:val="24"/>
          <w:szCs w:val="24"/>
        </w:rPr>
      </w:pPr>
      <w:r>
        <w:rPr>
          <w:rFonts w:ascii="Arial" w:hAnsi="Arial" w:cs="Arial"/>
          <w:sz w:val="24"/>
          <w:szCs w:val="24"/>
        </w:rPr>
        <w:t xml:space="preserve">          </w:t>
      </w:r>
      <w:r w:rsidR="005204D2">
        <w:rPr>
          <w:rFonts w:ascii="Arial" w:hAnsi="Arial" w:cs="Arial"/>
          <w:sz w:val="24"/>
          <w:szCs w:val="24"/>
        </w:rPr>
        <w:t xml:space="preserve">Although forensic evidence can assist greatly in law enforcement, the limitation in regard to forensic evidence is the possible risk of cross contamination. </w:t>
      </w:r>
      <w:r w:rsidR="000B72FB">
        <w:rPr>
          <w:rFonts w:ascii="Arial" w:hAnsi="Arial" w:cs="Arial"/>
          <w:sz w:val="24"/>
          <w:szCs w:val="24"/>
        </w:rPr>
        <w:t xml:space="preserve">Cross contamination should be considerably attempted to prevent as this can effect evidence. </w:t>
      </w:r>
      <w:r w:rsidR="000B72FB" w:rsidRPr="000B72FB">
        <w:rPr>
          <w:rFonts w:ascii="Arial" w:hAnsi="Arial" w:cs="Arial"/>
          <w:sz w:val="24"/>
          <w:szCs w:val="24"/>
        </w:rPr>
        <w:t>When a single police officer, for example, seizes, handles, or otherwise comes into contact with materials from many locations, contamination might develop</w:t>
      </w:r>
      <w:r w:rsidR="00452563">
        <w:rPr>
          <w:rFonts w:ascii="Arial" w:hAnsi="Arial" w:cs="Arial"/>
          <w:sz w:val="24"/>
          <w:szCs w:val="24"/>
        </w:rPr>
        <w:t xml:space="preserve"> (White et al, 2004, p 80). </w:t>
      </w:r>
      <w:r w:rsidR="000B72FB" w:rsidRPr="000B72FB">
        <w:rPr>
          <w:rFonts w:ascii="Arial" w:hAnsi="Arial" w:cs="Arial"/>
          <w:sz w:val="24"/>
          <w:szCs w:val="24"/>
        </w:rPr>
        <w:t>It</w:t>
      </w:r>
      <w:r w:rsidR="000B72FB">
        <w:rPr>
          <w:rFonts w:ascii="Arial" w:hAnsi="Arial" w:cs="Arial"/>
          <w:sz w:val="24"/>
          <w:szCs w:val="24"/>
        </w:rPr>
        <w:t xml:space="preserve"> is</w:t>
      </w:r>
      <w:r w:rsidR="000B72FB" w:rsidRPr="000B72FB">
        <w:rPr>
          <w:rFonts w:ascii="Arial" w:hAnsi="Arial" w:cs="Arial"/>
          <w:sz w:val="24"/>
          <w:szCs w:val="24"/>
        </w:rPr>
        <w:t xml:space="preserve"> </w:t>
      </w:r>
      <w:r w:rsidR="000B72FB">
        <w:rPr>
          <w:rFonts w:ascii="Arial" w:hAnsi="Arial" w:cs="Arial"/>
          <w:sz w:val="24"/>
          <w:szCs w:val="24"/>
        </w:rPr>
        <w:t xml:space="preserve">a recommendation </w:t>
      </w:r>
      <w:r w:rsidR="000B72FB" w:rsidRPr="000B72FB">
        <w:rPr>
          <w:rFonts w:ascii="Arial" w:hAnsi="Arial" w:cs="Arial"/>
          <w:sz w:val="24"/>
          <w:szCs w:val="24"/>
        </w:rPr>
        <w:t xml:space="preserve">to </w:t>
      </w:r>
      <w:r w:rsidR="000B72FB">
        <w:rPr>
          <w:rFonts w:ascii="Arial" w:hAnsi="Arial" w:cs="Arial"/>
          <w:sz w:val="24"/>
          <w:szCs w:val="24"/>
        </w:rPr>
        <w:t>investigate</w:t>
      </w:r>
      <w:r w:rsidR="000B72FB" w:rsidRPr="000B72FB">
        <w:rPr>
          <w:rFonts w:ascii="Arial" w:hAnsi="Arial" w:cs="Arial"/>
          <w:sz w:val="24"/>
          <w:szCs w:val="24"/>
        </w:rPr>
        <w:t xml:space="preserve"> whether any of the material in question came about as a consequence of unintentional </w:t>
      </w:r>
      <w:r w:rsidR="000B72FB" w:rsidRPr="000B72FB">
        <w:rPr>
          <w:rFonts w:ascii="Arial" w:hAnsi="Arial" w:cs="Arial"/>
          <w:sz w:val="24"/>
          <w:szCs w:val="24"/>
        </w:rPr>
        <w:lastRenderedPageBreak/>
        <w:t>contamination between two items</w:t>
      </w:r>
      <w:r w:rsidR="000B72FB">
        <w:rPr>
          <w:rFonts w:ascii="Arial" w:hAnsi="Arial" w:cs="Arial"/>
          <w:sz w:val="24"/>
          <w:szCs w:val="24"/>
        </w:rPr>
        <w:t xml:space="preserve"> (White et al, 2004, p 80). </w:t>
      </w:r>
      <w:r w:rsidR="00452563">
        <w:rPr>
          <w:rFonts w:ascii="Arial" w:hAnsi="Arial" w:cs="Arial"/>
          <w:sz w:val="24"/>
          <w:szCs w:val="24"/>
        </w:rPr>
        <w:t xml:space="preserve">Cross contamination is very likely, if not guaranteed to occur should the correct procedures and practices not be applied when the First Attending Officer (FAO) arrives at the scene (Bryant and Bryant, 2021, p 235). </w:t>
      </w:r>
    </w:p>
    <w:p w14:paraId="70502CD9" w14:textId="4ED57EA3" w:rsidR="00BE5EDE" w:rsidRDefault="00BE5EDE" w:rsidP="00610017">
      <w:pPr>
        <w:spacing w:line="480" w:lineRule="auto"/>
        <w:rPr>
          <w:rFonts w:ascii="Arial" w:hAnsi="Arial" w:cs="Arial"/>
          <w:sz w:val="24"/>
          <w:szCs w:val="24"/>
        </w:rPr>
      </w:pPr>
    </w:p>
    <w:p w14:paraId="3E915FC5" w14:textId="7EEDF3A5" w:rsidR="001228E3" w:rsidRPr="001E255A" w:rsidRDefault="001E255A" w:rsidP="00610017">
      <w:pPr>
        <w:spacing w:line="480" w:lineRule="auto"/>
        <w:rPr>
          <w:rFonts w:ascii="Arial" w:hAnsi="Arial" w:cs="Arial"/>
          <w:sz w:val="24"/>
          <w:szCs w:val="24"/>
        </w:rPr>
      </w:pPr>
      <w:r>
        <w:rPr>
          <w:rFonts w:ascii="Arial" w:hAnsi="Arial" w:cs="Arial"/>
          <w:b/>
          <w:bCs/>
          <w:sz w:val="24"/>
          <w:szCs w:val="24"/>
        </w:rPr>
        <w:t xml:space="preserve">          </w:t>
      </w:r>
      <w:r w:rsidR="00BE5EDE" w:rsidRPr="00276A8F">
        <w:rPr>
          <w:rFonts w:ascii="Arial" w:hAnsi="Arial" w:cs="Arial"/>
          <w:sz w:val="24"/>
          <w:szCs w:val="24"/>
        </w:rPr>
        <w:t>In the occurrence of a</w:t>
      </w:r>
      <w:r w:rsidR="005E1656" w:rsidRPr="00276A8F">
        <w:rPr>
          <w:rFonts w:ascii="Arial" w:hAnsi="Arial" w:cs="Arial"/>
          <w:sz w:val="24"/>
          <w:szCs w:val="24"/>
        </w:rPr>
        <w:t xml:space="preserve">ny incident resulting in a crime scene, the initial responsibility is upheld by the First Attending Officer (FAO). </w:t>
      </w:r>
      <w:r w:rsidR="007603F2">
        <w:rPr>
          <w:rFonts w:ascii="Arial" w:hAnsi="Arial" w:cs="Arial"/>
          <w:sz w:val="24"/>
          <w:szCs w:val="24"/>
        </w:rPr>
        <w:t xml:space="preserve">The responsibilities included are to preserve life, preserve scenes, secure evidence, identify victims and identify suspects </w:t>
      </w:r>
      <w:r w:rsidR="00D20B49">
        <w:rPr>
          <w:rFonts w:ascii="Arial" w:hAnsi="Arial" w:cs="Arial"/>
          <w:sz w:val="24"/>
          <w:szCs w:val="24"/>
        </w:rPr>
        <w:t xml:space="preserve">(Association Of Chief Police Officers, 2012). </w:t>
      </w:r>
      <w:r w:rsidR="00B93405" w:rsidRPr="00276A8F">
        <w:rPr>
          <w:rFonts w:ascii="Arial" w:hAnsi="Arial" w:cs="Arial"/>
          <w:sz w:val="24"/>
          <w:szCs w:val="24"/>
        </w:rPr>
        <w:t xml:space="preserve">When a crime is first reported, the first officer on the scene will be designated with an array of tasks while waiting for further officers to arrive. Regardless of the possible differentiation between crime scenes, there is a set system in place to ensure that a scene is handled properly (The Forensics Library, 2022). </w:t>
      </w:r>
      <w:r w:rsidR="001228E3" w:rsidRPr="00276A8F">
        <w:rPr>
          <w:rFonts w:ascii="Arial" w:hAnsi="Arial" w:cs="Arial"/>
          <w:sz w:val="24"/>
          <w:szCs w:val="24"/>
        </w:rPr>
        <w:t xml:space="preserve">The officer who arrives first on the scene of a crime must understand the necessity of preventing or controlling any </w:t>
      </w:r>
      <w:r w:rsidR="00276A8F" w:rsidRPr="00276A8F">
        <w:rPr>
          <w:rFonts w:ascii="Arial" w:hAnsi="Arial" w:cs="Arial"/>
          <w:sz w:val="24"/>
          <w:szCs w:val="24"/>
        </w:rPr>
        <w:t>moderations</w:t>
      </w:r>
      <w:r w:rsidR="001228E3" w:rsidRPr="00276A8F">
        <w:rPr>
          <w:rFonts w:ascii="Arial" w:hAnsi="Arial" w:cs="Arial"/>
          <w:sz w:val="24"/>
          <w:szCs w:val="24"/>
        </w:rPr>
        <w:t xml:space="preserve"> to the crime scene</w:t>
      </w:r>
      <w:r w:rsidR="00276A8F" w:rsidRPr="00276A8F">
        <w:rPr>
          <w:rFonts w:ascii="Arial" w:hAnsi="Arial" w:cs="Arial"/>
          <w:sz w:val="24"/>
          <w:szCs w:val="24"/>
        </w:rPr>
        <w:t xml:space="preserve"> (</w:t>
      </w:r>
      <w:r w:rsidR="00276A8F" w:rsidRPr="00276A8F">
        <w:rPr>
          <w:rFonts w:ascii="Arial" w:hAnsi="Arial" w:cs="Arial"/>
          <w:color w:val="1B1B1B"/>
          <w:sz w:val="24"/>
          <w:szCs w:val="24"/>
          <w:shd w:val="clear" w:color="auto" w:fill="FFFFFF"/>
        </w:rPr>
        <w:t>Donofrio, 2000), which can consequently result in cross contamination</w:t>
      </w:r>
      <w:r w:rsidR="00143785">
        <w:rPr>
          <w:rFonts w:ascii="Arial" w:hAnsi="Arial" w:cs="Arial"/>
          <w:color w:val="1B1B1B"/>
          <w:sz w:val="24"/>
          <w:szCs w:val="24"/>
          <w:shd w:val="clear" w:color="auto" w:fill="FFFFFF"/>
        </w:rPr>
        <w:t xml:space="preserve"> if procedures are not applied accordingly. </w:t>
      </w:r>
      <w:r w:rsidR="00BF0048">
        <w:rPr>
          <w:rFonts w:ascii="Arial" w:hAnsi="Arial" w:cs="Arial"/>
          <w:color w:val="1B1B1B"/>
          <w:sz w:val="24"/>
          <w:szCs w:val="24"/>
          <w:shd w:val="clear" w:color="auto" w:fill="FFFFFF"/>
        </w:rPr>
        <w:t>The outcome of the response by the police is variable compared to the increased or decreased effectiveness of implementing an arrest and brining the case to justice (</w:t>
      </w:r>
      <w:proofErr w:type="spellStart"/>
      <w:r w:rsidR="00BF0048">
        <w:rPr>
          <w:rFonts w:ascii="Arial" w:hAnsi="Arial" w:cs="Arial"/>
          <w:color w:val="1B1B1B"/>
          <w:sz w:val="24"/>
          <w:szCs w:val="24"/>
          <w:shd w:val="clear" w:color="auto" w:fill="FFFFFF"/>
        </w:rPr>
        <w:t>Avdija</w:t>
      </w:r>
      <w:proofErr w:type="spellEnd"/>
      <w:r w:rsidR="00BF0048">
        <w:rPr>
          <w:rFonts w:ascii="Arial" w:hAnsi="Arial" w:cs="Arial"/>
          <w:color w:val="1B1B1B"/>
          <w:sz w:val="24"/>
          <w:szCs w:val="24"/>
          <w:shd w:val="clear" w:color="auto" w:fill="FFFFFF"/>
        </w:rPr>
        <w:t>, 2019, p 102)</w:t>
      </w:r>
      <w:r w:rsidR="007603F2">
        <w:rPr>
          <w:rFonts w:ascii="Arial" w:hAnsi="Arial" w:cs="Arial"/>
          <w:color w:val="1B1B1B"/>
          <w:sz w:val="24"/>
          <w:szCs w:val="24"/>
          <w:shd w:val="clear" w:color="auto" w:fill="FFFFFF"/>
        </w:rPr>
        <w:t xml:space="preserve">. </w:t>
      </w:r>
    </w:p>
    <w:p w14:paraId="26F861DE" w14:textId="7A48614A" w:rsidR="004E29BD" w:rsidRDefault="001E255A" w:rsidP="00610017">
      <w:pPr>
        <w:spacing w:line="480" w:lineRule="auto"/>
        <w:rPr>
          <w:rFonts w:ascii="Arial" w:hAnsi="Arial" w:cs="Arial"/>
          <w:sz w:val="24"/>
          <w:szCs w:val="24"/>
        </w:rPr>
      </w:pPr>
      <w:r>
        <w:rPr>
          <w:rFonts w:ascii="Arial" w:hAnsi="Arial" w:cs="Arial"/>
          <w:sz w:val="24"/>
          <w:szCs w:val="24"/>
        </w:rPr>
        <w:t xml:space="preserve">          </w:t>
      </w:r>
      <w:r w:rsidR="00D0380C">
        <w:rPr>
          <w:rFonts w:ascii="Arial" w:hAnsi="Arial" w:cs="Arial"/>
          <w:sz w:val="24"/>
          <w:szCs w:val="24"/>
        </w:rPr>
        <w:t xml:space="preserve">Prior to </w:t>
      </w:r>
      <w:r w:rsidR="000E6082">
        <w:rPr>
          <w:rFonts w:ascii="Arial" w:hAnsi="Arial" w:cs="Arial"/>
          <w:sz w:val="24"/>
          <w:szCs w:val="24"/>
        </w:rPr>
        <w:t>the</w:t>
      </w:r>
      <w:r w:rsidR="000E6082" w:rsidRPr="000E6082">
        <w:rPr>
          <w:rFonts w:ascii="Arial" w:hAnsi="Arial" w:cs="Arial"/>
          <w:sz w:val="24"/>
          <w:szCs w:val="24"/>
        </w:rPr>
        <w:t xml:space="preserve"> arriv</w:t>
      </w:r>
      <w:r w:rsidR="000E6082">
        <w:rPr>
          <w:rFonts w:ascii="Arial" w:hAnsi="Arial" w:cs="Arial"/>
          <w:sz w:val="24"/>
          <w:szCs w:val="24"/>
        </w:rPr>
        <w:t>al</w:t>
      </w:r>
      <w:r w:rsidR="000E6082" w:rsidRPr="000E6082">
        <w:rPr>
          <w:rFonts w:ascii="Arial" w:hAnsi="Arial" w:cs="Arial"/>
          <w:sz w:val="24"/>
          <w:szCs w:val="24"/>
        </w:rPr>
        <w:t xml:space="preserve"> at a crime scene, the</w:t>
      </w:r>
      <w:r w:rsidR="000E6082">
        <w:rPr>
          <w:rFonts w:ascii="Arial" w:hAnsi="Arial" w:cs="Arial"/>
          <w:sz w:val="24"/>
          <w:szCs w:val="24"/>
        </w:rPr>
        <w:t xml:space="preserve"> First Attending Officer</w:t>
      </w:r>
      <w:r w:rsidR="000E6082" w:rsidRPr="000E6082">
        <w:rPr>
          <w:rFonts w:ascii="Arial" w:hAnsi="Arial" w:cs="Arial"/>
          <w:sz w:val="24"/>
          <w:szCs w:val="24"/>
        </w:rPr>
        <w:t xml:space="preserve"> </w:t>
      </w:r>
      <w:r w:rsidR="000E6082">
        <w:rPr>
          <w:rFonts w:ascii="Arial" w:hAnsi="Arial" w:cs="Arial"/>
          <w:sz w:val="24"/>
          <w:szCs w:val="24"/>
        </w:rPr>
        <w:t>is</w:t>
      </w:r>
      <w:r w:rsidR="000E6082" w:rsidRPr="000E6082">
        <w:rPr>
          <w:rFonts w:ascii="Arial" w:hAnsi="Arial" w:cs="Arial"/>
          <w:sz w:val="24"/>
          <w:szCs w:val="24"/>
        </w:rPr>
        <w:t xml:space="preserve"> expected to piece together what happened</w:t>
      </w:r>
      <w:r w:rsidR="00D0380C">
        <w:rPr>
          <w:rFonts w:ascii="Arial" w:hAnsi="Arial" w:cs="Arial"/>
          <w:sz w:val="24"/>
          <w:szCs w:val="24"/>
        </w:rPr>
        <w:t xml:space="preserve">, often </w:t>
      </w:r>
      <w:r w:rsidR="000E6082" w:rsidRPr="000E6082">
        <w:rPr>
          <w:rFonts w:ascii="Arial" w:hAnsi="Arial" w:cs="Arial"/>
          <w:sz w:val="24"/>
          <w:szCs w:val="24"/>
        </w:rPr>
        <w:t>based on limited information</w:t>
      </w:r>
      <w:r w:rsidR="000E6082">
        <w:rPr>
          <w:rFonts w:ascii="Arial" w:hAnsi="Arial" w:cs="Arial"/>
          <w:sz w:val="24"/>
          <w:szCs w:val="24"/>
        </w:rPr>
        <w:t xml:space="preserve"> (</w:t>
      </w:r>
      <w:proofErr w:type="spellStart"/>
      <w:r w:rsidR="000E6082">
        <w:rPr>
          <w:rFonts w:ascii="Arial" w:hAnsi="Arial" w:cs="Arial"/>
          <w:sz w:val="24"/>
          <w:szCs w:val="24"/>
        </w:rPr>
        <w:t>Eeden</w:t>
      </w:r>
      <w:proofErr w:type="spellEnd"/>
      <w:r w:rsidR="000E6082">
        <w:rPr>
          <w:rFonts w:ascii="Arial" w:hAnsi="Arial" w:cs="Arial"/>
          <w:sz w:val="24"/>
          <w:szCs w:val="24"/>
        </w:rPr>
        <w:t xml:space="preserve"> et al, 201</w:t>
      </w:r>
      <w:r w:rsidR="001A6C5A">
        <w:rPr>
          <w:rFonts w:ascii="Arial" w:hAnsi="Arial" w:cs="Arial"/>
          <w:sz w:val="24"/>
          <w:szCs w:val="24"/>
        </w:rPr>
        <w:t>7</w:t>
      </w:r>
      <w:r w:rsidR="000E6082">
        <w:rPr>
          <w:rFonts w:ascii="Arial" w:hAnsi="Arial" w:cs="Arial"/>
          <w:sz w:val="24"/>
          <w:szCs w:val="24"/>
        </w:rPr>
        <w:t xml:space="preserve">, p 109). </w:t>
      </w:r>
      <w:r w:rsidR="004E29BD">
        <w:rPr>
          <w:rFonts w:ascii="Arial" w:hAnsi="Arial" w:cs="Arial"/>
          <w:sz w:val="24"/>
          <w:szCs w:val="24"/>
        </w:rPr>
        <w:t xml:space="preserve">This task alone can initiate significant confusion (Bryant and Bryant, 2021, p 235) and undoubtedly </w:t>
      </w:r>
      <w:r w:rsidR="004E29BD" w:rsidRPr="004E29BD">
        <w:rPr>
          <w:rFonts w:ascii="Arial" w:hAnsi="Arial" w:cs="Arial"/>
          <w:sz w:val="24"/>
          <w:szCs w:val="24"/>
        </w:rPr>
        <w:t>necessitates advanced problem-solving and reasoning skills</w:t>
      </w:r>
      <w:r w:rsidR="004E29BD">
        <w:rPr>
          <w:rFonts w:ascii="Arial" w:hAnsi="Arial" w:cs="Arial"/>
          <w:sz w:val="24"/>
          <w:szCs w:val="24"/>
        </w:rPr>
        <w:t xml:space="preserve"> (</w:t>
      </w:r>
      <w:proofErr w:type="spellStart"/>
      <w:r w:rsidR="004E29BD">
        <w:rPr>
          <w:rFonts w:ascii="Arial" w:hAnsi="Arial" w:cs="Arial"/>
          <w:sz w:val="24"/>
          <w:szCs w:val="24"/>
        </w:rPr>
        <w:t>Eeden</w:t>
      </w:r>
      <w:proofErr w:type="spellEnd"/>
      <w:r w:rsidR="004E29BD">
        <w:rPr>
          <w:rFonts w:ascii="Arial" w:hAnsi="Arial" w:cs="Arial"/>
          <w:sz w:val="24"/>
          <w:szCs w:val="24"/>
        </w:rPr>
        <w:t xml:space="preserve"> et al, 201</w:t>
      </w:r>
      <w:r w:rsidR="001A6C5A">
        <w:rPr>
          <w:rFonts w:ascii="Arial" w:hAnsi="Arial" w:cs="Arial"/>
          <w:sz w:val="24"/>
          <w:szCs w:val="24"/>
        </w:rPr>
        <w:t>7</w:t>
      </w:r>
      <w:r w:rsidR="004E29BD">
        <w:rPr>
          <w:rFonts w:ascii="Arial" w:hAnsi="Arial" w:cs="Arial"/>
          <w:sz w:val="24"/>
          <w:szCs w:val="24"/>
        </w:rPr>
        <w:t xml:space="preserve">, p 110). </w:t>
      </w:r>
      <w:r w:rsidR="0081668B">
        <w:rPr>
          <w:rFonts w:ascii="Arial" w:hAnsi="Arial" w:cs="Arial"/>
          <w:sz w:val="24"/>
          <w:szCs w:val="24"/>
        </w:rPr>
        <w:t>The officer should already have a basis of information received from the force control room who answer and arrange a response to the incident, this can include what is known or believed. The difference between what is known and what is believed must be interpretated by the office</w:t>
      </w:r>
      <w:r w:rsidR="006C7D08">
        <w:rPr>
          <w:rFonts w:ascii="Arial" w:hAnsi="Arial" w:cs="Arial"/>
          <w:sz w:val="24"/>
          <w:szCs w:val="24"/>
        </w:rPr>
        <w:t xml:space="preserve">r, commonly achievable by </w:t>
      </w:r>
      <w:r w:rsidR="00843BE5">
        <w:rPr>
          <w:rFonts w:ascii="Arial" w:hAnsi="Arial" w:cs="Arial"/>
          <w:sz w:val="24"/>
          <w:szCs w:val="24"/>
        </w:rPr>
        <w:t xml:space="preserve">using </w:t>
      </w:r>
      <w:r w:rsidR="006C7D08">
        <w:rPr>
          <w:rFonts w:ascii="Arial" w:hAnsi="Arial" w:cs="Arial"/>
          <w:sz w:val="24"/>
          <w:szCs w:val="24"/>
        </w:rPr>
        <w:t xml:space="preserve">objective facts or information to establish what is known, and subjective facts or information </w:t>
      </w:r>
      <w:r w:rsidR="00843BE5">
        <w:rPr>
          <w:rFonts w:ascii="Arial" w:hAnsi="Arial" w:cs="Arial"/>
          <w:sz w:val="24"/>
          <w:szCs w:val="24"/>
        </w:rPr>
        <w:t xml:space="preserve">to establish what is believed (Bryant and Bryant, 2021, p 235). </w:t>
      </w:r>
    </w:p>
    <w:p w14:paraId="6F0AA99A" w14:textId="618F6320" w:rsidR="00F62790" w:rsidRDefault="001E255A" w:rsidP="00610017">
      <w:pPr>
        <w:spacing w:line="480" w:lineRule="auto"/>
        <w:rPr>
          <w:rFonts w:ascii="Arial" w:hAnsi="Arial" w:cs="Arial"/>
          <w:sz w:val="24"/>
          <w:szCs w:val="24"/>
        </w:rPr>
      </w:pPr>
      <w:r>
        <w:rPr>
          <w:rFonts w:ascii="Arial" w:hAnsi="Arial" w:cs="Arial"/>
          <w:b/>
          <w:bCs/>
          <w:sz w:val="24"/>
          <w:szCs w:val="24"/>
        </w:rPr>
        <w:t xml:space="preserve">          </w:t>
      </w:r>
      <w:r w:rsidR="00D0380C">
        <w:rPr>
          <w:rFonts w:ascii="Arial" w:hAnsi="Arial" w:cs="Arial"/>
          <w:sz w:val="24"/>
          <w:szCs w:val="24"/>
        </w:rPr>
        <w:t xml:space="preserve">Once the officer has arrived at the scene, the first stage is to generate a risk assessment. </w:t>
      </w:r>
      <w:r w:rsidR="00D0380C" w:rsidRPr="00D0380C">
        <w:rPr>
          <w:rFonts w:ascii="Arial" w:hAnsi="Arial" w:cs="Arial"/>
          <w:sz w:val="24"/>
          <w:szCs w:val="24"/>
        </w:rPr>
        <w:t xml:space="preserve">An officer's primary priority should be to safeguard everyone present from further injury or harm. </w:t>
      </w:r>
      <w:r w:rsidR="00D0380C" w:rsidRPr="00D0380C">
        <w:rPr>
          <w:rFonts w:ascii="Arial" w:hAnsi="Arial" w:cs="Arial"/>
          <w:sz w:val="24"/>
          <w:szCs w:val="24"/>
        </w:rPr>
        <w:lastRenderedPageBreak/>
        <w:t>The victim, children, witnesses, police officers, and</w:t>
      </w:r>
      <w:r w:rsidR="00D0380C">
        <w:rPr>
          <w:rFonts w:ascii="Arial" w:hAnsi="Arial" w:cs="Arial"/>
          <w:sz w:val="24"/>
          <w:szCs w:val="24"/>
        </w:rPr>
        <w:t xml:space="preserve"> suspect are all included in this risk assessment (College of Policing, 2015), also ensuring that their body-worn camera is on as this will assist them in gathering information, prior and following the first incident. </w:t>
      </w:r>
      <w:r w:rsidR="00FE7BBB">
        <w:rPr>
          <w:rFonts w:ascii="Arial" w:hAnsi="Arial" w:cs="Arial"/>
          <w:sz w:val="24"/>
          <w:szCs w:val="24"/>
        </w:rPr>
        <w:t>The first attending officer is not expected to preserve the scene should it further impact the victim</w:t>
      </w:r>
      <w:r w:rsidR="00F62790">
        <w:rPr>
          <w:rFonts w:ascii="Arial" w:hAnsi="Arial" w:cs="Arial"/>
          <w:sz w:val="24"/>
          <w:szCs w:val="24"/>
        </w:rPr>
        <w:t>’</w:t>
      </w:r>
      <w:r w:rsidR="00FE7BBB">
        <w:rPr>
          <w:rFonts w:ascii="Arial" w:hAnsi="Arial" w:cs="Arial"/>
          <w:sz w:val="24"/>
          <w:szCs w:val="24"/>
        </w:rPr>
        <w:t xml:space="preserve">s injuries or pose any significant risk to life and limb (Bryant and Bryant, 2021, p 235). </w:t>
      </w:r>
    </w:p>
    <w:p w14:paraId="79732449" w14:textId="3B4F3FE1" w:rsidR="004D0975" w:rsidRDefault="001E255A" w:rsidP="00610017">
      <w:pPr>
        <w:spacing w:line="480" w:lineRule="auto"/>
        <w:rPr>
          <w:rFonts w:ascii="Arial" w:hAnsi="Arial" w:cs="Arial"/>
          <w:sz w:val="24"/>
          <w:szCs w:val="24"/>
        </w:rPr>
      </w:pPr>
      <w:r>
        <w:rPr>
          <w:rFonts w:ascii="Arial" w:hAnsi="Arial" w:cs="Arial"/>
          <w:b/>
          <w:bCs/>
          <w:sz w:val="24"/>
          <w:szCs w:val="24"/>
        </w:rPr>
        <w:t xml:space="preserve">          </w:t>
      </w:r>
      <w:r w:rsidR="00F26D8F">
        <w:rPr>
          <w:rFonts w:ascii="Arial" w:hAnsi="Arial" w:cs="Arial"/>
          <w:sz w:val="24"/>
          <w:szCs w:val="24"/>
        </w:rPr>
        <w:t>Prior to the generation of a risk assessment, the First Attending Officer then needs to prioritise securing and preserving the scene. This is achieved by preventing any disruption to the scene which would consequently result in cross contamination. During this process, officers should ensure they are wearing personal protective equipment (PPE) (</w:t>
      </w:r>
      <w:r w:rsidR="00AB105A">
        <w:rPr>
          <w:rFonts w:ascii="Arial" w:hAnsi="Arial" w:cs="Arial"/>
          <w:sz w:val="24"/>
          <w:szCs w:val="24"/>
        </w:rPr>
        <w:t xml:space="preserve">Forensic Science Regulator, 2020, p20). The appropriate PPE that should be worn as a minimum, as pursuant to Bryant and Bryant (2021, p 240) are “new surgical-type gloves and a face mask”. </w:t>
      </w:r>
      <w:r w:rsidR="00253703" w:rsidRPr="00253703">
        <w:rPr>
          <w:rFonts w:ascii="Arial" w:hAnsi="Arial" w:cs="Arial"/>
          <w:sz w:val="24"/>
          <w:szCs w:val="24"/>
        </w:rPr>
        <w:t xml:space="preserve">Before an examination, it may be </w:t>
      </w:r>
      <w:r w:rsidR="00253703">
        <w:rPr>
          <w:rFonts w:ascii="Arial" w:hAnsi="Arial" w:cs="Arial"/>
          <w:sz w:val="24"/>
          <w:szCs w:val="24"/>
        </w:rPr>
        <w:t xml:space="preserve">a requirement </w:t>
      </w:r>
      <w:r w:rsidR="00253703" w:rsidRPr="00253703">
        <w:rPr>
          <w:rFonts w:ascii="Arial" w:hAnsi="Arial" w:cs="Arial"/>
          <w:sz w:val="24"/>
          <w:szCs w:val="24"/>
        </w:rPr>
        <w:t>to search the area</w:t>
      </w:r>
      <w:r w:rsidR="00253703">
        <w:rPr>
          <w:rFonts w:ascii="Arial" w:hAnsi="Arial" w:cs="Arial"/>
          <w:sz w:val="24"/>
          <w:szCs w:val="24"/>
        </w:rPr>
        <w:t>, remembering that t</w:t>
      </w:r>
      <w:r w:rsidR="00253703" w:rsidRPr="00253703">
        <w:rPr>
          <w:rFonts w:ascii="Arial" w:hAnsi="Arial" w:cs="Arial"/>
          <w:sz w:val="24"/>
          <w:szCs w:val="24"/>
        </w:rPr>
        <w:t>he preservation and retrieval of forensic evidence is always prioritised over the protection of human life</w:t>
      </w:r>
      <w:r w:rsidR="00253703">
        <w:rPr>
          <w:rFonts w:ascii="Arial" w:hAnsi="Arial" w:cs="Arial"/>
          <w:sz w:val="24"/>
          <w:szCs w:val="24"/>
        </w:rPr>
        <w:t xml:space="preserve"> (College Of Policing, 2022). </w:t>
      </w:r>
    </w:p>
    <w:p w14:paraId="199B72AA" w14:textId="7E5322DF" w:rsidR="009F4DAB" w:rsidRDefault="001E255A" w:rsidP="00610017">
      <w:pPr>
        <w:spacing w:line="480" w:lineRule="auto"/>
        <w:rPr>
          <w:rFonts w:ascii="Arial" w:hAnsi="Arial" w:cs="Arial"/>
          <w:sz w:val="24"/>
          <w:szCs w:val="24"/>
        </w:rPr>
      </w:pPr>
      <w:r>
        <w:rPr>
          <w:rFonts w:ascii="Arial" w:hAnsi="Arial" w:cs="Arial"/>
          <w:sz w:val="24"/>
          <w:szCs w:val="24"/>
        </w:rPr>
        <w:t xml:space="preserve">          </w:t>
      </w:r>
      <w:r w:rsidR="005456A1">
        <w:rPr>
          <w:rFonts w:ascii="Arial" w:hAnsi="Arial" w:cs="Arial"/>
          <w:sz w:val="24"/>
          <w:szCs w:val="24"/>
        </w:rPr>
        <w:t xml:space="preserve">The methods available to secure and preserve the scene can vary depending on the type of incident that is being responded to, but a common method in practice is to rectify a ‘barrier’ around the scene to prevent unauthorised personnel from entering the scene as this could cause cross contamination. In this case, cordons are a suitable </w:t>
      </w:r>
      <w:r w:rsidR="00E50FB2">
        <w:rPr>
          <w:rFonts w:ascii="Arial" w:hAnsi="Arial" w:cs="Arial"/>
          <w:sz w:val="24"/>
          <w:szCs w:val="24"/>
        </w:rPr>
        <w:t xml:space="preserve">procedure (Bryant and Bryant, 2021, 236). The cordons are usually placed in an order of an inner cordon and an outer cordon. </w:t>
      </w:r>
      <w:r w:rsidR="009F4DAB">
        <w:rPr>
          <w:rFonts w:ascii="Arial" w:hAnsi="Arial" w:cs="Arial"/>
          <w:sz w:val="24"/>
          <w:szCs w:val="24"/>
        </w:rPr>
        <w:t>The distinguishing differences are that t</w:t>
      </w:r>
      <w:r w:rsidR="009F4DAB" w:rsidRPr="009F4DAB">
        <w:rPr>
          <w:rFonts w:ascii="Arial" w:hAnsi="Arial" w:cs="Arial"/>
          <w:sz w:val="24"/>
          <w:szCs w:val="24"/>
        </w:rPr>
        <w:t>he inner cordon encloses the incident location and contains any hazardous or contaminated areas</w:t>
      </w:r>
      <w:r w:rsidR="009F4DAB">
        <w:rPr>
          <w:rFonts w:ascii="Arial" w:hAnsi="Arial" w:cs="Arial"/>
          <w:sz w:val="24"/>
          <w:szCs w:val="24"/>
        </w:rPr>
        <w:t xml:space="preserve">, usually marked out by red and white police tape that requires the names of all authorised personnel leaving and entering the designated space (College of Policing, 2021). The outer corner is then implemented as a secure location for other </w:t>
      </w:r>
      <w:r w:rsidR="009F4DAB" w:rsidRPr="009F4DAB">
        <w:rPr>
          <w:rFonts w:ascii="Arial" w:hAnsi="Arial" w:cs="Arial"/>
          <w:sz w:val="24"/>
          <w:szCs w:val="24"/>
        </w:rPr>
        <w:t>emergency services and response agencies</w:t>
      </w:r>
      <w:r w:rsidR="009F4DAB">
        <w:rPr>
          <w:rFonts w:ascii="Arial" w:hAnsi="Arial" w:cs="Arial"/>
          <w:sz w:val="24"/>
          <w:szCs w:val="24"/>
        </w:rPr>
        <w:t xml:space="preserve">, usually marked out with blue and white police tape (College of Policing, 2021). </w:t>
      </w:r>
      <w:r w:rsidR="007C2A0D">
        <w:rPr>
          <w:rFonts w:ascii="Arial" w:hAnsi="Arial" w:cs="Arial"/>
          <w:sz w:val="24"/>
          <w:szCs w:val="24"/>
        </w:rPr>
        <w:t xml:space="preserve">Cross contamination can be prevented by the discovery and application of a ‘common approach path’ (CAP), which is a procedure that implements a specific route from one edge of the cordon </w:t>
      </w:r>
      <w:r w:rsidR="004D0975">
        <w:rPr>
          <w:rFonts w:ascii="Arial" w:hAnsi="Arial" w:cs="Arial"/>
          <w:sz w:val="24"/>
          <w:szCs w:val="24"/>
        </w:rPr>
        <w:lastRenderedPageBreak/>
        <w:t xml:space="preserve">that leads into the crime scene. However, this should avoid being on any roues taken by the suspect or victim, or the First Attending Officer (Bryant and Bryant, 2021, p 237). </w:t>
      </w:r>
    </w:p>
    <w:p w14:paraId="53773D2C" w14:textId="4443BD8B" w:rsidR="004D0975" w:rsidRDefault="001E255A" w:rsidP="00610017">
      <w:pPr>
        <w:spacing w:line="480" w:lineRule="auto"/>
        <w:rPr>
          <w:rFonts w:ascii="Arial" w:hAnsi="Arial" w:cs="Arial"/>
          <w:sz w:val="24"/>
          <w:szCs w:val="24"/>
        </w:rPr>
      </w:pPr>
      <w:r>
        <w:rPr>
          <w:rFonts w:ascii="Arial" w:hAnsi="Arial" w:cs="Arial"/>
          <w:sz w:val="24"/>
          <w:szCs w:val="24"/>
        </w:rPr>
        <w:t xml:space="preserve">          </w:t>
      </w:r>
      <w:r w:rsidR="00E50FB2">
        <w:rPr>
          <w:rFonts w:ascii="Arial" w:hAnsi="Arial" w:cs="Arial"/>
          <w:sz w:val="24"/>
          <w:szCs w:val="24"/>
        </w:rPr>
        <w:t xml:space="preserve">Cordoning off the crime scene can also control the media, </w:t>
      </w:r>
      <w:r w:rsidR="00195EC3">
        <w:rPr>
          <w:rFonts w:ascii="Arial" w:hAnsi="Arial" w:cs="Arial"/>
          <w:sz w:val="24"/>
          <w:szCs w:val="24"/>
        </w:rPr>
        <w:t xml:space="preserve">although in some cases their presence may be of use, the police have the responsibility to ensure they do not disrupt the scene and for their health and safety. </w:t>
      </w:r>
      <w:r w:rsidR="00195EC3" w:rsidRPr="00195EC3">
        <w:rPr>
          <w:rFonts w:ascii="Arial" w:hAnsi="Arial" w:cs="Arial"/>
          <w:sz w:val="24"/>
          <w:szCs w:val="24"/>
        </w:rPr>
        <w:t>Media access should be supervised by authorities, and journalists should be dressed in high-visibility jackets while on the scene. The media should be encouraged to get information as rapidly as possible, and their equipment, such as high-powered illumination, should not p</w:t>
      </w:r>
      <w:r w:rsidR="00195EC3">
        <w:rPr>
          <w:rFonts w:ascii="Arial" w:hAnsi="Arial" w:cs="Arial"/>
          <w:sz w:val="24"/>
          <w:szCs w:val="24"/>
        </w:rPr>
        <w:t>ose any risk to other personnel (College of Policing, 2022)</w:t>
      </w:r>
      <w:r w:rsidR="004D0975">
        <w:rPr>
          <w:rFonts w:ascii="Arial" w:hAnsi="Arial" w:cs="Arial"/>
          <w:sz w:val="24"/>
          <w:szCs w:val="24"/>
        </w:rPr>
        <w:t xml:space="preserve">. </w:t>
      </w:r>
    </w:p>
    <w:p w14:paraId="1D92E53D" w14:textId="1B884C4E" w:rsidR="00253703" w:rsidRDefault="001E255A" w:rsidP="00610017">
      <w:pPr>
        <w:spacing w:line="480" w:lineRule="auto"/>
        <w:rPr>
          <w:rFonts w:ascii="Arial" w:hAnsi="Arial" w:cs="Arial"/>
          <w:bCs/>
          <w:sz w:val="24"/>
          <w:szCs w:val="24"/>
        </w:rPr>
      </w:pPr>
      <w:r>
        <w:rPr>
          <w:rFonts w:ascii="Arial" w:hAnsi="Arial" w:cs="Arial"/>
          <w:sz w:val="24"/>
          <w:szCs w:val="24"/>
        </w:rPr>
        <w:t xml:space="preserve">          </w:t>
      </w:r>
      <w:r w:rsidR="004D0975">
        <w:rPr>
          <w:rFonts w:ascii="Arial" w:hAnsi="Arial" w:cs="Arial"/>
          <w:sz w:val="24"/>
          <w:szCs w:val="24"/>
        </w:rPr>
        <w:t xml:space="preserve">Securing evidence is another responsibility that can be undertaken by the First Attending Officer. </w:t>
      </w:r>
      <w:r w:rsidR="00E23E30">
        <w:rPr>
          <w:rFonts w:ascii="Arial" w:hAnsi="Arial" w:cs="Arial"/>
          <w:sz w:val="24"/>
          <w:szCs w:val="24"/>
        </w:rPr>
        <w:t xml:space="preserve">Evidence must be collected and secured following methods that will not cause contamination and the officer handling the evidence should be wearing appropriate PPE as previously discussed. </w:t>
      </w:r>
      <w:r w:rsidR="00E23E30" w:rsidRPr="00E23E30">
        <w:rPr>
          <w:rFonts w:ascii="Arial" w:hAnsi="Arial" w:cs="Arial"/>
          <w:sz w:val="24"/>
          <w:szCs w:val="24"/>
        </w:rPr>
        <w:t>Using the proper seizure procedures and methods for packaging prevents contamination</w:t>
      </w:r>
      <w:r w:rsidR="00A859A1">
        <w:rPr>
          <w:rFonts w:ascii="Arial" w:hAnsi="Arial" w:cs="Arial"/>
          <w:sz w:val="24"/>
          <w:szCs w:val="24"/>
        </w:rPr>
        <w:t xml:space="preserve">, as well as damage </w:t>
      </w:r>
      <w:r w:rsidR="00E23E30" w:rsidRPr="00E23E30">
        <w:rPr>
          <w:rFonts w:ascii="Arial" w:hAnsi="Arial" w:cs="Arial"/>
          <w:sz w:val="24"/>
          <w:szCs w:val="24"/>
        </w:rPr>
        <w:t>and serves as a showcase of the care and skill that went into the exhibits' seizure</w:t>
      </w:r>
      <w:r w:rsidR="00E23E30">
        <w:rPr>
          <w:rFonts w:ascii="Arial" w:hAnsi="Arial" w:cs="Arial"/>
          <w:sz w:val="24"/>
          <w:szCs w:val="24"/>
        </w:rPr>
        <w:t xml:space="preserve"> (Bryant and </w:t>
      </w:r>
      <w:r w:rsidR="00E23E30">
        <w:rPr>
          <w:rFonts w:ascii="Arial" w:hAnsi="Arial" w:cs="Arial"/>
          <w:bCs/>
          <w:sz w:val="24"/>
          <w:szCs w:val="24"/>
        </w:rPr>
        <w:t xml:space="preserve">Bryant, 2021, p 627). </w:t>
      </w:r>
      <w:r w:rsidR="00CD3530">
        <w:rPr>
          <w:rFonts w:ascii="Arial" w:hAnsi="Arial" w:cs="Arial"/>
          <w:bCs/>
          <w:sz w:val="24"/>
          <w:szCs w:val="24"/>
        </w:rPr>
        <w:t xml:space="preserve">This method must be approached in a skill based manner and preventing contamination must be the highest priority. </w:t>
      </w:r>
      <w:r w:rsidR="00DB67C8">
        <w:rPr>
          <w:rFonts w:ascii="Arial" w:hAnsi="Arial" w:cs="Arial"/>
          <w:bCs/>
          <w:sz w:val="24"/>
          <w:szCs w:val="24"/>
        </w:rPr>
        <w:t xml:space="preserve">All items collected for evidence </w:t>
      </w:r>
      <w:r w:rsidR="00CD3530" w:rsidRPr="00CD3530">
        <w:rPr>
          <w:rFonts w:ascii="Arial" w:hAnsi="Arial" w:cs="Arial"/>
          <w:bCs/>
          <w:sz w:val="24"/>
          <w:szCs w:val="24"/>
        </w:rPr>
        <w:t>should ideally be separately sealed or delivered as part of a self-contained kit that includes all of the necessary things for a specific activity</w:t>
      </w:r>
      <w:r w:rsidR="00CD3530">
        <w:rPr>
          <w:rFonts w:ascii="Arial" w:hAnsi="Arial" w:cs="Arial"/>
          <w:bCs/>
          <w:sz w:val="24"/>
          <w:szCs w:val="24"/>
        </w:rPr>
        <w:t xml:space="preserve"> (Forensic Science Regulator, 2020, p 23)</w:t>
      </w:r>
      <w:r w:rsidR="00DF2754">
        <w:rPr>
          <w:rFonts w:ascii="Arial" w:hAnsi="Arial" w:cs="Arial"/>
          <w:bCs/>
          <w:sz w:val="24"/>
          <w:szCs w:val="24"/>
        </w:rPr>
        <w:t xml:space="preserve">. </w:t>
      </w:r>
      <w:r w:rsidR="00CD3530">
        <w:rPr>
          <w:rFonts w:ascii="Arial" w:hAnsi="Arial" w:cs="Arial"/>
          <w:bCs/>
          <w:sz w:val="24"/>
          <w:szCs w:val="24"/>
        </w:rPr>
        <w:t>However, should these resources not be accessible</w:t>
      </w:r>
      <w:r w:rsidR="00CD3530" w:rsidRPr="00CD3530">
        <w:rPr>
          <w:rFonts w:ascii="Arial" w:hAnsi="Arial" w:cs="Arial"/>
          <w:bCs/>
          <w:sz w:val="24"/>
          <w:szCs w:val="24"/>
        </w:rPr>
        <w:t>, all reasonable steps should be made in the storage, transportation, and handling of numerous packs of consumables to reduce the possibility of cross-contamination after the supplier's delivery</w:t>
      </w:r>
      <w:r w:rsidR="00FA4279">
        <w:rPr>
          <w:rFonts w:ascii="Arial" w:hAnsi="Arial" w:cs="Arial"/>
          <w:bCs/>
          <w:sz w:val="24"/>
          <w:szCs w:val="24"/>
        </w:rPr>
        <w:t xml:space="preserve"> (Forensic Science Regulator, 2020, p 23). </w:t>
      </w:r>
      <w:r w:rsidR="00DB67C8">
        <w:rPr>
          <w:rFonts w:ascii="Arial" w:hAnsi="Arial" w:cs="Arial"/>
          <w:bCs/>
          <w:sz w:val="24"/>
          <w:szCs w:val="24"/>
        </w:rPr>
        <w:t>Procedures included in regard to securing evidence include the separate packing of items, to prevent contamination between articles, the suitable packaging for the evidence, such as appropriate size, shape and forensic analysis requirement</w:t>
      </w:r>
      <w:r w:rsidR="009D555F">
        <w:rPr>
          <w:rFonts w:ascii="Arial" w:hAnsi="Arial" w:cs="Arial"/>
          <w:bCs/>
          <w:sz w:val="24"/>
          <w:szCs w:val="24"/>
        </w:rPr>
        <w:t xml:space="preserve">, secure sealing of package and sufficient labelling (Forensic Science Regulator, 2020, p 25). </w:t>
      </w:r>
    </w:p>
    <w:p w14:paraId="56E416D0" w14:textId="6979D90D" w:rsidR="00DF2754" w:rsidRDefault="00F42B6F" w:rsidP="00610017">
      <w:pPr>
        <w:spacing w:line="480" w:lineRule="auto"/>
        <w:rPr>
          <w:rFonts w:ascii="Arial" w:hAnsi="Arial" w:cs="Arial"/>
          <w:bCs/>
          <w:sz w:val="24"/>
          <w:szCs w:val="24"/>
        </w:rPr>
      </w:pPr>
      <w:r>
        <w:rPr>
          <w:rFonts w:ascii="Arial" w:hAnsi="Arial" w:cs="Arial"/>
          <w:bCs/>
          <w:sz w:val="24"/>
          <w:szCs w:val="24"/>
        </w:rPr>
        <w:t xml:space="preserve">          </w:t>
      </w:r>
      <w:r w:rsidR="00DF2754">
        <w:rPr>
          <w:rFonts w:ascii="Arial" w:hAnsi="Arial" w:cs="Arial"/>
          <w:bCs/>
          <w:sz w:val="24"/>
          <w:szCs w:val="24"/>
        </w:rPr>
        <w:t xml:space="preserve">To summarise the role of the First Attending Officer when attending a crime scene and preventing cross contamination, it is evident that there are a series of procedures that should be adopted to maximise the likelihood of identifying involved persons, such as victims and suspects </w:t>
      </w:r>
      <w:r w:rsidR="00DF2754">
        <w:rPr>
          <w:rFonts w:ascii="Arial" w:hAnsi="Arial" w:cs="Arial"/>
          <w:bCs/>
          <w:sz w:val="24"/>
          <w:szCs w:val="24"/>
        </w:rPr>
        <w:lastRenderedPageBreak/>
        <w:t xml:space="preserve">and minimising the risk of cross contamination which if caused, could disrupt the correct desired outcome of the offence. The roles discussed in this section can also be undertaken by a crime scene investigator (CSI), but in spite of this the first attending officer must continue to portray each step until the crime scene investigator arrives at the scene. It is also an important consideration that the preservation of life and limb is the first priority in </w:t>
      </w:r>
      <w:r w:rsidR="00010FD6">
        <w:rPr>
          <w:rFonts w:ascii="Arial" w:hAnsi="Arial" w:cs="Arial"/>
          <w:bCs/>
          <w:sz w:val="24"/>
          <w:szCs w:val="24"/>
        </w:rPr>
        <w:t xml:space="preserve">any crime scene, and therefore, evidence that is displaced or disrupted for this specific reason is likely justifiable. </w:t>
      </w:r>
    </w:p>
    <w:p w14:paraId="500A66B5" w14:textId="3A1302CC" w:rsidR="001E255A" w:rsidRDefault="001E255A" w:rsidP="00610017">
      <w:pPr>
        <w:spacing w:line="480" w:lineRule="auto"/>
        <w:rPr>
          <w:rFonts w:ascii="Arial" w:hAnsi="Arial" w:cs="Arial"/>
          <w:bCs/>
          <w:sz w:val="24"/>
          <w:szCs w:val="24"/>
        </w:rPr>
      </w:pPr>
    </w:p>
    <w:p w14:paraId="065F2C2C" w14:textId="770957F4" w:rsidR="001E255A" w:rsidRDefault="001E255A" w:rsidP="00610017">
      <w:pPr>
        <w:spacing w:line="480" w:lineRule="auto"/>
        <w:rPr>
          <w:rFonts w:ascii="Arial" w:hAnsi="Arial" w:cs="Arial"/>
          <w:b/>
          <w:sz w:val="24"/>
          <w:szCs w:val="24"/>
        </w:rPr>
      </w:pPr>
      <w:r w:rsidRPr="001E255A">
        <w:rPr>
          <w:rFonts w:ascii="Arial" w:hAnsi="Arial" w:cs="Arial"/>
          <w:b/>
          <w:sz w:val="24"/>
          <w:szCs w:val="24"/>
        </w:rPr>
        <w:t>Part B</w:t>
      </w:r>
    </w:p>
    <w:p w14:paraId="481A37AE" w14:textId="4A8A921C" w:rsidR="00B2644F" w:rsidRDefault="00F42B6F" w:rsidP="00610017">
      <w:pPr>
        <w:spacing w:line="480" w:lineRule="auto"/>
        <w:rPr>
          <w:rFonts w:ascii="Arial" w:hAnsi="Arial" w:cs="Arial"/>
          <w:bCs/>
          <w:sz w:val="24"/>
          <w:szCs w:val="24"/>
        </w:rPr>
      </w:pPr>
      <w:r>
        <w:rPr>
          <w:rFonts w:ascii="Arial" w:hAnsi="Arial" w:cs="Arial"/>
          <w:bCs/>
          <w:sz w:val="24"/>
          <w:szCs w:val="24"/>
        </w:rPr>
        <w:t xml:space="preserve">          </w:t>
      </w:r>
      <w:r w:rsidR="001E255A">
        <w:rPr>
          <w:rFonts w:ascii="Arial" w:hAnsi="Arial" w:cs="Arial"/>
          <w:bCs/>
          <w:sz w:val="24"/>
          <w:szCs w:val="24"/>
        </w:rPr>
        <w:t xml:space="preserve">Forensic recovery and examination, similar to all policing procedures, must be adopted in accordance </w:t>
      </w:r>
      <w:r w:rsidR="00065475">
        <w:rPr>
          <w:rFonts w:ascii="Arial" w:hAnsi="Arial" w:cs="Arial"/>
          <w:bCs/>
          <w:sz w:val="24"/>
          <w:szCs w:val="24"/>
        </w:rPr>
        <w:t>with</w:t>
      </w:r>
      <w:r w:rsidR="001E255A">
        <w:rPr>
          <w:rFonts w:ascii="Arial" w:hAnsi="Arial" w:cs="Arial"/>
          <w:bCs/>
          <w:sz w:val="24"/>
          <w:szCs w:val="24"/>
        </w:rPr>
        <w:t xml:space="preserve"> </w:t>
      </w:r>
      <w:r w:rsidR="00065475">
        <w:rPr>
          <w:rFonts w:ascii="Arial" w:hAnsi="Arial" w:cs="Arial"/>
          <w:bCs/>
          <w:sz w:val="24"/>
          <w:szCs w:val="24"/>
        </w:rPr>
        <w:t>legislation and policies. This is to ensure the police perform in a legal manner. An array of legislation is applicable to forensic recovery and examination</w:t>
      </w:r>
      <w:r w:rsidR="00B2644F">
        <w:rPr>
          <w:rFonts w:ascii="Arial" w:hAnsi="Arial" w:cs="Arial"/>
          <w:bCs/>
          <w:sz w:val="24"/>
          <w:szCs w:val="24"/>
        </w:rPr>
        <w:t>.</w:t>
      </w:r>
    </w:p>
    <w:p w14:paraId="5A4AA93B" w14:textId="763E7D65" w:rsidR="006C502A" w:rsidRPr="004C3048" w:rsidRDefault="00F42B6F" w:rsidP="00610017">
      <w:pPr>
        <w:spacing w:line="480" w:lineRule="auto"/>
        <w:rPr>
          <w:rFonts w:ascii="Arial" w:hAnsi="Arial" w:cs="Arial"/>
          <w:sz w:val="24"/>
          <w:szCs w:val="24"/>
        </w:rPr>
      </w:pPr>
      <w:r>
        <w:rPr>
          <w:rFonts w:ascii="Arial" w:hAnsi="Arial" w:cs="Arial"/>
          <w:bCs/>
          <w:sz w:val="24"/>
          <w:szCs w:val="24"/>
        </w:rPr>
        <w:t xml:space="preserve">          </w:t>
      </w:r>
      <w:r w:rsidR="00D35AE9">
        <w:rPr>
          <w:rFonts w:ascii="Arial" w:hAnsi="Arial" w:cs="Arial"/>
          <w:bCs/>
          <w:sz w:val="24"/>
          <w:szCs w:val="24"/>
        </w:rPr>
        <w:t xml:space="preserve">In the </w:t>
      </w:r>
      <w:r w:rsidR="006C502A">
        <w:rPr>
          <w:rFonts w:ascii="Arial" w:hAnsi="Arial" w:cs="Arial"/>
          <w:bCs/>
          <w:sz w:val="24"/>
          <w:szCs w:val="24"/>
        </w:rPr>
        <w:t>occurrence of an incident, police officers should attend the scene demonstrating an ‘Investigative Mindset’. The College of Policing (</w:t>
      </w:r>
      <w:r w:rsidR="00CE37A1">
        <w:rPr>
          <w:rFonts w:ascii="Arial" w:hAnsi="Arial" w:cs="Arial"/>
          <w:bCs/>
          <w:sz w:val="24"/>
          <w:szCs w:val="24"/>
        </w:rPr>
        <w:t>2021</w:t>
      </w:r>
      <w:r w:rsidR="006C502A">
        <w:rPr>
          <w:rFonts w:ascii="Arial" w:hAnsi="Arial" w:cs="Arial"/>
          <w:bCs/>
          <w:sz w:val="24"/>
          <w:szCs w:val="24"/>
        </w:rPr>
        <w:t xml:space="preserve">) explain an ‘investigative mindset’ as </w:t>
      </w:r>
      <w:r w:rsidR="00CE37A1">
        <w:rPr>
          <w:rFonts w:ascii="Arial" w:hAnsi="Arial" w:cs="Arial"/>
          <w:bCs/>
          <w:sz w:val="24"/>
          <w:szCs w:val="24"/>
        </w:rPr>
        <w:t>a procedure “</w:t>
      </w:r>
      <w:r w:rsidR="006C502A" w:rsidRPr="00CE37A1">
        <w:rPr>
          <w:rFonts w:ascii="Arial" w:hAnsi="Arial" w:cs="Arial"/>
          <w:sz w:val="24"/>
          <w:szCs w:val="24"/>
        </w:rPr>
        <w:t>used to describe a systematic approach to gathering and assessing material, underpinning an effective investigation</w:t>
      </w:r>
      <w:r w:rsidR="00CE37A1">
        <w:rPr>
          <w:rFonts w:ascii="Arial" w:hAnsi="Arial" w:cs="Arial"/>
          <w:sz w:val="24"/>
          <w:szCs w:val="24"/>
        </w:rPr>
        <w:t xml:space="preserve">”. </w:t>
      </w:r>
      <w:r w:rsidR="00805BE8">
        <w:rPr>
          <w:rFonts w:ascii="Arial" w:hAnsi="Arial" w:cs="Arial"/>
          <w:sz w:val="24"/>
          <w:szCs w:val="24"/>
        </w:rPr>
        <w:t xml:space="preserve">Investigating as a psychological process entails </w:t>
      </w:r>
      <w:r w:rsidR="00805BE8" w:rsidRPr="00805BE8">
        <w:rPr>
          <w:rFonts w:ascii="Arial" w:hAnsi="Arial" w:cs="Arial"/>
          <w:sz w:val="24"/>
          <w:szCs w:val="24"/>
        </w:rPr>
        <w:t>cognitive processes, such as problem solving and information processing</w:t>
      </w:r>
      <w:r w:rsidR="00805BE8">
        <w:rPr>
          <w:rFonts w:ascii="Arial" w:hAnsi="Arial" w:cs="Arial"/>
          <w:sz w:val="24"/>
          <w:szCs w:val="24"/>
        </w:rPr>
        <w:t xml:space="preserve"> (</w:t>
      </w:r>
      <w:proofErr w:type="spellStart"/>
      <w:r w:rsidR="00537F85" w:rsidRPr="002B3227">
        <w:rPr>
          <w:rFonts w:ascii="Arial" w:hAnsi="Arial" w:cs="Arial"/>
          <w:sz w:val="24"/>
          <w:szCs w:val="24"/>
        </w:rPr>
        <w:t>Spanoudaki</w:t>
      </w:r>
      <w:proofErr w:type="spellEnd"/>
      <w:r w:rsidR="00537F85">
        <w:rPr>
          <w:rFonts w:ascii="Arial" w:hAnsi="Arial" w:cs="Arial"/>
          <w:sz w:val="24"/>
          <w:szCs w:val="24"/>
        </w:rPr>
        <w:t xml:space="preserve"> et al, 2019, p 89). </w:t>
      </w:r>
      <w:r w:rsidR="003F6927">
        <w:rPr>
          <w:rFonts w:ascii="Arial" w:hAnsi="Arial" w:cs="Arial"/>
          <w:sz w:val="24"/>
          <w:szCs w:val="24"/>
        </w:rPr>
        <w:t xml:space="preserve">The ’investigative mindset’ has 5 corresponding principles; as related to by Bryant and Bryant (2021, p </w:t>
      </w:r>
      <w:r w:rsidR="00A1051B">
        <w:rPr>
          <w:rFonts w:ascii="Arial" w:hAnsi="Arial" w:cs="Arial"/>
          <w:sz w:val="24"/>
          <w:szCs w:val="24"/>
        </w:rPr>
        <w:t xml:space="preserve">562) these are understanding the source of material; planning and preparation; examination; recording and collation and evaluation. </w:t>
      </w:r>
      <w:r w:rsidR="00185BF3">
        <w:rPr>
          <w:rFonts w:ascii="Arial" w:hAnsi="Arial" w:cs="Arial"/>
          <w:sz w:val="24"/>
          <w:szCs w:val="24"/>
        </w:rPr>
        <w:t xml:space="preserve">The application of an investigative mind set allows the maximisation in information collected from a crime scene as well as </w:t>
      </w:r>
      <w:r w:rsidR="003F6927">
        <w:rPr>
          <w:rFonts w:ascii="Arial" w:hAnsi="Arial" w:cs="Arial"/>
          <w:sz w:val="24"/>
          <w:szCs w:val="24"/>
        </w:rPr>
        <w:t xml:space="preserve">ascertaining information is effectively tested, appropriate actions are taken, legitimate records are kept and that the material is stored accordingly (Bryant and Bryant, 2021, p 562). </w:t>
      </w:r>
    </w:p>
    <w:p w14:paraId="26476AAB" w14:textId="5CFACB74" w:rsidR="009348A9" w:rsidRPr="004C3048" w:rsidRDefault="00BC3C08" w:rsidP="00610017">
      <w:pPr>
        <w:spacing w:line="480" w:lineRule="auto"/>
        <w:rPr>
          <w:rFonts w:ascii="Arial" w:hAnsi="Arial" w:cs="Arial"/>
          <w:sz w:val="24"/>
          <w:szCs w:val="24"/>
        </w:rPr>
      </w:pPr>
      <w:r>
        <w:rPr>
          <w:rFonts w:ascii="Arial" w:hAnsi="Arial" w:cs="Arial"/>
          <w:bCs/>
          <w:sz w:val="24"/>
          <w:szCs w:val="24"/>
        </w:rPr>
        <w:t xml:space="preserve">          </w:t>
      </w:r>
      <w:r w:rsidR="00A1051B">
        <w:rPr>
          <w:rFonts w:ascii="Arial" w:hAnsi="Arial" w:cs="Arial"/>
          <w:bCs/>
          <w:sz w:val="24"/>
          <w:szCs w:val="24"/>
        </w:rPr>
        <w:t>Following a criminal offence that results in a crime scene, the initial following period is vital. From a policing aspect, this is referred to as the ‘Golden Hour’</w:t>
      </w:r>
      <w:r w:rsidR="009348A9">
        <w:rPr>
          <w:rFonts w:ascii="Arial" w:hAnsi="Arial" w:cs="Arial"/>
          <w:bCs/>
          <w:sz w:val="24"/>
          <w:szCs w:val="24"/>
        </w:rPr>
        <w:t xml:space="preserve">. </w:t>
      </w:r>
      <w:r w:rsidR="00624266">
        <w:rPr>
          <w:rFonts w:ascii="Arial" w:hAnsi="Arial" w:cs="Arial"/>
          <w:bCs/>
          <w:sz w:val="24"/>
          <w:szCs w:val="24"/>
        </w:rPr>
        <w:t xml:space="preserve">Although the Home Office </w:t>
      </w:r>
      <w:r w:rsidR="00132F43">
        <w:rPr>
          <w:rFonts w:ascii="Arial" w:hAnsi="Arial" w:cs="Arial"/>
          <w:bCs/>
          <w:sz w:val="24"/>
          <w:szCs w:val="24"/>
        </w:rPr>
        <w:t xml:space="preserve">(2021) </w:t>
      </w:r>
      <w:r w:rsidR="00624266">
        <w:rPr>
          <w:rFonts w:ascii="Arial" w:hAnsi="Arial" w:cs="Arial"/>
          <w:bCs/>
          <w:sz w:val="24"/>
          <w:szCs w:val="24"/>
        </w:rPr>
        <w:t xml:space="preserve">outlines that the ‘golden hour’ is not restricted to 60 minutes, </w:t>
      </w:r>
      <w:r w:rsidR="00132F43">
        <w:rPr>
          <w:rFonts w:ascii="Arial" w:hAnsi="Arial" w:cs="Arial"/>
          <w:bCs/>
          <w:sz w:val="24"/>
          <w:szCs w:val="24"/>
        </w:rPr>
        <w:t xml:space="preserve">it is more effective for the initial response to take place as soon as possible, the reason being this is </w:t>
      </w:r>
      <w:r w:rsidR="00132F43" w:rsidRPr="00132F43">
        <w:rPr>
          <w:rFonts w:ascii="Arial" w:hAnsi="Arial" w:cs="Arial"/>
          <w:bCs/>
          <w:sz w:val="24"/>
          <w:szCs w:val="24"/>
        </w:rPr>
        <w:t xml:space="preserve">when the strongest chances </w:t>
      </w:r>
      <w:r w:rsidR="00132F43" w:rsidRPr="00132F43">
        <w:rPr>
          <w:rFonts w:ascii="Arial" w:hAnsi="Arial" w:cs="Arial"/>
          <w:bCs/>
          <w:sz w:val="24"/>
          <w:szCs w:val="24"/>
        </w:rPr>
        <w:lastRenderedPageBreak/>
        <w:t>for taking effective action are present</w:t>
      </w:r>
      <w:r w:rsidR="00132F43">
        <w:rPr>
          <w:rFonts w:ascii="Arial" w:hAnsi="Arial" w:cs="Arial"/>
          <w:bCs/>
          <w:sz w:val="24"/>
          <w:szCs w:val="24"/>
        </w:rPr>
        <w:t>. The police should be taking into account victims, scenes, suspects</w:t>
      </w:r>
      <w:r w:rsidR="00FA66CE">
        <w:rPr>
          <w:rFonts w:ascii="Arial" w:hAnsi="Arial" w:cs="Arial"/>
          <w:bCs/>
          <w:sz w:val="24"/>
          <w:szCs w:val="24"/>
        </w:rPr>
        <w:t xml:space="preserve"> and create a log of </w:t>
      </w:r>
      <w:r w:rsidR="00FA66CE" w:rsidRPr="00FA66CE">
        <w:rPr>
          <w:rFonts w:ascii="Arial" w:hAnsi="Arial" w:cs="Arial"/>
          <w:sz w:val="24"/>
          <w:szCs w:val="24"/>
        </w:rPr>
        <w:t>decisions, reasons, resources, conditions, circumstances</w:t>
      </w:r>
      <w:r w:rsidR="00FA66CE">
        <w:rPr>
          <w:rFonts w:ascii="Arial" w:hAnsi="Arial" w:cs="Arial"/>
          <w:sz w:val="24"/>
          <w:szCs w:val="24"/>
        </w:rPr>
        <w:t xml:space="preserve"> (Home Office, 2021). This can specifically apply to the collection of evidence, such as identifying and sampling bloodstains, as well as further preventing them from cross contamination. Furthermore, </w:t>
      </w:r>
      <w:r w:rsidR="00F918CC">
        <w:rPr>
          <w:rFonts w:ascii="Arial" w:hAnsi="Arial" w:cs="Arial"/>
          <w:sz w:val="24"/>
          <w:szCs w:val="24"/>
        </w:rPr>
        <w:t>the ‘golden hour’ is a sufficient time to take accounts and statements from witness, should there be any, as the reminiscence of what happened, suspect descriptions and other significant information is at its best because it could be less likely to be disrupted and inaccurate. This can assist the police in developing a description of the suspect and identify a more specific account of what took place (Bryant and Bryant, 2021, p 236).</w:t>
      </w:r>
    </w:p>
    <w:p w14:paraId="36B5BEB7" w14:textId="565D866C" w:rsidR="004D0975" w:rsidRPr="004C3048" w:rsidRDefault="00BC3C08" w:rsidP="00610017">
      <w:pPr>
        <w:spacing w:line="480" w:lineRule="auto"/>
        <w:rPr>
          <w:rFonts w:ascii="Arial" w:hAnsi="Arial" w:cs="Arial"/>
          <w:sz w:val="24"/>
          <w:szCs w:val="24"/>
        </w:rPr>
      </w:pPr>
      <w:r>
        <w:rPr>
          <w:rFonts w:ascii="Arial" w:hAnsi="Arial" w:cs="Arial"/>
          <w:bCs/>
          <w:sz w:val="24"/>
          <w:szCs w:val="24"/>
        </w:rPr>
        <w:t xml:space="preserve">          </w:t>
      </w:r>
      <w:r w:rsidR="00B2644F">
        <w:rPr>
          <w:rFonts w:ascii="Arial" w:hAnsi="Arial" w:cs="Arial"/>
          <w:bCs/>
          <w:sz w:val="24"/>
          <w:szCs w:val="24"/>
        </w:rPr>
        <w:t xml:space="preserve">The Criminal Procedure and Investigations Act 1996 is applied in forensic recovery and examination. </w:t>
      </w:r>
      <w:r w:rsidR="00D35AE9">
        <w:rPr>
          <w:rFonts w:ascii="Arial" w:hAnsi="Arial" w:cs="Arial"/>
          <w:bCs/>
          <w:sz w:val="24"/>
          <w:szCs w:val="24"/>
        </w:rPr>
        <w:t xml:space="preserve">This </w:t>
      </w:r>
      <w:r w:rsidR="006C502A">
        <w:rPr>
          <w:rFonts w:ascii="Arial" w:hAnsi="Arial" w:cs="Arial"/>
          <w:bCs/>
          <w:sz w:val="24"/>
          <w:szCs w:val="24"/>
        </w:rPr>
        <w:t xml:space="preserve">specific Act was introduced </w:t>
      </w:r>
      <w:r w:rsidR="006C502A" w:rsidRPr="006C502A">
        <w:rPr>
          <w:rFonts w:ascii="Arial" w:hAnsi="Arial" w:cs="Arial"/>
          <w:bCs/>
          <w:sz w:val="24"/>
          <w:szCs w:val="24"/>
        </w:rPr>
        <w:t>relating to criminal process and criminal investigations</w:t>
      </w:r>
      <w:r w:rsidR="006C502A">
        <w:rPr>
          <w:rFonts w:ascii="Arial" w:hAnsi="Arial" w:cs="Arial"/>
          <w:bCs/>
          <w:sz w:val="24"/>
          <w:szCs w:val="24"/>
        </w:rPr>
        <w:t xml:space="preserve"> (Criminal Procedure and Investigations Act, 1996). </w:t>
      </w:r>
      <w:r w:rsidR="00D35AE9">
        <w:rPr>
          <w:rFonts w:ascii="Arial" w:hAnsi="Arial" w:cs="Arial"/>
          <w:bCs/>
          <w:sz w:val="24"/>
          <w:szCs w:val="24"/>
        </w:rPr>
        <w:t xml:space="preserve">Section 23 of The Criminal Procedure and Investigations Act provides a definition for ‘criminal investigation’, demonstrated as </w:t>
      </w:r>
      <w:r w:rsidR="00D35AE9" w:rsidRPr="00D35AE9">
        <w:rPr>
          <w:rFonts w:ascii="Arial" w:hAnsi="Arial" w:cs="Arial"/>
          <w:bCs/>
          <w:sz w:val="24"/>
          <w:szCs w:val="24"/>
        </w:rPr>
        <w:t>“</w:t>
      </w:r>
      <w:r w:rsidR="00D35AE9" w:rsidRPr="00D35AE9">
        <w:rPr>
          <w:rFonts w:ascii="Arial" w:hAnsi="Arial" w:cs="Arial"/>
          <w:sz w:val="24"/>
          <w:szCs w:val="24"/>
        </w:rPr>
        <w:t>an investigation conducted by police officers with a view to it being ascertained whether a person should be charged with an offence, or whether a person charged with an offence is guilty of it</w:t>
      </w:r>
      <w:r w:rsidR="007658B0">
        <w:rPr>
          <w:rFonts w:ascii="Arial" w:hAnsi="Arial" w:cs="Arial"/>
          <w:sz w:val="24"/>
          <w:szCs w:val="24"/>
        </w:rPr>
        <w:t xml:space="preserve">”. </w:t>
      </w:r>
      <w:r w:rsidR="003E3629">
        <w:rPr>
          <w:rFonts w:ascii="Arial" w:hAnsi="Arial" w:cs="Arial"/>
          <w:sz w:val="24"/>
          <w:szCs w:val="24"/>
        </w:rPr>
        <w:t xml:space="preserve">Subsection (a) under Section 23 of The Criminal Procedure and Investigations Act 1996 also ensures </w:t>
      </w:r>
      <w:r w:rsidR="003E3629" w:rsidRPr="003E3629">
        <w:rPr>
          <w:rFonts w:ascii="Arial" w:hAnsi="Arial" w:cs="Arial"/>
          <w:sz w:val="24"/>
          <w:szCs w:val="24"/>
        </w:rPr>
        <w:t>that in the course of a criminal investigation, all reasonable procedures are taken for the investigation's aims, including the pursuit of all reasonable avenues of inquiry</w:t>
      </w:r>
      <w:r w:rsidR="003E3629">
        <w:rPr>
          <w:rFonts w:ascii="Arial" w:hAnsi="Arial" w:cs="Arial"/>
          <w:sz w:val="24"/>
          <w:szCs w:val="24"/>
        </w:rPr>
        <w:t xml:space="preserve">, as well as ensuring </w:t>
      </w:r>
      <w:r w:rsidR="003E3629" w:rsidRPr="003E3629">
        <w:rPr>
          <w:rFonts w:ascii="Arial" w:hAnsi="Arial" w:cs="Arial"/>
          <w:sz w:val="24"/>
          <w:szCs w:val="24"/>
        </w:rPr>
        <w:t xml:space="preserve">that a police officer who has been identified in accordance with the code requirements </w:t>
      </w:r>
      <w:r w:rsidR="003E3629">
        <w:rPr>
          <w:rFonts w:ascii="Arial" w:hAnsi="Arial" w:cs="Arial"/>
          <w:sz w:val="24"/>
          <w:szCs w:val="24"/>
        </w:rPr>
        <w:t xml:space="preserve">objectifies all activity under the </w:t>
      </w:r>
      <w:r w:rsidR="003E3629" w:rsidRPr="003E3629">
        <w:rPr>
          <w:rFonts w:ascii="Arial" w:hAnsi="Arial" w:cs="Arial"/>
          <w:sz w:val="24"/>
          <w:szCs w:val="24"/>
        </w:rPr>
        <w:t>prescribed task</w:t>
      </w:r>
      <w:r w:rsidR="008A1BF0">
        <w:rPr>
          <w:rFonts w:ascii="Arial" w:hAnsi="Arial" w:cs="Arial"/>
          <w:sz w:val="24"/>
          <w:szCs w:val="24"/>
        </w:rPr>
        <w:t xml:space="preserve">, contrary to Section 23 (2)(a) of the Criminal Investigation and Procedures Act 1998. </w:t>
      </w:r>
    </w:p>
    <w:p w14:paraId="661AC61A" w14:textId="77777777" w:rsidR="00610017" w:rsidRDefault="00BC3C08" w:rsidP="00610017">
      <w:pPr>
        <w:spacing w:line="480" w:lineRule="auto"/>
        <w:rPr>
          <w:rFonts w:ascii="Arial" w:hAnsi="Arial" w:cs="Arial"/>
          <w:sz w:val="24"/>
          <w:szCs w:val="24"/>
        </w:rPr>
      </w:pPr>
      <w:r>
        <w:rPr>
          <w:rFonts w:ascii="Arial" w:hAnsi="Arial" w:cs="Arial"/>
          <w:sz w:val="24"/>
          <w:szCs w:val="24"/>
        </w:rPr>
        <w:t xml:space="preserve">           </w:t>
      </w:r>
      <w:r w:rsidR="005204C2" w:rsidRPr="00DD576A">
        <w:rPr>
          <w:rFonts w:ascii="Arial" w:hAnsi="Arial" w:cs="Arial"/>
          <w:sz w:val="24"/>
          <w:szCs w:val="24"/>
        </w:rPr>
        <w:t>Legislation is also correspondent to the identification of suspects</w:t>
      </w:r>
      <w:r w:rsidR="00DD576A" w:rsidRPr="00DD576A">
        <w:rPr>
          <w:rFonts w:ascii="Arial" w:hAnsi="Arial" w:cs="Arial"/>
          <w:sz w:val="24"/>
          <w:szCs w:val="24"/>
        </w:rPr>
        <w:t xml:space="preserve">, one of which includes the Police and Criminal Evidence Act 1984. </w:t>
      </w:r>
      <w:r w:rsidR="00C04AAA">
        <w:rPr>
          <w:rFonts w:ascii="Arial" w:hAnsi="Arial" w:cs="Arial"/>
          <w:sz w:val="24"/>
          <w:szCs w:val="24"/>
        </w:rPr>
        <w:t xml:space="preserve">An example of the way in which evidence can be examined is to establish the proving or disproving the suspect’s involvement in the offence and identifying the levels of alcohol or drugs present in the body (Bryant and Bryant, 2021, p 621). </w:t>
      </w:r>
      <w:r w:rsidR="00DD576A">
        <w:rPr>
          <w:rFonts w:ascii="Arial" w:hAnsi="Arial" w:cs="Arial"/>
          <w:sz w:val="24"/>
          <w:szCs w:val="24"/>
        </w:rPr>
        <w:t xml:space="preserve">Code D of the Police and Criminal </w:t>
      </w:r>
      <w:r w:rsidR="00EB3D09">
        <w:rPr>
          <w:rFonts w:ascii="Arial" w:hAnsi="Arial" w:cs="Arial"/>
          <w:sz w:val="24"/>
          <w:szCs w:val="24"/>
        </w:rPr>
        <w:t>E</w:t>
      </w:r>
      <w:r w:rsidR="00DD576A">
        <w:rPr>
          <w:rFonts w:ascii="Arial" w:hAnsi="Arial" w:cs="Arial"/>
          <w:sz w:val="24"/>
          <w:szCs w:val="24"/>
        </w:rPr>
        <w:t xml:space="preserve">vidence Act 1984 outlines all procedures in relation to the identification of suspects. </w:t>
      </w:r>
      <w:r w:rsidR="00B32F2B">
        <w:rPr>
          <w:rFonts w:ascii="Arial" w:hAnsi="Arial" w:cs="Arial"/>
          <w:sz w:val="24"/>
          <w:szCs w:val="24"/>
        </w:rPr>
        <w:t>Contrary to Code D of the Police and Criminal Evidence Act 1984, u</w:t>
      </w:r>
      <w:r w:rsidR="00B32F2B" w:rsidRPr="00B32F2B">
        <w:rPr>
          <w:rFonts w:ascii="Arial" w:hAnsi="Arial" w:cs="Arial"/>
          <w:sz w:val="24"/>
          <w:szCs w:val="24"/>
        </w:rPr>
        <w:t xml:space="preserve">nder </w:t>
      </w:r>
      <w:r w:rsidR="00B32F2B" w:rsidRPr="00B32F2B">
        <w:rPr>
          <w:rFonts w:ascii="Arial" w:hAnsi="Arial" w:cs="Arial"/>
          <w:sz w:val="24"/>
          <w:szCs w:val="24"/>
        </w:rPr>
        <w:lastRenderedPageBreak/>
        <w:t xml:space="preserve">section 61(3), </w:t>
      </w:r>
      <w:r w:rsidR="00DF2754">
        <w:rPr>
          <w:rFonts w:ascii="Arial" w:hAnsi="Arial" w:cs="Arial"/>
          <w:sz w:val="24"/>
          <w:szCs w:val="24"/>
        </w:rPr>
        <w:t xml:space="preserve">without consent, </w:t>
      </w:r>
      <w:r w:rsidR="00B32F2B">
        <w:rPr>
          <w:rFonts w:ascii="Arial" w:hAnsi="Arial" w:cs="Arial"/>
          <w:sz w:val="24"/>
          <w:szCs w:val="24"/>
        </w:rPr>
        <w:t>fingerprints can be obtained</w:t>
      </w:r>
      <w:r w:rsidR="00DF2754">
        <w:rPr>
          <w:rFonts w:ascii="Arial" w:hAnsi="Arial" w:cs="Arial"/>
          <w:sz w:val="24"/>
          <w:szCs w:val="24"/>
        </w:rPr>
        <w:t xml:space="preserve"> “</w:t>
      </w:r>
      <w:r w:rsidR="00B32F2B" w:rsidRPr="00B32F2B">
        <w:rPr>
          <w:rFonts w:ascii="Arial" w:hAnsi="Arial" w:cs="Arial"/>
          <w:sz w:val="24"/>
          <w:szCs w:val="24"/>
        </w:rPr>
        <w:t>from a person detained at a police station in consequence of being arrested for a recordable offence, if they have not had their fingerprints taken in the course of the investigation of the offence unless those previously taken fingerprints are not a complete set or some or all of those fingerprints are not of sufficient quality to allow satisfactory analysis, comparison or matching</w:t>
      </w:r>
      <w:r w:rsidR="00DF2754">
        <w:rPr>
          <w:rFonts w:ascii="Arial" w:hAnsi="Arial" w:cs="Arial"/>
          <w:sz w:val="24"/>
          <w:szCs w:val="24"/>
        </w:rPr>
        <w:t>”</w:t>
      </w:r>
      <w:r w:rsidR="00E7140D">
        <w:rPr>
          <w:rFonts w:ascii="Arial" w:hAnsi="Arial" w:cs="Arial"/>
          <w:sz w:val="24"/>
          <w:szCs w:val="24"/>
        </w:rPr>
        <w:t xml:space="preserve"> (Home Office, </w:t>
      </w:r>
      <w:r w:rsidR="0032317D">
        <w:rPr>
          <w:rFonts w:ascii="Arial" w:hAnsi="Arial" w:cs="Arial"/>
          <w:sz w:val="24"/>
          <w:szCs w:val="24"/>
        </w:rPr>
        <w:t>2017</w:t>
      </w:r>
      <w:r w:rsidR="00E7140D">
        <w:rPr>
          <w:rFonts w:ascii="Arial" w:hAnsi="Arial" w:cs="Arial"/>
          <w:sz w:val="24"/>
          <w:szCs w:val="24"/>
        </w:rPr>
        <w:t>)</w:t>
      </w:r>
      <w:r w:rsidR="00DF2754">
        <w:rPr>
          <w:rFonts w:ascii="Arial" w:hAnsi="Arial" w:cs="Arial"/>
          <w:sz w:val="24"/>
          <w:szCs w:val="24"/>
        </w:rPr>
        <w:t xml:space="preserve">. </w:t>
      </w:r>
      <w:r w:rsidR="00010FD6" w:rsidRPr="00010FD6">
        <w:rPr>
          <w:rFonts w:ascii="Arial" w:hAnsi="Arial" w:cs="Arial"/>
          <w:sz w:val="24"/>
          <w:szCs w:val="24"/>
        </w:rPr>
        <w:t>Fingerprint identification is a topic for fingerprint experts' judgement and competence. The prosecution must establish that the fingerprints taken at the crime site match those on the fingerprint form and that the fingerprints on the form are likewise identifiable</w:t>
      </w:r>
      <w:r w:rsidR="00010FD6">
        <w:rPr>
          <w:rFonts w:ascii="Arial" w:hAnsi="Arial" w:cs="Arial"/>
          <w:sz w:val="24"/>
          <w:szCs w:val="24"/>
        </w:rPr>
        <w:t xml:space="preserve"> (Crown Prosecution Service, 2018). </w:t>
      </w:r>
      <w:r w:rsidR="004C3048">
        <w:rPr>
          <w:rFonts w:ascii="Arial" w:hAnsi="Arial" w:cs="Arial"/>
          <w:sz w:val="24"/>
          <w:szCs w:val="24"/>
        </w:rPr>
        <w:t xml:space="preserve">When identifying suspects, this can occasionally be achieved the voluntary contribution of statement and </w:t>
      </w:r>
      <w:r w:rsidR="000131B0">
        <w:rPr>
          <w:rFonts w:ascii="Arial" w:hAnsi="Arial" w:cs="Arial"/>
          <w:sz w:val="24"/>
          <w:szCs w:val="24"/>
        </w:rPr>
        <w:t xml:space="preserve">accounts of witnesses which does not have any requirements outlined under the Police and Criminal Evidence Act 1984 (Bryant and Bryant, 2021, p 621). </w:t>
      </w:r>
    </w:p>
    <w:p w14:paraId="0959F4BA" w14:textId="53FF8F87" w:rsidR="00010FD6" w:rsidRDefault="00610017" w:rsidP="00610017">
      <w:pPr>
        <w:spacing w:line="480" w:lineRule="auto"/>
        <w:rPr>
          <w:rFonts w:ascii="Arial" w:hAnsi="Arial" w:cs="Arial"/>
          <w:sz w:val="24"/>
          <w:szCs w:val="24"/>
        </w:rPr>
      </w:pPr>
      <w:r>
        <w:rPr>
          <w:rFonts w:ascii="Arial" w:hAnsi="Arial" w:cs="Arial"/>
          <w:sz w:val="24"/>
          <w:szCs w:val="24"/>
        </w:rPr>
        <w:t xml:space="preserve">           </w:t>
      </w:r>
      <w:r w:rsidR="00E7140D">
        <w:rPr>
          <w:rFonts w:ascii="Arial" w:hAnsi="Arial" w:cs="Arial"/>
          <w:sz w:val="24"/>
          <w:szCs w:val="24"/>
        </w:rPr>
        <w:t xml:space="preserve">The Police and Criminal Evidence Act 1984 also distinguishes the definition of two sample types; intimate and non-intimate (Home Office, </w:t>
      </w:r>
      <w:r w:rsidR="0032317D">
        <w:rPr>
          <w:rFonts w:ascii="Arial" w:hAnsi="Arial" w:cs="Arial"/>
          <w:sz w:val="24"/>
          <w:szCs w:val="24"/>
        </w:rPr>
        <w:t>2017</w:t>
      </w:r>
      <w:r w:rsidR="00E7140D">
        <w:rPr>
          <w:rFonts w:ascii="Arial" w:hAnsi="Arial" w:cs="Arial"/>
          <w:sz w:val="24"/>
          <w:szCs w:val="24"/>
        </w:rPr>
        <w:t xml:space="preserve">). This provides assistance to police officers so they can govern which definition the sample they are taking refers to, and can </w:t>
      </w:r>
      <w:r w:rsidR="00DC1EF1">
        <w:rPr>
          <w:rFonts w:ascii="Arial" w:hAnsi="Arial" w:cs="Arial"/>
          <w:sz w:val="24"/>
          <w:szCs w:val="24"/>
        </w:rPr>
        <w:t xml:space="preserve">act accordingly, such as identifying where the sample can be taken from (Bryant and Brant, 2021, p 621). An example of this, under subsection </w:t>
      </w:r>
      <w:r w:rsidR="00503ADC">
        <w:rPr>
          <w:rFonts w:ascii="Arial" w:hAnsi="Arial" w:cs="Arial"/>
          <w:sz w:val="24"/>
          <w:szCs w:val="24"/>
        </w:rPr>
        <w:t xml:space="preserve">(62) (a) </w:t>
      </w:r>
      <w:r w:rsidR="00DC1EF1" w:rsidRPr="00DC1EF1">
        <w:rPr>
          <w:rFonts w:ascii="Arial" w:hAnsi="Arial" w:cs="Arial"/>
          <w:sz w:val="28"/>
          <w:szCs w:val="28"/>
        </w:rPr>
        <w:t>“</w:t>
      </w:r>
      <w:r w:rsidR="00DC1EF1" w:rsidRPr="00DC1EF1">
        <w:rPr>
          <w:rFonts w:ascii="Arial" w:hAnsi="Arial" w:cs="Arial"/>
          <w:sz w:val="24"/>
          <w:szCs w:val="24"/>
        </w:rPr>
        <w:t>if a police officer of inspector rank or above has reasonable grounds to believe such an impression or sample will tend to confirm or disprove the suspect’s involvement in a recordable offence and gives authorisation for a sample to be taken</w:t>
      </w:r>
      <w:r w:rsidR="00DC1EF1" w:rsidRPr="00DC1EF1">
        <w:rPr>
          <w:rFonts w:ascii="Arial" w:hAnsi="Arial" w:cs="Arial"/>
          <w:sz w:val="24"/>
          <w:szCs w:val="24"/>
        </w:rPr>
        <w:t>”</w:t>
      </w:r>
      <w:r w:rsidR="00503ADC">
        <w:rPr>
          <w:rFonts w:ascii="Arial" w:hAnsi="Arial" w:cs="Arial"/>
          <w:sz w:val="24"/>
          <w:szCs w:val="24"/>
        </w:rPr>
        <w:t xml:space="preserve">. </w:t>
      </w:r>
      <w:r w:rsidR="0032317D">
        <w:rPr>
          <w:rFonts w:ascii="Arial" w:hAnsi="Arial" w:cs="Arial"/>
          <w:sz w:val="24"/>
          <w:szCs w:val="24"/>
        </w:rPr>
        <w:t>This outlines that the sample can only be taken from a police detainee, and that it can only be accomplished by a certain rank of police officer. Written consent must also be obtained before the sample is taken, without this it will be deemed as unlawful (Home Office, 2017).</w:t>
      </w:r>
      <w:r w:rsidR="00FB43C4">
        <w:rPr>
          <w:rFonts w:ascii="Arial" w:hAnsi="Arial" w:cs="Arial"/>
          <w:sz w:val="24"/>
          <w:szCs w:val="24"/>
        </w:rPr>
        <w:t xml:space="preserve"> In spite of this</w:t>
      </w:r>
      <w:r w:rsidR="002C70CB">
        <w:rPr>
          <w:rFonts w:ascii="Arial" w:hAnsi="Arial" w:cs="Arial"/>
          <w:sz w:val="24"/>
          <w:szCs w:val="24"/>
        </w:rPr>
        <w:t xml:space="preserve">, the Human Rights Act 1998 must be taken into accordance and followed when the police are dealing with suspects, victims and witnesses (Bryant and Bryant, 2021, p 621). </w:t>
      </w:r>
      <w:r w:rsidR="0028134D">
        <w:rPr>
          <w:rFonts w:ascii="Arial" w:hAnsi="Arial" w:cs="Arial"/>
          <w:sz w:val="24"/>
          <w:szCs w:val="24"/>
        </w:rPr>
        <w:t xml:space="preserve">Specially, Article 8 </w:t>
      </w:r>
      <w:r w:rsidR="0032317D">
        <w:rPr>
          <w:rFonts w:ascii="Arial" w:hAnsi="Arial" w:cs="Arial"/>
          <w:sz w:val="24"/>
          <w:szCs w:val="24"/>
        </w:rPr>
        <w:t xml:space="preserve">that outlines the “right to respect for private and family life”. </w:t>
      </w:r>
      <w:r w:rsidR="00E85E41">
        <w:rPr>
          <w:rFonts w:ascii="Arial" w:hAnsi="Arial" w:cs="Arial"/>
          <w:sz w:val="24"/>
          <w:szCs w:val="24"/>
        </w:rPr>
        <w:t xml:space="preserve">This is a qualified right, meaning that the regard for public authority interference is permissible, provided it is legal. This can occur in incidents </w:t>
      </w:r>
      <w:r w:rsidR="00E85E41">
        <w:rPr>
          <w:rFonts w:ascii="Arial" w:hAnsi="Arial" w:cs="Arial"/>
          <w:color w:val="000000"/>
          <w:sz w:val="24"/>
          <w:szCs w:val="24"/>
          <w:shd w:val="clear" w:color="auto" w:fill="FFFFFF"/>
        </w:rPr>
        <w:t xml:space="preserve">that are not </w:t>
      </w:r>
      <w:r w:rsidR="00E85E41" w:rsidRPr="00E85E41">
        <w:rPr>
          <w:rFonts w:ascii="Arial" w:hAnsi="Arial" w:cs="Arial"/>
          <w:color w:val="000000"/>
          <w:sz w:val="24"/>
          <w:szCs w:val="24"/>
          <w:shd w:val="clear" w:color="auto" w:fill="FFFFFF"/>
        </w:rPr>
        <w:t xml:space="preserve">in accordance </w:t>
      </w:r>
      <w:r w:rsidR="00E85E41">
        <w:rPr>
          <w:rFonts w:ascii="Arial" w:hAnsi="Arial" w:cs="Arial"/>
          <w:color w:val="000000"/>
          <w:sz w:val="24"/>
          <w:szCs w:val="24"/>
          <w:shd w:val="clear" w:color="auto" w:fill="FFFFFF"/>
        </w:rPr>
        <w:t>to t</w:t>
      </w:r>
      <w:r w:rsidR="00E85E41" w:rsidRPr="00E85E41">
        <w:rPr>
          <w:rFonts w:ascii="Arial" w:hAnsi="Arial" w:cs="Arial"/>
          <w:color w:val="000000"/>
          <w:sz w:val="24"/>
          <w:szCs w:val="24"/>
          <w:shd w:val="clear" w:color="auto" w:fill="FFFFFF"/>
        </w:rPr>
        <w:t>he law</w:t>
      </w:r>
      <w:r w:rsidR="00E85E41">
        <w:rPr>
          <w:rFonts w:ascii="Arial" w:hAnsi="Arial" w:cs="Arial"/>
          <w:color w:val="000000"/>
          <w:sz w:val="24"/>
          <w:szCs w:val="24"/>
          <w:shd w:val="clear" w:color="auto" w:fill="FFFFFF"/>
        </w:rPr>
        <w:t xml:space="preserve">, such as criminal offence and disorder (Bryant and Bryant, 2021, p 63). </w:t>
      </w:r>
    </w:p>
    <w:p w14:paraId="0E3209C2" w14:textId="77777777" w:rsidR="00610017" w:rsidRDefault="00610017" w:rsidP="00610017">
      <w:pPr>
        <w:spacing w:line="480" w:lineRule="auto"/>
        <w:rPr>
          <w:rFonts w:ascii="Arial" w:hAnsi="Arial" w:cs="Arial"/>
          <w:sz w:val="24"/>
          <w:szCs w:val="24"/>
        </w:rPr>
      </w:pPr>
    </w:p>
    <w:p w14:paraId="4ACA3FE3" w14:textId="0B3AA38E" w:rsidR="00010FD6" w:rsidRPr="00DD576A" w:rsidRDefault="00BC3C08" w:rsidP="00610017">
      <w:pPr>
        <w:spacing w:line="480" w:lineRule="auto"/>
        <w:rPr>
          <w:rFonts w:ascii="Arial" w:hAnsi="Arial" w:cs="Arial"/>
          <w:sz w:val="24"/>
          <w:szCs w:val="24"/>
        </w:rPr>
      </w:pPr>
      <w:r>
        <w:rPr>
          <w:rFonts w:ascii="Arial" w:hAnsi="Arial" w:cs="Arial"/>
          <w:sz w:val="24"/>
          <w:szCs w:val="24"/>
        </w:rPr>
        <w:t xml:space="preserve">          </w:t>
      </w:r>
      <w:r w:rsidR="00010FD6">
        <w:rPr>
          <w:rFonts w:ascii="Arial" w:hAnsi="Arial" w:cs="Arial"/>
          <w:sz w:val="24"/>
          <w:szCs w:val="24"/>
        </w:rPr>
        <w:t xml:space="preserve">To conclude the procedures and legislation discussed throughout, it is notable that different elements in forensic correspond to different legislations. The corresponding legislation is dependant on the purpose for use, such as identifying a suspect. The procedures, </w:t>
      </w:r>
      <w:r w:rsidR="001A202C">
        <w:rPr>
          <w:rFonts w:ascii="Arial" w:hAnsi="Arial" w:cs="Arial"/>
          <w:sz w:val="24"/>
          <w:szCs w:val="24"/>
        </w:rPr>
        <w:t xml:space="preserve">including the ‘investigative mindset’ and ‘the golden hour’ can assist greatly from a forensic point of view as they can assist in enabling that incidents are responded in the most efficient and effective manner. It is notable to consider all legal requirements when responding to criminal investigations to ensure all police actions are justifiable, particularly when identifying suspects, as the incorrect identification could result in miscarriages of justice and a loss of public trust in the police. </w:t>
      </w:r>
    </w:p>
    <w:p w14:paraId="39D71236" w14:textId="661AD609" w:rsidR="00F62790" w:rsidRDefault="00F62790">
      <w:pPr>
        <w:rPr>
          <w:rFonts w:ascii="Arial" w:hAnsi="Arial" w:cs="Arial"/>
          <w:sz w:val="24"/>
          <w:szCs w:val="24"/>
        </w:rPr>
      </w:pPr>
    </w:p>
    <w:p w14:paraId="2E920724" w14:textId="3328AAD3" w:rsidR="00610017" w:rsidRDefault="00610017">
      <w:pPr>
        <w:rPr>
          <w:rFonts w:ascii="Arial" w:hAnsi="Arial" w:cs="Arial"/>
          <w:sz w:val="24"/>
          <w:szCs w:val="24"/>
        </w:rPr>
      </w:pPr>
    </w:p>
    <w:p w14:paraId="3A2E23B7" w14:textId="171CECC3" w:rsidR="00610017" w:rsidRDefault="00610017">
      <w:pPr>
        <w:rPr>
          <w:rFonts w:ascii="Arial" w:hAnsi="Arial" w:cs="Arial"/>
          <w:sz w:val="24"/>
          <w:szCs w:val="24"/>
        </w:rPr>
      </w:pPr>
    </w:p>
    <w:p w14:paraId="4BB3C10B" w14:textId="4A01926B" w:rsidR="00610017" w:rsidRDefault="00610017">
      <w:pPr>
        <w:rPr>
          <w:rFonts w:ascii="Arial" w:hAnsi="Arial" w:cs="Arial"/>
          <w:sz w:val="24"/>
          <w:szCs w:val="24"/>
        </w:rPr>
      </w:pPr>
    </w:p>
    <w:p w14:paraId="395B0164" w14:textId="73513018" w:rsidR="00610017" w:rsidRDefault="00610017">
      <w:pPr>
        <w:rPr>
          <w:rFonts w:ascii="Arial" w:hAnsi="Arial" w:cs="Arial"/>
          <w:sz w:val="24"/>
          <w:szCs w:val="24"/>
        </w:rPr>
      </w:pPr>
    </w:p>
    <w:p w14:paraId="0CAEEF99" w14:textId="2E2A8332" w:rsidR="00610017" w:rsidRDefault="00610017">
      <w:pPr>
        <w:rPr>
          <w:rFonts w:ascii="Arial" w:hAnsi="Arial" w:cs="Arial"/>
          <w:sz w:val="24"/>
          <w:szCs w:val="24"/>
        </w:rPr>
      </w:pPr>
    </w:p>
    <w:p w14:paraId="2FF7DB00" w14:textId="52994D90" w:rsidR="00610017" w:rsidRDefault="00610017">
      <w:pPr>
        <w:rPr>
          <w:rFonts w:ascii="Arial" w:hAnsi="Arial" w:cs="Arial"/>
          <w:sz w:val="24"/>
          <w:szCs w:val="24"/>
        </w:rPr>
      </w:pPr>
    </w:p>
    <w:p w14:paraId="5E4180DA" w14:textId="11F9087C" w:rsidR="00610017" w:rsidRDefault="00610017">
      <w:pPr>
        <w:rPr>
          <w:rFonts w:ascii="Arial" w:hAnsi="Arial" w:cs="Arial"/>
          <w:sz w:val="24"/>
          <w:szCs w:val="24"/>
        </w:rPr>
      </w:pPr>
    </w:p>
    <w:p w14:paraId="19C735FF" w14:textId="77777777" w:rsidR="00610017" w:rsidRDefault="00610017">
      <w:pPr>
        <w:rPr>
          <w:rFonts w:ascii="Arial" w:hAnsi="Arial" w:cs="Arial"/>
          <w:sz w:val="24"/>
          <w:szCs w:val="24"/>
        </w:rPr>
      </w:pPr>
    </w:p>
    <w:p w14:paraId="7FE48C04" w14:textId="7DDC816A" w:rsidR="00610017" w:rsidRDefault="00610017">
      <w:pPr>
        <w:rPr>
          <w:rFonts w:ascii="Arial" w:hAnsi="Arial" w:cs="Arial"/>
          <w:sz w:val="24"/>
          <w:szCs w:val="24"/>
        </w:rPr>
      </w:pPr>
    </w:p>
    <w:p w14:paraId="0F5DCB67" w14:textId="106F7CC2" w:rsidR="00610017" w:rsidRDefault="00610017">
      <w:pPr>
        <w:rPr>
          <w:rFonts w:ascii="Arial" w:hAnsi="Arial" w:cs="Arial"/>
          <w:sz w:val="24"/>
          <w:szCs w:val="24"/>
        </w:rPr>
      </w:pPr>
      <w:r>
        <w:rPr>
          <w:rFonts w:ascii="Arial" w:hAnsi="Arial" w:cs="Arial"/>
          <w:sz w:val="24"/>
          <w:szCs w:val="24"/>
        </w:rPr>
        <w:t xml:space="preserve">References </w:t>
      </w:r>
    </w:p>
    <w:p w14:paraId="3F7BDF7C" w14:textId="77777777" w:rsidR="00610017" w:rsidRDefault="00610017" w:rsidP="00610017">
      <w:pPr>
        <w:spacing w:line="480" w:lineRule="auto"/>
        <w:rPr>
          <w:rFonts w:ascii="Arial" w:hAnsi="Arial" w:cs="Arial"/>
          <w:sz w:val="24"/>
          <w:szCs w:val="24"/>
        </w:rPr>
      </w:pPr>
      <w:r>
        <w:rPr>
          <w:rFonts w:ascii="Arial" w:hAnsi="Arial" w:cs="Arial"/>
          <w:sz w:val="24"/>
          <w:szCs w:val="24"/>
        </w:rPr>
        <w:t xml:space="preserve">Association Of Chief Police Officers (2012) ‘Practice Advice On Core Investigative Doctrine’, [Online] Available: </w:t>
      </w:r>
      <w:hyperlink r:id="rId6" w:history="1">
        <w:r>
          <w:rPr>
            <w:rStyle w:val="Hyperlink"/>
            <w:rFonts w:ascii="Arial" w:hAnsi="Arial" w:cs="Arial"/>
            <w:sz w:val="24"/>
            <w:szCs w:val="24"/>
          </w:rPr>
          <w:t>https://www.whatdotheyknow.com/cy/request/387377/response/948818/attach/2/Core%20Investigative%20Doctrine%202012.pdf?cookie_passthrough=1</w:t>
        </w:r>
      </w:hyperlink>
      <w:r>
        <w:rPr>
          <w:rFonts w:ascii="Arial" w:hAnsi="Arial" w:cs="Arial"/>
          <w:sz w:val="24"/>
          <w:szCs w:val="24"/>
        </w:rPr>
        <w:t xml:space="preserve"> [Accessed: 2 March 2022]. </w:t>
      </w:r>
    </w:p>
    <w:p w14:paraId="0E39776F" w14:textId="77777777" w:rsidR="00610017" w:rsidRDefault="00610017" w:rsidP="00610017">
      <w:pPr>
        <w:spacing w:line="480" w:lineRule="auto"/>
        <w:rPr>
          <w:rFonts w:ascii="Roboto" w:hAnsi="Roboto"/>
          <w:sz w:val="24"/>
          <w:szCs w:val="24"/>
          <w:shd w:val="clear" w:color="auto" w:fill="FFFFFF"/>
        </w:rPr>
      </w:pPr>
      <w:proofErr w:type="spellStart"/>
      <w:r>
        <w:rPr>
          <w:rFonts w:ascii="Arial" w:hAnsi="Arial" w:cs="Arial"/>
          <w:sz w:val="24"/>
          <w:szCs w:val="24"/>
        </w:rPr>
        <w:t>Avdija</w:t>
      </w:r>
      <w:proofErr w:type="spellEnd"/>
      <w:r>
        <w:rPr>
          <w:rFonts w:ascii="Arial" w:hAnsi="Arial" w:cs="Arial"/>
          <w:sz w:val="24"/>
          <w:szCs w:val="24"/>
        </w:rPr>
        <w:t xml:space="preserve">, A (2019), ‘Police Response to Homicide Crime Scenes: Testing the Effect of the Number of Police Officers and Investigators Responding to an Active Crime Scene on the Arrest Success Rate’, </w:t>
      </w:r>
      <w:r>
        <w:rPr>
          <w:rFonts w:ascii="Arial" w:hAnsi="Arial" w:cs="Arial"/>
          <w:i/>
          <w:iCs/>
          <w:sz w:val="24"/>
          <w:szCs w:val="24"/>
        </w:rPr>
        <w:t xml:space="preserve">Journal Of Criminal Justice And Security’, </w:t>
      </w:r>
      <w:r>
        <w:rPr>
          <w:rFonts w:ascii="Arial" w:hAnsi="Arial" w:cs="Arial"/>
          <w:sz w:val="24"/>
          <w:szCs w:val="24"/>
        </w:rPr>
        <w:t xml:space="preserve">Vol 21, Issue 2, p </w:t>
      </w:r>
      <w:r>
        <w:rPr>
          <w:rFonts w:ascii="Arial" w:hAnsi="Arial" w:cs="Arial"/>
          <w:sz w:val="24"/>
          <w:szCs w:val="24"/>
          <w:shd w:val="clear" w:color="auto" w:fill="FFFFFF"/>
        </w:rPr>
        <w:t>101-114,</w:t>
      </w:r>
      <w:r>
        <w:rPr>
          <w:rFonts w:ascii="Roboto" w:hAnsi="Roboto"/>
          <w:sz w:val="24"/>
          <w:szCs w:val="24"/>
          <w:shd w:val="clear" w:color="auto" w:fill="FFFFFF"/>
        </w:rPr>
        <w:t xml:space="preserve"> [Online] Available: </w:t>
      </w:r>
      <w:hyperlink r:id="rId7" w:history="1">
        <w:r>
          <w:rPr>
            <w:rStyle w:val="Hyperlink"/>
            <w:rFonts w:ascii="Roboto" w:hAnsi="Roboto"/>
            <w:sz w:val="24"/>
            <w:szCs w:val="24"/>
            <w:shd w:val="clear" w:color="auto" w:fill="FFFFFF"/>
          </w:rPr>
          <w:t>https://www.proquest.com/docview/2426140246/fulltext/64B7CE2EB28D4CD0PQ/1?accountid=130472</w:t>
        </w:r>
      </w:hyperlink>
      <w:r>
        <w:rPr>
          <w:rFonts w:ascii="Roboto" w:hAnsi="Roboto"/>
          <w:sz w:val="24"/>
          <w:szCs w:val="24"/>
          <w:shd w:val="clear" w:color="auto" w:fill="FFFFFF"/>
        </w:rPr>
        <w:t xml:space="preserve"> [Accessed: 2 March 2022].</w:t>
      </w:r>
    </w:p>
    <w:p w14:paraId="4DA79991" w14:textId="77777777" w:rsidR="00610017" w:rsidRDefault="00610017" w:rsidP="00610017">
      <w:pPr>
        <w:spacing w:line="480" w:lineRule="auto"/>
        <w:rPr>
          <w:rFonts w:ascii="Arial" w:hAnsi="Arial" w:cs="Arial"/>
          <w:sz w:val="24"/>
          <w:szCs w:val="24"/>
        </w:rPr>
      </w:pPr>
      <w:r>
        <w:rPr>
          <w:rFonts w:ascii="Arial" w:hAnsi="Arial" w:cs="Arial"/>
          <w:sz w:val="24"/>
          <w:szCs w:val="24"/>
        </w:rPr>
        <w:lastRenderedPageBreak/>
        <w:t>Bell, S (2012) ‘</w:t>
      </w:r>
      <w:r>
        <w:rPr>
          <w:rFonts w:ascii="Arial" w:hAnsi="Arial" w:cs="Arial"/>
          <w:i/>
          <w:iCs/>
          <w:sz w:val="24"/>
          <w:szCs w:val="24"/>
        </w:rPr>
        <w:t>A Dictionary Of Forensic Science’</w:t>
      </w:r>
      <w:r>
        <w:rPr>
          <w:rFonts w:ascii="Arial" w:hAnsi="Arial" w:cs="Arial"/>
          <w:sz w:val="24"/>
          <w:szCs w:val="24"/>
        </w:rPr>
        <w:t>, Oxford: Oxford University Press.</w:t>
      </w:r>
    </w:p>
    <w:p w14:paraId="31BB2B04" w14:textId="77777777" w:rsidR="00610017" w:rsidRDefault="00610017" w:rsidP="00610017">
      <w:pPr>
        <w:spacing w:line="480" w:lineRule="auto"/>
        <w:rPr>
          <w:rFonts w:ascii="Arial" w:hAnsi="Arial" w:cs="Arial"/>
          <w:sz w:val="24"/>
          <w:szCs w:val="24"/>
        </w:rPr>
      </w:pPr>
      <w:r>
        <w:rPr>
          <w:rFonts w:ascii="Arial" w:hAnsi="Arial" w:cs="Arial"/>
          <w:sz w:val="24"/>
          <w:szCs w:val="24"/>
        </w:rPr>
        <w:t>Bryant, R and Bryant, S (2021) ‘</w:t>
      </w:r>
      <w:r>
        <w:rPr>
          <w:rFonts w:ascii="Arial" w:hAnsi="Arial" w:cs="Arial"/>
          <w:i/>
          <w:iCs/>
          <w:sz w:val="24"/>
          <w:szCs w:val="24"/>
        </w:rPr>
        <w:t>Blackstone’s Handbook For Policing Students’</w:t>
      </w:r>
      <w:r>
        <w:rPr>
          <w:rFonts w:ascii="Arial" w:hAnsi="Arial" w:cs="Arial"/>
          <w:sz w:val="24"/>
          <w:szCs w:val="24"/>
        </w:rPr>
        <w:t xml:space="preserve">, Fifteenth Edition, Oxford: Oxford University Press. </w:t>
      </w:r>
    </w:p>
    <w:p w14:paraId="746DFC09" w14:textId="77777777" w:rsidR="00610017" w:rsidRDefault="00610017" w:rsidP="00610017">
      <w:pPr>
        <w:spacing w:line="480" w:lineRule="auto"/>
        <w:rPr>
          <w:rFonts w:ascii="Arial" w:hAnsi="Arial" w:cs="Arial"/>
          <w:sz w:val="24"/>
          <w:szCs w:val="24"/>
        </w:rPr>
      </w:pPr>
      <w:r>
        <w:rPr>
          <w:rFonts w:ascii="Arial" w:hAnsi="Arial" w:cs="Arial"/>
          <w:sz w:val="24"/>
          <w:szCs w:val="24"/>
        </w:rPr>
        <w:t>College of Policing (2015) ‘</w:t>
      </w:r>
      <w:r>
        <w:rPr>
          <w:rFonts w:ascii="Arial" w:hAnsi="Arial" w:cs="Arial"/>
          <w:i/>
          <w:iCs/>
          <w:sz w:val="24"/>
          <w:szCs w:val="24"/>
        </w:rPr>
        <w:t>Major Investigation And Public Protection: First Responder’</w:t>
      </w:r>
      <w:r>
        <w:rPr>
          <w:rFonts w:ascii="Arial" w:hAnsi="Arial" w:cs="Arial"/>
          <w:sz w:val="24"/>
          <w:szCs w:val="24"/>
        </w:rPr>
        <w:t xml:space="preserve">, [Online] Available: </w:t>
      </w:r>
      <w:hyperlink r:id="rId8" w:history="1">
        <w:r>
          <w:rPr>
            <w:rStyle w:val="Hyperlink"/>
            <w:rFonts w:ascii="Arial" w:hAnsi="Arial" w:cs="Arial"/>
            <w:sz w:val="24"/>
            <w:szCs w:val="24"/>
          </w:rPr>
          <w:t>https://www.app.college.police.uk/app-content/major-investigation-and-public-protection/domestic-abuse/first-response/?highlight=forensic%20evidence?s=forensic+evidence</w:t>
        </w:r>
      </w:hyperlink>
      <w:r>
        <w:rPr>
          <w:rFonts w:ascii="Arial" w:hAnsi="Arial" w:cs="Arial"/>
          <w:sz w:val="24"/>
          <w:szCs w:val="24"/>
        </w:rPr>
        <w:t xml:space="preserve"> [Accessed: 2 March 2022]. </w:t>
      </w:r>
    </w:p>
    <w:p w14:paraId="3A6ADF54" w14:textId="77777777" w:rsidR="00610017" w:rsidRDefault="00610017" w:rsidP="00610017">
      <w:pPr>
        <w:spacing w:line="480" w:lineRule="auto"/>
        <w:rPr>
          <w:rFonts w:ascii="Arial" w:hAnsi="Arial" w:cs="Arial"/>
          <w:sz w:val="24"/>
          <w:szCs w:val="24"/>
        </w:rPr>
      </w:pPr>
      <w:r>
        <w:rPr>
          <w:rFonts w:ascii="Arial" w:hAnsi="Arial" w:cs="Arial"/>
          <w:sz w:val="24"/>
          <w:szCs w:val="24"/>
        </w:rPr>
        <w:t>College of Policing (2017) ‘</w:t>
      </w:r>
      <w:r>
        <w:rPr>
          <w:rFonts w:ascii="Arial" w:hAnsi="Arial" w:cs="Arial"/>
          <w:i/>
          <w:iCs/>
          <w:sz w:val="24"/>
          <w:szCs w:val="24"/>
        </w:rPr>
        <w:t>Forensics’</w:t>
      </w:r>
      <w:r>
        <w:rPr>
          <w:rFonts w:ascii="Arial" w:hAnsi="Arial" w:cs="Arial"/>
          <w:sz w:val="24"/>
          <w:szCs w:val="24"/>
        </w:rPr>
        <w:t xml:space="preserve">, [Online] Available: </w:t>
      </w:r>
      <w:hyperlink r:id="rId9" w:history="1">
        <w:r>
          <w:rPr>
            <w:rStyle w:val="Hyperlink"/>
            <w:rFonts w:ascii="Arial" w:hAnsi="Arial" w:cs="Arial"/>
            <w:sz w:val="24"/>
            <w:szCs w:val="24"/>
          </w:rPr>
          <w:t>https://www.app.college.police.uk/app-content/investigations/forensics/</w:t>
        </w:r>
      </w:hyperlink>
      <w:r>
        <w:rPr>
          <w:rFonts w:ascii="Arial" w:hAnsi="Arial" w:cs="Arial"/>
          <w:sz w:val="24"/>
          <w:szCs w:val="24"/>
        </w:rPr>
        <w:t xml:space="preserve"> [Accessed: 2 March 2022]. </w:t>
      </w:r>
    </w:p>
    <w:p w14:paraId="31066F4F" w14:textId="77777777" w:rsidR="00610017" w:rsidRDefault="00610017" w:rsidP="00610017">
      <w:pPr>
        <w:spacing w:line="480" w:lineRule="auto"/>
        <w:rPr>
          <w:rFonts w:ascii="Arial" w:hAnsi="Arial" w:cs="Arial"/>
          <w:sz w:val="24"/>
          <w:szCs w:val="24"/>
        </w:rPr>
      </w:pPr>
      <w:r>
        <w:rPr>
          <w:rFonts w:ascii="Arial" w:hAnsi="Arial" w:cs="Arial"/>
          <w:sz w:val="24"/>
          <w:szCs w:val="24"/>
        </w:rPr>
        <w:t xml:space="preserve">College Of Policing (2021) ‘Response And Recovery’, [Online] Available: </w:t>
      </w:r>
      <w:hyperlink r:id="rId10" w:anchor="inner-cordon" w:history="1">
        <w:r>
          <w:rPr>
            <w:rStyle w:val="Hyperlink"/>
            <w:rFonts w:ascii="Arial" w:hAnsi="Arial" w:cs="Arial"/>
            <w:sz w:val="24"/>
            <w:szCs w:val="24"/>
          </w:rPr>
          <w:t>https://www.app.college.police.uk/app-content/civil-emergencies/civil-contingencies/response-and-recovery/#inner-cordon</w:t>
        </w:r>
      </w:hyperlink>
      <w:r>
        <w:rPr>
          <w:rFonts w:ascii="Arial" w:hAnsi="Arial" w:cs="Arial"/>
          <w:sz w:val="24"/>
          <w:szCs w:val="24"/>
        </w:rPr>
        <w:t xml:space="preserve"> [Accessed: 2 March 2022]. </w:t>
      </w:r>
    </w:p>
    <w:p w14:paraId="5EE902B6" w14:textId="77777777" w:rsidR="00610017" w:rsidRDefault="00610017" w:rsidP="00610017">
      <w:pPr>
        <w:spacing w:line="480" w:lineRule="auto"/>
        <w:rPr>
          <w:rFonts w:ascii="Arial" w:hAnsi="Arial" w:cs="Arial"/>
          <w:sz w:val="24"/>
          <w:szCs w:val="24"/>
        </w:rPr>
      </w:pPr>
      <w:r>
        <w:rPr>
          <w:rFonts w:ascii="Arial" w:hAnsi="Arial" w:cs="Arial"/>
          <w:sz w:val="24"/>
          <w:szCs w:val="24"/>
        </w:rPr>
        <w:t xml:space="preserve">College Of Policing (2022) ‘Managing Investigations’, [Online] Available: </w:t>
      </w:r>
      <w:hyperlink r:id="rId11" w:anchor="managing-scenes" w:history="1">
        <w:r>
          <w:rPr>
            <w:rStyle w:val="Hyperlink"/>
            <w:rFonts w:ascii="Arial" w:hAnsi="Arial" w:cs="Arial"/>
            <w:sz w:val="24"/>
            <w:szCs w:val="24"/>
          </w:rPr>
          <w:t>https://www.app.college.police.uk/app-content/investigations/managing-investigations/#managing-scenes</w:t>
        </w:r>
      </w:hyperlink>
      <w:r>
        <w:rPr>
          <w:rFonts w:ascii="Arial" w:hAnsi="Arial" w:cs="Arial"/>
          <w:sz w:val="24"/>
          <w:szCs w:val="24"/>
        </w:rPr>
        <w:t xml:space="preserve"> [Accessed: 2 March 2022]. </w:t>
      </w:r>
    </w:p>
    <w:p w14:paraId="2C19F83B" w14:textId="77777777" w:rsidR="00610017" w:rsidRDefault="00610017" w:rsidP="00610017">
      <w:pPr>
        <w:spacing w:line="480" w:lineRule="auto"/>
        <w:rPr>
          <w:rFonts w:ascii="Arial" w:hAnsi="Arial" w:cs="Arial"/>
          <w:sz w:val="24"/>
          <w:szCs w:val="24"/>
        </w:rPr>
      </w:pPr>
      <w:r>
        <w:rPr>
          <w:rFonts w:ascii="Arial" w:hAnsi="Arial" w:cs="Arial"/>
          <w:sz w:val="24"/>
          <w:szCs w:val="24"/>
        </w:rPr>
        <w:t xml:space="preserve">Crown Prosecution Service (2018) ‘Identification’, [Online] Available: </w:t>
      </w:r>
      <w:hyperlink r:id="rId12" w:history="1">
        <w:r>
          <w:rPr>
            <w:rStyle w:val="Hyperlink"/>
            <w:rFonts w:ascii="Arial" w:hAnsi="Arial" w:cs="Arial"/>
            <w:sz w:val="24"/>
            <w:szCs w:val="24"/>
          </w:rPr>
          <w:t>https://www.cps.gov.uk/legal-guidance/identification</w:t>
        </w:r>
      </w:hyperlink>
      <w:r>
        <w:rPr>
          <w:rFonts w:ascii="Arial" w:hAnsi="Arial" w:cs="Arial"/>
          <w:sz w:val="24"/>
          <w:szCs w:val="24"/>
        </w:rPr>
        <w:t xml:space="preserve"> [Accessed: 3 March 2022]. </w:t>
      </w:r>
    </w:p>
    <w:p w14:paraId="7B54A96D" w14:textId="77777777" w:rsidR="00610017" w:rsidRDefault="00610017" w:rsidP="00610017">
      <w:pPr>
        <w:spacing w:line="480" w:lineRule="auto"/>
        <w:rPr>
          <w:rFonts w:ascii="Arial" w:hAnsi="Arial" w:cs="Arial"/>
          <w:sz w:val="24"/>
          <w:szCs w:val="24"/>
        </w:rPr>
      </w:pPr>
      <w:r>
        <w:rPr>
          <w:rFonts w:ascii="Arial" w:hAnsi="Arial" w:cs="Arial"/>
          <w:sz w:val="24"/>
          <w:szCs w:val="24"/>
        </w:rPr>
        <w:t xml:space="preserve">Donofrio, A (2000) ‘First Responder Duties: Responsibilities Of The First Officer At A Crime Scene’, </w:t>
      </w:r>
      <w:r>
        <w:rPr>
          <w:rStyle w:val="Emphasis"/>
          <w:rFonts w:ascii="Arial" w:hAnsi="Arial" w:cs="Arial"/>
          <w:color w:val="1B1B1B"/>
          <w:sz w:val="24"/>
          <w:szCs w:val="24"/>
          <w:shd w:val="clear" w:color="auto" w:fill="FFFFFF"/>
        </w:rPr>
        <w:t>Law and Order</w:t>
      </w:r>
      <w:r>
        <w:rPr>
          <w:rFonts w:ascii="Arial" w:hAnsi="Arial" w:cs="Arial"/>
          <w:color w:val="1B1B1B"/>
          <w:sz w:val="24"/>
          <w:szCs w:val="24"/>
          <w:shd w:val="clear" w:color="auto" w:fill="FFFFFF"/>
        </w:rPr>
        <w:t xml:space="preserve">, </w:t>
      </w:r>
      <w:r>
        <w:rPr>
          <w:rStyle w:val="journal-information"/>
          <w:rFonts w:ascii="Arial" w:hAnsi="Arial" w:cs="Arial"/>
          <w:color w:val="1B1B1B"/>
          <w:sz w:val="24"/>
          <w:szCs w:val="24"/>
          <w:shd w:val="clear" w:color="auto" w:fill="FFFFFF"/>
        </w:rPr>
        <w:t>Volume 48</w:t>
      </w:r>
      <w:r>
        <w:rPr>
          <w:rFonts w:ascii="Arial" w:hAnsi="Arial" w:cs="Arial"/>
          <w:color w:val="1B1B1B"/>
          <w:sz w:val="24"/>
          <w:szCs w:val="24"/>
          <w:shd w:val="clear" w:color="auto" w:fill="FFFFFF"/>
        </w:rPr>
        <w:t>, Issue 4, p</w:t>
      </w:r>
      <w:r>
        <w:rPr>
          <w:rStyle w:val="journal-information"/>
          <w:rFonts w:ascii="Arial" w:hAnsi="Arial" w:cs="Arial"/>
          <w:color w:val="1B1B1B"/>
          <w:sz w:val="24"/>
          <w:szCs w:val="24"/>
          <w:shd w:val="clear" w:color="auto" w:fill="FFFFFF"/>
        </w:rPr>
        <w:t xml:space="preserve"> 117-122,</w:t>
      </w:r>
      <w:r>
        <w:rPr>
          <w:rFonts w:ascii="Arial" w:hAnsi="Arial" w:cs="Arial"/>
          <w:sz w:val="24"/>
          <w:szCs w:val="24"/>
        </w:rPr>
        <w:t xml:space="preserve"> [Online] Available: </w:t>
      </w:r>
      <w:hyperlink r:id="rId13" w:history="1">
        <w:r>
          <w:rPr>
            <w:rStyle w:val="Hyperlink"/>
            <w:rFonts w:ascii="Arial" w:hAnsi="Arial" w:cs="Arial"/>
            <w:sz w:val="24"/>
            <w:szCs w:val="24"/>
          </w:rPr>
          <w:t>https://www.ojp.gov/ncjrs/virtual-library/abstracts/first-responder-duties-responsibilities-first-officer-crime-scene</w:t>
        </w:r>
      </w:hyperlink>
      <w:r>
        <w:rPr>
          <w:rFonts w:ascii="Arial" w:hAnsi="Arial" w:cs="Arial"/>
          <w:sz w:val="24"/>
          <w:szCs w:val="24"/>
        </w:rPr>
        <w:t xml:space="preserve"> [Accessed: 2 March 2022]. </w:t>
      </w:r>
    </w:p>
    <w:p w14:paraId="79F4AB10" w14:textId="77777777" w:rsidR="00610017" w:rsidRDefault="00610017" w:rsidP="00610017">
      <w:pPr>
        <w:spacing w:line="480" w:lineRule="auto"/>
        <w:rPr>
          <w:rFonts w:ascii="Arial" w:hAnsi="Arial" w:cs="Arial"/>
          <w:sz w:val="24"/>
          <w:szCs w:val="24"/>
        </w:rPr>
      </w:pPr>
      <w:proofErr w:type="spellStart"/>
      <w:r>
        <w:rPr>
          <w:rFonts w:ascii="Arial" w:hAnsi="Arial" w:cs="Arial"/>
          <w:sz w:val="24"/>
          <w:szCs w:val="24"/>
        </w:rPr>
        <w:t>Eeden</w:t>
      </w:r>
      <w:proofErr w:type="spellEnd"/>
      <w:r>
        <w:rPr>
          <w:rFonts w:ascii="Arial" w:hAnsi="Arial" w:cs="Arial"/>
          <w:sz w:val="24"/>
          <w:szCs w:val="24"/>
        </w:rPr>
        <w:t xml:space="preserve">, C, Ost, J, de Poot, C and van </w:t>
      </w:r>
      <w:proofErr w:type="spellStart"/>
      <w:r>
        <w:rPr>
          <w:rFonts w:ascii="Arial" w:hAnsi="Arial" w:cs="Arial"/>
          <w:sz w:val="24"/>
          <w:szCs w:val="24"/>
        </w:rPr>
        <w:t>Koppen</w:t>
      </w:r>
      <w:proofErr w:type="spellEnd"/>
      <w:r>
        <w:rPr>
          <w:rFonts w:ascii="Arial" w:hAnsi="Arial" w:cs="Arial"/>
          <w:sz w:val="24"/>
          <w:szCs w:val="24"/>
        </w:rPr>
        <w:t xml:space="preserve">, P (2017) ‘Solving The Puzzle: The Effects Of Contextual Information And Feedback On The Interpretation Of A Crime Scene’, </w:t>
      </w:r>
      <w:r>
        <w:rPr>
          <w:rFonts w:ascii="Arial" w:hAnsi="Arial" w:cs="Arial"/>
          <w:i/>
          <w:iCs/>
          <w:sz w:val="24"/>
          <w:szCs w:val="24"/>
        </w:rPr>
        <w:t>Journal of Investigative Psychology And Offender Profiling</w:t>
      </w:r>
      <w:r>
        <w:rPr>
          <w:rFonts w:ascii="Arial" w:hAnsi="Arial" w:cs="Arial"/>
          <w:sz w:val="24"/>
          <w:szCs w:val="24"/>
        </w:rPr>
        <w:t xml:space="preserve">, Vol 15, Issue 2, p 109-123, [Online] Available: </w:t>
      </w:r>
      <w:hyperlink r:id="rId14" w:history="1">
        <w:r>
          <w:rPr>
            <w:rStyle w:val="Hyperlink"/>
            <w:rFonts w:ascii="Arial" w:hAnsi="Arial" w:cs="Arial"/>
            <w:sz w:val="24"/>
            <w:szCs w:val="24"/>
          </w:rPr>
          <w:t>https://web-s-ebscohost-</w:t>
        </w:r>
        <w:r>
          <w:rPr>
            <w:rStyle w:val="Hyperlink"/>
            <w:rFonts w:ascii="Arial" w:hAnsi="Arial" w:cs="Arial"/>
            <w:sz w:val="24"/>
            <w:szCs w:val="24"/>
          </w:rPr>
          <w:lastRenderedPageBreak/>
          <w:t>com.ezproxy.uwtsd.ac.uk/ehost/pdfviewer/pdfviewer?vid=1&amp;sid=12f98458-fce2-4aac-939e-3798a7a537b6%40redis</w:t>
        </w:r>
      </w:hyperlink>
      <w:r>
        <w:rPr>
          <w:rFonts w:ascii="Arial" w:hAnsi="Arial" w:cs="Arial"/>
          <w:sz w:val="24"/>
          <w:szCs w:val="24"/>
        </w:rPr>
        <w:t xml:space="preserve"> [Accessed: 2 March 2022]. </w:t>
      </w:r>
    </w:p>
    <w:p w14:paraId="3A537761" w14:textId="77777777" w:rsidR="00610017" w:rsidRDefault="00610017" w:rsidP="00610017">
      <w:pPr>
        <w:spacing w:line="480" w:lineRule="auto"/>
        <w:rPr>
          <w:rFonts w:ascii="Arial" w:hAnsi="Arial" w:cs="Arial"/>
          <w:sz w:val="24"/>
          <w:szCs w:val="24"/>
        </w:rPr>
      </w:pPr>
      <w:r>
        <w:rPr>
          <w:rFonts w:ascii="Arial" w:hAnsi="Arial" w:cs="Arial"/>
          <w:sz w:val="24"/>
          <w:szCs w:val="24"/>
        </w:rPr>
        <w:t>Forensic Science Regulator (2020) ‘</w:t>
      </w:r>
      <w:r>
        <w:rPr>
          <w:rFonts w:ascii="Arial" w:hAnsi="Arial" w:cs="Arial"/>
          <w:i/>
          <w:iCs/>
          <w:sz w:val="24"/>
          <w:szCs w:val="24"/>
        </w:rPr>
        <w:t>The Control And Avoidance Of Contamination In Scene Examination Involving DNA Evidence Recovery’</w:t>
      </w:r>
      <w:r>
        <w:rPr>
          <w:rFonts w:ascii="Arial" w:hAnsi="Arial" w:cs="Arial"/>
          <w:sz w:val="24"/>
          <w:szCs w:val="24"/>
        </w:rPr>
        <w:t xml:space="preserve">, [Online] Available: </w:t>
      </w:r>
      <w:hyperlink r:id="rId15" w:history="1">
        <w:r>
          <w:rPr>
            <w:rStyle w:val="Hyperlink"/>
            <w:rFonts w:ascii="Arial" w:hAnsi="Arial" w:cs="Arial"/>
            <w:sz w:val="24"/>
            <w:szCs w:val="24"/>
          </w:rPr>
          <w:t>https://assets.publishing.service.gov.uk/government/uploads/system/uploads/attachment_data/file/915221/FSR_G-206_Issue_2_Final.pdf</w:t>
        </w:r>
      </w:hyperlink>
      <w:r>
        <w:rPr>
          <w:rFonts w:ascii="Arial" w:hAnsi="Arial" w:cs="Arial"/>
          <w:sz w:val="24"/>
          <w:szCs w:val="24"/>
        </w:rPr>
        <w:t xml:space="preserve"> [Accessed: 2 March 2022]. </w:t>
      </w:r>
    </w:p>
    <w:p w14:paraId="2F1793BD" w14:textId="77777777" w:rsidR="00610017" w:rsidRDefault="00610017" w:rsidP="00610017">
      <w:pPr>
        <w:spacing w:line="480" w:lineRule="auto"/>
        <w:rPr>
          <w:rFonts w:ascii="Arial" w:hAnsi="Arial" w:cs="Arial"/>
          <w:sz w:val="24"/>
          <w:szCs w:val="24"/>
        </w:rPr>
      </w:pPr>
      <w:r>
        <w:rPr>
          <w:rFonts w:ascii="Arial" w:hAnsi="Arial" w:cs="Arial"/>
          <w:sz w:val="24"/>
          <w:szCs w:val="24"/>
        </w:rPr>
        <w:t>Home Office (2017) ‘</w:t>
      </w:r>
      <w:r>
        <w:rPr>
          <w:rFonts w:ascii="Arial" w:hAnsi="Arial" w:cs="Arial"/>
          <w:i/>
          <w:iCs/>
          <w:sz w:val="24"/>
          <w:szCs w:val="24"/>
        </w:rPr>
        <w:t>The Police And Criminal Evidence Act</w:t>
      </w:r>
      <w:r>
        <w:rPr>
          <w:rFonts w:ascii="Arial" w:hAnsi="Arial" w:cs="Arial"/>
          <w:sz w:val="24"/>
          <w:szCs w:val="24"/>
        </w:rPr>
        <w:t xml:space="preserve"> </w:t>
      </w:r>
      <w:r>
        <w:rPr>
          <w:rFonts w:ascii="Arial" w:hAnsi="Arial" w:cs="Arial"/>
          <w:i/>
          <w:iCs/>
          <w:sz w:val="24"/>
          <w:szCs w:val="24"/>
        </w:rPr>
        <w:t>1948’</w:t>
      </w:r>
      <w:r>
        <w:rPr>
          <w:rFonts w:ascii="Arial" w:hAnsi="Arial" w:cs="Arial"/>
          <w:sz w:val="24"/>
          <w:szCs w:val="24"/>
        </w:rPr>
        <w:t xml:space="preserve">, Code D Revised: Code Of Practice For The Identification Of Persons By Police Officers, [Online] Available:        </w:t>
      </w:r>
      <w:hyperlink r:id="rId16" w:history="1">
        <w:r>
          <w:rPr>
            <w:rStyle w:val="Hyperlink"/>
            <w:rFonts w:ascii="Arial" w:hAnsi="Arial" w:cs="Arial"/>
            <w:sz w:val="24"/>
            <w:szCs w:val="24"/>
          </w:rPr>
          <w:t>https://assets.publishing.service.gov.uk/government/uploads/system/uploads/attachment_data/file/903812/pace-code-d-2017.pdf</w:t>
        </w:r>
      </w:hyperlink>
      <w:r>
        <w:rPr>
          <w:rFonts w:ascii="Arial" w:hAnsi="Arial" w:cs="Arial"/>
          <w:sz w:val="24"/>
          <w:szCs w:val="24"/>
        </w:rPr>
        <w:t xml:space="preserve"> [Accessed: 3 March 2022]. </w:t>
      </w:r>
    </w:p>
    <w:p w14:paraId="368B88C9" w14:textId="77777777" w:rsidR="00610017" w:rsidRDefault="00610017" w:rsidP="00610017">
      <w:pPr>
        <w:spacing w:line="480" w:lineRule="auto"/>
        <w:rPr>
          <w:rFonts w:ascii="Arial" w:hAnsi="Arial" w:cs="Arial"/>
          <w:sz w:val="24"/>
          <w:szCs w:val="24"/>
        </w:rPr>
      </w:pPr>
      <w:r>
        <w:rPr>
          <w:rFonts w:ascii="Arial" w:hAnsi="Arial" w:cs="Arial"/>
          <w:sz w:val="24"/>
          <w:szCs w:val="24"/>
        </w:rPr>
        <w:t xml:space="preserve">Home Office (2021) ‘Critical Incident Management’, [Online] Available: </w:t>
      </w:r>
      <w:hyperlink r:id="rId17" w:history="1">
        <w:r>
          <w:rPr>
            <w:rStyle w:val="Hyperlink"/>
            <w:rFonts w:ascii="Arial" w:hAnsi="Arial" w:cs="Arial"/>
            <w:sz w:val="24"/>
            <w:szCs w:val="24"/>
          </w:rPr>
          <w:t>https://assets.publishing.service.gov.uk/government/uploads/system/uploads/attachment_data/file/1013914/national-critical-incident-management-guidance-v13.0-ext.pdf</w:t>
        </w:r>
      </w:hyperlink>
      <w:r>
        <w:rPr>
          <w:rFonts w:ascii="Arial" w:hAnsi="Arial" w:cs="Arial"/>
          <w:sz w:val="24"/>
          <w:szCs w:val="24"/>
        </w:rPr>
        <w:t xml:space="preserve"> [Accessed: 3 March 2022]. </w:t>
      </w:r>
    </w:p>
    <w:p w14:paraId="220B59AB" w14:textId="77777777" w:rsidR="00610017" w:rsidRDefault="00610017" w:rsidP="00610017">
      <w:pPr>
        <w:spacing w:line="480" w:lineRule="auto"/>
        <w:rPr>
          <w:rFonts w:ascii="Arial" w:hAnsi="Arial" w:cs="Arial"/>
          <w:sz w:val="24"/>
          <w:szCs w:val="24"/>
        </w:rPr>
      </w:pPr>
      <w:bookmarkStart w:id="0" w:name="_Hlk97238466"/>
      <w:proofErr w:type="spellStart"/>
      <w:r>
        <w:rPr>
          <w:rFonts w:ascii="Arial" w:hAnsi="Arial" w:cs="Arial"/>
          <w:sz w:val="24"/>
          <w:szCs w:val="24"/>
        </w:rPr>
        <w:t>Spanoudaki</w:t>
      </w:r>
      <w:bookmarkEnd w:id="0"/>
      <w:proofErr w:type="spellEnd"/>
      <w:r>
        <w:rPr>
          <w:rFonts w:ascii="Arial" w:hAnsi="Arial" w:cs="Arial"/>
          <w:sz w:val="24"/>
          <w:szCs w:val="24"/>
        </w:rPr>
        <w:t xml:space="preserve">, E, </w:t>
      </w:r>
      <w:proofErr w:type="spellStart"/>
      <w:r>
        <w:rPr>
          <w:rFonts w:ascii="Arial" w:hAnsi="Arial" w:cs="Arial"/>
          <w:sz w:val="24"/>
          <w:szCs w:val="24"/>
        </w:rPr>
        <w:t>Ioannou</w:t>
      </w:r>
      <w:proofErr w:type="spellEnd"/>
      <w:r>
        <w:rPr>
          <w:rFonts w:ascii="Arial" w:hAnsi="Arial" w:cs="Arial"/>
          <w:sz w:val="24"/>
          <w:szCs w:val="24"/>
        </w:rPr>
        <w:t xml:space="preserve">, M, </w:t>
      </w:r>
      <w:proofErr w:type="spellStart"/>
      <w:r>
        <w:rPr>
          <w:rFonts w:ascii="Arial" w:hAnsi="Arial" w:cs="Arial"/>
          <w:sz w:val="24"/>
          <w:szCs w:val="24"/>
        </w:rPr>
        <w:t>Synnott</w:t>
      </w:r>
      <w:proofErr w:type="spellEnd"/>
      <w:r>
        <w:rPr>
          <w:rFonts w:ascii="Arial" w:hAnsi="Arial" w:cs="Arial"/>
          <w:sz w:val="24"/>
          <w:szCs w:val="24"/>
        </w:rPr>
        <w:t xml:space="preserve">, J, Calli, T and </w:t>
      </w:r>
      <w:proofErr w:type="spellStart"/>
      <w:r>
        <w:rPr>
          <w:rFonts w:ascii="Arial" w:hAnsi="Arial" w:cs="Arial"/>
          <w:sz w:val="24"/>
          <w:szCs w:val="24"/>
        </w:rPr>
        <w:t>Pylarinou</w:t>
      </w:r>
      <w:proofErr w:type="spellEnd"/>
      <w:r>
        <w:rPr>
          <w:rFonts w:ascii="Arial" w:hAnsi="Arial" w:cs="Arial"/>
          <w:sz w:val="24"/>
          <w:szCs w:val="24"/>
        </w:rPr>
        <w:t xml:space="preserve">, N (2019) ‘Investigative Decision-Making: Interviews With Detectives’, </w:t>
      </w:r>
      <w:r>
        <w:rPr>
          <w:rFonts w:ascii="Arial" w:hAnsi="Arial" w:cs="Arial"/>
          <w:i/>
          <w:iCs/>
          <w:sz w:val="24"/>
          <w:szCs w:val="24"/>
        </w:rPr>
        <w:t xml:space="preserve">Journal Of Criminal Psychology, </w:t>
      </w:r>
      <w:r>
        <w:rPr>
          <w:rFonts w:ascii="Arial" w:hAnsi="Arial" w:cs="Arial"/>
          <w:sz w:val="24"/>
          <w:szCs w:val="24"/>
        </w:rPr>
        <w:t xml:space="preserve">Vol 9, Issue 2, p 88 – 107, [Online] Available: </w:t>
      </w:r>
      <w:hyperlink r:id="rId18" w:history="1">
        <w:r>
          <w:rPr>
            <w:rStyle w:val="Hyperlink"/>
            <w:rFonts w:ascii="Arial" w:hAnsi="Arial" w:cs="Arial"/>
            <w:sz w:val="24"/>
            <w:szCs w:val="24"/>
          </w:rPr>
          <w:t>https://www.proquest.com/docview/2214911836/fulltextPDF/E9483F5F4C56410FPQ/1?accountid=130472</w:t>
        </w:r>
      </w:hyperlink>
      <w:r>
        <w:rPr>
          <w:rFonts w:ascii="Arial" w:hAnsi="Arial" w:cs="Arial"/>
          <w:sz w:val="24"/>
          <w:szCs w:val="24"/>
        </w:rPr>
        <w:t xml:space="preserve"> [Accessed: 3 March 2022].</w:t>
      </w:r>
    </w:p>
    <w:p w14:paraId="287BB603" w14:textId="77777777" w:rsidR="00610017" w:rsidRDefault="00610017" w:rsidP="00610017">
      <w:pPr>
        <w:spacing w:line="480" w:lineRule="auto"/>
        <w:rPr>
          <w:rFonts w:ascii="Arial" w:hAnsi="Arial" w:cs="Arial"/>
          <w:sz w:val="24"/>
          <w:szCs w:val="24"/>
        </w:rPr>
      </w:pPr>
      <w:r>
        <w:rPr>
          <w:rFonts w:ascii="Arial" w:hAnsi="Arial" w:cs="Arial"/>
          <w:sz w:val="24"/>
          <w:szCs w:val="24"/>
        </w:rPr>
        <w:t>The Forensics Library (2022) ‘</w:t>
      </w:r>
      <w:r>
        <w:rPr>
          <w:rFonts w:ascii="Arial" w:hAnsi="Arial" w:cs="Arial"/>
          <w:i/>
          <w:iCs/>
          <w:sz w:val="24"/>
          <w:szCs w:val="24"/>
        </w:rPr>
        <w:t>Crime Scenes’</w:t>
      </w:r>
      <w:r>
        <w:rPr>
          <w:rFonts w:ascii="Arial" w:hAnsi="Arial" w:cs="Arial"/>
          <w:sz w:val="24"/>
          <w:szCs w:val="24"/>
        </w:rPr>
        <w:t xml:space="preserve">, [Online] Available: </w:t>
      </w:r>
      <w:hyperlink r:id="rId19" w:history="1">
        <w:r>
          <w:rPr>
            <w:rStyle w:val="Hyperlink"/>
            <w:rFonts w:ascii="Arial" w:hAnsi="Arial" w:cs="Arial"/>
            <w:sz w:val="24"/>
            <w:szCs w:val="24"/>
          </w:rPr>
          <w:t>https://aboutforensics.co.uk/crime-scenes/</w:t>
        </w:r>
      </w:hyperlink>
      <w:r>
        <w:rPr>
          <w:rFonts w:ascii="Arial" w:hAnsi="Arial" w:cs="Arial"/>
          <w:sz w:val="24"/>
          <w:szCs w:val="24"/>
        </w:rPr>
        <w:t xml:space="preserve"> [Accessed: 2 March 2022]. </w:t>
      </w:r>
    </w:p>
    <w:p w14:paraId="2D02501B" w14:textId="77777777" w:rsidR="00610017" w:rsidRDefault="00610017" w:rsidP="00610017">
      <w:pPr>
        <w:spacing w:line="480" w:lineRule="auto"/>
        <w:rPr>
          <w:rFonts w:ascii="Arial" w:hAnsi="Arial" w:cs="Arial"/>
          <w:sz w:val="24"/>
          <w:szCs w:val="24"/>
        </w:rPr>
      </w:pPr>
      <w:r>
        <w:rPr>
          <w:rFonts w:ascii="Arial" w:hAnsi="Arial" w:cs="Arial"/>
          <w:sz w:val="24"/>
          <w:szCs w:val="24"/>
        </w:rPr>
        <w:t xml:space="preserve">White, P, Gallop, A, </w:t>
      </w:r>
      <w:proofErr w:type="spellStart"/>
      <w:r>
        <w:rPr>
          <w:rFonts w:ascii="Arial" w:hAnsi="Arial" w:cs="Arial"/>
          <w:sz w:val="24"/>
          <w:szCs w:val="24"/>
        </w:rPr>
        <w:t>Emes</w:t>
      </w:r>
      <w:proofErr w:type="spellEnd"/>
      <w:r>
        <w:rPr>
          <w:rFonts w:ascii="Arial" w:hAnsi="Arial" w:cs="Arial"/>
          <w:sz w:val="24"/>
          <w:szCs w:val="24"/>
        </w:rPr>
        <w:t>, A, Giles, A, Price, C, Wallace, J, Marshall, M, Watson, N and Weston, N (2004) ‘</w:t>
      </w:r>
      <w:r>
        <w:rPr>
          <w:rFonts w:ascii="Arial" w:hAnsi="Arial" w:cs="Arial"/>
          <w:i/>
          <w:iCs/>
          <w:sz w:val="24"/>
          <w:szCs w:val="24"/>
        </w:rPr>
        <w:t xml:space="preserve">Crime Scene To The Court: The Essentials Of Forensic Science’, </w:t>
      </w:r>
      <w:r>
        <w:rPr>
          <w:rFonts w:ascii="Arial" w:hAnsi="Arial" w:cs="Arial"/>
          <w:sz w:val="24"/>
          <w:szCs w:val="24"/>
        </w:rPr>
        <w:t>Second Edition, Cambridge: The Royal Society Of Chemistry.</w:t>
      </w:r>
    </w:p>
    <w:p w14:paraId="2011CE0F" w14:textId="77777777" w:rsidR="00610017" w:rsidRDefault="00610017">
      <w:pPr>
        <w:rPr>
          <w:rFonts w:ascii="Arial" w:hAnsi="Arial" w:cs="Arial"/>
          <w:sz w:val="24"/>
          <w:szCs w:val="24"/>
        </w:rPr>
      </w:pPr>
    </w:p>
    <w:p w14:paraId="559D8D29" w14:textId="77777777" w:rsidR="00843BE5" w:rsidRDefault="00843BE5">
      <w:pPr>
        <w:rPr>
          <w:rFonts w:ascii="Arial" w:hAnsi="Arial" w:cs="Arial"/>
          <w:sz w:val="24"/>
          <w:szCs w:val="24"/>
        </w:rPr>
      </w:pPr>
    </w:p>
    <w:p w14:paraId="6B4F6E01" w14:textId="77777777" w:rsidR="00B93405" w:rsidRDefault="00B93405">
      <w:pPr>
        <w:rPr>
          <w:rFonts w:ascii="Arial" w:hAnsi="Arial" w:cs="Arial"/>
          <w:sz w:val="24"/>
          <w:szCs w:val="24"/>
        </w:rPr>
      </w:pPr>
    </w:p>
    <w:p w14:paraId="2910A83A" w14:textId="5CC73DB2" w:rsidR="004E29BD" w:rsidRPr="00BE5EDE" w:rsidRDefault="004E29BD">
      <w:pPr>
        <w:rPr>
          <w:rFonts w:ascii="Arial" w:hAnsi="Arial" w:cs="Arial"/>
          <w:sz w:val="24"/>
          <w:szCs w:val="24"/>
        </w:rPr>
      </w:pPr>
    </w:p>
    <w:sectPr w:rsidR="004E29BD" w:rsidRPr="00BE5EDE" w:rsidSect="00F522A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86415"/>
    <w:multiLevelType w:val="hybridMultilevel"/>
    <w:tmpl w:val="24AAFAAE"/>
    <w:lvl w:ilvl="0" w:tplc="D78806B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2A4"/>
    <w:rsid w:val="0000382B"/>
    <w:rsid w:val="0000626B"/>
    <w:rsid w:val="0001065D"/>
    <w:rsid w:val="00010FD6"/>
    <w:rsid w:val="000131B0"/>
    <w:rsid w:val="00065475"/>
    <w:rsid w:val="000B72FB"/>
    <w:rsid w:val="000E6082"/>
    <w:rsid w:val="001228E3"/>
    <w:rsid w:val="00132F43"/>
    <w:rsid w:val="00142D5D"/>
    <w:rsid w:val="00143785"/>
    <w:rsid w:val="00144E29"/>
    <w:rsid w:val="00172042"/>
    <w:rsid w:val="0017411F"/>
    <w:rsid w:val="00185BF3"/>
    <w:rsid w:val="00195EC3"/>
    <w:rsid w:val="001A202C"/>
    <w:rsid w:val="001A6C5A"/>
    <w:rsid w:val="001E255A"/>
    <w:rsid w:val="00253703"/>
    <w:rsid w:val="00276A8F"/>
    <w:rsid w:val="0028134D"/>
    <w:rsid w:val="002C70CB"/>
    <w:rsid w:val="002F69DD"/>
    <w:rsid w:val="0032317D"/>
    <w:rsid w:val="003415DA"/>
    <w:rsid w:val="00361A43"/>
    <w:rsid w:val="003C350C"/>
    <w:rsid w:val="003C7809"/>
    <w:rsid w:val="003E3629"/>
    <w:rsid w:val="003F6927"/>
    <w:rsid w:val="00452563"/>
    <w:rsid w:val="004C3048"/>
    <w:rsid w:val="004D0975"/>
    <w:rsid w:val="004E29BD"/>
    <w:rsid w:val="00503ADC"/>
    <w:rsid w:val="005204C2"/>
    <w:rsid w:val="005204D2"/>
    <w:rsid w:val="00537F85"/>
    <w:rsid w:val="005456A1"/>
    <w:rsid w:val="005A0A2C"/>
    <w:rsid w:val="005E1656"/>
    <w:rsid w:val="00610017"/>
    <w:rsid w:val="00614FBF"/>
    <w:rsid w:val="00624266"/>
    <w:rsid w:val="006477CD"/>
    <w:rsid w:val="006C0902"/>
    <w:rsid w:val="006C502A"/>
    <w:rsid w:val="006C7D08"/>
    <w:rsid w:val="007603F2"/>
    <w:rsid w:val="007658B0"/>
    <w:rsid w:val="00795415"/>
    <w:rsid w:val="007C2A0D"/>
    <w:rsid w:val="007E5EE7"/>
    <w:rsid w:val="00805BE8"/>
    <w:rsid w:val="0081668B"/>
    <w:rsid w:val="00843BE5"/>
    <w:rsid w:val="008A1BF0"/>
    <w:rsid w:val="009348A9"/>
    <w:rsid w:val="009B4761"/>
    <w:rsid w:val="009D555F"/>
    <w:rsid w:val="009E0A66"/>
    <w:rsid w:val="009F4DAB"/>
    <w:rsid w:val="00A1051B"/>
    <w:rsid w:val="00A859A1"/>
    <w:rsid w:val="00AB105A"/>
    <w:rsid w:val="00B2644F"/>
    <w:rsid w:val="00B32F2B"/>
    <w:rsid w:val="00B62009"/>
    <w:rsid w:val="00B93405"/>
    <w:rsid w:val="00BC3C08"/>
    <w:rsid w:val="00BE5EDE"/>
    <w:rsid w:val="00BF0048"/>
    <w:rsid w:val="00BF152E"/>
    <w:rsid w:val="00C04AAA"/>
    <w:rsid w:val="00CD3530"/>
    <w:rsid w:val="00CE37A1"/>
    <w:rsid w:val="00D0380C"/>
    <w:rsid w:val="00D20B49"/>
    <w:rsid w:val="00D35AE9"/>
    <w:rsid w:val="00D750DE"/>
    <w:rsid w:val="00DB67C8"/>
    <w:rsid w:val="00DC1EF1"/>
    <w:rsid w:val="00DD576A"/>
    <w:rsid w:val="00DF2754"/>
    <w:rsid w:val="00E23E30"/>
    <w:rsid w:val="00E50FB2"/>
    <w:rsid w:val="00E7140D"/>
    <w:rsid w:val="00E85E41"/>
    <w:rsid w:val="00EB3D09"/>
    <w:rsid w:val="00F26B03"/>
    <w:rsid w:val="00F26D8F"/>
    <w:rsid w:val="00F42B6F"/>
    <w:rsid w:val="00F47BE5"/>
    <w:rsid w:val="00F522A4"/>
    <w:rsid w:val="00F62790"/>
    <w:rsid w:val="00F71F07"/>
    <w:rsid w:val="00F918CC"/>
    <w:rsid w:val="00FA4279"/>
    <w:rsid w:val="00FA66CE"/>
    <w:rsid w:val="00FB43C4"/>
    <w:rsid w:val="00FD5C11"/>
    <w:rsid w:val="00FE7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30D02"/>
  <w15:chartTrackingRefBased/>
  <w15:docId w15:val="{11640CDE-E2A6-4F81-8AAD-01D69867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2A4"/>
    <w:pPr>
      <w:ind w:left="720"/>
      <w:contextualSpacing/>
    </w:pPr>
  </w:style>
  <w:style w:type="character" w:styleId="Hyperlink">
    <w:name w:val="Hyperlink"/>
    <w:basedOn w:val="DefaultParagraphFont"/>
    <w:uiPriority w:val="99"/>
    <w:semiHidden/>
    <w:unhideWhenUsed/>
    <w:rsid w:val="00610017"/>
    <w:rPr>
      <w:color w:val="0563C1" w:themeColor="hyperlink"/>
      <w:u w:val="single"/>
    </w:rPr>
  </w:style>
  <w:style w:type="character" w:customStyle="1" w:styleId="journal-information">
    <w:name w:val="journal-information"/>
    <w:basedOn w:val="DefaultParagraphFont"/>
    <w:rsid w:val="00610017"/>
  </w:style>
  <w:style w:type="character" w:styleId="Emphasis">
    <w:name w:val="Emphasis"/>
    <w:basedOn w:val="DefaultParagraphFont"/>
    <w:uiPriority w:val="20"/>
    <w:qFormat/>
    <w:rsid w:val="006100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1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major-investigation-and-public-protection/domestic-abuse/first-response/?highlight=forensic%20evidence?s=forensic+evidence" TargetMode="External"/><Relationship Id="rId13" Type="http://schemas.openxmlformats.org/officeDocument/2006/relationships/hyperlink" Target="https://www.ojp.gov/ncjrs/virtual-library/abstracts/first-responder-duties-responsibilities-first-officer-crime-scene" TargetMode="External"/><Relationship Id="rId18" Type="http://schemas.openxmlformats.org/officeDocument/2006/relationships/hyperlink" Target="https://www.proquest.com/docview/2214911836/fulltextPDF/E9483F5F4C56410FPQ/1?accountid=13047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proquest.com/docview/2426140246/fulltext/64B7CE2EB28D4CD0PQ/1?accountid=130472" TargetMode="External"/><Relationship Id="rId12" Type="http://schemas.openxmlformats.org/officeDocument/2006/relationships/hyperlink" Target="https://www.cps.gov.uk/legal-guidance/identification" TargetMode="External"/><Relationship Id="rId17" Type="http://schemas.openxmlformats.org/officeDocument/2006/relationships/hyperlink" Target="https://assets.publishing.service.gov.uk/government/uploads/system/uploads/attachment_data/file/1013914/national-critical-incident-management-guidance-v13.0-ext.pdf"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903812/pace-code-d-2017.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whatdotheyknow.com/cy/request/387377/response/948818/attach/2/Core%20Investigative%20Doctrine%202012.pdf?cookie_passthrough=1" TargetMode="External"/><Relationship Id="rId11" Type="http://schemas.openxmlformats.org/officeDocument/2006/relationships/hyperlink" Target="https://www.app.college.police.uk/app-content/investigations/managing-investigations/"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915221/FSR_G-206_Issue_2_Final.pdf" TargetMode="External"/><Relationship Id="rId10" Type="http://schemas.openxmlformats.org/officeDocument/2006/relationships/hyperlink" Target="https://www.app.college.police.uk/app-content/civil-emergencies/civil-contingencies/response-and-recovery/" TargetMode="External"/><Relationship Id="rId19" Type="http://schemas.openxmlformats.org/officeDocument/2006/relationships/hyperlink" Target="https://aboutforensics.co.uk/crime-scenes/" TargetMode="External"/><Relationship Id="rId4" Type="http://schemas.openxmlformats.org/officeDocument/2006/relationships/settings" Target="settings.xml"/><Relationship Id="rId9" Type="http://schemas.openxmlformats.org/officeDocument/2006/relationships/hyperlink" Target="https://www.app.college.police.uk/app-content/investigations/forensics/" TargetMode="External"/><Relationship Id="rId14" Type="http://schemas.openxmlformats.org/officeDocument/2006/relationships/hyperlink" Target="https://web-s-ebscohost-com.ezproxy.uwtsd.ac.uk/ehost/pdfviewer/pdfviewer?vid=1&amp;sid=12f98458-fce2-4aac-939e-3798a7a537b6%40red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25D1E-78A2-49EE-8906-59288FFCD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12</Pages>
  <Words>3632</Words>
  <Characters>20706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 Crocker</dc:creator>
  <cp:keywords/>
  <dc:description/>
  <cp:lastModifiedBy>Abbi Crocker</cp:lastModifiedBy>
  <cp:revision>20</cp:revision>
  <dcterms:created xsi:type="dcterms:W3CDTF">2022-03-03T12:50:00Z</dcterms:created>
  <dcterms:modified xsi:type="dcterms:W3CDTF">2022-03-04T09:21:00Z</dcterms:modified>
</cp:coreProperties>
</file>