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49259" w14:textId="61F081A1" w:rsidR="00785AE6" w:rsidRPr="002B3149" w:rsidRDefault="00873DE2" w:rsidP="00785AE6">
      <w:pPr>
        <w:pStyle w:val="Nornal"/>
        <w:rPr>
          <w:rStyle w:val="ui-provider"/>
          <w:color w:val="auto"/>
        </w:rPr>
      </w:pPr>
      <w:r w:rsidRPr="002B3149">
        <w:rPr>
          <w:color w:val="auto"/>
          <w:lang w:val="en-GB"/>
        </w:rPr>
        <w:t>Explain how ParcelCare can position itself in a competitive labour market.</w:t>
      </w:r>
    </w:p>
    <w:p w14:paraId="1171DCDC" w14:textId="1831168A" w:rsidR="00BB3A96" w:rsidRPr="002B3149" w:rsidRDefault="00BB3A96" w:rsidP="00785AE6">
      <w:pPr>
        <w:pStyle w:val="Nornal"/>
        <w:rPr>
          <w:color w:val="auto"/>
          <w:lang w:val="en-GB"/>
        </w:rPr>
      </w:pPr>
      <w:r w:rsidRPr="002B3149">
        <w:rPr>
          <w:color w:val="auto"/>
          <w:lang w:val="en-GB"/>
        </w:rPr>
        <w:t>To remain competitive, ParcelCare must enhance internal practices and external perception by assessing its position and adopting modern employment strategies to attract and retain top talent (CIPD, 2024).</w:t>
      </w:r>
    </w:p>
    <w:p w14:paraId="323D7EE4" w14:textId="5092563F" w:rsidR="00785AE6" w:rsidRPr="002B3149" w:rsidRDefault="007E75B6" w:rsidP="00785AE6">
      <w:pPr>
        <w:pStyle w:val="Nornal"/>
        <w:rPr>
          <w:rStyle w:val="ui-provider"/>
          <w:color w:val="auto"/>
          <w:lang w:val="en-GB"/>
        </w:rPr>
      </w:pPr>
      <w:r w:rsidRPr="002B3149">
        <w:rPr>
          <w:color w:val="auto"/>
          <w:lang w:val="en-GB"/>
        </w:rPr>
        <w:t>ParcelCare</w:t>
      </w:r>
      <w:r w:rsidR="004E7927" w:rsidRPr="002B3149">
        <w:rPr>
          <w:color w:val="auto"/>
          <w:lang w:val="en-GB"/>
        </w:rPr>
        <w:t xml:space="preserve"> must conduct a thorough analysis of key competitors, including new delivery startups, app-based gig platforms, and established logistics firms. </w:t>
      </w:r>
      <w:r w:rsidR="000C4A24" w:rsidRPr="002B3149">
        <w:rPr>
          <w:color w:val="auto"/>
          <w:lang w:val="en-GB"/>
        </w:rPr>
        <w:t>Competitors</w:t>
      </w:r>
      <w:r w:rsidR="004E7927" w:rsidRPr="002B3149">
        <w:rPr>
          <w:color w:val="auto"/>
          <w:lang w:val="en-GB"/>
        </w:rPr>
        <w:t xml:space="preserve"> often attract talent through flexible working, technology-enabled workflows, competitive or performance-based pay structures, and fast hiring processes</w:t>
      </w:r>
      <w:r w:rsidR="000C4A24" w:rsidRPr="002B3149">
        <w:rPr>
          <w:color w:val="auto"/>
          <w:lang w:val="en-GB"/>
        </w:rPr>
        <w:t xml:space="preserve"> (Porter, 1998). </w:t>
      </w:r>
      <w:r w:rsidR="003073BB" w:rsidRPr="002B3149">
        <w:rPr>
          <w:color w:val="auto"/>
          <w:lang w:val="en-GB"/>
        </w:rPr>
        <w:br/>
      </w:r>
      <w:r w:rsidR="0037084B" w:rsidRPr="002B3149">
        <w:rPr>
          <w:color w:val="auto"/>
          <w:lang w:val="en-GB"/>
        </w:rPr>
        <w:t>These competitors typically stand out by offering flexibility and autonomy</w:t>
      </w:r>
      <w:r w:rsidR="005B0270" w:rsidRPr="002B3149">
        <w:rPr>
          <w:color w:val="auto"/>
          <w:lang w:val="en-GB"/>
        </w:rPr>
        <w:t>, t</w:t>
      </w:r>
      <w:r w:rsidR="0037084B" w:rsidRPr="002B3149">
        <w:rPr>
          <w:color w:val="auto"/>
          <w:lang w:val="en-GB"/>
        </w:rPr>
        <w:t xml:space="preserve">his is especially </w:t>
      </w:r>
      <w:r w:rsidR="005B0270" w:rsidRPr="002B3149">
        <w:rPr>
          <w:color w:val="auto"/>
          <w:lang w:val="en-GB"/>
        </w:rPr>
        <w:t>visible in</w:t>
      </w:r>
      <w:r w:rsidR="0037084B" w:rsidRPr="002B3149">
        <w:rPr>
          <w:color w:val="auto"/>
          <w:lang w:val="en-GB"/>
        </w:rPr>
        <w:t xml:space="preserve"> gig economy models</w:t>
      </w:r>
      <w:r w:rsidR="00257B6B" w:rsidRPr="002B3149">
        <w:rPr>
          <w:color w:val="auto"/>
          <w:lang w:val="en-GB"/>
        </w:rPr>
        <w:t xml:space="preserve"> (Ness, 2023)</w:t>
      </w:r>
      <w:r w:rsidR="005B0270" w:rsidRPr="002B3149">
        <w:rPr>
          <w:color w:val="auto"/>
          <w:lang w:val="en-GB"/>
        </w:rPr>
        <w:t xml:space="preserve">. They </w:t>
      </w:r>
      <w:r w:rsidR="00EA1B9E" w:rsidRPr="002B3149">
        <w:rPr>
          <w:color w:val="auto"/>
          <w:lang w:val="en-GB"/>
        </w:rPr>
        <w:t xml:space="preserve">offer </w:t>
      </w:r>
      <w:r w:rsidR="0037084B" w:rsidRPr="002B3149">
        <w:rPr>
          <w:color w:val="auto"/>
          <w:lang w:val="en-GB"/>
        </w:rPr>
        <w:t xml:space="preserve">digital tools for </w:t>
      </w:r>
      <w:r w:rsidR="00CD2DC4" w:rsidRPr="002B3149">
        <w:rPr>
          <w:color w:val="auto"/>
          <w:lang w:val="en-GB"/>
        </w:rPr>
        <w:t>communication</w:t>
      </w:r>
      <w:r w:rsidR="0037084B" w:rsidRPr="002B3149">
        <w:rPr>
          <w:color w:val="auto"/>
          <w:lang w:val="en-GB"/>
        </w:rPr>
        <w:t xml:space="preserve">, incentive and referral programs, and streamlined onboarding </w:t>
      </w:r>
      <w:r w:rsidR="00EA1B9E" w:rsidRPr="002B3149">
        <w:rPr>
          <w:color w:val="auto"/>
          <w:lang w:val="en-GB"/>
        </w:rPr>
        <w:t>which puts them at an advantage</w:t>
      </w:r>
      <w:r w:rsidR="003073BB" w:rsidRPr="002B3149">
        <w:rPr>
          <w:color w:val="auto"/>
          <w:lang w:val="en-GB"/>
        </w:rPr>
        <w:t xml:space="preserve"> (Guo, 2017). </w:t>
      </w:r>
      <w:r w:rsidR="003073BB" w:rsidRPr="002B3149">
        <w:rPr>
          <w:color w:val="auto"/>
          <w:lang w:val="en-GB"/>
        </w:rPr>
        <w:br/>
      </w:r>
      <w:r w:rsidR="004E7927" w:rsidRPr="002B3149">
        <w:rPr>
          <w:color w:val="auto"/>
          <w:lang w:val="en-GB"/>
        </w:rPr>
        <w:t xml:space="preserve">However, they also face notable weaknesses, such as a lack of job </w:t>
      </w:r>
      <w:r w:rsidR="00E16F97" w:rsidRPr="002B3149">
        <w:rPr>
          <w:color w:val="auto"/>
          <w:lang w:val="en-GB"/>
        </w:rPr>
        <w:t>safety</w:t>
      </w:r>
      <w:r w:rsidR="004E7927" w:rsidRPr="002B3149">
        <w:rPr>
          <w:color w:val="auto"/>
          <w:lang w:val="en-GB"/>
        </w:rPr>
        <w:t xml:space="preserve">, </w:t>
      </w:r>
      <w:r w:rsidR="00E16F97" w:rsidRPr="002B3149">
        <w:rPr>
          <w:color w:val="auto"/>
          <w:lang w:val="en-GB"/>
        </w:rPr>
        <w:t>inadequate</w:t>
      </w:r>
      <w:r w:rsidR="004E7927" w:rsidRPr="002B3149">
        <w:rPr>
          <w:color w:val="auto"/>
          <w:lang w:val="en-GB"/>
        </w:rPr>
        <w:t xml:space="preserve"> benefits or career development</w:t>
      </w:r>
      <w:r w:rsidR="00741594" w:rsidRPr="002B3149">
        <w:rPr>
          <w:color w:val="auto"/>
          <w:lang w:val="en-GB"/>
        </w:rPr>
        <w:t xml:space="preserve"> opportunities </w:t>
      </w:r>
      <w:r w:rsidR="004E7927" w:rsidRPr="002B3149">
        <w:rPr>
          <w:color w:val="auto"/>
          <w:lang w:val="en-GB"/>
        </w:rPr>
        <w:t>and ethical concerns regarding working conditions and pay</w:t>
      </w:r>
      <w:r w:rsidR="00257B6B" w:rsidRPr="002B3149">
        <w:rPr>
          <w:color w:val="auto"/>
          <w:lang w:val="en-GB"/>
        </w:rPr>
        <w:t xml:space="preserve"> (</w:t>
      </w:r>
      <w:r w:rsidR="00D52434" w:rsidRPr="002B3149">
        <w:rPr>
          <w:color w:val="auto"/>
          <w:lang w:val="en-GB"/>
        </w:rPr>
        <w:t xml:space="preserve">Gross, 2018). </w:t>
      </w:r>
      <w:r w:rsidR="004E7927" w:rsidRPr="002B3149">
        <w:rPr>
          <w:color w:val="auto"/>
          <w:lang w:val="en-GB"/>
        </w:rPr>
        <w:t xml:space="preserve"> By analy</w:t>
      </w:r>
      <w:r w:rsidR="00D52434" w:rsidRPr="002B3149">
        <w:rPr>
          <w:color w:val="auto"/>
          <w:lang w:val="en-GB"/>
        </w:rPr>
        <w:t>s</w:t>
      </w:r>
      <w:r w:rsidR="004E7927" w:rsidRPr="002B3149">
        <w:rPr>
          <w:color w:val="auto"/>
          <w:lang w:val="en-GB"/>
        </w:rPr>
        <w:t xml:space="preserve">ing these strengths and weaknesses, </w:t>
      </w:r>
      <w:r w:rsidRPr="002B3149">
        <w:rPr>
          <w:color w:val="auto"/>
          <w:lang w:val="en-GB"/>
        </w:rPr>
        <w:t>ParcelCare</w:t>
      </w:r>
      <w:r w:rsidR="004E7927" w:rsidRPr="002B3149">
        <w:rPr>
          <w:color w:val="auto"/>
          <w:lang w:val="en-GB"/>
        </w:rPr>
        <w:t xml:space="preserve"> can benchmark its own employee experience and identify areas for improvement and strategic differentiation.</w:t>
      </w:r>
    </w:p>
    <w:p w14:paraId="4BB166E0" w14:textId="5146555C" w:rsidR="00785AE6" w:rsidRPr="002B3149" w:rsidRDefault="007766F5" w:rsidP="00785AE6">
      <w:pPr>
        <w:pStyle w:val="Nornal"/>
        <w:rPr>
          <w:color w:val="auto"/>
          <w:lang w:val="en-GB"/>
        </w:rPr>
      </w:pPr>
      <w:r w:rsidRPr="002B3149">
        <w:rPr>
          <w:color w:val="auto"/>
          <w:lang w:val="en-GB"/>
        </w:rPr>
        <w:t xml:space="preserve">To </w:t>
      </w:r>
      <w:r w:rsidR="00E16F97" w:rsidRPr="002B3149">
        <w:rPr>
          <w:color w:val="auto"/>
          <w:lang w:val="en-GB"/>
        </w:rPr>
        <w:t>contend</w:t>
      </w:r>
      <w:r w:rsidRPr="002B3149">
        <w:rPr>
          <w:color w:val="auto"/>
          <w:lang w:val="en-GB"/>
        </w:rPr>
        <w:t xml:space="preserve"> </w:t>
      </w:r>
      <w:r w:rsidR="00E16F97" w:rsidRPr="002B3149">
        <w:rPr>
          <w:color w:val="auto"/>
          <w:lang w:val="en-GB"/>
        </w:rPr>
        <w:t>well</w:t>
      </w:r>
      <w:r w:rsidRPr="002B3149">
        <w:rPr>
          <w:color w:val="auto"/>
          <w:lang w:val="en-GB"/>
        </w:rPr>
        <w:t xml:space="preserve">, </w:t>
      </w:r>
      <w:r w:rsidR="007E75B6" w:rsidRPr="002B3149">
        <w:rPr>
          <w:color w:val="auto"/>
          <w:lang w:val="en-GB"/>
        </w:rPr>
        <w:t xml:space="preserve">ParcelCare </w:t>
      </w:r>
      <w:r w:rsidRPr="002B3149">
        <w:rPr>
          <w:color w:val="auto"/>
          <w:lang w:val="en-GB"/>
        </w:rPr>
        <w:t xml:space="preserve">must </w:t>
      </w:r>
      <w:r w:rsidR="00E16F97">
        <w:rPr>
          <w:color w:val="auto"/>
          <w:lang w:val="en-GB"/>
        </w:rPr>
        <w:t>locate</w:t>
      </w:r>
      <w:r w:rsidRPr="002B3149">
        <w:rPr>
          <w:color w:val="auto"/>
          <w:lang w:val="en-GB"/>
        </w:rPr>
        <w:t xml:space="preserve"> itself as an employer of choice by offering clear pathways for career progression, a supportive work </w:t>
      </w:r>
      <w:r w:rsidR="00E16F97" w:rsidRPr="002B3149">
        <w:rPr>
          <w:color w:val="auto"/>
          <w:lang w:val="en-GB"/>
        </w:rPr>
        <w:t>atmosphere</w:t>
      </w:r>
      <w:r w:rsidRPr="002B3149">
        <w:rPr>
          <w:color w:val="auto"/>
          <w:lang w:val="en-GB"/>
        </w:rPr>
        <w:t>, initiatives that promote well-being and work-life balance, and opportunities for internal mobility</w:t>
      </w:r>
      <w:r w:rsidR="00F35A71" w:rsidRPr="002B3149">
        <w:rPr>
          <w:color w:val="auto"/>
          <w:lang w:val="en-GB"/>
        </w:rPr>
        <w:t xml:space="preserve"> (Hooley, 2012). </w:t>
      </w:r>
      <w:r w:rsidR="007E75B6" w:rsidRPr="002B3149">
        <w:rPr>
          <w:color w:val="auto"/>
          <w:lang w:val="en-GB"/>
        </w:rPr>
        <w:t xml:space="preserve">ParcelCare’s </w:t>
      </w:r>
      <w:r w:rsidR="005145DC" w:rsidRPr="002B3149">
        <w:rPr>
          <w:color w:val="auto"/>
          <w:lang w:val="en-GB"/>
        </w:rPr>
        <w:t xml:space="preserve">established presence offers job stability, structure, and development and gig-based competitors often lack these advantages. </w:t>
      </w:r>
      <w:r w:rsidR="007E75B6" w:rsidRPr="002B3149">
        <w:rPr>
          <w:color w:val="auto"/>
          <w:lang w:val="en-GB"/>
        </w:rPr>
        <w:t xml:space="preserve">ParcelCare </w:t>
      </w:r>
      <w:r w:rsidR="005145DC" w:rsidRPr="002B3149">
        <w:rPr>
          <w:color w:val="auto"/>
          <w:lang w:val="en-GB"/>
        </w:rPr>
        <w:t>should therefore highlight these in internal and external communications (</w:t>
      </w:r>
      <w:r w:rsidR="00274BAB" w:rsidRPr="002B3149">
        <w:rPr>
          <w:color w:val="auto"/>
          <w:lang w:val="en-GB"/>
        </w:rPr>
        <w:t xml:space="preserve">Albayrak, 2015). </w:t>
      </w:r>
    </w:p>
    <w:p w14:paraId="694CFD89" w14:textId="6D44F374" w:rsidR="009B50E3" w:rsidRPr="002B3149" w:rsidRDefault="007E75B6" w:rsidP="00785AE6">
      <w:pPr>
        <w:pStyle w:val="Nornal"/>
        <w:rPr>
          <w:color w:val="auto"/>
          <w:lang w:val="en-GB"/>
        </w:rPr>
      </w:pPr>
      <w:r w:rsidRPr="002B3149">
        <w:rPr>
          <w:color w:val="auto"/>
          <w:lang w:val="en-GB"/>
        </w:rPr>
        <w:t xml:space="preserve">ParcelCare </w:t>
      </w:r>
      <w:r w:rsidR="00364481" w:rsidRPr="002B3149">
        <w:rPr>
          <w:color w:val="auto"/>
          <w:lang w:val="en-GB"/>
        </w:rPr>
        <w:t xml:space="preserve">must prioritise branding to shape market perception. </w:t>
      </w:r>
      <w:r w:rsidR="00A613FB" w:rsidRPr="002B3149">
        <w:rPr>
          <w:color w:val="auto"/>
          <w:lang w:val="en-GB"/>
        </w:rPr>
        <w:t xml:space="preserve">A strong employer brand will assist candidates with choosing </w:t>
      </w:r>
      <w:r w:rsidRPr="002B3149">
        <w:rPr>
          <w:color w:val="auto"/>
          <w:lang w:val="en-GB"/>
        </w:rPr>
        <w:t xml:space="preserve">ParcelCare </w:t>
      </w:r>
      <w:r w:rsidR="00A613FB" w:rsidRPr="002B3149">
        <w:rPr>
          <w:color w:val="auto"/>
          <w:lang w:val="en-GB"/>
        </w:rPr>
        <w:t>over competitors by appealing to their emotions</w:t>
      </w:r>
      <w:r w:rsidR="00262A0D" w:rsidRPr="002B3149">
        <w:rPr>
          <w:color w:val="auto"/>
          <w:lang w:val="en-GB"/>
        </w:rPr>
        <w:t xml:space="preserve"> (CIPD, 2024). </w:t>
      </w:r>
      <w:r w:rsidR="00455F9B" w:rsidRPr="002B3149">
        <w:rPr>
          <w:color w:val="auto"/>
          <w:lang w:val="en-GB"/>
        </w:rPr>
        <w:t xml:space="preserve">PC’s employer branding should tell a compelling story through social media platforms and highlight their commitment to staff development and wellbeing. </w:t>
      </w:r>
      <w:r w:rsidR="00871930" w:rsidRPr="002B3149">
        <w:rPr>
          <w:color w:val="auto"/>
          <w:lang w:val="en-GB"/>
        </w:rPr>
        <w:t>They should also build a positive public image by engaging in communities and demonstrate ethical practices with values-driven leadership (</w:t>
      </w:r>
      <w:r w:rsidR="00B072D4" w:rsidRPr="002B3149">
        <w:rPr>
          <w:color w:val="auto"/>
          <w:lang w:val="en-GB"/>
        </w:rPr>
        <w:t xml:space="preserve">Heide, 2024). </w:t>
      </w:r>
    </w:p>
    <w:p w14:paraId="31ED6750" w14:textId="7465074E" w:rsidR="008517F6" w:rsidRPr="002B3149" w:rsidRDefault="008517F6" w:rsidP="00785AE6">
      <w:pPr>
        <w:pStyle w:val="Nornal"/>
        <w:rPr>
          <w:color w:val="auto"/>
          <w:lang w:val="en-GB"/>
        </w:rPr>
      </w:pPr>
      <w:r w:rsidRPr="002B3149">
        <w:rPr>
          <w:color w:val="auto"/>
          <w:lang w:val="en-GB"/>
        </w:rPr>
        <w:t xml:space="preserve">Ethical practices and reputation are increasingly important to today’s workforce, particularly younger generations. </w:t>
      </w:r>
      <w:r w:rsidR="007E75B6" w:rsidRPr="002B3149">
        <w:rPr>
          <w:color w:val="auto"/>
          <w:lang w:val="en-GB"/>
        </w:rPr>
        <w:t xml:space="preserve">ParcelCare </w:t>
      </w:r>
      <w:r w:rsidRPr="002B3149">
        <w:rPr>
          <w:color w:val="auto"/>
          <w:lang w:val="en-GB"/>
        </w:rPr>
        <w:t xml:space="preserve">should ensure fair wages, reasonable hours, safe working conditions, promote </w:t>
      </w:r>
      <w:r w:rsidR="007731C0" w:rsidRPr="002B3149">
        <w:rPr>
          <w:color w:val="auto"/>
          <w:lang w:val="en-GB"/>
        </w:rPr>
        <w:t>D&amp;I</w:t>
      </w:r>
      <w:r w:rsidRPr="002B3149">
        <w:rPr>
          <w:color w:val="auto"/>
          <w:lang w:val="en-GB"/>
        </w:rPr>
        <w:t xml:space="preserve">, and </w:t>
      </w:r>
      <w:r w:rsidR="007731C0" w:rsidRPr="002B3149">
        <w:rPr>
          <w:color w:val="auto"/>
          <w:lang w:val="en-GB"/>
        </w:rPr>
        <w:t>announce</w:t>
      </w:r>
      <w:r w:rsidRPr="002B3149">
        <w:rPr>
          <w:color w:val="auto"/>
          <w:lang w:val="en-GB"/>
        </w:rPr>
        <w:t xml:space="preserve"> its environmental and social initiatives. A strong ethical reputation builds trust, boosts retention, and attracts purpose-driven talent</w:t>
      </w:r>
      <w:r w:rsidR="00CD2DC4" w:rsidRPr="002B3149">
        <w:rPr>
          <w:color w:val="auto"/>
          <w:lang w:val="en-GB"/>
        </w:rPr>
        <w:t xml:space="preserve"> (Brennan, 2021). </w:t>
      </w:r>
    </w:p>
    <w:p w14:paraId="4595F201" w14:textId="450373E5" w:rsidR="007731C0" w:rsidRPr="002B3149" w:rsidRDefault="00F2483C" w:rsidP="00785AE6">
      <w:pPr>
        <w:pStyle w:val="Nornal"/>
        <w:rPr>
          <w:color w:val="auto"/>
          <w:lang w:val="en-GB"/>
        </w:rPr>
      </w:pPr>
      <w:r w:rsidRPr="002B3149">
        <w:rPr>
          <w:color w:val="auto"/>
          <w:lang w:val="en-GB"/>
        </w:rPr>
        <w:t xml:space="preserve">ParcelCare </w:t>
      </w:r>
      <w:r w:rsidR="009207C3" w:rsidRPr="002B3149">
        <w:rPr>
          <w:color w:val="auto"/>
          <w:lang w:val="en-GB"/>
        </w:rPr>
        <w:t xml:space="preserve">should modernise its total reward approach by offering competitive pay, performance bonuses, and meaningful non-financial benefits, like recognition or development. </w:t>
      </w:r>
      <w:r w:rsidR="00873DE2" w:rsidRPr="002B3149">
        <w:rPr>
          <w:color w:val="auto"/>
          <w:lang w:val="en-GB"/>
        </w:rPr>
        <w:t>Equally</w:t>
      </w:r>
      <w:r w:rsidR="009207C3" w:rsidRPr="002B3149">
        <w:rPr>
          <w:color w:val="auto"/>
          <w:lang w:val="en-GB"/>
        </w:rPr>
        <w:t xml:space="preserve">, fostering a inclusive, and purpose-driven culture can set </w:t>
      </w:r>
      <w:r w:rsidRPr="002B3149">
        <w:rPr>
          <w:color w:val="auto"/>
          <w:lang w:val="en-GB"/>
        </w:rPr>
        <w:t xml:space="preserve">ParcelCare </w:t>
      </w:r>
      <w:r w:rsidR="009207C3" w:rsidRPr="002B3149">
        <w:rPr>
          <w:color w:val="auto"/>
          <w:lang w:val="en-GB"/>
        </w:rPr>
        <w:t>apart, helping it attract and retain talent</w:t>
      </w:r>
      <w:r w:rsidR="007558A5" w:rsidRPr="002B3149">
        <w:rPr>
          <w:color w:val="auto"/>
          <w:lang w:val="en-GB"/>
        </w:rPr>
        <w:t xml:space="preserve"> (Shields, 2007). </w:t>
      </w:r>
    </w:p>
    <w:p w14:paraId="4756E046" w14:textId="499BB835" w:rsidR="00CC588B" w:rsidRPr="002B3149" w:rsidRDefault="00DF5A98" w:rsidP="00BA2C00">
      <w:pPr>
        <w:pStyle w:val="Nornal"/>
        <w:rPr>
          <w:color w:val="auto"/>
          <w:lang w:val="en-GB"/>
        </w:rPr>
      </w:pPr>
      <w:r w:rsidRPr="002B3149">
        <w:rPr>
          <w:color w:val="auto"/>
          <w:lang w:val="en-GB"/>
        </w:rPr>
        <w:t xml:space="preserve">To stay competitive, </w:t>
      </w:r>
      <w:r w:rsidR="00F2483C" w:rsidRPr="002B3149">
        <w:rPr>
          <w:color w:val="auto"/>
          <w:lang w:val="en-GB"/>
        </w:rPr>
        <w:t xml:space="preserve">ParcelCare </w:t>
      </w:r>
      <w:r w:rsidRPr="002B3149">
        <w:rPr>
          <w:color w:val="auto"/>
          <w:lang w:val="en-GB"/>
        </w:rPr>
        <w:t>must analyse rivals, enhance its employee offer</w:t>
      </w:r>
      <w:r w:rsidR="00F00476">
        <w:rPr>
          <w:color w:val="auto"/>
          <w:lang w:val="en-GB"/>
        </w:rPr>
        <w:t>s</w:t>
      </w:r>
      <w:r w:rsidRPr="002B3149">
        <w:rPr>
          <w:color w:val="auto"/>
          <w:lang w:val="en-GB"/>
        </w:rPr>
        <w:t>, modernise rewards and culture, promote its brand, and uphold strong ethics. Aligning with market expectations will attract talent, cut turnover, and build a resilient workforce.</w:t>
      </w:r>
    </w:p>
    <w:p w14:paraId="3B839CF6" w14:textId="77777777" w:rsidR="000911DC" w:rsidRPr="002B3149" w:rsidRDefault="000911DC" w:rsidP="00BA2C00">
      <w:pPr>
        <w:pStyle w:val="Nornal"/>
        <w:rPr>
          <w:color w:val="auto"/>
          <w:lang w:val="en-GB"/>
        </w:rPr>
      </w:pPr>
    </w:p>
    <w:p w14:paraId="620B8325" w14:textId="43370D43" w:rsidR="00BA2C00" w:rsidRPr="002B3149" w:rsidRDefault="000911DC" w:rsidP="00BA2C00">
      <w:pPr>
        <w:pStyle w:val="Nornal"/>
        <w:rPr>
          <w:color w:val="auto"/>
          <w:lang w:val="en-GB"/>
        </w:rPr>
      </w:pPr>
      <w:r w:rsidRPr="002B3149">
        <w:rPr>
          <w:color w:val="auto"/>
          <w:lang w:val="en-GB"/>
        </w:rPr>
        <w:t>Explain the impact of changing labour market conditions on resourcing decisions at ParcelCare.</w:t>
      </w:r>
    </w:p>
    <w:p w14:paraId="4A04C776" w14:textId="565D4D2C" w:rsidR="00764FF5" w:rsidRPr="002B3149" w:rsidRDefault="00764FF5" w:rsidP="00F87818">
      <w:pPr>
        <w:pStyle w:val="Nornal"/>
        <w:rPr>
          <w:color w:val="auto"/>
          <w:lang w:val="en-GB"/>
        </w:rPr>
      </w:pPr>
      <w:r w:rsidRPr="002B3149">
        <w:rPr>
          <w:color w:val="auto"/>
          <w:lang w:val="en-GB"/>
        </w:rPr>
        <w:lastRenderedPageBreak/>
        <w:t>As ParcelCare navigates a changing employment landscape, shifting labour market conditions are reshaping how it sources, recruits, and retains talent. Understanding these trends is crucial to aligning its people strategy with the wider context (CIPD, 2024).</w:t>
      </w:r>
    </w:p>
    <w:p w14:paraId="016C6CD2" w14:textId="75F6B167" w:rsidR="00F87818" w:rsidRPr="002B3149" w:rsidRDefault="00F87818" w:rsidP="00F87818">
      <w:pPr>
        <w:pStyle w:val="Nornal"/>
        <w:rPr>
          <w:color w:val="auto"/>
          <w:lang w:val="en-GB"/>
        </w:rPr>
      </w:pPr>
      <w:r w:rsidRPr="002B3149">
        <w:rPr>
          <w:color w:val="auto"/>
        </w:rPr>
        <w:t>The UK labour market, like many others around the world, has shifted increasingly towards a tight labour market</w:t>
      </w:r>
      <w:r w:rsidR="009B3AD9" w:rsidRPr="002B3149">
        <w:rPr>
          <w:color w:val="auto"/>
        </w:rPr>
        <w:t>, in which</w:t>
      </w:r>
      <w:r w:rsidRPr="002B3149">
        <w:rPr>
          <w:color w:val="auto"/>
        </w:rPr>
        <w:t xml:space="preserve"> demand for labour outpaces supply</w:t>
      </w:r>
      <w:r w:rsidR="00DC34B3" w:rsidRPr="002B3149">
        <w:rPr>
          <w:color w:val="auto"/>
        </w:rPr>
        <w:t xml:space="preserve"> (CIPD, 2025</w:t>
      </w:r>
      <w:r w:rsidR="008870A7" w:rsidRPr="002B3149">
        <w:rPr>
          <w:color w:val="auto"/>
        </w:rPr>
        <w:t xml:space="preserve"> &amp; Henke</w:t>
      </w:r>
      <w:r w:rsidR="005463C1" w:rsidRPr="002B3149">
        <w:rPr>
          <w:color w:val="auto"/>
        </w:rPr>
        <w:t>ns, 2005</w:t>
      </w:r>
      <w:r w:rsidR="00DC34B3" w:rsidRPr="002B3149">
        <w:rPr>
          <w:color w:val="auto"/>
        </w:rPr>
        <w:t>)</w:t>
      </w:r>
      <w:r w:rsidR="005463C1" w:rsidRPr="002B3149">
        <w:rPr>
          <w:color w:val="auto"/>
        </w:rPr>
        <w:t xml:space="preserve">. </w:t>
      </w:r>
      <w:r w:rsidRPr="002B3149">
        <w:rPr>
          <w:color w:val="auto"/>
        </w:rPr>
        <w:t xml:space="preserve">This makes it challenging for employers like </w:t>
      </w:r>
      <w:r w:rsidR="00F2483C" w:rsidRPr="002B3149">
        <w:rPr>
          <w:color w:val="auto"/>
          <w:lang w:val="en-GB"/>
        </w:rPr>
        <w:t xml:space="preserve">ParcelCare </w:t>
      </w:r>
      <w:r w:rsidRPr="002B3149">
        <w:rPr>
          <w:color w:val="auto"/>
        </w:rPr>
        <w:t xml:space="preserve">to find suitable candidates. With low unemployment and skilled workers having multiple job options, competition for talent has </w:t>
      </w:r>
      <w:r w:rsidR="000446A2" w:rsidRPr="002B3149">
        <w:rPr>
          <w:color w:val="auto"/>
        </w:rPr>
        <w:t>increase</w:t>
      </w:r>
      <w:r w:rsidR="00F74C35" w:rsidRPr="002B3149">
        <w:rPr>
          <w:color w:val="auto"/>
        </w:rPr>
        <w:t>d</w:t>
      </w:r>
      <w:r w:rsidR="00794B89" w:rsidRPr="002B3149">
        <w:rPr>
          <w:color w:val="auto"/>
        </w:rPr>
        <w:t xml:space="preserve"> (</w:t>
      </w:r>
      <w:r w:rsidR="00794B89" w:rsidRPr="002B3149">
        <w:rPr>
          <w:color w:val="auto"/>
          <w:lang w:val="en-GB"/>
        </w:rPr>
        <w:t>Überblick, 2022</w:t>
      </w:r>
      <w:r w:rsidR="007114CF" w:rsidRPr="002B3149">
        <w:rPr>
          <w:color w:val="auto"/>
          <w:lang w:val="en-GB"/>
        </w:rPr>
        <w:t xml:space="preserve">). </w:t>
      </w:r>
      <w:r w:rsidR="007114CF" w:rsidRPr="002B3149">
        <w:rPr>
          <w:color w:val="auto"/>
          <w:lang w:val="en-GB"/>
        </w:rPr>
        <w:br/>
      </w:r>
      <w:r w:rsidR="00E60F9D" w:rsidRPr="002B3149">
        <w:rPr>
          <w:color w:val="auto"/>
          <w:lang w:val="en-GB"/>
        </w:rPr>
        <w:t>This differs significantly from a loose labour market scenario,</w:t>
      </w:r>
      <w:r w:rsidRPr="002B3149">
        <w:rPr>
          <w:color w:val="auto"/>
        </w:rPr>
        <w:t xml:space="preserve"> where jobseekers outnumber available roles, making recruitment easier and typically lowering labour costs</w:t>
      </w:r>
      <w:r w:rsidR="001C7352" w:rsidRPr="002B3149">
        <w:rPr>
          <w:color w:val="auto"/>
        </w:rPr>
        <w:t xml:space="preserve"> (Rogers, 2001). </w:t>
      </w:r>
    </w:p>
    <w:p w14:paraId="379764C5" w14:textId="6AF00E72" w:rsidR="00F87818" w:rsidRPr="002B3149" w:rsidRDefault="00F87818" w:rsidP="00F87818">
      <w:pPr>
        <w:pStyle w:val="Nornal"/>
        <w:rPr>
          <w:color w:val="auto"/>
        </w:rPr>
      </w:pPr>
      <w:r w:rsidRPr="002B3149">
        <w:rPr>
          <w:color w:val="auto"/>
        </w:rPr>
        <w:t xml:space="preserve">For </w:t>
      </w:r>
      <w:r w:rsidR="00F2483C" w:rsidRPr="002B3149">
        <w:rPr>
          <w:color w:val="auto"/>
          <w:lang w:val="en-GB"/>
        </w:rPr>
        <w:t>ParcelCare</w:t>
      </w:r>
      <w:r w:rsidRPr="002B3149">
        <w:rPr>
          <w:color w:val="auto"/>
        </w:rPr>
        <w:t xml:space="preserve">, a tight labour market means greater pressure to stand out as a </w:t>
      </w:r>
      <w:r w:rsidR="00C94B08" w:rsidRPr="002B3149">
        <w:rPr>
          <w:color w:val="auto"/>
        </w:rPr>
        <w:t>company</w:t>
      </w:r>
      <w:r w:rsidRPr="002B3149">
        <w:rPr>
          <w:color w:val="auto"/>
        </w:rPr>
        <w:t xml:space="preserve"> of choice, offering compelling reasons for people to join and stay</w:t>
      </w:r>
      <w:r w:rsidR="00E845BB" w:rsidRPr="002B3149">
        <w:rPr>
          <w:color w:val="auto"/>
        </w:rPr>
        <w:t xml:space="preserve"> (</w:t>
      </w:r>
      <w:r w:rsidR="004334B0" w:rsidRPr="002B3149">
        <w:rPr>
          <w:color w:val="auto"/>
        </w:rPr>
        <w:t>Jorgensen, 2024).</w:t>
      </w:r>
      <w:r w:rsidRPr="002B3149">
        <w:rPr>
          <w:color w:val="auto"/>
        </w:rPr>
        <w:t xml:space="preserve"> Recruitment processes take longer and cost more due to the heightened competition. It also increases the importance of investing in upskilling and developing internal talent, as relying on external hiring becomes less reliable and more expensive</w:t>
      </w:r>
      <w:r w:rsidR="001E2532" w:rsidRPr="002B3149">
        <w:rPr>
          <w:color w:val="auto"/>
        </w:rPr>
        <w:t xml:space="preserve"> (Fossati, 2018</w:t>
      </w:r>
      <w:r w:rsidR="004334B0" w:rsidRPr="002B3149">
        <w:rPr>
          <w:color w:val="auto"/>
        </w:rPr>
        <w:t xml:space="preserve"> &amp; Brigden, 2003</w:t>
      </w:r>
      <w:r w:rsidR="001E2532" w:rsidRPr="002B3149">
        <w:rPr>
          <w:color w:val="auto"/>
        </w:rPr>
        <w:t>)</w:t>
      </w:r>
    </w:p>
    <w:p w14:paraId="6FC50E2C" w14:textId="4960D0F6" w:rsidR="00FA4026" w:rsidRPr="002B3149" w:rsidRDefault="00A74A79" w:rsidP="00BA2C00">
      <w:pPr>
        <w:pStyle w:val="Nornal"/>
        <w:rPr>
          <w:color w:val="auto"/>
          <w:lang w:val="en-GB"/>
        </w:rPr>
      </w:pPr>
      <w:r w:rsidRPr="002B3149">
        <w:rPr>
          <w:color w:val="auto"/>
          <w:lang w:val="en-GB"/>
        </w:rPr>
        <w:t xml:space="preserve">Several trends are shaping labour demand and supply for </w:t>
      </w:r>
      <w:r w:rsidR="003D05C9" w:rsidRPr="002B3149">
        <w:rPr>
          <w:color w:val="auto"/>
          <w:lang w:val="en-GB"/>
        </w:rPr>
        <w:t>PC</w:t>
      </w:r>
      <w:r w:rsidRPr="002B3149">
        <w:rPr>
          <w:color w:val="auto"/>
          <w:lang w:val="en-GB"/>
        </w:rPr>
        <w:t xml:space="preserve">. </w:t>
      </w:r>
      <w:r w:rsidR="00764FF5" w:rsidRPr="002B3149">
        <w:rPr>
          <w:color w:val="auto"/>
          <w:lang w:val="en-GB"/>
        </w:rPr>
        <w:t xml:space="preserve">Labour demand at </w:t>
      </w:r>
      <w:r w:rsidR="00F2483C" w:rsidRPr="002B3149">
        <w:rPr>
          <w:color w:val="auto"/>
          <w:lang w:val="en-GB"/>
        </w:rPr>
        <w:t xml:space="preserve">ParcelCare </w:t>
      </w:r>
      <w:r w:rsidR="00764FF5" w:rsidRPr="002B3149">
        <w:rPr>
          <w:color w:val="auto"/>
          <w:lang w:val="en-GB"/>
        </w:rPr>
        <w:t>is rising due to e-commerce growth and the need for logistics, customer service, and tech skills to support automation (Lee, 2023). On the supply side, an aging workforce, early retirements, and post-Brexit immigration limits are reducing available labour (Hedge, 2012), while fewer young people are pursuing physically demanding logistics roles (Lampe, 2022).</w:t>
      </w:r>
    </w:p>
    <w:p w14:paraId="3EF02616" w14:textId="2405203D" w:rsidR="001531CE" w:rsidRPr="002B3149" w:rsidRDefault="004F520B" w:rsidP="00BA2C00">
      <w:pPr>
        <w:pStyle w:val="Nornal"/>
        <w:rPr>
          <w:color w:val="auto"/>
          <w:lang w:val="en-GB"/>
        </w:rPr>
      </w:pPr>
      <w:r w:rsidRPr="002B3149">
        <w:rPr>
          <w:color w:val="auto"/>
          <w:lang w:val="en-GB"/>
        </w:rPr>
        <w:t xml:space="preserve">A PESTLE analysis reveals key external pressures shaping </w:t>
      </w:r>
      <w:r w:rsidR="00F2483C" w:rsidRPr="002B3149">
        <w:rPr>
          <w:color w:val="auto"/>
          <w:lang w:val="en-GB"/>
        </w:rPr>
        <w:t xml:space="preserve">ParcelCare’s </w:t>
      </w:r>
      <w:r w:rsidRPr="002B3149">
        <w:rPr>
          <w:color w:val="auto"/>
          <w:lang w:val="en-GB"/>
        </w:rPr>
        <w:t>resourcing strategy. Post-Brexit immigration rules have limited access to international labour, while inflation is driving up wage expectations. There’s rising demand for flexible working, even in logistics. Automation and AI call for a more tech-savvy, continuously trained workforce. Changing laws on gig work and minimum wages affect costs, and growing sustainability demands may require green logistics reskilling (Marmol, 2015; CIPD, 2025).</w:t>
      </w:r>
    </w:p>
    <w:p w14:paraId="66188491" w14:textId="23CF156B" w:rsidR="001531CE" w:rsidRPr="002B3149" w:rsidRDefault="001531CE" w:rsidP="00BA2C00">
      <w:pPr>
        <w:pStyle w:val="Nornal"/>
        <w:rPr>
          <w:color w:val="auto"/>
        </w:rPr>
      </w:pPr>
      <w:r w:rsidRPr="002B3149">
        <w:rPr>
          <w:color w:val="auto"/>
          <w:lang w:val="en-GB"/>
        </w:rPr>
        <w:t xml:space="preserve">Given current labour market pressures, </w:t>
      </w:r>
      <w:r w:rsidR="00F2483C" w:rsidRPr="002B3149">
        <w:rPr>
          <w:color w:val="auto"/>
          <w:lang w:val="en-GB"/>
        </w:rPr>
        <w:t xml:space="preserve">ParcelCare </w:t>
      </w:r>
      <w:r w:rsidRPr="002B3149">
        <w:rPr>
          <w:color w:val="auto"/>
          <w:lang w:val="en-GB"/>
        </w:rPr>
        <w:t>must take a strategic, flexible approach to resourcing. This includes strengthening its employer brand, using data-driven recruitment, and building partnerships to access wider talent pools</w:t>
      </w:r>
      <w:r w:rsidR="005E0F02" w:rsidRPr="002B3149">
        <w:rPr>
          <w:color w:val="auto"/>
          <w:lang w:val="en-GB"/>
        </w:rPr>
        <w:t xml:space="preserve"> (Greene, 2024). </w:t>
      </w:r>
      <w:r w:rsidRPr="002B3149">
        <w:rPr>
          <w:color w:val="auto"/>
          <w:lang w:val="en-GB"/>
        </w:rPr>
        <w:t>Retention should focus on competitive pay, clear development paths, and wellbeing support. Investing in upskilling and internal talent will reduce reliance on external hires, while flexible workforce models can boost agility. With strong workforce planning and awareness of external trends, ParcelCare can stay competitive and position itself as an employer of choic</w:t>
      </w:r>
      <w:r w:rsidR="00B9170E" w:rsidRPr="002B3149">
        <w:rPr>
          <w:color w:val="auto"/>
          <w:lang w:val="en-GB"/>
        </w:rPr>
        <w:t xml:space="preserve">e (Pilbeam, 2010). </w:t>
      </w:r>
    </w:p>
    <w:p w14:paraId="4DCE69A6" w14:textId="77777777" w:rsidR="00521797" w:rsidRPr="002B3149" w:rsidRDefault="00521797" w:rsidP="00BA2C00">
      <w:pPr>
        <w:pStyle w:val="Nornal"/>
        <w:rPr>
          <w:b/>
          <w:bCs/>
          <w:color w:val="auto"/>
        </w:rPr>
      </w:pPr>
    </w:p>
    <w:p w14:paraId="6C180443" w14:textId="72EECA29" w:rsidR="00CB2134" w:rsidRPr="002B3149" w:rsidRDefault="00CB2134" w:rsidP="00BA2C00">
      <w:pPr>
        <w:pStyle w:val="Nornal"/>
        <w:rPr>
          <w:rStyle w:val="None"/>
          <w:color w:val="auto"/>
        </w:rPr>
      </w:pPr>
      <w:r w:rsidRPr="002B3149">
        <w:rPr>
          <w:rStyle w:val="None"/>
          <w:color w:val="auto"/>
        </w:rPr>
        <w:t>Analyse the impact of effective workforce planning.</w:t>
      </w:r>
    </w:p>
    <w:p w14:paraId="7A037C13" w14:textId="5701FDAB" w:rsidR="00CB2134" w:rsidRPr="002B3149" w:rsidRDefault="00EE50E1" w:rsidP="00BA2C00">
      <w:pPr>
        <w:pStyle w:val="Nornal"/>
        <w:rPr>
          <w:color w:val="auto"/>
          <w:lang w:val="en-GB"/>
        </w:rPr>
      </w:pPr>
      <w:r w:rsidRPr="002B3149">
        <w:rPr>
          <w:color w:val="auto"/>
          <w:lang w:val="en-GB"/>
        </w:rPr>
        <w:t xml:space="preserve">Workforce planning is the strategic </w:t>
      </w:r>
      <w:r w:rsidR="00D33AC4" w:rsidRPr="002B3149">
        <w:rPr>
          <w:color w:val="auto"/>
          <w:lang w:val="en-GB"/>
        </w:rPr>
        <w:t>procedure</w:t>
      </w:r>
      <w:r w:rsidRPr="002B3149">
        <w:rPr>
          <w:color w:val="auto"/>
          <w:lang w:val="en-GB"/>
        </w:rPr>
        <w:t xml:space="preserve"> of forecasting and aligning a </w:t>
      </w:r>
      <w:r w:rsidR="00D33AC4">
        <w:rPr>
          <w:color w:val="auto"/>
          <w:lang w:val="en-GB"/>
        </w:rPr>
        <w:t>businesses’</w:t>
      </w:r>
      <w:r w:rsidRPr="002B3149">
        <w:rPr>
          <w:color w:val="auto"/>
          <w:lang w:val="en-GB"/>
        </w:rPr>
        <w:t xml:space="preserve"> </w:t>
      </w:r>
      <w:r w:rsidR="00D33AC4" w:rsidRPr="002B3149">
        <w:rPr>
          <w:color w:val="auto"/>
          <w:lang w:val="en-GB"/>
        </w:rPr>
        <w:t>recruitment</w:t>
      </w:r>
      <w:r w:rsidRPr="002B3149">
        <w:rPr>
          <w:color w:val="auto"/>
          <w:lang w:val="en-GB"/>
        </w:rPr>
        <w:t xml:space="preserve"> needs to ensure the </w:t>
      </w:r>
      <w:r w:rsidR="00AE2913" w:rsidRPr="002B3149">
        <w:rPr>
          <w:color w:val="auto"/>
          <w:lang w:val="en-GB"/>
        </w:rPr>
        <w:t>correct</w:t>
      </w:r>
      <w:r w:rsidRPr="002B3149">
        <w:rPr>
          <w:color w:val="auto"/>
          <w:lang w:val="en-GB"/>
        </w:rPr>
        <w:t xml:space="preserve"> </w:t>
      </w:r>
      <w:r w:rsidR="00AE2913" w:rsidRPr="002B3149">
        <w:rPr>
          <w:color w:val="auto"/>
          <w:lang w:val="en-GB"/>
        </w:rPr>
        <w:t>individuals</w:t>
      </w:r>
      <w:r w:rsidRPr="002B3149">
        <w:rPr>
          <w:color w:val="auto"/>
          <w:lang w:val="en-GB"/>
        </w:rPr>
        <w:t xml:space="preserve"> are in the </w:t>
      </w:r>
      <w:r w:rsidR="00AE2913" w:rsidRPr="002B3149">
        <w:rPr>
          <w:color w:val="auto"/>
          <w:lang w:val="en-GB"/>
        </w:rPr>
        <w:t>accurate</w:t>
      </w:r>
      <w:r w:rsidRPr="002B3149">
        <w:rPr>
          <w:color w:val="auto"/>
          <w:lang w:val="en-GB"/>
        </w:rPr>
        <w:t xml:space="preserve"> roles at the </w:t>
      </w:r>
      <w:r w:rsidR="00AE2913" w:rsidRPr="002B3149">
        <w:rPr>
          <w:color w:val="auto"/>
          <w:lang w:val="en-GB"/>
        </w:rPr>
        <w:t>correct</w:t>
      </w:r>
      <w:r w:rsidRPr="002B3149">
        <w:rPr>
          <w:color w:val="auto"/>
          <w:lang w:val="en-GB"/>
        </w:rPr>
        <w:t xml:space="preserve"> time (CIPD, 2024). </w:t>
      </w:r>
      <w:r w:rsidR="007E75B6" w:rsidRPr="002B3149">
        <w:rPr>
          <w:color w:val="auto"/>
          <w:lang w:val="en-GB"/>
        </w:rPr>
        <w:br/>
        <w:t xml:space="preserve">ParcelCare </w:t>
      </w:r>
      <w:r w:rsidR="00F2483C" w:rsidRPr="002B3149">
        <w:rPr>
          <w:color w:val="auto"/>
          <w:lang w:val="en-GB"/>
        </w:rPr>
        <w:t>has</w:t>
      </w:r>
      <w:r w:rsidR="007E75B6" w:rsidRPr="002B3149">
        <w:rPr>
          <w:color w:val="auto"/>
          <w:lang w:val="en-GB"/>
        </w:rPr>
        <w:t xml:space="preserve"> not </w:t>
      </w:r>
      <w:r w:rsidR="00AE2913" w:rsidRPr="002B3149">
        <w:rPr>
          <w:color w:val="auto"/>
          <w:lang w:val="en-GB"/>
        </w:rPr>
        <w:t>formerly</w:t>
      </w:r>
      <w:r w:rsidR="007E75B6" w:rsidRPr="002B3149">
        <w:rPr>
          <w:color w:val="auto"/>
          <w:lang w:val="en-GB"/>
        </w:rPr>
        <w:t xml:space="preserve"> used workforce planning, </w:t>
      </w:r>
      <w:r w:rsidR="00AE2913">
        <w:rPr>
          <w:color w:val="auto"/>
          <w:lang w:val="en-GB"/>
        </w:rPr>
        <w:t>which probably contributed</w:t>
      </w:r>
      <w:r w:rsidR="007E75B6" w:rsidRPr="002B3149">
        <w:rPr>
          <w:color w:val="auto"/>
          <w:lang w:val="en-GB"/>
        </w:rPr>
        <w:t xml:space="preserve"> to challenges in attracting, recruiting, and retaining staff. Implementing it will support more </w:t>
      </w:r>
      <w:r w:rsidR="007E75B6" w:rsidRPr="002B3149">
        <w:rPr>
          <w:color w:val="auto"/>
          <w:lang w:val="en-GB"/>
        </w:rPr>
        <w:lastRenderedPageBreak/>
        <w:t xml:space="preserve">informed, proactive, and long-term staffing decisions, </w:t>
      </w:r>
      <w:r w:rsidR="005443CE" w:rsidRPr="002B3149">
        <w:rPr>
          <w:color w:val="auto"/>
          <w:lang w:val="en-GB"/>
        </w:rPr>
        <w:t>reduce</w:t>
      </w:r>
      <w:r w:rsidR="007E75B6" w:rsidRPr="002B3149">
        <w:rPr>
          <w:color w:val="auto"/>
          <w:lang w:val="en-GB"/>
        </w:rPr>
        <w:t xml:space="preserve"> disruptions and </w:t>
      </w:r>
      <w:r w:rsidR="005443CE" w:rsidRPr="002B3149">
        <w:rPr>
          <w:color w:val="auto"/>
          <w:lang w:val="en-GB"/>
        </w:rPr>
        <w:t>improve</w:t>
      </w:r>
      <w:r w:rsidR="007E75B6" w:rsidRPr="002B3149">
        <w:rPr>
          <w:color w:val="auto"/>
          <w:lang w:val="en-GB"/>
        </w:rPr>
        <w:t xml:space="preserve"> service delivery</w:t>
      </w:r>
      <w:r w:rsidR="005443CE" w:rsidRPr="002B3149">
        <w:rPr>
          <w:color w:val="auto"/>
          <w:lang w:val="en-GB"/>
        </w:rPr>
        <w:t xml:space="preserve"> (Harper, 2013). </w:t>
      </w:r>
    </w:p>
    <w:p w14:paraId="38CEACB4" w14:textId="0CFC16C0" w:rsidR="005443CE" w:rsidRPr="002B3149" w:rsidRDefault="00A02C79" w:rsidP="00BA2C00">
      <w:pPr>
        <w:pStyle w:val="Nornal"/>
        <w:rPr>
          <w:color w:val="auto"/>
          <w:lang w:val="en-GB"/>
        </w:rPr>
      </w:pPr>
      <w:r w:rsidRPr="002B3149">
        <w:rPr>
          <w:color w:val="auto"/>
          <w:lang w:val="en-GB"/>
        </w:rPr>
        <w:t>Workforce planning allows ParcelCare to forecast future staffing requirements by analysing projected workloads, seasonal variations, business development, technological advancements, and evolving customer expectations</w:t>
      </w:r>
      <w:r w:rsidR="007277AD" w:rsidRPr="002B3149">
        <w:rPr>
          <w:color w:val="auto"/>
          <w:lang w:val="en-GB"/>
        </w:rPr>
        <w:t xml:space="preserve"> (Gibson, 2021).</w:t>
      </w:r>
      <w:r w:rsidRPr="002B3149">
        <w:rPr>
          <w:color w:val="auto"/>
          <w:lang w:val="en-GB"/>
        </w:rPr>
        <w:t xml:space="preserve"> This proactive approach helps the company maintain optimal staffing levels, avoiding the pitfalls of understaffing</w:t>
      </w:r>
      <w:r w:rsidR="007277AD" w:rsidRPr="002B3149">
        <w:rPr>
          <w:color w:val="auto"/>
          <w:lang w:val="en-GB"/>
        </w:rPr>
        <w:t xml:space="preserve">, </w:t>
      </w:r>
      <w:r w:rsidRPr="002B3149">
        <w:rPr>
          <w:color w:val="auto"/>
          <w:lang w:val="en-GB"/>
        </w:rPr>
        <w:t xml:space="preserve">such as delivery delays, </w:t>
      </w:r>
      <w:r w:rsidR="007277AD" w:rsidRPr="002B3149">
        <w:rPr>
          <w:color w:val="auto"/>
          <w:lang w:val="en-GB"/>
        </w:rPr>
        <w:t>reduced</w:t>
      </w:r>
      <w:r w:rsidRPr="002B3149">
        <w:rPr>
          <w:color w:val="auto"/>
          <w:lang w:val="en-GB"/>
        </w:rPr>
        <w:t xml:space="preserve"> customer </w:t>
      </w:r>
      <w:r w:rsidR="007277AD" w:rsidRPr="002B3149">
        <w:rPr>
          <w:color w:val="auto"/>
          <w:lang w:val="en-GB"/>
        </w:rPr>
        <w:t>fulfilment</w:t>
      </w:r>
      <w:r w:rsidRPr="002B3149">
        <w:rPr>
          <w:color w:val="auto"/>
          <w:lang w:val="en-GB"/>
        </w:rPr>
        <w:t>, and employee fatigue</w:t>
      </w:r>
      <w:r w:rsidR="007277AD" w:rsidRPr="002B3149">
        <w:rPr>
          <w:color w:val="auto"/>
          <w:lang w:val="en-GB"/>
        </w:rPr>
        <w:t xml:space="preserve">. This can be done </w:t>
      </w:r>
      <w:r w:rsidRPr="002B3149">
        <w:rPr>
          <w:color w:val="auto"/>
          <w:lang w:val="en-GB"/>
        </w:rPr>
        <w:t>while also preventing the excess costs associated with overstaffing</w:t>
      </w:r>
      <w:r w:rsidR="0058219D" w:rsidRPr="002B3149">
        <w:rPr>
          <w:color w:val="auto"/>
          <w:lang w:val="en-GB"/>
        </w:rPr>
        <w:t xml:space="preserve"> (Picardi, 2020).</w:t>
      </w:r>
      <w:r w:rsidRPr="002B3149">
        <w:rPr>
          <w:color w:val="auto"/>
          <w:lang w:val="en-GB"/>
        </w:rPr>
        <w:t xml:space="preserve"> By anticipating peak periods like holidays, ParcelCare can ensure that sufficient resources are in place to meet demand</w:t>
      </w:r>
      <w:r w:rsidR="00C21F4C" w:rsidRPr="002B3149">
        <w:rPr>
          <w:color w:val="auto"/>
          <w:lang w:val="en-GB"/>
        </w:rPr>
        <w:t xml:space="preserve"> (Emmerichs, 2003). </w:t>
      </w:r>
      <w:r w:rsidRPr="002B3149">
        <w:rPr>
          <w:color w:val="auto"/>
          <w:lang w:val="en-GB"/>
        </w:rPr>
        <w:t xml:space="preserve">Additionally, effective workforce planning supports strategic initiatives, such as launching new services or entering new markets, by </w:t>
      </w:r>
      <w:r w:rsidR="00B73585" w:rsidRPr="002B3149">
        <w:rPr>
          <w:color w:val="auto"/>
          <w:lang w:val="en-GB"/>
        </w:rPr>
        <w:t>positioning</w:t>
      </w:r>
      <w:r w:rsidRPr="002B3149">
        <w:rPr>
          <w:color w:val="auto"/>
          <w:lang w:val="en-GB"/>
        </w:rPr>
        <w:t xml:space="preserve"> </w:t>
      </w:r>
      <w:r w:rsidR="00B73585" w:rsidRPr="002B3149">
        <w:rPr>
          <w:color w:val="auto"/>
          <w:lang w:val="en-GB"/>
        </w:rPr>
        <w:t>labour</w:t>
      </w:r>
      <w:r w:rsidRPr="002B3149">
        <w:rPr>
          <w:color w:val="auto"/>
          <w:lang w:val="en-GB"/>
        </w:rPr>
        <w:t xml:space="preserve"> capacity with the company’s </w:t>
      </w:r>
      <w:r w:rsidR="00B73585" w:rsidRPr="002B3149">
        <w:rPr>
          <w:color w:val="auto"/>
          <w:lang w:val="en-GB"/>
        </w:rPr>
        <w:t>development</w:t>
      </w:r>
      <w:r w:rsidRPr="002B3149">
        <w:rPr>
          <w:color w:val="auto"/>
          <w:lang w:val="en-GB"/>
        </w:rPr>
        <w:t xml:space="preserve"> objectives</w:t>
      </w:r>
      <w:r w:rsidR="00B73585" w:rsidRPr="002B3149">
        <w:rPr>
          <w:color w:val="auto"/>
          <w:lang w:val="en-GB"/>
        </w:rPr>
        <w:t xml:space="preserve"> (</w:t>
      </w:r>
      <w:r w:rsidR="00C21F4C" w:rsidRPr="002B3149">
        <w:rPr>
          <w:color w:val="auto"/>
          <w:lang w:val="en-GB"/>
        </w:rPr>
        <w:t xml:space="preserve">CIPD, 2018). </w:t>
      </w:r>
    </w:p>
    <w:p w14:paraId="0533AC5E" w14:textId="493BE659" w:rsidR="00EB5EFD" w:rsidRPr="002B3149" w:rsidRDefault="00EF66C5" w:rsidP="00BA2C00">
      <w:pPr>
        <w:pStyle w:val="Nornal"/>
        <w:rPr>
          <w:color w:val="auto"/>
        </w:rPr>
      </w:pPr>
      <w:r w:rsidRPr="002B3149">
        <w:rPr>
          <w:color w:val="auto"/>
          <w:lang w:val="en-GB"/>
        </w:rPr>
        <w:t>Recognising</w:t>
      </w:r>
      <w:r w:rsidR="00434A8A" w:rsidRPr="002B3149">
        <w:rPr>
          <w:color w:val="auto"/>
          <w:lang w:val="en-GB"/>
        </w:rPr>
        <w:t xml:space="preserve"> and </w:t>
      </w:r>
      <w:r w:rsidRPr="002B3149">
        <w:rPr>
          <w:color w:val="auto"/>
          <w:lang w:val="en-GB"/>
        </w:rPr>
        <w:t>investigating</w:t>
      </w:r>
      <w:r w:rsidR="00434A8A" w:rsidRPr="002B3149">
        <w:rPr>
          <w:color w:val="auto"/>
          <w:lang w:val="en-GB"/>
        </w:rPr>
        <w:t xml:space="preserve"> gaps between supply and demand </w:t>
      </w:r>
      <w:r w:rsidR="00CC6EE7" w:rsidRPr="002B3149">
        <w:rPr>
          <w:color w:val="auto"/>
          <w:lang w:val="en-GB"/>
        </w:rPr>
        <w:t>will also help</w:t>
      </w:r>
      <w:r w:rsidR="00434A8A" w:rsidRPr="002B3149">
        <w:rPr>
          <w:color w:val="auto"/>
          <w:lang w:val="en-GB"/>
        </w:rPr>
        <w:t xml:space="preserve"> ParcelCare</w:t>
      </w:r>
      <w:r w:rsidR="00A65A6C" w:rsidRPr="002B3149">
        <w:rPr>
          <w:color w:val="auto"/>
          <w:lang w:val="en-GB"/>
        </w:rPr>
        <w:t xml:space="preserve"> spot where there aren’t enough staff, the right kind of skills, or people in the right locations</w:t>
      </w:r>
      <w:r w:rsidR="00297605" w:rsidRPr="002B3149">
        <w:rPr>
          <w:color w:val="auto"/>
          <w:lang w:val="en-GB"/>
        </w:rPr>
        <w:t>.</w:t>
      </w:r>
      <w:r w:rsidR="00A65A6C" w:rsidRPr="002B3149">
        <w:rPr>
          <w:color w:val="auto"/>
          <w:lang w:val="en-GB"/>
        </w:rPr>
        <w:t xml:space="preserve"> It shows where there’s a shortage of trained workers like drivers or planners, and where it’s tough to keep certain roles filled</w:t>
      </w:r>
      <w:r w:rsidR="00297605" w:rsidRPr="002B3149">
        <w:rPr>
          <w:color w:val="auto"/>
          <w:lang w:val="en-GB"/>
        </w:rPr>
        <w:t xml:space="preserve"> </w:t>
      </w:r>
      <w:r w:rsidR="006D1BB7" w:rsidRPr="002B3149">
        <w:rPr>
          <w:color w:val="auto"/>
          <w:lang w:val="en-GB"/>
        </w:rPr>
        <w:t xml:space="preserve">(Ke, Yang, 2019). </w:t>
      </w:r>
      <w:r w:rsidR="00A65A6C" w:rsidRPr="002B3149">
        <w:rPr>
          <w:color w:val="auto"/>
          <w:lang w:val="en-GB"/>
        </w:rPr>
        <w:t>It also points out when the company is relying too much on temporary staff, which might not work long-term. On top of that, it helps flag future gaps in leadership or specialist roles early on. With this information, ParcelCare can focus its efforts where they’ll make the biggest difference, making sure the team is set up to meet customer needs and keep services running smoothly</w:t>
      </w:r>
      <w:r w:rsidR="00176556" w:rsidRPr="002B3149">
        <w:rPr>
          <w:color w:val="auto"/>
          <w:lang w:val="en-GB"/>
        </w:rPr>
        <w:t xml:space="preserve"> (CIPD, </w:t>
      </w:r>
      <w:r w:rsidR="00E3175A" w:rsidRPr="002B3149">
        <w:rPr>
          <w:color w:val="auto"/>
          <w:lang w:val="en-GB"/>
        </w:rPr>
        <w:t xml:space="preserve">2024 &amp; </w:t>
      </w:r>
      <w:r w:rsidR="00E3175A" w:rsidRPr="002B3149">
        <w:rPr>
          <w:color w:val="auto"/>
        </w:rPr>
        <w:t xml:space="preserve">Carbonneau, 2008). </w:t>
      </w:r>
    </w:p>
    <w:p w14:paraId="3B5EBE2D" w14:textId="6FCD6A4F" w:rsidR="00E3175A" w:rsidRPr="002B3149" w:rsidRDefault="00B808AC" w:rsidP="00BA2C00">
      <w:pPr>
        <w:pStyle w:val="Nornal"/>
        <w:rPr>
          <w:color w:val="auto"/>
          <w:lang w:val="en-GB"/>
        </w:rPr>
      </w:pPr>
      <w:r w:rsidRPr="002B3149">
        <w:rPr>
          <w:color w:val="auto"/>
          <w:lang w:val="en-GB"/>
        </w:rPr>
        <w:t>ParcelCare should review its internal talent pipeline and the external labour market to gauge its ability to meet future staffing needs (Bidwell, 2014). Internal insights can highlight chances for promotions, reskilling, and role shifts, reducing hiring costs and boosting morale. Monitoring the external market helps prepare for competitive recruitment, especially in high-demand areas</w:t>
      </w:r>
      <w:r w:rsidR="001C35D2" w:rsidRPr="002B3149">
        <w:rPr>
          <w:color w:val="auto"/>
          <w:lang w:val="en-GB"/>
        </w:rPr>
        <w:t xml:space="preserve"> </w:t>
      </w:r>
      <w:r w:rsidR="00A25B20" w:rsidRPr="002B3149">
        <w:rPr>
          <w:color w:val="auto"/>
          <w:lang w:val="en-GB"/>
        </w:rPr>
        <w:t>(</w:t>
      </w:r>
      <w:r w:rsidR="001C35D2" w:rsidRPr="002B3149">
        <w:rPr>
          <w:color w:val="auto"/>
        </w:rPr>
        <w:t>Schmidt, 20</w:t>
      </w:r>
      <w:r w:rsidR="00A25B20" w:rsidRPr="002B3149">
        <w:rPr>
          <w:color w:val="auto"/>
        </w:rPr>
        <w:t>18)</w:t>
      </w:r>
      <w:r w:rsidRPr="002B3149">
        <w:rPr>
          <w:color w:val="auto"/>
          <w:lang w:val="en-GB"/>
        </w:rPr>
        <w:t>. Understanding trends like flexible work and benefits allows ParcelCare to better tailor its employer offerings</w:t>
      </w:r>
      <w:r w:rsidR="001C35D2" w:rsidRPr="002B3149">
        <w:rPr>
          <w:color w:val="auto"/>
          <w:lang w:val="en-GB"/>
        </w:rPr>
        <w:t xml:space="preserve"> </w:t>
      </w:r>
      <w:r w:rsidR="007F1BA7" w:rsidRPr="002B3149">
        <w:rPr>
          <w:color w:val="auto"/>
          <w:lang w:val="en-GB"/>
        </w:rPr>
        <w:t xml:space="preserve">(Lee, 2015). </w:t>
      </w:r>
    </w:p>
    <w:p w14:paraId="443F83C4" w14:textId="67B413AD" w:rsidR="00591CD5" w:rsidRPr="002B3149" w:rsidRDefault="009304D6" w:rsidP="00BA2C00">
      <w:pPr>
        <w:pStyle w:val="Nornal"/>
        <w:rPr>
          <w:color w:val="auto"/>
          <w:lang w:val="en-GB"/>
        </w:rPr>
      </w:pPr>
      <w:r w:rsidRPr="002B3149">
        <w:rPr>
          <w:color w:val="auto"/>
          <w:lang w:val="en-GB"/>
        </w:rPr>
        <w:t xml:space="preserve">In conclusion, </w:t>
      </w:r>
      <w:r w:rsidR="00F55E62" w:rsidRPr="002B3149">
        <w:rPr>
          <w:color w:val="auto"/>
          <w:lang w:val="en-GB"/>
        </w:rPr>
        <w:t>effective workforce planning enables ParcelCare to use labour more efficiently, lower staffing costs, and improve service quality through better staffing alignment. It also boosts employee engagement, reduces turnover, increases agility, and strengthens the company’s ability to achieve long-term goals</w:t>
      </w:r>
      <w:r w:rsidR="008E7316" w:rsidRPr="002B3149">
        <w:rPr>
          <w:color w:val="auto"/>
          <w:lang w:val="en-GB"/>
        </w:rPr>
        <w:t xml:space="preserve"> (</w:t>
      </w:r>
      <w:r w:rsidR="001A0197" w:rsidRPr="002B3149">
        <w:rPr>
          <w:color w:val="auto"/>
          <w:lang w:val="en-GB"/>
        </w:rPr>
        <w:t xml:space="preserve">Greene, 2020). </w:t>
      </w:r>
    </w:p>
    <w:p w14:paraId="45FC7FBF" w14:textId="77777777" w:rsidR="00591CD5" w:rsidRPr="002B3149" w:rsidRDefault="00591CD5" w:rsidP="00BA2C00">
      <w:pPr>
        <w:pStyle w:val="Nornal"/>
        <w:rPr>
          <w:color w:val="auto"/>
          <w:lang w:val="en-GB"/>
        </w:rPr>
      </w:pPr>
    </w:p>
    <w:p w14:paraId="7A351D99" w14:textId="7A7256E6" w:rsidR="005F2FF4" w:rsidRPr="002B3149" w:rsidRDefault="004207BE" w:rsidP="00BA2C00">
      <w:pPr>
        <w:pStyle w:val="Nornal"/>
        <w:rPr>
          <w:color w:val="auto"/>
        </w:rPr>
      </w:pPr>
      <w:r w:rsidRPr="002B3149">
        <w:rPr>
          <w:color w:val="auto"/>
        </w:rPr>
        <w:t>Evaluate the techniques used to support the process of workforce planning.</w:t>
      </w:r>
    </w:p>
    <w:p w14:paraId="5D04E370" w14:textId="1CF37F07" w:rsidR="00751E55" w:rsidRPr="002B3149" w:rsidRDefault="00751E55" w:rsidP="00956205">
      <w:pPr>
        <w:pStyle w:val="Nornal"/>
        <w:rPr>
          <w:color w:val="auto"/>
          <w:lang w:val="en-GB"/>
        </w:rPr>
      </w:pPr>
      <w:r w:rsidRPr="002B3149">
        <w:rPr>
          <w:color w:val="auto"/>
          <w:lang w:val="en-GB"/>
        </w:rPr>
        <w:t xml:space="preserve">Effective workforce planning is vital for ParcelCare to address </w:t>
      </w:r>
      <w:r w:rsidR="002D682E">
        <w:rPr>
          <w:color w:val="auto"/>
          <w:lang w:val="en-GB"/>
        </w:rPr>
        <w:t>difficulties</w:t>
      </w:r>
      <w:r w:rsidRPr="002B3149">
        <w:rPr>
          <w:color w:val="auto"/>
          <w:lang w:val="en-GB"/>
        </w:rPr>
        <w:t xml:space="preserve"> in attracting, recruiting, and </w:t>
      </w:r>
      <w:r w:rsidR="00ED558D">
        <w:rPr>
          <w:color w:val="auto"/>
          <w:lang w:val="en-GB"/>
        </w:rPr>
        <w:t>keeping</w:t>
      </w:r>
      <w:r w:rsidRPr="002B3149">
        <w:rPr>
          <w:color w:val="auto"/>
          <w:lang w:val="en-GB"/>
        </w:rPr>
        <w:t xml:space="preserve"> staff by ensuring the </w:t>
      </w:r>
      <w:r w:rsidR="00ED558D" w:rsidRPr="002B3149">
        <w:rPr>
          <w:color w:val="auto"/>
          <w:lang w:val="en-GB"/>
        </w:rPr>
        <w:t>correct</w:t>
      </w:r>
      <w:r w:rsidRPr="002B3149">
        <w:rPr>
          <w:color w:val="auto"/>
          <w:lang w:val="en-GB"/>
        </w:rPr>
        <w:t xml:space="preserve"> </w:t>
      </w:r>
      <w:r w:rsidR="00ED558D" w:rsidRPr="002B3149">
        <w:rPr>
          <w:color w:val="auto"/>
          <w:lang w:val="en-GB"/>
        </w:rPr>
        <w:t>individuals</w:t>
      </w:r>
      <w:r w:rsidRPr="002B3149">
        <w:rPr>
          <w:color w:val="auto"/>
          <w:lang w:val="en-GB"/>
        </w:rPr>
        <w:t xml:space="preserve"> with the </w:t>
      </w:r>
      <w:r w:rsidR="00ED558D" w:rsidRPr="002B3149">
        <w:rPr>
          <w:color w:val="auto"/>
          <w:lang w:val="en-GB"/>
        </w:rPr>
        <w:t>correct</w:t>
      </w:r>
      <w:r w:rsidRPr="002B3149">
        <w:rPr>
          <w:color w:val="auto"/>
          <w:lang w:val="en-GB"/>
        </w:rPr>
        <w:t xml:space="preserve"> skills fill the </w:t>
      </w:r>
      <w:r w:rsidR="005F2E47" w:rsidRPr="002B3149">
        <w:rPr>
          <w:color w:val="auto"/>
          <w:lang w:val="en-GB"/>
        </w:rPr>
        <w:t>correct</w:t>
      </w:r>
      <w:r w:rsidRPr="002B3149">
        <w:rPr>
          <w:color w:val="auto"/>
          <w:lang w:val="en-GB"/>
        </w:rPr>
        <w:t xml:space="preserve"> </w:t>
      </w:r>
      <w:r w:rsidR="005F2E47">
        <w:rPr>
          <w:color w:val="auto"/>
          <w:lang w:val="en-GB"/>
        </w:rPr>
        <w:t>jobs</w:t>
      </w:r>
      <w:r w:rsidRPr="002B3149">
        <w:rPr>
          <w:color w:val="auto"/>
          <w:lang w:val="en-GB"/>
        </w:rPr>
        <w:t xml:space="preserve"> at the </w:t>
      </w:r>
      <w:r w:rsidR="005F2E47" w:rsidRPr="002B3149">
        <w:rPr>
          <w:color w:val="auto"/>
          <w:lang w:val="en-GB"/>
        </w:rPr>
        <w:t>correct</w:t>
      </w:r>
      <w:r w:rsidRPr="002B3149">
        <w:rPr>
          <w:color w:val="auto"/>
          <w:lang w:val="en-GB"/>
        </w:rPr>
        <w:t xml:space="preserve"> time. Various </w:t>
      </w:r>
      <w:r w:rsidR="005F2E47" w:rsidRPr="002B3149">
        <w:rPr>
          <w:color w:val="auto"/>
          <w:lang w:val="en-GB"/>
        </w:rPr>
        <w:t>methods</w:t>
      </w:r>
      <w:r w:rsidRPr="002B3149">
        <w:rPr>
          <w:color w:val="auto"/>
          <w:lang w:val="en-GB"/>
        </w:rPr>
        <w:t xml:space="preserve"> can aid this process, each with strengths and limitations </w:t>
      </w:r>
      <w:r w:rsidR="005F2E47" w:rsidRPr="002B3149">
        <w:rPr>
          <w:color w:val="auto"/>
          <w:lang w:val="en-GB"/>
        </w:rPr>
        <w:t>dependent</w:t>
      </w:r>
      <w:r w:rsidRPr="002B3149">
        <w:rPr>
          <w:color w:val="auto"/>
          <w:lang w:val="en-GB"/>
        </w:rPr>
        <w:t xml:space="preserve"> on the </w:t>
      </w:r>
      <w:r w:rsidR="005F2E47" w:rsidRPr="002B3149">
        <w:rPr>
          <w:color w:val="auto"/>
          <w:lang w:val="en-GB"/>
        </w:rPr>
        <w:t>setting</w:t>
      </w:r>
      <w:r w:rsidRPr="002B3149">
        <w:rPr>
          <w:color w:val="auto"/>
          <w:lang w:val="en-GB"/>
        </w:rPr>
        <w:t xml:space="preserve"> (CIPD, 2023).</w:t>
      </w:r>
    </w:p>
    <w:p w14:paraId="517E07AC" w14:textId="10936100" w:rsidR="00956205" w:rsidRPr="002B3149" w:rsidRDefault="00E73F79" w:rsidP="00956205">
      <w:pPr>
        <w:pStyle w:val="Nornal"/>
        <w:rPr>
          <w:color w:val="auto"/>
          <w:lang w:val="en-GB"/>
        </w:rPr>
      </w:pPr>
      <w:r w:rsidRPr="002B3149">
        <w:rPr>
          <w:color w:val="auto"/>
          <w:lang w:val="en-GB"/>
        </w:rPr>
        <w:t>Managerial judgement uses the experience of line managers and leaders to forecast staffing needs. At ParcelCare, regional managers provide valuable insights into seasonal trends and local issues, revealing factors data might miss, like policy changes or expansions (Zekan, 2021; Crawford, 2024; Long, 2011).</w:t>
      </w:r>
      <w:r w:rsidR="00CA044A" w:rsidRPr="002B3149">
        <w:rPr>
          <w:color w:val="auto"/>
          <w:lang w:val="en-GB"/>
        </w:rPr>
        <w:br/>
        <w:t>However, this subjective approach risks bias and inaccurate forecasts, especially without data support, in fast-changing environments or with less experienced managers (Muir, 2022; Bansal, 2016).</w:t>
      </w:r>
      <w:r w:rsidR="00CA044A" w:rsidRPr="002B3149">
        <w:rPr>
          <w:color w:val="auto"/>
          <w:lang w:val="en-GB"/>
        </w:rPr>
        <w:br/>
      </w:r>
      <w:r w:rsidR="00956205" w:rsidRPr="002B3149">
        <w:rPr>
          <w:color w:val="auto"/>
          <w:lang w:val="en-GB"/>
        </w:rPr>
        <w:lastRenderedPageBreak/>
        <w:t>For a large and decentralised organisation like ParcelCare, managerial judgement is most effective when combined with data-driven methods to balance local insight with objective analysis (Raff, 2017).</w:t>
      </w:r>
    </w:p>
    <w:p w14:paraId="495EC584" w14:textId="700FED56" w:rsidR="00E32FA8" w:rsidRPr="002B3149" w:rsidRDefault="00E32FA8" w:rsidP="00E32FA8">
      <w:pPr>
        <w:pStyle w:val="Nornal"/>
        <w:rPr>
          <w:color w:val="auto"/>
        </w:rPr>
      </w:pPr>
      <w:r w:rsidRPr="002B3149">
        <w:rPr>
          <w:color w:val="auto"/>
        </w:rPr>
        <w:t>Systemic approaches like scenario planning and HR analytics use data-driven techniques such as trend analysis and forecasting to project future workforce needs</w:t>
      </w:r>
      <w:r w:rsidR="00E460AA" w:rsidRPr="002B3149">
        <w:rPr>
          <w:color w:val="auto"/>
        </w:rPr>
        <w:t xml:space="preserve"> (Dima, 2015).</w:t>
      </w:r>
      <w:r w:rsidRPr="002B3149">
        <w:rPr>
          <w:color w:val="auto"/>
        </w:rPr>
        <w:t xml:space="preserve"> They offer strategic insight and are well-suited to ParcelCare’s need to prepare for disruptions like automation, fuel price changes, and shifts in e-commerce delivery</w:t>
      </w:r>
      <w:r w:rsidR="00771A51" w:rsidRPr="002B3149">
        <w:rPr>
          <w:color w:val="auto"/>
        </w:rPr>
        <w:t xml:space="preserve"> (Syedain, 2010).</w:t>
      </w:r>
    </w:p>
    <w:p w14:paraId="53CC2C1F" w14:textId="6EA06038" w:rsidR="00E32FA8" w:rsidRPr="002B3149" w:rsidRDefault="00E32FA8" w:rsidP="00E32FA8">
      <w:pPr>
        <w:pStyle w:val="Nornal"/>
        <w:rPr>
          <w:color w:val="auto"/>
        </w:rPr>
      </w:pPr>
      <w:r w:rsidRPr="002B3149">
        <w:rPr>
          <w:color w:val="auto"/>
        </w:rPr>
        <w:t>However, these methods require advanced data capabilities that ParcelCare may still be developing, and their implementation can be complex and resource-intensive</w:t>
      </w:r>
      <w:r w:rsidR="00C85944" w:rsidRPr="002B3149">
        <w:rPr>
          <w:color w:val="auto"/>
        </w:rPr>
        <w:t xml:space="preserve"> (</w:t>
      </w:r>
      <w:r w:rsidR="00C85944" w:rsidRPr="002B3149">
        <w:rPr>
          <w:color w:val="auto"/>
          <w:lang w:val="en-GB"/>
        </w:rPr>
        <w:t>Ashton, 2005).</w:t>
      </w:r>
    </w:p>
    <w:p w14:paraId="5AC592ED" w14:textId="7AD58C2A" w:rsidR="00E32FA8" w:rsidRPr="002B3149" w:rsidRDefault="00E32FA8" w:rsidP="00E32FA8">
      <w:pPr>
        <w:pStyle w:val="Nornal"/>
        <w:rPr>
          <w:color w:val="auto"/>
        </w:rPr>
      </w:pPr>
      <w:r w:rsidRPr="002B3149">
        <w:rPr>
          <w:color w:val="auto"/>
        </w:rPr>
        <w:t>With the right investment in HR technology and analytics, systemic approaches could significantly enhance ParcelCare’s long-term workforce planning</w:t>
      </w:r>
      <w:r w:rsidR="00995BE2" w:rsidRPr="002B3149">
        <w:rPr>
          <w:color w:val="auto"/>
        </w:rPr>
        <w:t xml:space="preserve"> (CIPD, 202</w:t>
      </w:r>
      <w:r w:rsidR="00A302FE" w:rsidRPr="002B3149">
        <w:rPr>
          <w:color w:val="auto"/>
        </w:rPr>
        <w:t xml:space="preserve">3). </w:t>
      </w:r>
    </w:p>
    <w:p w14:paraId="64378562" w14:textId="77777777" w:rsidR="00063D9D" w:rsidRPr="002B3149" w:rsidRDefault="00063D9D" w:rsidP="00BA2C00">
      <w:pPr>
        <w:pStyle w:val="Nornal"/>
        <w:rPr>
          <w:color w:val="auto"/>
          <w:lang w:val="en-GB"/>
        </w:rPr>
      </w:pPr>
      <w:r w:rsidRPr="002B3149">
        <w:rPr>
          <w:color w:val="auto"/>
          <w:lang w:val="en-GB"/>
        </w:rPr>
        <w:t>Working back from costs estimates staffing needs based on budgets and productivity, fitting ParcelCare’s low-margin, high-volume model (Harper, 2013; CIPD, 2024). However, it risks ignoring service quality, morale, and skill gaps by treating staff as costs (Theodoulou, 2018). While useful for financial limits, it must also address employee experience and growth to support retention and attraction.</w:t>
      </w:r>
    </w:p>
    <w:p w14:paraId="4A7F7F19" w14:textId="09A7844C" w:rsidR="00CC012E" w:rsidRPr="002B3149" w:rsidRDefault="00CC012E" w:rsidP="00BA2C00">
      <w:pPr>
        <w:pStyle w:val="Nornal"/>
        <w:rPr>
          <w:color w:val="auto"/>
          <w:lang w:val="en-GB"/>
        </w:rPr>
      </w:pPr>
      <w:r w:rsidRPr="002B3149">
        <w:rPr>
          <w:color w:val="auto"/>
          <w:lang w:val="en-GB"/>
        </w:rPr>
        <w:t>Tracking promotion and demotion rates reveals how well ParcelCare develops and retains talent. High promotions lower recruitment costs and boost morale, while demotions signal hiring or performance issues. Low promotions may drive turnover. These metrics aid talent pipelines when linked to a wider development strategy</w:t>
      </w:r>
      <w:r w:rsidR="000B44A7" w:rsidRPr="002B3149">
        <w:rPr>
          <w:color w:val="auto"/>
          <w:lang w:val="en-GB"/>
        </w:rPr>
        <w:t xml:space="preserve"> (Fields, 2016 &amp; Hennekam, 2021)</w:t>
      </w:r>
    </w:p>
    <w:p w14:paraId="246C3E53" w14:textId="664831C1" w:rsidR="004207BE" w:rsidRPr="002B3149" w:rsidRDefault="0088654D" w:rsidP="00BA2C00">
      <w:pPr>
        <w:pStyle w:val="Nornal"/>
        <w:rPr>
          <w:color w:val="auto"/>
          <w:lang w:val="en-GB"/>
        </w:rPr>
      </w:pPr>
      <w:r w:rsidRPr="002B3149">
        <w:rPr>
          <w:color w:val="auto"/>
          <w:lang w:val="en-GB"/>
        </w:rPr>
        <w:t>External factors like unemployment, skill shortages, transport, and competitors influence workforce supply. Understanding these helps ParcelCare tailor recruitment but requires ongoing monitoring, as they change rapidly and are beyond the company’s control. This is crucial in competitive hiring areas</w:t>
      </w:r>
      <w:r w:rsidR="00D9297A" w:rsidRPr="002B3149">
        <w:rPr>
          <w:color w:val="auto"/>
          <w:lang w:val="en-GB"/>
        </w:rPr>
        <w:t xml:space="preserve"> (</w:t>
      </w:r>
      <w:r w:rsidR="00D9297A" w:rsidRPr="002B3149">
        <w:rPr>
          <w:color w:val="auto"/>
        </w:rPr>
        <w:t>Safarishahrbijari,2018</w:t>
      </w:r>
      <w:r w:rsidR="000F1A6C" w:rsidRPr="002B3149">
        <w:rPr>
          <w:color w:val="auto"/>
        </w:rPr>
        <w:t xml:space="preserve"> &amp; Safaei, 20</w:t>
      </w:r>
      <w:r w:rsidR="009F703A" w:rsidRPr="002B3149">
        <w:rPr>
          <w:color w:val="auto"/>
        </w:rPr>
        <w:t xml:space="preserve">12). </w:t>
      </w:r>
    </w:p>
    <w:p w14:paraId="18F24763" w14:textId="2987184B" w:rsidR="00123385" w:rsidRPr="002B3149" w:rsidRDefault="00123385" w:rsidP="00BA2C00">
      <w:pPr>
        <w:pStyle w:val="Nornal"/>
        <w:rPr>
          <w:color w:val="auto"/>
          <w:lang w:val="en-GB"/>
        </w:rPr>
      </w:pPr>
      <w:r w:rsidRPr="002B3149">
        <w:rPr>
          <w:color w:val="auto"/>
          <w:lang w:val="en-GB"/>
        </w:rPr>
        <w:t>ParcelCare should blend managerial judgement and cost-based methods with data-driven forecasting for strategic, flexible workforce planning.</w:t>
      </w:r>
      <w:r w:rsidR="008C4B9D" w:rsidRPr="002B3149">
        <w:rPr>
          <w:rFonts w:asciiTheme="minorHAnsi" w:eastAsiaTheme="minorHAnsi" w:hAnsiTheme="minorHAnsi" w:cstheme="minorBidi"/>
          <w:color w:val="auto"/>
          <w:kern w:val="2"/>
          <w:bdr w:val="none" w:sz="0" w:space="0" w:color="auto"/>
          <w:lang w:val="en-GB" w:eastAsia="en-US"/>
          <w14:ligatures w14:val="standardContextual"/>
        </w:rPr>
        <w:t xml:space="preserve"> </w:t>
      </w:r>
      <w:r w:rsidR="008C4B9D" w:rsidRPr="002B3149">
        <w:rPr>
          <w:color w:val="auto"/>
          <w:lang w:val="en-GB"/>
        </w:rPr>
        <w:t>On the supply side, improving visibility into</w:t>
      </w:r>
      <w:r w:rsidR="008C4B9D" w:rsidRPr="002B3149">
        <w:rPr>
          <w:b/>
          <w:bCs/>
          <w:color w:val="auto"/>
          <w:lang w:val="en-GB"/>
        </w:rPr>
        <w:t xml:space="preserve"> </w:t>
      </w:r>
      <w:r w:rsidR="008C4B9D" w:rsidRPr="002B3149">
        <w:rPr>
          <w:color w:val="auto"/>
          <w:lang w:val="en-GB"/>
        </w:rPr>
        <w:t>turnover trends, and external labour dynamics is crucial.</w:t>
      </w:r>
    </w:p>
    <w:p w14:paraId="01B80E5B" w14:textId="77777777" w:rsidR="00521797" w:rsidRPr="002B3149" w:rsidRDefault="00521797" w:rsidP="00BA2C00">
      <w:pPr>
        <w:pStyle w:val="Nornal"/>
        <w:rPr>
          <w:b/>
          <w:bCs/>
          <w:color w:val="auto"/>
        </w:rPr>
      </w:pPr>
    </w:p>
    <w:p w14:paraId="2E7414D0" w14:textId="465D3B48" w:rsidR="00EF3710" w:rsidRPr="002B3149" w:rsidRDefault="00567DE4" w:rsidP="00BA2C00">
      <w:pPr>
        <w:pStyle w:val="Nornal"/>
        <w:rPr>
          <w:rStyle w:val="ui-provider"/>
          <w:color w:val="auto"/>
        </w:rPr>
      </w:pPr>
      <w:r w:rsidRPr="002B3149">
        <w:rPr>
          <w:rStyle w:val="ui-provider"/>
          <w:color w:val="auto"/>
        </w:rPr>
        <w:t>Evaluate the strengths and weaknesses of</w:t>
      </w:r>
      <w:r w:rsidRPr="002B3149">
        <w:rPr>
          <w:b/>
          <w:bCs/>
          <w:color w:val="auto"/>
        </w:rPr>
        <w:t xml:space="preserve"> </w:t>
      </w:r>
      <w:r w:rsidRPr="002B3149">
        <w:rPr>
          <w:color w:val="auto"/>
        </w:rPr>
        <w:t>two</w:t>
      </w:r>
      <w:r w:rsidRPr="002B3149">
        <w:rPr>
          <w:rStyle w:val="ui-provider"/>
          <w:color w:val="auto"/>
        </w:rPr>
        <w:t xml:space="preserve"> different recruitment methods and </w:t>
      </w:r>
      <w:r w:rsidRPr="002B3149">
        <w:rPr>
          <w:color w:val="auto"/>
        </w:rPr>
        <w:t>two</w:t>
      </w:r>
      <w:r w:rsidRPr="002B3149">
        <w:rPr>
          <w:rStyle w:val="ui-provider"/>
          <w:color w:val="auto"/>
        </w:rPr>
        <w:t xml:space="preserve"> different selection methods</w:t>
      </w:r>
    </w:p>
    <w:p w14:paraId="7C8ADC4F" w14:textId="77777777" w:rsidR="00C22012" w:rsidRPr="002B3149" w:rsidRDefault="00C22012" w:rsidP="00BA2C00">
      <w:pPr>
        <w:pStyle w:val="Nornal"/>
        <w:rPr>
          <w:color w:val="auto"/>
          <w:lang w:val="en-GB"/>
        </w:rPr>
      </w:pPr>
      <w:r w:rsidRPr="002B3149">
        <w:rPr>
          <w:color w:val="auto"/>
          <w:lang w:val="en-GB"/>
        </w:rPr>
        <w:t>ParcelCare’s reliance on its website and manager interviews limits recruitment, hindering staff attraction and retention. Expanding methods can improve hiring, diversity, and effectiveness (CIPD, 2023).</w:t>
      </w:r>
    </w:p>
    <w:p w14:paraId="6ED32648" w14:textId="015387BC" w:rsidR="00115644" w:rsidRPr="002B3149" w:rsidRDefault="00115644" w:rsidP="00BA2C00">
      <w:pPr>
        <w:pStyle w:val="Nornal"/>
        <w:rPr>
          <w:color w:val="auto"/>
          <w:lang w:val="en-GB"/>
        </w:rPr>
      </w:pPr>
      <w:r w:rsidRPr="002B3149">
        <w:rPr>
          <w:color w:val="auto"/>
          <w:lang w:val="en-GB"/>
        </w:rPr>
        <w:t>Social media recruitment, an informal external method, allows ParcelCare to reach a wider and more diverse audience through platforms like LinkedIn, Facebook, and Instagram. It is especially effective for attracting younger candidates who may not visit the company’s website (Ladkin, 2016). This cost-effective approach also strengthens employer branding by highlighting company culture, employee stories, and values (Brown, 2012 &amp; King, 2014). However, it poses challenges: poorly targeted posts can attract unqualified applicants, algorithm-driven reach may limit diversity (Demir, 2023), and handling large volumes of responses can strain hiring managers (Emanuela, 2018</w:t>
      </w:r>
      <w:r w:rsidR="001F719A" w:rsidRPr="002B3149">
        <w:rPr>
          <w:color w:val="auto"/>
          <w:lang w:val="en-GB"/>
        </w:rPr>
        <w:t xml:space="preserve"> &amp; </w:t>
      </w:r>
      <w:r w:rsidRPr="002B3149">
        <w:rPr>
          <w:color w:val="auto"/>
          <w:lang w:val="en-GB"/>
        </w:rPr>
        <w:t>Carrillat, 2014).</w:t>
      </w:r>
    </w:p>
    <w:p w14:paraId="31CECC42" w14:textId="1AD4BFEA" w:rsidR="00305C63" w:rsidRPr="002B3149" w:rsidRDefault="00053D02" w:rsidP="00BA2C00">
      <w:pPr>
        <w:pStyle w:val="Nornal"/>
        <w:rPr>
          <w:color w:val="auto"/>
          <w:lang w:val="en-GB"/>
        </w:rPr>
      </w:pPr>
      <w:r w:rsidRPr="002B3149">
        <w:rPr>
          <w:color w:val="auto"/>
          <w:lang w:val="en-GB"/>
        </w:rPr>
        <w:lastRenderedPageBreak/>
        <w:t>Using employment agencies as a formal external recruitment method offers ParcelCare several advantages</w:t>
      </w:r>
      <w:r w:rsidR="0085277A" w:rsidRPr="002B3149">
        <w:rPr>
          <w:color w:val="auto"/>
          <w:lang w:val="en-GB"/>
        </w:rPr>
        <w:t xml:space="preserve">. </w:t>
      </w:r>
      <w:r w:rsidRPr="002B3149">
        <w:rPr>
          <w:color w:val="auto"/>
          <w:lang w:val="en-GB"/>
        </w:rPr>
        <w:t>Agencies provide pre-screened candidates who meet specific qualifications, helping to streamline the hiring process</w:t>
      </w:r>
      <w:r w:rsidR="0085277A" w:rsidRPr="002B3149">
        <w:rPr>
          <w:color w:val="auto"/>
          <w:lang w:val="en-GB"/>
        </w:rPr>
        <w:t xml:space="preserve"> (Pilbeam, 2010). </w:t>
      </w:r>
      <w:r w:rsidRPr="002B3149">
        <w:rPr>
          <w:color w:val="auto"/>
          <w:lang w:val="en-GB"/>
        </w:rPr>
        <w:t>Their industry knowledge, particularly in logistics and delivery, allows for efficient matching with the company’s needs, making this approach especially valuable during periods of high demand or when vacancies need to be filled quickly. However, there are some downsides. Agency services can be costly, particularly for urgent or large-scale hiring</w:t>
      </w:r>
      <w:r w:rsidR="005B03B0" w:rsidRPr="002B3149">
        <w:rPr>
          <w:color w:val="auto"/>
          <w:lang w:val="en-GB"/>
        </w:rPr>
        <w:t xml:space="preserve"> (Vardaman, 2024).</w:t>
      </w:r>
      <w:r w:rsidRPr="002B3149">
        <w:rPr>
          <w:color w:val="auto"/>
          <w:lang w:val="en-GB"/>
        </w:rPr>
        <w:t xml:space="preserve"> ParcelCare also sacrifices some control over candidate selection, relying on the agency’s judgment, and candidates may not fully engage with the company’s culture or values when recruited through a third party</w:t>
      </w:r>
      <w:r w:rsidR="003A042D" w:rsidRPr="002B3149">
        <w:rPr>
          <w:color w:val="auto"/>
          <w:lang w:val="en-GB"/>
        </w:rPr>
        <w:t xml:space="preserve"> (Phan, 2020 &amp; </w:t>
      </w:r>
      <w:r w:rsidR="0035309F" w:rsidRPr="002B3149">
        <w:rPr>
          <w:color w:val="auto"/>
          <w:lang w:val="en-GB"/>
        </w:rPr>
        <w:t>Skiba, 2020)</w:t>
      </w:r>
    </w:p>
    <w:p w14:paraId="3AE65BAF" w14:textId="7A408168" w:rsidR="0035309F" w:rsidRPr="002B3149" w:rsidRDefault="00E11172" w:rsidP="00BA2C00">
      <w:pPr>
        <w:pStyle w:val="Nornal"/>
        <w:rPr>
          <w:color w:val="auto"/>
        </w:rPr>
      </w:pPr>
      <w:r w:rsidRPr="002B3149">
        <w:rPr>
          <w:color w:val="auto"/>
          <w:lang w:val="en-GB"/>
        </w:rPr>
        <w:t>Assessment centres offer a structured way to evaluate key skills like teamwork, communication, and problem-solving through exercises such as role plays and simulations</w:t>
      </w:r>
      <w:r w:rsidR="00861B64" w:rsidRPr="002B3149">
        <w:rPr>
          <w:color w:val="auto"/>
          <w:lang w:val="en-GB"/>
        </w:rPr>
        <w:t xml:space="preserve"> (CIPD, 2024).</w:t>
      </w:r>
      <w:r w:rsidRPr="002B3149">
        <w:rPr>
          <w:color w:val="auto"/>
          <w:lang w:val="en-GB"/>
        </w:rPr>
        <w:t xml:space="preserve"> By using standardised tasks and multiple assessors, they promote fairness and are effective for customer-facing roles like parcel delivery</w:t>
      </w:r>
      <w:r w:rsidR="00861B64" w:rsidRPr="002B3149">
        <w:rPr>
          <w:color w:val="auto"/>
          <w:lang w:val="en-GB"/>
        </w:rPr>
        <w:t xml:space="preserve"> (</w:t>
      </w:r>
      <w:r w:rsidR="00861B64" w:rsidRPr="002B3149">
        <w:rPr>
          <w:color w:val="auto"/>
        </w:rPr>
        <w:t>Nikolaou, 2015</w:t>
      </w:r>
      <w:r w:rsidR="00004797" w:rsidRPr="002B3149">
        <w:rPr>
          <w:color w:val="auto"/>
        </w:rPr>
        <w:t xml:space="preserve"> &amp; Schaller, 2020</w:t>
      </w:r>
      <w:r w:rsidR="00861B64" w:rsidRPr="002B3149">
        <w:rPr>
          <w:color w:val="auto"/>
        </w:rPr>
        <w:t>).</w:t>
      </w:r>
      <w:r w:rsidRPr="002B3149">
        <w:rPr>
          <w:color w:val="auto"/>
          <w:lang w:val="en-GB"/>
        </w:rPr>
        <w:t xml:space="preserve"> However, they are time-consuming, costly, and may be excessive for high-volume or entry-level recruitment. The high-pressure environment can also cause capable candidates to </w:t>
      </w:r>
      <w:r w:rsidR="00AE40C7" w:rsidRPr="002B3149">
        <w:rPr>
          <w:color w:val="auto"/>
          <w:lang w:val="en-GB"/>
        </w:rPr>
        <w:t xml:space="preserve">underperform (Kodden, 2020 &amp; </w:t>
      </w:r>
      <w:r w:rsidR="00ED3B2B" w:rsidRPr="002B3149">
        <w:rPr>
          <w:color w:val="auto"/>
        </w:rPr>
        <w:t>Prochazka</w:t>
      </w:r>
      <w:r w:rsidR="00733788" w:rsidRPr="002B3149">
        <w:rPr>
          <w:color w:val="auto"/>
        </w:rPr>
        <w:t xml:space="preserve">, 2023). </w:t>
      </w:r>
    </w:p>
    <w:p w14:paraId="7BDBB0B7" w14:textId="720492D5" w:rsidR="006965AE" w:rsidRPr="002B3149" w:rsidRDefault="006965AE" w:rsidP="00BA2C00">
      <w:pPr>
        <w:pStyle w:val="Nornal"/>
        <w:rPr>
          <w:color w:val="auto"/>
          <w:lang w:val="en-GB"/>
        </w:rPr>
      </w:pPr>
      <w:r w:rsidRPr="002B3149">
        <w:rPr>
          <w:color w:val="auto"/>
          <w:lang w:val="en-GB"/>
        </w:rPr>
        <w:t>Work sample testing uses practical tasks to directly assess candidates’ ability to perform the job, promoting fairness and supporting inclusive hiring. It also helps reduce post-hire dissatisfaction by clarifying job expectations</w:t>
      </w:r>
      <w:r w:rsidR="004E3C49" w:rsidRPr="002B3149">
        <w:rPr>
          <w:color w:val="auto"/>
          <w:lang w:val="en-GB"/>
        </w:rPr>
        <w:t xml:space="preserve"> (Nikolaou, 2015)</w:t>
      </w:r>
      <w:r w:rsidRPr="002B3149">
        <w:rPr>
          <w:color w:val="auto"/>
          <w:lang w:val="en-GB"/>
        </w:rPr>
        <w:t xml:space="preserve"> However, it can be resource-intensive to set up, may not evaluate soft skills or long-term suitability, and requires accommodations for disabled applicants</w:t>
      </w:r>
      <w:r w:rsidR="005F6FA7" w:rsidRPr="002B3149">
        <w:rPr>
          <w:color w:val="auto"/>
          <w:lang w:val="en-GB"/>
        </w:rPr>
        <w:t xml:space="preserve"> (Tolonen, 2015</w:t>
      </w:r>
      <w:r w:rsidR="00C22012" w:rsidRPr="002B3149">
        <w:rPr>
          <w:color w:val="auto"/>
          <w:lang w:val="en-GB"/>
        </w:rPr>
        <w:t xml:space="preserve"> &amp;</w:t>
      </w:r>
      <w:r w:rsidR="00927B56" w:rsidRPr="002B3149">
        <w:rPr>
          <w:color w:val="auto"/>
          <w:lang w:val="en-GB"/>
        </w:rPr>
        <w:t xml:space="preserve"> </w:t>
      </w:r>
      <w:r w:rsidR="00927B56" w:rsidRPr="002B3149">
        <w:rPr>
          <w:color w:val="auto"/>
        </w:rPr>
        <w:t>Chamorro-Premuzic, 20</w:t>
      </w:r>
      <w:r w:rsidR="00602866" w:rsidRPr="002B3149">
        <w:rPr>
          <w:color w:val="auto"/>
        </w:rPr>
        <w:t>10</w:t>
      </w:r>
      <w:r w:rsidR="005F6FA7" w:rsidRPr="002B3149">
        <w:rPr>
          <w:color w:val="auto"/>
          <w:lang w:val="en-GB"/>
        </w:rPr>
        <w:t xml:space="preserve">). </w:t>
      </w:r>
    </w:p>
    <w:p w14:paraId="63356DC7" w14:textId="08C1DBC9" w:rsidR="00916FCB" w:rsidRPr="002B3149" w:rsidRDefault="00916FCB" w:rsidP="00BA2C00">
      <w:pPr>
        <w:pStyle w:val="Nornal"/>
        <w:rPr>
          <w:color w:val="auto"/>
          <w:lang w:val="en-GB"/>
        </w:rPr>
      </w:pPr>
      <w:r w:rsidRPr="002B3149">
        <w:rPr>
          <w:color w:val="auto"/>
          <w:lang w:val="en-GB"/>
        </w:rPr>
        <w:t>ParcelCare should expand recruitment to social media and agencies for greater diversity and fit, use work sample tests for frontline and assessment centres for leadership roles, and regularly evaluate all methods for fairness, cost, and effectiveness.</w:t>
      </w:r>
    </w:p>
    <w:p w14:paraId="334AC438" w14:textId="77777777" w:rsidR="00D00076" w:rsidRPr="002B3149" w:rsidRDefault="00D00076" w:rsidP="00BA2C00">
      <w:pPr>
        <w:pStyle w:val="Nornal"/>
        <w:rPr>
          <w:color w:val="auto"/>
          <w:lang w:val="en-GB"/>
        </w:rPr>
      </w:pPr>
    </w:p>
    <w:p w14:paraId="710E1563" w14:textId="77777777" w:rsidR="00D00076" w:rsidRPr="002B3149" w:rsidRDefault="00D00076" w:rsidP="00D00076">
      <w:pPr>
        <w:pStyle w:val="TableStyle2"/>
        <w:rPr>
          <w:rStyle w:val="None"/>
          <w:rFonts w:ascii="Arial" w:hAnsi="Arial" w:cs="Arial"/>
          <w:b/>
          <w:bCs/>
          <w:color w:val="auto"/>
          <w:sz w:val="22"/>
          <w:szCs w:val="22"/>
        </w:rPr>
      </w:pPr>
      <w:r w:rsidRPr="002B3149">
        <w:rPr>
          <w:rStyle w:val="None"/>
          <w:rFonts w:ascii="Arial" w:hAnsi="Arial" w:cs="Arial"/>
          <w:color w:val="auto"/>
          <w:sz w:val="22"/>
          <w:szCs w:val="22"/>
        </w:rPr>
        <w:t>Discuss factors that influence why people choose to leave or remain in organisations.</w:t>
      </w:r>
    </w:p>
    <w:p w14:paraId="4A6464DF" w14:textId="77777777" w:rsidR="00D00076" w:rsidRPr="002B3149" w:rsidRDefault="00D00076" w:rsidP="00D00076">
      <w:pPr>
        <w:pStyle w:val="TableStyle2"/>
        <w:rPr>
          <w:rStyle w:val="None"/>
          <w:rFonts w:ascii="Arial" w:hAnsi="Arial" w:cs="Arial"/>
          <w:b/>
          <w:bCs/>
          <w:color w:val="auto"/>
          <w:sz w:val="22"/>
          <w:szCs w:val="22"/>
        </w:rPr>
      </w:pPr>
    </w:p>
    <w:p w14:paraId="5ED3622E" w14:textId="53EDA796" w:rsidR="00F630A5" w:rsidRPr="002B3149" w:rsidRDefault="00BA5AF4" w:rsidP="00D00076">
      <w:pPr>
        <w:pStyle w:val="TableStyle2"/>
        <w:rPr>
          <w:rFonts w:ascii="Arial" w:hAnsi="Arial" w:cs="Arial"/>
          <w:color w:val="auto"/>
          <w:sz w:val="22"/>
          <w:szCs w:val="22"/>
          <w:lang w:val="en-GB"/>
        </w:rPr>
      </w:pPr>
      <w:r w:rsidRPr="002B3149">
        <w:rPr>
          <w:rFonts w:ascii="Arial" w:hAnsi="Arial" w:cs="Arial"/>
          <w:color w:val="auto"/>
          <w:sz w:val="22"/>
          <w:szCs w:val="22"/>
          <w:lang w:val="en-GB"/>
        </w:rPr>
        <w:t>To address ParcelCare’s recruitment and retention challenges, it’s essential to understand employee turnover, which currently exceeds targets and risks business continuity, morale, and service quality. This requires analysing turnover types, push and pull factors, and retention strategies (CIPD, 2024–2025).</w:t>
      </w:r>
    </w:p>
    <w:p w14:paraId="7E95D266" w14:textId="77777777" w:rsidR="00BA5AF4" w:rsidRPr="002B3149" w:rsidRDefault="00BA5AF4" w:rsidP="00D00076">
      <w:pPr>
        <w:pStyle w:val="TableStyle2"/>
        <w:rPr>
          <w:rFonts w:ascii="Arial" w:hAnsi="Arial" w:cs="Arial"/>
          <w:color w:val="auto"/>
          <w:sz w:val="22"/>
          <w:szCs w:val="22"/>
          <w:lang w:val="en-GB"/>
        </w:rPr>
      </w:pPr>
    </w:p>
    <w:p w14:paraId="178CDEC8" w14:textId="0980CA0A" w:rsidR="00A01DF5" w:rsidRPr="002B3149" w:rsidRDefault="00545E7B" w:rsidP="00D00076">
      <w:pPr>
        <w:pStyle w:val="TableStyle2"/>
        <w:rPr>
          <w:rFonts w:ascii="Arial" w:hAnsi="Arial" w:cs="Arial"/>
          <w:color w:val="auto"/>
          <w:sz w:val="22"/>
          <w:szCs w:val="22"/>
          <w:lang w:val="en-GB"/>
        </w:rPr>
      </w:pPr>
      <w:r w:rsidRPr="002B3149">
        <w:rPr>
          <w:rFonts w:ascii="Arial" w:hAnsi="Arial" w:cs="Arial"/>
          <w:color w:val="auto"/>
          <w:sz w:val="22"/>
          <w:szCs w:val="22"/>
          <w:lang w:val="en-GB"/>
        </w:rPr>
        <w:t xml:space="preserve">Turnover at ParcelCare falls into four categories: voluntary, involuntary, avoidable, and unavoidable. Voluntary turnover </w:t>
      </w:r>
      <w:r w:rsidR="00C35B85" w:rsidRPr="002B3149">
        <w:rPr>
          <w:rFonts w:ascii="Arial" w:hAnsi="Arial" w:cs="Arial"/>
          <w:color w:val="auto"/>
          <w:sz w:val="22"/>
          <w:szCs w:val="22"/>
          <w:lang w:val="en-GB"/>
        </w:rPr>
        <w:t>transpires</w:t>
      </w:r>
      <w:r w:rsidRPr="002B3149">
        <w:rPr>
          <w:rFonts w:ascii="Arial" w:hAnsi="Arial" w:cs="Arial"/>
          <w:color w:val="auto"/>
          <w:sz w:val="22"/>
          <w:szCs w:val="22"/>
          <w:lang w:val="en-GB"/>
        </w:rPr>
        <w:t xml:space="preserve"> when employees choose to leave, often </w:t>
      </w:r>
      <w:r w:rsidR="005E06E5">
        <w:rPr>
          <w:rFonts w:ascii="Arial" w:hAnsi="Arial" w:cs="Arial"/>
          <w:color w:val="auto"/>
          <w:sz w:val="22"/>
          <w:szCs w:val="22"/>
          <w:lang w:val="en-GB"/>
        </w:rPr>
        <w:t>as a result</w:t>
      </w:r>
      <w:r w:rsidRPr="002B3149">
        <w:rPr>
          <w:rFonts w:ascii="Arial" w:hAnsi="Arial" w:cs="Arial"/>
          <w:color w:val="auto"/>
          <w:sz w:val="22"/>
          <w:szCs w:val="22"/>
          <w:lang w:val="en-GB"/>
        </w:rPr>
        <w:t xml:space="preserve"> </w:t>
      </w:r>
      <w:r w:rsidR="005E06E5">
        <w:rPr>
          <w:rFonts w:ascii="Arial" w:hAnsi="Arial" w:cs="Arial"/>
          <w:color w:val="auto"/>
          <w:sz w:val="22"/>
          <w:szCs w:val="22"/>
          <w:lang w:val="en-GB"/>
        </w:rPr>
        <w:t>of</w:t>
      </w:r>
      <w:r w:rsidRPr="002B3149">
        <w:rPr>
          <w:rFonts w:ascii="Arial" w:hAnsi="Arial" w:cs="Arial"/>
          <w:color w:val="auto"/>
          <w:sz w:val="22"/>
          <w:szCs w:val="22"/>
          <w:lang w:val="en-GB"/>
        </w:rPr>
        <w:t xml:space="preserve"> new opportunities, dissatisfaction, or relocation (Rubenstein, 2019; Shaw, 1998). Involuntary turnover is </w:t>
      </w:r>
      <w:r w:rsidR="005E06E5" w:rsidRPr="002B3149">
        <w:rPr>
          <w:rFonts w:ascii="Arial" w:hAnsi="Arial" w:cs="Arial"/>
          <w:color w:val="auto"/>
          <w:sz w:val="22"/>
          <w:szCs w:val="22"/>
          <w:lang w:val="en-GB"/>
        </w:rPr>
        <w:t>introduced</w:t>
      </w:r>
      <w:r w:rsidRPr="002B3149">
        <w:rPr>
          <w:rFonts w:ascii="Arial" w:hAnsi="Arial" w:cs="Arial"/>
          <w:color w:val="auto"/>
          <w:sz w:val="22"/>
          <w:szCs w:val="22"/>
          <w:lang w:val="en-GB"/>
        </w:rPr>
        <w:t xml:space="preserve"> by the company, typically due to redundancies, </w:t>
      </w:r>
      <w:r w:rsidR="00E51179">
        <w:rPr>
          <w:rFonts w:ascii="Arial" w:hAnsi="Arial" w:cs="Arial"/>
          <w:color w:val="auto"/>
          <w:sz w:val="22"/>
          <w:szCs w:val="22"/>
          <w:lang w:val="en-GB"/>
        </w:rPr>
        <w:t>inefficiency</w:t>
      </w:r>
      <w:r w:rsidRPr="002B3149">
        <w:rPr>
          <w:rFonts w:ascii="Arial" w:hAnsi="Arial" w:cs="Arial"/>
          <w:color w:val="auto"/>
          <w:sz w:val="22"/>
          <w:szCs w:val="22"/>
          <w:lang w:val="en-GB"/>
        </w:rPr>
        <w:t xml:space="preserve"> issues, or organi</w:t>
      </w:r>
      <w:r w:rsidR="00BA5AF4" w:rsidRPr="002B3149">
        <w:rPr>
          <w:rFonts w:ascii="Arial" w:hAnsi="Arial" w:cs="Arial"/>
          <w:color w:val="auto"/>
          <w:sz w:val="22"/>
          <w:szCs w:val="22"/>
          <w:lang w:val="en-GB"/>
        </w:rPr>
        <w:t>s</w:t>
      </w:r>
      <w:r w:rsidRPr="002B3149">
        <w:rPr>
          <w:rFonts w:ascii="Arial" w:hAnsi="Arial" w:cs="Arial"/>
          <w:color w:val="auto"/>
          <w:sz w:val="22"/>
          <w:szCs w:val="22"/>
          <w:lang w:val="en-GB"/>
        </w:rPr>
        <w:t>ational changes (Parker, 2016; An, 2019). Within voluntary turnover, avoidable departures result from factors the company can influence, such as poor management, limited advancement, low recognition, or high stress. Unavoidable turnover includes reasons beyond the company’s control, like retirement, illness, or family commitments (Abelson, 1987). Understanding and reducing avoidable turnover is essential for strengthening retention and workforce stability (Stumpf, 1981).</w:t>
      </w:r>
    </w:p>
    <w:p w14:paraId="56BE50C7" w14:textId="77777777" w:rsidR="00545E7B" w:rsidRPr="002B3149" w:rsidRDefault="00545E7B" w:rsidP="00D00076">
      <w:pPr>
        <w:pStyle w:val="TableStyle2"/>
        <w:rPr>
          <w:rFonts w:ascii="Arial" w:hAnsi="Arial" w:cs="Arial"/>
          <w:color w:val="auto"/>
          <w:sz w:val="22"/>
          <w:szCs w:val="22"/>
          <w:lang w:val="en-GB"/>
        </w:rPr>
      </w:pPr>
    </w:p>
    <w:p w14:paraId="56BB618C" w14:textId="3F88A456" w:rsidR="00CD3DA0" w:rsidRPr="002B3149" w:rsidRDefault="00CD3DA0" w:rsidP="00BA2C00">
      <w:pPr>
        <w:pStyle w:val="Nornal"/>
        <w:rPr>
          <w:rFonts w:eastAsia="Arial Unicode MS"/>
          <w:color w:val="auto"/>
          <w:lang w:val="en-GB"/>
          <w14:textOutline w14:w="12700" w14:cap="flat" w14:cmpd="sng" w14:algn="ctr">
            <w14:noFill/>
            <w14:prstDash w14:val="solid"/>
            <w14:miter w14:lim="400000"/>
          </w14:textOutline>
        </w:rPr>
      </w:pPr>
      <w:r w:rsidRPr="002B3149">
        <w:rPr>
          <w:rFonts w:eastAsia="Arial Unicode MS"/>
          <w:color w:val="auto"/>
          <w:lang w:val="en-GB"/>
          <w14:textOutline w14:w="12700" w14:cap="flat" w14:cmpd="sng" w14:algn="ctr">
            <w14:noFill/>
            <w14:prstDash w14:val="solid"/>
            <w14:miter w14:lim="400000"/>
          </w14:textOutline>
        </w:rPr>
        <w:t>Employee retention and turnover at ParcelCare are influenced by ethical, cultural, motivational, managerial, and structural factors. Employees increasingly seek employers committed to environmental responsibility, diversity, fairness, and social impact. Cultural shifts, especially among younger generations, emphasi</w:t>
      </w:r>
      <w:r w:rsidR="00BA5AF4" w:rsidRPr="002B3149">
        <w:rPr>
          <w:rFonts w:eastAsia="Arial Unicode MS"/>
          <w:color w:val="auto"/>
          <w:lang w:val="en-GB"/>
          <w14:textOutline w14:w="12700" w14:cap="flat" w14:cmpd="sng" w14:algn="ctr">
            <w14:noFill/>
            <w14:prstDash w14:val="solid"/>
            <w14:miter w14:lim="400000"/>
          </w14:textOutline>
        </w:rPr>
        <w:t>s</w:t>
      </w:r>
      <w:r w:rsidRPr="002B3149">
        <w:rPr>
          <w:rFonts w:eastAsia="Arial Unicode MS"/>
          <w:color w:val="auto"/>
          <w:lang w:val="en-GB"/>
          <w14:textOutline w14:w="12700" w14:cap="flat" w14:cmpd="sng" w14:algn="ctr">
            <w14:noFill/>
            <w14:prstDash w14:val="solid"/>
            <w14:miter w14:lim="400000"/>
          </w14:textOutline>
        </w:rPr>
        <w:t xml:space="preserve">e flexibility, inclusion, and meaningful work (Welch 2021; Arnaiz, 2014). Disengagement often stems from a lack of </w:t>
      </w:r>
      <w:r w:rsidRPr="002B3149">
        <w:rPr>
          <w:rFonts w:eastAsia="Arial Unicode MS"/>
          <w:color w:val="auto"/>
          <w:lang w:val="en-GB"/>
          <w14:textOutline w14:w="12700" w14:cap="flat" w14:cmpd="sng" w14:algn="ctr">
            <w14:noFill/>
            <w14:prstDash w14:val="solid"/>
            <w14:miter w14:lim="400000"/>
          </w14:textOutline>
        </w:rPr>
        <w:lastRenderedPageBreak/>
        <w:t>intrinsic motivation or value misalignment. Leadership style is crucial, with autocratic or inconsistent management reducing morale and increasing turnover. Job satisfaction relies on well-designed roles offering variety, autonomy, and purpose (Rosen, 2011; Young, 2021), while consistent recognition fosters a sense of value. Additionally, compliance with evolving laws on flexible work, wages, and safety is essential to protect ParcelCare’s reputation (Adams, 2024).</w:t>
      </w:r>
    </w:p>
    <w:p w14:paraId="084EE519" w14:textId="7D055956" w:rsidR="00967746" w:rsidRPr="002B3149" w:rsidRDefault="00742F44" w:rsidP="00BA2C00">
      <w:pPr>
        <w:pStyle w:val="Nornal"/>
        <w:rPr>
          <w:color w:val="auto"/>
          <w:lang w:val="en-GB"/>
        </w:rPr>
      </w:pPr>
      <w:r w:rsidRPr="002B3149">
        <w:rPr>
          <w:color w:val="auto"/>
          <w:lang w:val="en-GB"/>
        </w:rPr>
        <w:t>Turnover at ParcelCare is driven by internal push factors and external pull factors. Push factors include lack of recognition, poor management, limited career growth, stressful conditions, and unclear or rigid roles</w:t>
      </w:r>
      <w:r w:rsidR="00D508F9" w:rsidRPr="002B3149">
        <w:rPr>
          <w:color w:val="auto"/>
          <w:lang w:val="en-GB"/>
        </w:rPr>
        <w:t xml:space="preserve"> (Nikou, 2024)</w:t>
      </w:r>
      <w:r w:rsidRPr="002B3149">
        <w:rPr>
          <w:color w:val="auto"/>
          <w:lang w:val="en-GB"/>
        </w:rPr>
        <w:t xml:space="preserve"> Pull factors involve better pay, flexible work, stronger employer brands, advancement opportunities, and improved work-life balance elsewhere. To retain talent, ParcelCare must reduce internal issues while staying competitive with external offerings</w:t>
      </w:r>
      <w:r w:rsidR="00A833C7" w:rsidRPr="002B3149">
        <w:rPr>
          <w:color w:val="auto"/>
          <w:lang w:val="en-GB"/>
        </w:rPr>
        <w:t xml:space="preserve"> (Mutanga, 2021). </w:t>
      </w:r>
    </w:p>
    <w:p w14:paraId="0C895667" w14:textId="212197EB" w:rsidR="000269A2" w:rsidRPr="002B3149" w:rsidRDefault="00C64D0B" w:rsidP="00C64D0B">
      <w:pPr>
        <w:pStyle w:val="Nornal"/>
        <w:rPr>
          <w:color w:val="auto"/>
          <w:lang w:val="en-GB"/>
        </w:rPr>
      </w:pPr>
      <w:r w:rsidRPr="002B3149">
        <w:rPr>
          <w:color w:val="auto"/>
          <w:lang w:val="en-GB"/>
        </w:rPr>
        <w:t>To manage turnover, ParcelCare should use HR metrics like the Stability Index, which tracks retention of employees with one year of service, and cohort analysis, which monitors turnover trends by tenure, role, or location. These tools help identify high-turnover areas and early exits</w:t>
      </w:r>
      <w:r w:rsidR="00E44727" w:rsidRPr="002B3149">
        <w:rPr>
          <w:color w:val="auto"/>
          <w:lang w:val="en-GB"/>
        </w:rPr>
        <w:t xml:space="preserve"> (Teague, 2018 &amp; CIPD, 2024). </w:t>
      </w:r>
    </w:p>
    <w:p w14:paraId="3D068F36" w14:textId="59E186C7" w:rsidR="003573C2" w:rsidRPr="002B3149" w:rsidRDefault="001479BF" w:rsidP="00C64D0B">
      <w:pPr>
        <w:pStyle w:val="Nornal"/>
        <w:rPr>
          <w:color w:val="auto"/>
          <w:lang w:val="en-GB"/>
        </w:rPr>
      </w:pPr>
      <w:r w:rsidRPr="002B3149">
        <w:rPr>
          <w:color w:val="auto"/>
          <w:lang w:val="en-GB"/>
        </w:rPr>
        <w:t>ParcelCare can improve retention by conducting exit and stay interviews, strengthening onboarding, and training managers in empathy and communication</w:t>
      </w:r>
      <w:r w:rsidR="00312D02" w:rsidRPr="002B3149">
        <w:rPr>
          <w:color w:val="auto"/>
          <w:lang w:val="en-GB"/>
        </w:rPr>
        <w:t xml:space="preserve"> (Heubeck, 2023)</w:t>
      </w:r>
      <w:r w:rsidRPr="002B3149">
        <w:rPr>
          <w:color w:val="auto"/>
          <w:lang w:val="en-GB"/>
        </w:rPr>
        <w:t xml:space="preserve"> Reviewing rewards, supporting career growth, offering flexible work, and promoting ethical, inclusive practices will also help retain employees</w:t>
      </w:r>
      <w:r w:rsidR="00E57B16" w:rsidRPr="002B3149">
        <w:rPr>
          <w:color w:val="auto"/>
          <w:lang w:val="en-GB"/>
        </w:rPr>
        <w:t xml:space="preserve"> (Dunning, 2015). </w:t>
      </w:r>
    </w:p>
    <w:p w14:paraId="5B84F73D" w14:textId="77777777" w:rsidR="00521797" w:rsidRPr="002B3149" w:rsidRDefault="00521797" w:rsidP="00C64D0B">
      <w:pPr>
        <w:pStyle w:val="Nornal"/>
        <w:rPr>
          <w:color w:val="auto"/>
          <w:lang w:val="en-GB"/>
        </w:rPr>
      </w:pPr>
    </w:p>
    <w:p w14:paraId="1B3C878C" w14:textId="416B6590" w:rsidR="00A75838" w:rsidRPr="002B3149" w:rsidRDefault="00A75838" w:rsidP="00C64D0B">
      <w:pPr>
        <w:pStyle w:val="Nornal"/>
        <w:rPr>
          <w:rStyle w:val="None"/>
          <w:color w:val="auto"/>
        </w:rPr>
      </w:pPr>
      <w:r w:rsidRPr="002B3149">
        <w:rPr>
          <w:rStyle w:val="None"/>
          <w:color w:val="auto"/>
        </w:rPr>
        <w:t>Compare different approaches to developing and retaining people.</w:t>
      </w:r>
    </w:p>
    <w:p w14:paraId="164B5210" w14:textId="11903F7E" w:rsidR="004A0630" w:rsidRPr="002B3149" w:rsidRDefault="00BD06AA" w:rsidP="00C64D0B">
      <w:pPr>
        <w:pStyle w:val="Nornal"/>
        <w:rPr>
          <w:color w:val="auto"/>
          <w:lang w:val="en-GB"/>
        </w:rPr>
      </w:pPr>
      <w:r w:rsidRPr="002B3149">
        <w:rPr>
          <w:color w:val="auto"/>
          <w:lang w:val="en-GB"/>
        </w:rPr>
        <w:t xml:space="preserve">ParcelCare, a national delivery service, faces major challenges in attracting, recruiting, and retaining staff. </w:t>
      </w:r>
      <w:r w:rsidR="004A0630" w:rsidRPr="002B3149">
        <w:rPr>
          <w:color w:val="auto"/>
          <w:lang w:val="en-GB"/>
        </w:rPr>
        <w:t>Talent is defined as individuals whose skills and performance are critical to organi</w:t>
      </w:r>
      <w:r w:rsidR="00C450DA" w:rsidRPr="002B3149">
        <w:rPr>
          <w:color w:val="auto"/>
          <w:lang w:val="en-GB"/>
        </w:rPr>
        <w:t>s</w:t>
      </w:r>
      <w:r w:rsidR="004A0630" w:rsidRPr="002B3149">
        <w:rPr>
          <w:color w:val="auto"/>
          <w:lang w:val="en-GB"/>
        </w:rPr>
        <w:t xml:space="preserve">ational success </w:t>
      </w:r>
      <w:r w:rsidR="00964B79" w:rsidRPr="002B3149">
        <w:rPr>
          <w:color w:val="auto"/>
          <w:lang w:val="en-GB"/>
        </w:rPr>
        <w:t xml:space="preserve">and this includes Warehouse staff as they are a key talent essential to ParcelCare’s success. </w:t>
      </w:r>
      <w:r w:rsidR="008D1B69" w:rsidRPr="002B3149">
        <w:rPr>
          <w:color w:val="auto"/>
          <w:lang w:val="en-GB"/>
        </w:rPr>
        <w:t>Retention focuses on keeping valuable employees engaged and reducing turnover. For ParcelCare, holding on to warehouse staff is vital amid strong labour market competition (CIPD, 2024; Taylor, 2022).</w:t>
      </w:r>
    </w:p>
    <w:p w14:paraId="3ACB5A35" w14:textId="1617B852" w:rsidR="007669F5" w:rsidRPr="002B3149" w:rsidRDefault="007669F5" w:rsidP="00C64D0B">
      <w:pPr>
        <w:pStyle w:val="Nornal"/>
        <w:rPr>
          <w:color w:val="auto"/>
          <w:lang w:val="en-GB"/>
        </w:rPr>
      </w:pPr>
      <w:r w:rsidRPr="002B3149">
        <w:rPr>
          <w:color w:val="auto"/>
          <w:lang w:val="en-GB"/>
        </w:rPr>
        <w:t>Retention strategies combine efforts to support employee development, satisfaction, and well-being. These include appraisal and feedback systems, training, lateral moves to broaden experience, and flexible work to support work-life balance. Fair rewards, realistic job previews, structured inductions, job enrichment, career breaks, and a positive workplace culture, environment, and leadership are also key to keeping talent engaged and committed</w:t>
      </w:r>
      <w:r w:rsidR="008A7815" w:rsidRPr="002B3149">
        <w:rPr>
          <w:color w:val="auto"/>
          <w:lang w:val="en-GB"/>
        </w:rPr>
        <w:t xml:space="preserve"> (Allen, 2012 &amp; </w:t>
      </w:r>
      <w:r w:rsidR="00F83B60" w:rsidRPr="002B3149">
        <w:rPr>
          <w:color w:val="auto"/>
          <w:lang w:val="en-GB"/>
        </w:rPr>
        <w:t xml:space="preserve">Crail, 2024). </w:t>
      </w:r>
    </w:p>
    <w:p w14:paraId="025FFBEF" w14:textId="03EB2AA4" w:rsidR="0081700A" w:rsidRPr="002B3149" w:rsidRDefault="0081700A" w:rsidP="00C64D0B">
      <w:pPr>
        <w:pStyle w:val="Nornal"/>
        <w:rPr>
          <w:color w:val="auto"/>
          <w:lang w:val="en-GB"/>
        </w:rPr>
      </w:pPr>
      <w:r w:rsidRPr="002B3149">
        <w:rPr>
          <w:color w:val="auto"/>
          <w:lang w:val="en-GB"/>
        </w:rPr>
        <w:t xml:space="preserve">Realistic Job Previews (RJPs) </w:t>
      </w:r>
      <w:r w:rsidR="004858CB">
        <w:rPr>
          <w:color w:val="auto"/>
          <w:lang w:val="en-GB"/>
        </w:rPr>
        <w:t>give</w:t>
      </w:r>
      <w:r w:rsidRPr="002B3149">
        <w:rPr>
          <w:color w:val="auto"/>
          <w:lang w:val="en-GB"/>
        </w:rPr>
        <w:t xml:space="preserve"> </w:t>
      </w:r>
      <w:r w:rsidR="004858CB" w:rsidRPr="002B3149">
        <w:rPr>
          <w:color w:val="auto"/>
          <w:lang w:val="en-GB"/>
        </w:rPr>
        <w:t>applicants</w:t>
      </w:r>
      <w:r w:rsidRPr="002B3149">
        <w:rPr>
          <w:color w:val="auto"/>
          <w:lang w:val="en-GB"/>
        </w:rPr>
        <w:t xml:space="preserve"> a clear view of a role’s demands and rewards before starting, helping align expectations and reduce early turnover (Baur, 2014). They enable self-selection, saving recruitment costs while fostering transparency and trust to boost engagement (Earnest, 2011). For ParcelCare, RJPs can lower turnover by ensuring new warehouse staff understand the physical demands, shift patterns, and fast pace of the job before accepting (Richardson, 2008; O’Brien, 2015).</w:t>
      </w:r>
    </w:p>
    <w:p w14:paraId="79B2EAF3" w14:textId="4BA1CEA6" w:rsidR="00B25D3A" w:rsidRPr="002B3149" w:rsidRDefault="00B25D3A" w:rsidP="00C64D0B">
      <w:pPr>
        <w:pStyle w:val="Nornal"/>
        <w:rPr>
          <w:color w:val="auto"/>
          <w:lang w:val="en-GB"/>
        </w:rPr>
      </w:pPr>
      <w:r w:rsidRPr="002B3149">
        <w:rPr>
          <w:color w:val="auto"/>
          <w:lang w:val="en-GB"/>
        </w:rPr>
        <w:t>Job enrichment redesigns roles to add meaningful tasks, autonomy, and skill development, boosting motivation and retention. For ParcelCare, adding duties like team leadership or quality checks can make repetitive warehouse work more engaging and increase commitment</w:t>
      </w:r>
      <w:r w:rsidR="00FC00C2" w:rsidRPr="002B3149">
        <w:rPr>
          <w:color w:val="auto"/>
          <w:lang w:val="en-GB"/>
        </w:rPr>
        <w:t xml:space="preserve"> (Thomas, 2024</w:t>
      </w:r>
      <w:r w:rsidR="006A0437" w:rsidRPr="002B3149">
        <w:rPr>
          <w:color w:val="auto"/>
          <w:lang w:val="en-GB"/>
        </w:rPr>
        <w:t xml:space="preserve"> &amp; Kalliath,2019</w:t>
      </w:r>
      <w:r w:rsidR="00FC00C2" w:rsidRPr="002B3149">
        <w:rPr>
          <w:color w:val="auto"/>
          <w:lang w:val="en-GB"/>
        </w:rPr>
        <w:t xml:space="preserve">). </w:t>
      </w:r>
    </w:p>
    <w:p w14:paraId="0E5EC0C1" w14:textId="70B2FCE6" w:rsidR="00CE6962" w:rsidRPr="002B3149" w:rsidRDefault="00CE6962" w:rsidP="00C64D0B">
      <w:pPr>
        <w:pStyle w:val="Nornal"/>
        <w:rPr>
          <w:color w:val="auto"/>
          <w:lang w:val="en-GB"/>
        </w:rPr>
      </w:pPr>
      <w:r w:rsidRPr="002B3149">
        <w:rPr>
          <w:color w:val="auto"/>
          <w:lang w:val="en-GB"/>
        </w:rPr>
        <w:lastRenderedPageBreak/>
        <w:t>Induction</w:t>
      </w:r>
      <w:r w:rsidR="006A0437" w:rsidRPr="002B3149">
        <w:rPr>
          <w:color w:val="auto"/>
          <w:lang w:val="en-GB"/>
        </w:rPr>
        <w:t>s</w:t>
      </w:r>
      <w:r w:rsidRPr="002B3149">
        <w:rPr>
          <w:color w:val="auto"/>
          <w:lang w:val="en-GB"/>
        </w:rPr>
        <w:t xml:space="preserve"> onboard new employees, helping them adapt to the culture, processes, and role. It boosts confidence, builds social connections, and clarifies expectations, supporting early retention. For ParcelCare, a strong induction can reduce anxiety and improve retention among new warehouse staff</w:t>
      </w:r>
      <w:r w:rsidR="00C4383E" w:rsidRPr="002B3149">
        <w:rPr>
          <w:color w:val="auto"/>
          <w:lang w:val="en-GB"/>
        </w:rPr>
        <w:t xml:space="preserve"> (Jeske, 2022). </w:t>
      </w:r>
    </w:p>
    <w:p w14:paraId="4CA8804E" w14:textId="4B2A85A6" w:rsidR="00964B79" w:rsidRPr="002B3149" w:rsidRDefault="000F0A57" w:rsidP="00C64D0B">
      <w:pPr>
        <w:pStyle w:val="Nornal"/>
        <w:rPr>
          <w:color w:val="auto"/>
          <w:lang w:val="en-GB"/>
        </w:rPr>
      </w:pPr>
      <w:r w:rsidRPr="002B3149">
        <w:rPr>
          <w:color w:val="auto"/>
          <w:lang w:val="en-GB"/>
        </w:rPr>
        <w:t xml:space="preserve">Reward includes financial and non-financial compensation that boosts retention by offering competitive pay and recognition, improving morale and motivation. For ParcelCare, competitive wages, bonuses, incentives, and recognition programs can help retain warehouse staff. </w:t>
      </w:r>
      <w:r w:rsidR="00143B13" w:rsidRPr="002B3149">
        <w:rPr>
          <w:color w:val="auto"/>
          <w:lang w:val="en-GB"/>
        </w:rPr>
        <w:t>For ParcelCare, offering competitive wages, attendance bonuses, performance incentives, and recognition programs can enhance its appeal and help retain warehouse staff</w:t>
      </w:r>
      <w:r w:rsidR="00B5358E" w:rsidRPr="002B3149">
        <w:rPr>
          <w:color w:val="auto"/>
          <w:lang w:val="en-GB"/>
        </w:rPr>
        <w:t xml:space="preserve"> (</w:t>
      </w:r>
      <w:r w:rsidR="00B5358E" w:rsidRPr="002B3149">
        <w:rPr>
          <w:color w:val="auto"/>
        </w:rPr>
        <w:t xml:space="preserve">Shahbaz, 2025 &amp; </w:t>
      </w:r>
      <w:r w:rsidR="001F3CA0" w:rsidRPr="002B3149">
        <w:rPr>
          <w:color w:val="auto"/>
        </w:rPr>
        <w:t xml:space="preserve">Branch, 2011). </w:t>
      </w:r>
    </w:p>
    <w:p w14:paraId="784452D6" w14:textId="5D8AA71B" w:rsidR="00FF66AC" w:rsidRPr="002B3149" w:rsidRDefault="00C450DA" w:rsidP="00C64D0B">
      <w:pPr>
        <w:pStyle w:val="Nornal"/>
        <w:rPr>
          <w:rStyle w:val="None"/>
          <w:color w:val="auto"/>
        </w:rPr>
      </w:pPr>
      <w:r w:rsidRPr="002B3149">
        <w:rPr>
          <w:color w:val="auto"/>
          <w:lang w:val="en-GB"/>
        </w:rPr>
        <w:t>Retaining warehouse staff is a major challenge for ParcelCare amid strong labour market competition. No single solution will suffice; a blended approach works best. Realistic job previews set clear expectations, induction aids quick integration, job enrichment boosts motivation, and fair rewards attract and keep staff</w:t>
      </w:r>
      <w:r w:rsidR="00010257" w:rsidRPr="002B3149">
        <w:rPr>
          <w:color w:val="auto"/>
          <w:lang w:val="en-GB"/>
        </w:rPr>
        <w:t xml:space="preserve"> (</w:t>
      </w:r>
      <w:r w:rsidR="00010257" w:rsidRPr="002B3149">
        <w:rPr>
          <w:color w:val="auto"/>
        </w:rPr>
        <w:t>Whitaker, 2010).</w:t>
      </w:r>
      <w:r w:rsidRPr="002B3149">
        <w:rPr>
          <w:color w:val="auto"/>
          <w:lang w:val="en-GB"/>
        </w:rPr>
        <w:t xml:space="preserve"> Combined with flexible working, development, and recognition, these strategies can reduce turnover, improve morale, and enhance operational efficiency</w:t>
      </w:r>
      <w:r w:rsidR="00010257" w:rsidRPr="002B3149">
        <w:rPr>
          <w:color w:val="auto"/>
          <w:lang w:val="en-GB"/>
        </w:rPr>
        <w:t xml:space="preserve"> (Victor, 2021 &amp; Hains, 2018). </w:t>
      </w:r>
    </w:p>
    <w:p w14:paraId="5EF56DDB" w14:textId="77777777" w:rsidR="00521797" w:rsidRPr="002B3149" w:rsidRDefault="00521797" w:rsidP="00C64D0B">
      <w:pPr>
        <w:pStyle w:val="Nornal"/>
        <w:rPr>
          <w:rStyle w:val="None"/>
          <w:color w:val="auto"/>
        </w:rPr>
      </w:pPr>
    </w:p>
    <w:p w14:paraId="14827349" w14:textId="02E927A0" w:rsidR="00A75838" w:rsidRPr="002B3149" w:rsidRDefault="00FF66AC" w:rsidP="00C64D0B">
      <w:pPr>
        <w:pStyle w:val="Nornal"/>
        <w:rPr>
          <w:rStyle w:val="None"/>
          <w:color w:val="auto"/>
        </w:rPr>
      </w:pPr>
      <w:r w:rsidRPr="002B3149">
        <w:rPr>
          <w:rStyle w:val="None"/>
          <w:color w:val="auto"/>
        </w:rPr>
        <w:t>Explain the impact associated with dysfunctional employee turnover</w:t>
      </w:r>
    </w:p>
    <w:p w14:paraId="7A18860B" w14:textId="6E4BCAD5" w:rsidR="004C78F8" w:rsidRPr="002B3149" w:rsidRDefault="004C78F8" w:rsidP="00C64D0B">
      <w:pPr>
        <w:pStyle w:val="Nornal"/>
        <w:rPr>
          <w:color w:val="auto"/>
          <w:lang w:val="en-GB"/>
        </w:rPr>
      </w:pPr>
      <w:r w:rsidRPr="002B3149">
        <w:rPr>
          <w:color w:val="auto"/>
          <w:lang w:val="en-GB"/>
        </w:rPr>
        <w:t xml:space="preserve">To persuade ParcelCare’s senior </w:t>
      </w:r>
      <w:r w:rsidR="00793F27" w:rsidRPr="002B3149">
        <w:rPr>
          <w:color w:val="auto"/>
          <w:lang w:val="en-GB"/>
        </w:rPr>
        <w:t>management</w:t>
      </w:r>
      <w:r w:rsidRPr="002B3149">
        <w:rPr>
          <w:color w:val="auto"/>
          <w:lang w:val="en-GB"/>
        </w:rPr>
        <w:t xml:space="preserve"> to act on employee turnover, it’s </w:t>
      </w:r>
      <w:r w:rsidR="00793F27" w:rsidRPr="002B3149">
        <w:rPr>
          <w:color w:val="auto"/>
          <w:lang w:val="en-GB"/>
        </w:rPr>
        <w:t>vital</w:t>
      </w:r>
      <w:r w:rsidRPr="002B3149">
        <w:rPr>
          <w:color w:val="auto"/>
          <w:lang w:val="en-GB"/>
        </w:rPr>
        <w:t xml:space="preserve"> to emphasise the </w:t>
      </w:r>
      <w:r w:rsidR="00793F27" w:rsidRPr="002B3149">
        <w:rPr>
          <w:color w:val="auto"/>
          <w:lang w:val="en-GB"/>
        </w:rPr>
        <w:t>influence</w:t>
      </w:r>
      <w:r w:rsidRPr="002B3149">
        <w:rPr>
          <w:color w:val="auto"/>
          <w:lang w:val="en-GB"/>
        </w:rPr>
        <w:t xml:space="preserve"> of losing high performers or hard-to-fill roles. Dysfunctional turnover has serious financial and operational consequences that directly affect performance, customer satisfaction, and long-term sustainability (CIPD, 2025).</w:t>
      </w:r>
    </w:p>
    <w:p w14:paraId="64A2EDB8" w14:textId="7A49BE5A" w:rsidR="00336FEC" w:rsidRPr="002B3149" w:rsidRDefault="002810FA" w:rsidP="00C64D0B">
      <w:pPr>
        <w:pStyle w:val="Nornal"/>
        <w:rPr>
          <w:color w:val="auto"/>
          <w:lang w:val="en-GB"/>
        </w:rPr>
      </w:pPr>
      <w:r w:rsidRPr="002B3149">
        <w:rPr>
          <w:color w:val="auto"/>
          <w:lang w:val="en-GB"/>
        </w:rPr>
        <w:t>High employee turnover, especially in key roles, imposes significant costs on organi</w:t>
      </w:r>
      <w:r w:rsidR="00C65269" w:rsidRPr="002B3149">
        <w:rPr>
          <w:color w:val="auto"/>
          <w:lang w:val="en-GB"/>
        </w:rPr>
        <w:t>s</w:t>
      </w:r>
      <w:r w:rsidRPr="002B3149">
        <w:rPr>
          <w:color w:val="auto"/>
          <w:lang w:val="en-GB"/>
        </w:rPr>
        <w:t>ations. These include recruitment expenses</w:t>
      </w:r>
      <w:r w:rsidR="00C65269" w:rsidRPr="002B3149">
        <w:rPr>
          <w:color w:val="auto"/>
          <w:lang w:val="en-GB"/>
        </w:rPr>
        <w:t xml:space="preserve"> </w:t>
      </w:r>
      <w:r w:rsidRPr="002B3149">
        <w:rPr>
          <w:color w:val="auto"/>
          <w:lang w:val="en-GB"/>
        </w:rPr>
        <w:t>such as advertising, agency fees, interviews, background checks, onboarding (Wallace, 2012)</w:t>
      </w:r>
      <w:r w:rsidR="00C65269" w:rsidRPr="002B3149">
        <w:rPr>
          <w:color w:val="auto"/>
          <w:lang w:val="en-GB"/>
        </w:rPr>
        <w:t xml:space="preserve">, </w:t>
      </w:r>
      <w:r w:rsidRPr="002B3149">
        <w:rPr>
          <w:color w:val="auto"/>
          <w:lang w:val="en-GB"/>
        </w:rPr>
        <w:t>as well as time spent managing departures, updating records, and reallocating tasks (Kryscynski, 2021). New hires also require training and time to reach full productivity (Cholteeva, 2022; Hall, 2019). Frequent turnover, like replacing delivery drivers or depot managers, can cost thousands per role due to repeated advertising, screening, interviewing, and training (Tatum, 2023).</w:t>
      </w:r>
    </w:p>
    <w:p w14:paraId="4C3A6A47" w14:textId="77777777" w:rsidR="00743B17" w:rsidRPr="002B3149" w:rsidRDefault="00743B17" w:rsidP="00547F46">
      <w:pPr>
        <w:pStyle w:val="Nornal"/>
        <w:rPr>
          <w:color w:val="auto"/>
          <w:lang w:val="en-GB"/>
        </w:rPr>
      </w:pPr>
      <w:r w:rsidRPr="002B3149">
        <w:rPr>
          <w:color w:val="auto"/>
          <w:lang w:val="en-GB"/>
        </w:rPr>
        <w:t>Dysfunctional turnover creates significant indirect costs that are often overlooked. Productivity declines as employees exit and new hires take time to adjust. The loss of experienced staff also means losing valuable knowledge about routes, customers, and systems, which can reduce service quality (Redding, 2019). High turnover impacts morale, increasing stress and burnout among remaining staff. It also wastes investment in training when employees leave before contributing long-term value (Hoeve, 2020; Sushila, 2007). For example, if ParcelCare spends six months training a route planner who leaves within a year, that investment is effectively lost (CIPD, 2024).</w:t>
      </w:r>
    </w:p>
    <w:p w14:paraId="7E12A35A" w14:textId="6F27281A" w:rsidR="00D7761D" w:rsidRPr="002B3149" w:rsidRDefault="009600ED" w:rsidP="00547F46">
      <w:pPr>
        <w:pStyle w:val="Nornal"/>
        <w:rPr>
          <w:color w:val="auto"/>
        </w:rPr>
      </w:pPr>
      <w:r w:rsidRPr="002B3149">
        <w:rPr>
          <w:color w:val="auto"/>
          <w:lang w:val="en-GB"/>
        </w:rPr>
        <w:t>To manage employee turnover effectively, organi</w:t>
      </w:r>
      <w:r w:rsidR="009A1E0A" w:rsidRPr="002B3149">
        <w:rPr>
          <w:color w:val="auto"/>
          <w:lang w:val="en-GB"/>
        </w:rPr>
        <w:t>s</w:t>
      </w:r>
      <w:r w:rsidRPr="002B3149">
        <w:rPr>
          <w:color w:val="auto"/>
          <w:lang w:val="en-GB"/>
        </w:rPr>
        <w:t>ations measure it in several ways. This includes tracking the overall turnover rate within a set period and distinguishing between voluntary resignations and involuntary terminations</w:t>
      </w:r>
      <w:r w:rsidR="00367354" w:rsidRPr="002B3149">
        <w:rPr>
          <w:color w:val="auto"/>
          <w:lang w:val="en-GB"/>
        </w:rPr>
        <w:t xml:space="preserve">. </w:t>
      </w:r>
      <w:r w:rsidRPr="002B3149">
        <w:rPr>
          <w:color w:val="auto"/>
          <w:lang w:val="en-GB"/>
        </w:rPr>
        <w:t>It’s also important to differentiate functional turnover, where underperformers leave, from dysfunctional turnover involving key talent</w:t>
      </w:r>
      <w:r w:rsidR="00367354" w:rsidRPr="002B3149">
        <w:rPr>
          <w:color w:val="auto"/>
          <w:lang w:val="en-GB"/>
        </w:rPr>
        <w:t xml:space="preserve"> (Benson, 1978 &amp; Ryan, 2021). </w:t>
      </w:r>
      <w:r w:rsidRPr="002B3149">
        <w:rPr>
          <w:color w:val="auto"/>
          <w:lang w:val="en-GB"/>
        </w:rPr>
        <w:t>Analy</w:t>
      </w:r>
      <w:r w:rsidR="009A1E0A" w:rsidRPr="002B3149">
        <w:rPr>
          <w:color w:val="auto"/>
          <w:lang w:val="en-GB"/>
        </w:rPr>
        <w:t>s</w:t>
      </w:r>
      <w:r w:rsidRPr="002B3149">
        <w:rPr>
          <w:color w:val="auto"/>
          <w:lang w:val="en-GB"/>
        </w:rPr>
        <w:t>ing turnover by department, role, or location helps pinpoint problem areas. Additionally, exit interviews and employee surveys provide insights into why employees leave and how to improve retention</w:t>
      </w:r>
      <w:r w:rsidR="00626712" w:rsidRPr="002B3149">
        <w:rPr>
          <w:color w:val="auto"/>
          <w:lang w:val="en-GB"/>
        </w:rPr>
        <w:t xml:space="preserve"> (Heap, 2005</w:t>
      </w:r>
      <w:r w:rsidR="00A35D81" w:rsidRPr="002B3149">
        <w:rPr>
          <w:color w:val="auto"/>
          <w:lang w:val="en-GB"/>
        </w:rPr>
        <w:t xml:space="preserve"> &amp; Signoretto, (2016)</w:t>
      </w:r>
      <w:r w:rsidR="00626712" w:rsidRPr="002B3149">
        <w:rPr>
          <w:color w:val="auto"/>
          <w:lang w:val="en-GB"/>
        </w:rPr>
        <w:t xml:space="preserve">. </w:t>
      </w:r>
    </w:p>
    <w:p w14:paraId="23A4F438" w14:textId="659C7025" w:rsidR="00DA6F68" w:rsidRPr="002B3149" w:rsidRDefault="00057A93" w:rsidP="00547F46">
      <w:pPr>
        <w:pStyle w:val="Nornal"/>
        <w:rPr>
          <w:color w:val="auto"/>
          <w:lang w:val="en-GB"/>
        </w:rPr>
      </w:pPr>
      <w:r w:rsidRPr="002B3149">
        <w:rPr>
          <w:color w:val="auto"/>
          <w:lang w:val="en-GB"/>
        </w:rPr>
        <w:lastRenderedPageBreak/>
        <w:t xml:space="preserve">For ParcelCare, maintaining stable staffing is vital to ensuring timely deliveries, satisfying customers, and adhering to health and safety standards. High levels of dysfunctional turnover put all of these at risk. Without action to curb rising turnover, the company may face more frequent service </w:t>
      </w:r>
      <w:r w:rsidR="006C13C2" w:rsidRPr="002B3149">
        <w:rPr>
          <w:color w:val="auto"/>
          <w:lang w:val="en-GB"/>
        </w:rPr>
        <w:t>pauses</w:t>
      </w:r>
      <w:r w:rsidRPr="002B3149">
        <w:rPr>
          <w:color w:val="auto"/>
          <w:lang w:val="en-GB"/>
        </w:rPr>
        <w:t xml:space="preserve">, lower customer </w:t>
      </w:r>
      <w:r w:rsidR="006C13C2" w:rsidRPr="002B3149">
        <w:rPr>
          <w:color w:val="auto"/>
          <w:lang w:val="en-GB"/>
        </w:rPr>
        <w:t>approval</w:t>
      </w:r>
      <w:r w:rsidRPr="002B3149">
        <w:rPr>
          <w:color w:val="auto"/>
          <w:lang w:val="en-GB"/>
        </w:rPr>
        <w:t>, and a weakened brand reputation along with reduced employee support. Moreover, recruitment expenses will continue to grow if the root issues are not resolved</w:t>
      </w:r>
      <w:r w:rsidR="00A51086" w:rsidRPr="002B3149">
        <w:rPr>
          <w:color w:val="auto"/>
          <w:lang w:val="en-GB"/>
        </w:rPr>
        <w:t xml:space="preserve"> (Baker, 2014 &amp;</w:t>
      </w:r>
      <w:r w:rsidR="00C37E1B" w:rsidRPr="002B3149">
        <w:rPr>
          <w:color w:val="auto"/>
          <w:lang w:val="en-GB"/>
        </w:rPr>
        <w:t xml:space="preserve"> Taylor, 2022). </w:t>
      </w:r>
    </w:p>
    <w:p w14:paraId="0C26BCC2" w14:textId="0680D83E" w:rsidR="007A3A60" w:rsidRPr="002B3149" w:rsidRDefault="00EF0BB4" w:rsidP="00C64D0B">
      <w:pPr>
        <w:pStyle w:val="Nornal"/>
        <w:rPr>
          <w:color w:val="auto"/>
        </w:rPr>
      </w:pPr>
      <w:r w:rsidRPr="002B3149">
        <w:rPr>
          <w:color w:val="auto"/>
          <w:lang w:val="en-GB"/>
        </w:rPr>
        <w:t>Dysfunctional turnover is a strategic issue that threatens ParcelCare’s profitability and growth. Investing in retention through better onboarding, career paths, competitive pay, and an improved culture can reduce costs and strengthen workforce engagement (Walker, 2024).</w:t>
      </w:r>
    </w:p>
    <w:p w14:paraId="7415B7A0" w14:textId="2B884408" w:rsidR="00AB6069" w:rsidRPr="002B3149" w:rsidRDefault="00345CAF" w:rsidP="00C64D0B">
      <w:pPr>
        <w:pStyle w:val="Nornal"/>
        <w:rPr>
          <w:color w:val="auto"/>
          <w:lang w:val="en-GB"/>
        </w:rPr>
      </w:pPr>
      <w:r w:rsidRPr="002B3149">
        <w:rPr>
          <w:rStyle w:val="None"/>
          <w:color w:val="auto"/>
        </w:rPr>
        <w:t>Assess suitable types of contractual arrangements dependent on specific workforce need.</w:t>
      </w:r>
    </w:p>
    <w:p w14:paraId="770DC343" w14:textId="08E02274" w:rsidR="00E166BF" w:rsidRPr="002B3149" w:rsidRDefault="00E166BF" w:rsidP="00C64D0B">
      <w:pPr>
        <w:pStyle w:val="Nornal"/>
        <w:rPr>
          <w:color w:val="auto"/>
          <w:lang w:val="en-GB"/>
        </w:rPr>
      </w:pPr>
      <w:r w:rsidRPr="002B3149">
        <w:rPr>
          <w:color w:val="auto"/>
          <w:lang w:val="en-GB"/>
        </w:rPr>
        <w:t>ParcelCare</w:t>
      </w:r>
      <w:r w:rsidR="00D3486B" w:rsidRPr="002B3149">
        <w:rPr>
          <w:color w:val="auto"/>
          <w:lang w:val="en-GB"/>
        </w:rPr>
        <w:t xml:space="preserve"> </w:t>
      </w:r>
      <w:r w:rsidRPr="002B3149">
        <w:rPr>
          <w:color w:val="auto"/>
          <w:lang w:val="en-GB"/>
        </w:rPr>
        <w:t xml:space="preserve">is </w:t>
      </w:r>
      <w:r w:rsidR="0099535F">
        <w:rPr>
          <w:color w:val="auto"/>
          <w:lang w:val="en-GB"/>
        </w:rPr>
        <w:t>encountering</w:t>
      </w:r>
      <w:r w:rsidRPr="002B3149">
        <w:rPr>
          <w:color w:val="auto"/>
          <w:lang w:val="en-GB"/>
        </w:rPr>
        <w:t xml:space="preserve"> </w:t>
      </w:r>
      <w:r w:rsidR="00B46089">
        <w:rPr>
          <w:color w:val="auto"/>
          <w:lang w:val="en-GB"/>
        </w:rPr>
        <w:t>difficulties</w:t>
      </w:r>
      <w:r w:rsidRPr="002B3149">
        <w:rPr>
          <w:color w:val="auto"/>
          <w:lang w:val="en-GB"/>
        </w:rPr>
        <w:t xml:space="preserve"> in attracting, recruiting, and retaining staff. A key priority is aligning contract types with operational needs, particularly for delivery drivers. While most employees are on permanent, full-time contracts that offer stability, they may lack the flexibility to meet changing demand. This assessment examines the suitability of permanent, zero-hours, and self-employed (gig economy) contracts for ParcelCare (Daniels, 2022; Ayling, 2024).</w:t>
      </w:r>
    </w:p>
    <w:p w14:paraId="12DBDD24" w14:textId="2D537DCC" w:rsidR="00520A0B" w:rsidRPr="002B3149" w:rsidRDefault="00D95FDE" w:rsidP="00C64D0B">
      <w:pPr>
        <w:pStyle w:val="Nornal"/>
        <w:rPr>
          <w:color w:val="auto"/>
          <w:lang w:val="en-GB"/>
        </w:rPr>
      </w:pPr>
      <w:r w:rsidRPr="002B3149">
        <w:rPr>
          <w:color w:val="auto"/>
          <w:lang w:val="en-GB"/>
        </w:rPr>
        <w:t>Zero-hours contracts offer flexibility by allowing workers to be scheduled based on demand, making them useful for managing peak periods at ParcelCare. They can help control labour costs and appeal to individuals seeking flexible work, such as students or semi-retired people</w:t>
      </w:r>
      <w:r w:rsidR="000E0963" w:rsidRPr="002B3149">
        <w:rPr>
          <w:color w:val="auto"/>
          <w:lang w:val="en-GB"/>
        </w:rPr>
        <w:t xml:space="preserve"> (CIPD, 2021 &amp;</w:t>
      </w:r>
      <w:r w:rsidR="009670B2" w:rsidRPr="002B3149">
        <w:rPr>
          <w:color w:val="auto"/>
          <w:lang w:val="en-GB"/>
        </w:rPr>
        <w:t xml:space="preserve"> Koumenta, 2019) </w:t>
      </w:r>
      <w:r w:rsidRPr="002B3149">
        <w:rPr>
          <w:color w:val="auto"/>
          <w:lang w:val="en-GB"/>
        </w:rPr>
        <w:t>However, the unpredictability of hours may lead to staffing gaps and lower employee commitment. There is also some reputational risk if the approach is seen as unfair. Used thoughtfully and with clear communication, zero-hours contracts could be a helpful part of a balanced workforce strategy</w:t>
      </w:r>
      <w:r w:rsidR="006A2EDD" w:rsidRPr="002B3149">
        <w:rPr>
          <w:color w:val="auto"/>
          <w:lang w:val="en-GB"/>
        </w:rPr>
        <w:t xml:space="preserve"> (</w:t>
      </w:r>
      <w:r w:rsidR="00955954" w:rsidRPr="002B3149">
        <w:rPr>
          <w:color w:val="auto"/>
          <w:lang w:val="en-GB"/>
        </w:rPr>
        <w:t>Fabrellas, 2019</w:t>
      </w:r>
      <w:r w:rsidR="00606506" w:rsidRPr="002B3149">
        <w:rPr>
          <w:color w:val="auto"/>
          <w:lang w:val="en-GB"/>
        </w:rPr>
        <w:t xml:space="preserve"> &amp; Reljanović, 2019</w:t>
      </w:r>
      <w:r w:rsidR="00955954" w:rsidRPr="002B3149">
        <w:rPr>
          <w:color w:val="auto"/>
          <w:lang w:val="en-GB"/>
        </w:rPr>
        <w:t xml:space="preserve">). </w:t>
      </w:r>
    </w:p>
    <w:p w14:paraId="5CE2DE28" w14:textId="1FE3CDF9" w:rsidR="00740CD7" w:rsidRPr="002B3149" w:rsidRDefault="003E7E56" w:rsidP="00C64D0B">
      <w:pPr>
        <w:pStyle w:val="Nornal"/>
        <w:rPr>
          <w:color w:val="auto"/>
          <w:lang w:val="en-GB"/>
        </w:rPr>
      </w:pPr>
      <w:r w:rsidRPr="002B3149">
        <w:rPr>
          <w:color w:val="auto"/>
          <w:lang w:val="en-GB"/>
        </w:rPr>
        <w:t>On the contrast, p</w:t>
      </w:r>
      <w:r w:rsidR="008F0578" w:rsidRPr="002B3149">
        <w:rPr>
          <w:color w:val="auto"/>
          <w:lang w:val="en-GB"/>
        </w:rPr>
        <w:t>ermanent full-time contracts provide ParcelCare with a stable, reliable workforce entitled to benefits like sick pay and holiday leave</w:t>
      </w:r>
      <w:r w:rsidR="00253E24" w:rsidRPr="002B3149">
        <w:rPr>
          <w:color w:val="auto"/>
          <w:lang w:val="en-GB"/>
        </w:rPr>
        <w:t xml:space="preserve"> (Patel, </w:t>
      </w:r>
      <w:r w:rsidR="00556136" w:rsidRPr="002B3149">
        <w:rPr>
          <w:color w:val="auto"/>
          <w:lang w:val="en-GB"/>
        </w:rPr>
        <w:t>2022).</w:t>
      </w:r>
      <w:r w:rsidR="008F0578" w:rsidRPr="002B3149">
        <w:rPr>
          <w:color w:val="auto"/>
          <w:lang w:val="en-GB"/>
        </w:rPr>
        <w:t xml:space="preserve"> This model supports employee loyalty, consistent scheduling, and easier performance management. However, it can be inflexible, leading to overstaffing during slow periods and higher costs due to fixed salaries and benefits</w:t>
      </w:r>
      <w:r w:rsidR="00B92F20" w:rsidRPr="002B3149">
        <w:rPr>
          <w:color w:val="auto"/>
          <w:lang w:val="en-GB"/>
        </w:rPr>
        <w:t xml:space="preserve"> (Zafarino, 2019 &amp;</w:t>
      </w:r>
      <w:r w:rsidR="004314A5" w:rsidRPr="002B3149">
        <w:rPr>
          <w:color w:val="auto"/>
          <w:lang w:val="en-GB"/>
        </w:rPr>
        <w:t xml:space="preserve"> Daniels, 2022).</w:t>
      </w:r>
      <w:r w:rsidR="008F0578" w:rsidRPr="002B3149">
        <w:rPr>
          <w:color w:val="auto"/>
          <w:lang w:val="en-GB"/>
        </w:rPr>
        <w:t xml:space="preserve"> While ideal for maintaining core staff and service quality, permanent contracts may be less efficient when demand varies</w:t>
      </w:r>
      <w:r w:rsidR="004314A5" w:rsidRPr="002B3149">
        <w:rPr>
          <w:color w:val="auto"/>
          <w:lang w:val="en-GB"/>
        </w:rPr>
        <w:t xml:space="preserve"> (Conway, 2002</w:t>
      </w:r>
      <w:r w:rsidR="00A30ADB" w:rsidRPr="002B3149">
        <w:rPr>
          <w:color w:val="auto"/>
          <w:lang w:val="en-GB"/>
        </w:rPr>
        <w:t xml:space="preserve"> &amp; Silkin, 2022</w:t>
      </w:r>
      <w:r w:rsidR="004314A5" w:rsidRPr="002B3149">
        <w:rPr>
          <w:color w:val="auto"/>
          <w:lang w:val="en-GB"/>
        </w:rPr>
        <w:t xml:space="preserve">). </w:t>
      </w:r>
    </w:p>
    <w:p w14:paraId="6BA53A77" w14:textId="5390E86D" w:rsidR="00905D13" w:rsidRPr="002B3149" w:rsidRDefault="003B1614" w:rsidP="00C64D0B">
      <w:pPr>
        <w:pStyle w:val="Nornal"/>
        <w:rPr>
          <w:color w:val="auto"/>
          <w:lang w:val="en-GB"/>
        </w:rPr>
      </w:pPr>
      <w:r w:rsidRPr="002B3149">
        <w:rPr>
          <w:color w:val="auto"/>
          <w:lang w:val="en-GB"/>
        </w:rPr>
        <w:t>Self-employed contractors work independently, managing their own taxes and benefits without employee rights like holiday or sick pay. For ParcelCare, this model offers flexibility to quickly meet variable demand and reduces overhead costs, as there are no employer contributions</w:t>
      </w:r>
      <w:r w:rsidR="00A30ADB" w:rsidRPr="002B3149">
        <w:rPr>
          <w:color w:val="auto"/>
          <w:lang w:val="en-GB"/>
        </w:rPr>
        <w:t xml:space="preserve"> </w:t>
      </w:r>
      <w:r w:rsidR="00E51341" w:rsidRPr="002B3149">
        <w:rPr>
          <w:color w:val="auto"/>
          <w:lang w:val="en-GB"/>
        </w:rPr>
        <w:t>(Bryant, 2020 &amp; Nye, 2018)</w:t>
      </w:r>
      <w:r w:rsidRPr="002B3149">
        <w:rPr>
          <w:color w:val="auto"/>
          <w:lang w:val="en-GB"/>
        </w:rPr>
        <w:t>. Contractors are often available for extended hours, including weekends. However, this limits control over service standards and poses legal and reputational risks related to employment status. They may also lack loyalty and consistency, impacting long-term service quality. While useful for scaling during peak times, self-employed contractors should not be the core workforce</w:t>
      </w:r>
      <w:r w:rsidR="00E51341" w:rsidRPr="002B3149">
        <w:rPr>
          <w:color w:val="auto"/>
          <w:lang w:val="en-GB"/>
        </w:rPr>
        <w:t xml:space="preserve"> (Farrand, 2017 &amp; Ovaska-Few, 2019). </w:t>
      </w:r>
    </w:p>
    <w:p w14:paraId="63DEDFA8" w14:textId="707290E3" w:rsidR="003E502E" w:rsidRPr="002B3149" w:rsidRDefault="001465C9" w:rsidP="00C64D0B">
      <w:pPr>
        <w:pStyle w:val="Nornal"/>
        <w:rPr>
          <w:color w:val="auto"/>
          <w:lang w:val="en-GB"/>
        </w:rPr>
      </w:pPr>
      <w:r w:rsidRPr="002B3149">
        <w:rPr>
          <w:color w:val="auto"/>
          <w:lang w:val="en-GB"/>
        </w:rPr>
        <w:t>To stay competitive, ParcelCare could adopt a hybrid workforce model, combining permanent staff for stability, flexible workers for moderate demand shifts, and contractors for peak periods</w:t>
      </w:r>
      <w:r w:rsidR="009164A0" w:rsidRPr="002B3149">
        <w:rPr>
          <w:color w:val="auto"/>
          <w:lang w:val="en-GB"/>
        </w:rPr>
        <w:t xml:space="preserve"> (Grady, 2017). </w:t>
      </w:r>
      <w:r w:rsidRPr="002B3149">
        <w:rPr>
          <w:color w:val="auto"/>
          <w:lang w:val="en-GB"/>
        </w:rPr>
        <w:t xml:space="preserve">This approach supports cost control, service quality, and adaptability while attracting a broader talent pool. Key next steps include reviewing staffing data, piloting the model, strengthening onboarding, staying informed on legal changes, and </w:t>
      </w:r>
      <w:r w:rsidRPr="002B3149">
        <w:rPr>
          <w:color w:val="auto"/>
          <w:lang w:val="en-GB"/>
        </w:rPr>
        <w:lastRenderedPageBreak/>
        <w:t xml:space="preserve">engaging all worker types to support retention and </w:t>
      </w:r>
      <w:r w:rsidR="00A44604" w:rsidRPr="002B3149">
        <w:rPr>
          <w:color w:val="auto"/>
          <w:lang w:val="en-GB"/>
        </w:rPr>
        <w:t>performance (Cameron, 20</w:t>
      </w:r>
      <w:r w:rsidR="00917B38" w:rsidRPr="002B3149">
        <w:rPr>
          <w:color w:val="auto"/>
          <w:lang w:val="en-GB"/>
        </w:rPr>
        <w:t>12</w:t>
      </w:r>
      <w:r w:rsidR="0068783C" w:rsidRPr="002B3149">
        <w:rPr>
          <w:color w:val="auto"/>
          <w:lang w:val="en-GB"/>
        </w:rPr>
        <w:t xml:space="preserve"> &amp; Ito, 2005</w:t>
      </w:r>
      <w:r w:rsidR="00917B38" w:rsidRPr="002B3149">
        <w:rPr>
          <w:color w:val="auto"/>
          <w:lang w:val="en-GB"/>
        </w:rPr>
        <w:t xml:space="preserve">). </w:t>
      </w:r>
    </w:p>
    <w:p w14:paraId="23DB8625" w14:textId="77777777" w:rsidR="003E502E" w:rsidRPr="002B3149" w:rsidRDefault="003E502E" w:rsidP="003E502E">
      <w:pPr>
        <w:pStyle w:val="TableStyle2"/>
        <w:rPr>
          <w:rStyle w:val="None"/>
          <w:color w:val="auto"/>
          <w:sz w:val="24"/>
          <w:szCs w:val="24"/>
        </w:rPr>
      </w:pPr>
      <w:r w:rsidRPr="002B3149">
        <w:rPr>
          <w:rStyle w:val="None"/>
          <w:color w:val="auto"/>
          <w:sz w:val="24"/>
          <w:szCs w:val="24"/>
        </w:rPr>
        <w:t>Explain the benefits of effective onboarding.</w:t>
      </w:r>
    </w:p>
    <w:p w14:paraId="37B5F72F" w14:textId="77777777" w:rsidR="003E502E" w:rsidRPr="002B3149" w:rsidRDefault="003E502E" w:rsidP="003E502E">
      <w:pPr>
        <w:pStyle w:val="TableStyle2"/>
        <w:rPr>
          <w:rStyle w:val="None"/>
          <w:b/>
          <w:bCs/>
          <w:color w:val="auto"/>
          <w:sz w:val="24"/>
          <w:szCs w:val="24"/>
        </w:rPr>
      </w:pPr>
    </w:p>
    <w:p w14:paraId="340E886C" w14:textId="49D220BA" w:rsidR="003E502E" w:rsidRPr="002B3149" w:rsidRDefault="00D116C5" w:rsidP="00C64D0B">
      <w:pPr>
        <w:pStyle w:val="Nornal"/>
        <w:rPr>
          <w:color w:val="auto"/>
          <w:lang w:val="en-GB"/>
        </w:rPr>
      </w:pPr>
      <w:r w:rsidRPr="002B3149">
        <w:rPr>
          <w:color w:val="auto"/>
          <w:lang w:val="en-GB"/>
        </w:rPr>
        <w:t xml:space="preserve">ParcelCare faces ongoing challenges in attracting, recruiting, and especially retaining staff, making onboarding improvement a priority. </w:t>
      </w:r>
      <w:r w:rsidR="00505F61" w:rsidRPr="002B3149">
        <w:rPr>
          <w:color w:val="auto"/>
          <w:lang w:val="en-GB"/>
        </w:rPr>
        <w:t>The existing informal approach poses a risk of disengaging new employees during a pivotal stage of their integration. Implementing a structured and thoughtfully designed onboarding programme would help improve employee engagement, boost productivity, and strengthen retention both in the short term and the long term</w:t>
      </w:r>
      <w:r w:rsidR="00242F36" w:rsidRPr="002B3149">
        <w:rPr>
          <w:color w:val="auto"/>
          <w:lang w:val="en-GB"/>
        </w:rPr>
        <w:t xml:space="preserve"> (Keswin, 2022 &amp; CIPD, 2024). </w:t>
      </w:r>
    </w:p>
    <w:p w14:paraId="66921891" w14:textId="742CED3D" w:rsidR="00DE031B" w:rsidRPr="00DE031B" w:rsidRDefault="00DE031B" w:rsidP="00DE031B">
      <w:pPr>
        <w:pStyle w:val="Nornal"/>
        <w:rPr>
          <w:color w:val="auto"/>
        </w:rPr>
      </w:pPr>
      <w:r w:rsidRPr="00DE031B">
        <w:rPr>
          <w:color w:val="auto"/>
        </w:rPr>
        <w:t xml:space="preserve">An effective onboarding </w:t>
      </w:r>
      <w:r w:rsidR="003D3A6D" w:rsidRPr="002B3149">
        <w:rPr>
          <w:color w:val="auto"/>
        </w:rPr>
        <w:t>package</w:t>
      </w:r>
      <w:r w:rsidRPr="00DE031B">
        <w:rPr>
          <w:color w:val="auto"/>
        </w:rPr>
        <w:t xml:space="preserve"> at ParcelCare should include several essential elements to ensure a smooth and engaging transition for new employees. Before their first day, sharing important information such as contract terms, benefits, start date, work schedule, and what to expect upon arrival helps new hires feel prepared and reassured</w:t>
      </w:r>
      <w:r w:rsidR="000A795C" w:rsidRPr="002B3149">
        <w:rPr>
          <w:color w:val="auto"/>
        </w:rPr>
        <w:t xml:space="preserve"> </w:t>
      </w:r>
      <w:r w:rsidR="00480A70" w:rsidRPr="002B3149">
        <w:rPr>
          <w:color w:val="auto"/>
        </w:rPr>
        <w:t>(Fonner</w:t>
      </w:r>
      <w:r w:rsidR="007C52CD" w:rsidRPr="002B3149">
        <w:rPr>
          <w:color w:val="auto"/>
        </w:rPr>
        <w:t>, 2008 &amp; Hosain, 2021</w:t>
      </w:r>
      <w:r w:rsidR="000A795C" w:rsidRPr="002B3149">
        <w:rPr>
          <w:color w:val="auto"/>
        </w:rPr>
        <w:t xml:space="preserve">). </w:t>
      </w:r>
      <w:r w:rsidRPr="00DE031B">
        <w:rPr>
          <w:color w:val="auto"/>
        </w:rPr>
        <w:t xml:space="preserve"> Introducing them to ParcelCare’s values, mission, and culture </w:t>
      </w:r>
      <w:r w:rsidR="00500B46" w:rsidRPr="00DE031B">
        <w:rPr>
          <w:color w:val="auto"/>
        </w:rPr>
        <w:t>delivers</w:t>
      </w:r>
      <w:r w:rsidRPr="00DE031B">
        <w:rPr>
          <w:color w:val="auto"/>
        </w:rPr>
        <w:t xml:space="preserve"> a clear sense of </w:t>
      </w:r>
      <w:r w:rsidR="00500B46" w:rsidRPr="00DE031B">
        <w:rPr>
          <w:color w:val="auto"/>
        </w:rPr>
        <w:t>determination</w:t>
      </w:r>
      <w:r w:rsidRPr="00DE031B">
        <w:rPr>
          <w:color w:val="auto"/>
        </w:rPr>
        <w:t xml:space="preserve"> and helps establish alignment with the organisation’s overall direction</w:t>
      </w:r>
      <w:r w:rsidR="00227352" w:rsidRPr="002B3149">
        <w:rPr>
          <w:color w:val="auto"/>
        </w:rPr>
        <w:t xml:space="preserve">. </w:t>
      </w:r>
      <w:r w:rsidRPr="00DE031B">
        <w:rPr>
          <w:color w:val="auto"/>
        </w:rPr>
        <w:t>Departmental overviews also play a key role by helping new team members understand how their position fits within the wider business and contributes to its success</w:t>
      </w:r>
      <w:r w:rsidR="00837731" w:rsidRPr="002B3149">
        <w:rPr>
          <w:color w:val="auto"/>
        </w:rPr>
        <w:t xml:space="preserve"> (</w:t>
      </w:r>
      <w:r w:rsidR="00A12B88" w:rsidRPr="002B3149">
        <w:rPr>
          <w:color w:val="auto"/>
        </w:rPr>
        <w:t xml:space="preserve">Laudon, 2013 &amp; </w:t>
      </w:r>
      <w:r w:rsidR="002B14D7" w:rsidRPr="002B3149">
        <w:rPr>
          <w:color w:val="auto"/>
        </w:rPr>
        <w:t>Foot, 2011</w:t>
      </w:r>
      <w:r w:rsidR="00837731" w:rsidRPr="002B3149">
        <w:rPr>
          <w:color w:val="auto"/>
        </w:rPr>
        <w:t xml:space="preserve">). </w:t>
      </w:r>
      <w:r w:rsidRPr="00DE031B">
        <w:rPr>
          <w:color w:val="auto"/>
        </w:rPr>
        <w:t>Clearly explaining job responsibilities, performance expectations, and measures of success helps to prevent uncertainty and creates a strong foundation for achievement. Encouraging early social connections through introductions to colleagues and informal meetings promotes relationship-building and a sense of belonging</w:t>
      </w:r>
      <w:r w:rsidR="00FE2157" w:rsidRPr="002B3149">
        <w:rPr>
          <w:color w:val="auto"/>
        </w:rPr>
        <w:t xml:space="preserve"> (Bahl, 2022 &amp; Pinco, 2024).</w:t>
      </w:r>
      <w:r w:rsidRPr="00DE031B">
        <w:rPr>
          <w:color w:val="auto"/>
        </w:rPr>
        <w:t xml:space="preserve"> In addition, outlining available training, development opportunities, and mentoring shows that new employees are supported and have clear pathways for growth </w:t>
      </w:r>
      <w:r w:rsidR="0025423C" w:rsidRPr="002B3149">
        <w:rPr>
          <w:color w:val="auto"/>
        </w:rPr>
        <w:t>(Vokic, 2024</w:t>
      </w:r>
      <w:r w:rsidR="004940DA" w:rsidRPr="002B3149">
        <w:rPr>
          <w:color w:val="auto"/>
        </w:rPr>
        <w:t xml:space="preserve"> &amp; Binyamin, 2020</w:t>
      </w:r>
      <w:r w:rsidR="0025423C" w:rsidRPr="002B3149">
        <w:rPr>
          <w:color w:val="auto"/>
        </w:rPr>
        <w:t xml:space="preserve">). </w:t>
      </w:r>
    </w:p>
    <w:p w14:paraId="31098DAE" w14:textId="4CA92786" w:rsidR="007C52CD" w:rsidRPr="002B3149" w:rsidRDefault="00853E34" w:rsidP="00C64D0B">
      <w:pPr>
        <w:pStyle w:val="Nornal"/>
        <w:rPr>
          <w:color w:val="auto"/>
        </w:rPr>
      </w:pPr>
      <w:r w:rsidRPr="00853E34">
        <w:rPr>
          <w:color w:val="auto"/>
        </w:rPr>
        <w:t xml:space="preserve">Onboarding at ParcelCare serves as a critical foundation for helping new </w:t>
      </w:r>
      <w:r w:rsidRPr="002B3149">
        <w:rPr>
          <w:color w:val="auto"/>
        </w:rPr>
        <w:t>employees’</w:t>
      </w:r>
      <w:r w:rsidRPr="00853E34">
        <w:rPr>
          <w:color w:val="auto"/>
        </w:rPr>
        <w:t xml:space="preserve"> transition smoothly into their roles, teams, and the broader organisation. A well-structured process minimises the risk of early disengagement or resignation by providing clarity and direction from the start</w:t>
      </w:r>
      <w:r w:rsidRPr="002B3149">
        <w:rPr>
          <w:color w:val="auto"/>
        </w:rPr>
        <w:t xml:space="preserve"> (Ibrahim, 2022 &amp;  Jeske, 2022).</w:t>
      </w:r>
      <w:r w:rsidRPr="00853E34">
        <w:rPr>
          <w:color w:val="auto"/>
        </w:rPr>
        <w:t xml:space="preserve"> It also plays an important role in introducing new hires to ParcelCare’s core values and organisational culture, helping them feel connected and aligned with the company’s purpose</w:t>
      </w:r>
      <w:r w:rsidR="00F37552" w:rsidRPr="002B3149">
        <w:rPr>
          <w:color w:val="auto"/>
        </w:rPr>
        <w:t xml:space="preserve"> (Diaz-Munzo, 202</w:t>
      </w:r>
      <w:r w:rsidR="00A80723" w:rsidRPr="002B3149">
        <w:rPr>
          <w:color w:val="auto"/>
        </w:rPr>
        <w:t xml:space="preserve">4). </w:t>
      </w:r>
      <w:r w:rsidRPr="00853E34">
        <w:rPr>
          <w:color w:val="auto"/>
        </w:rPr>
        <w:t>When employees receive the right support and information early on, they become confident and capable more quickly, leading to increased productivity and a shorter adjustment period. Moreover, effective onboarding contributes to long-term employee retention</w:t>
      </w:r>
      <w:r w:rsidR="006C28D2" w:rsidRPr="002B3149">
        <w:rPr>
          <w:color w:val="auto"/>
        </w:rPr>
        <w:t xml:space="preserve"> (Quirk, 2021).</w:t>
      </w:r>
      <w:r w:rsidRPr="00853E34">
        <w:rPr>
          <w:color w:val="auto"/>
        </w:rPr>
        <w:t xml:space="preserve"> By creating a positive and informed start, ParcelCare not only strengthens staff commitment but also reduces hiring costs, preserves institutional knowledge, and promotes a more stable workforce</w:t>
      </w:r>
      <w:r w:rsidR="00725397" w:rsidRPr="002B3149">
        <w:rPr>
          <w:color w:val="auto"/>
        </w:rPr>
        <w:t xml:space="preserve"> (Ladwig, 2020 &amp; </w:t>
      </w:r>
      <w:r w:rsidR="00661003" w:rsidRPr="002B3149">
        <w:rPr>
          <w:color w:val="auto"/>
        </w:rPr>
        <w:t>Mosquera, 2025</w:t>
      </w:r>
      <w:r w:rsidR="007C52CD" w:rsidRPr="002B3149">
        <w:rPr>
          <w:color w:val="auto"/>
        </w:rPr>
        <w:t>)</w:t>
      </w:r>
    </w:p>
    <w:p w14:paraId="562D807C" w14:textId="05CEA07F" w:rsidR="009247D8" w:rsidRDefault="00F1652F" w:rsidP="00F1652F">
      <w:pPr>
        <w:pStyle w:val="Nornal"/>
        <w:rPr>
          <w:color w:val="auto"/>
          <w:lang w:val="en-GB"/>
        </w:rPr>
      </w:pPr>
      <w:r w:rsidRPr="002B3149">
        <w:rPr>
          <w:color w:val="auto"/>
          <w:lang w:val="en-GB"/>
        </w:rPr>
        <w:t>In summary, effective onboarding is a strategic investment that improves retention and positions ParcelCare as an employer of choice. Prioritising a structured onboarding programme is key to enhancing employee experience and driving organisational success (Zuiker, 2024).</w:t>
      </w:r>
    </w:p>
    <w:p w14:paraId="23C84D9A" w14:textId="77777777" w:rsidR="002B3149" w:rsidRDefault="002B3149" w:rsidP="00F1652F">
      <w:pPr>
        <w:pStyle w:val="Nornal"/>
        <w:rPr>
          <w:color w:val="auto"/>
          <w:lang w:val="en-GB"/>
        </w:rPr>
      </w:pPr>
    </w:p>
    <w:p w14:paraId="3586E118" w14:textId="77777777" w:rsidR="002B3149" w:rsidRDefault="002B3149" w:rsidP="00F1652F">
      <w:pPr>
        <w:pStyle w:val="Nornal"/>
        <w:rPr>
          <w:color w:val="auto"/>
          <w:lang w:val="en-GB"/>
        </w:rPr>
      </w:pPr>
    </w:p>
    <w:p w14:paraId="58876F97" w14:textId="77777777" w:rsidR="002B3149" w:rsidRDefault="002B3149" w:rsidP="00F1652F">
      <w:pPr>
        <w:pStyle w:val="Nornal"/>
        <w:rPr>
          <w:color w:val="auto"/>
          <w:lang w:val="en-GB"/>
        </w:rPr>
      </w:pPr>
    </w:p>
    <w:p w14:paraId="0BBAB3FA" w14:textId="77777777" w:rsidR="002B3149" w:rsidRDefault="002B3149" w:rsidP="00F1652F">
      <w:pPr>
        <w:pStyle w:val="Nornal"/>
        <w:rPr>
          <w:color w:val="auto"/>
          <w:lang w:val="en-GB"/>
        </w:rPr>
      </w:pPr>
    </w:p>
    <w:p w14:paraId="086A755A" w14:textId="77777777" w:rsidR="002B3149" w:rsidRDefault="002B3149" w:rsidP="00F1652F">
      <w:pPr>
        <w:pStyle w:val="Nornal"/>
        <w:rPr>
          <w:color w:val="auto"/>
          <w:lang w:val="en-GB"/>
        </w:rPr>
      </w:pPr>
    </w:p>
    <w:p w14:paraId="5717E65C" w14:textId="77777777" w:rsidR="002B3149" w:rsidRDefault="002B3149" w:rsidP="00F1652F">
      <w:pPr>
        <w:pStyle w:val="Nornal"/>
        <w:rPr>
          <w:color w:val="auto"/>
          <w:lang w:val="en-GB"/>
        </w:rPr>
      </w:pPr>
    </w:p>
    <w:p w14:paraId="0B228B03" w14:textId="77777777" w:rsidR="002B3149" w:rsidRDefault="002B3149" w:rsidP="00F1652F">
      <w:pPr>
        <w:pStyle w:val="Nornal"/>
        <w:rPr>
          <w:color w:val="auto"/>
          <w:lang w:val="en-GB"/>
        </w:rPr>
      </w:pPr>
    </w:p>
    <w:p w14:paraId="3BA8CE74" w14:textId="77777777" w:rsidR="002B3149" w:rsidRDefault="002B3149" w:rsidP="002B3149">
      <w:pPr>
        <w:rPr>
          <w:rFonts w:ascii="Arial" w:hAnsi="Arial" w:cs="Arial"/>
        </w:rPr>
      </w:pPr>
      <w:r w:rsidRPr="009721A6">
        <w:rPr>
          <w:rFonts w:ascii="Arial" w:hAnsi="Arial" w:cs="Arial"/>
        </w:rPr>
        <w:t>Ayling, L. (2024). </w:t>
      </w:r>
      <w:r w:rsidRPr="009721A6">
        <w:rPr>
          <w:rFonts w:ascii="Arial" w:hAnsi="Arial" w:cs="Arial"/>
          <w:i/>
          <w:iCs/>
        </w:rPr>
        <w:t>Contracts of Employment</w:t>
      </w:r>
      <w:r w:rsidRPr="009721A6">
        <w:rPr>
          <w:rFonts w:ascii="Arial" w:hAnsi="Arial" w:cs="Arial"/>
        </w:rPr>
        <w:t xml:space="preserve">. [online] CIPD. Available at: </w:t>
      </w:r>
      <w:hyperlink r:id="rId5" w:history="1">
        <w:r w:rsidRPr="000462F8">
          <w:rPr>
            <w:rStyle w:val="Hyperlink"/>
            <w:rFonts w:ascii="Arial" w:hAnsi="Arial" w:cs="Arial"/>
          </w:rPr>
          <w:t>https://www.cipd.org/uk/knowledge/factsheets/terms-conditions-contracts-factsheet/</w:t>
        </w:r>
      </w:hyperlink>
      <w:r w:rsidRPr="009721A6">
        <w:rPr>
          <w:rFonts w:ascii="Arial" w:hAnsi="Arial" w:cs="Arial"/>
        </w:rPr>
        <w:t>.</w:t>
      </w:r>
      <w:r>
        <w:rPr>
          <w:rFonts w:ascii="Arial" w:hAnsi="Arial" w:cs="Arial"/>
        </w:rPr>
        <w:t xml:space="preserve"> </w:t>
      </w:r>
    </w:p>
    <w:p w14:paraId="56051906" w14:textId="77777777" w:rsidR="002B3149" w:rsidRDefault="002B3149" w:rsidP="002B3149">
      <w:pPr>
        <w:rPr>
          <w:rFonts w:ascii="Arial" w:hAnsi="Arial" w:cs="Arial"/>
        </w:rPr>
      </w:pPr>
      <w:r w:rsidRPr="00BE3937">
        <w:rPr>
          <w:rFonts w:ascii="Arial" w:hAnsi="Arial" w:cs="Arial"/>
        </w:rPr>
        <w:t>‌</w:t>
      </w:r>
      <w:r w:rsidRPr="00BE3937">
        <w:rPr>
          <w:rFonts w:ascii="Source Sans Pro" w:hAnsi="Source Sans Pro"/>
          <w:color w:val="3A3A3A"/>
          <w:sz w:val="23"/>
          <w:szCs w:val="23"/>
          <w:shd w:val="clear" w:color="auto" w:fill="FFFFFF"/>
        </w:rPr>
        <w:t xml:space="preserve"> </w:t>
      </w:r>
      <w:r w:rsidRPr="00BE3937">
        <w:rPr>
          <w:rFonts w:ascii="Arial" w:hAnsi="Arial" w:cs="Arial"/>
        </w:rPr>
        <w:t>Benson, P. G., &amp; Pond, S. B. (1987). An Investigation of the Process of Employee Withdrawal. </w:t>
      </w:r>
      <w:r w:rsidRPr="00BE3937">
        <w:rPr>
          <w:rFonts w:ascii="Arial" w:hAnsi="Arial" w:cs="Arial"/>
          <w:i/>
          <w:iCs/>
        </w:rPr>
        <w:t>Journal of Business and Psychology</w:t>
      </w:r>
      <w:r w:rsidRPr="00BE3937">
        <w:rPr>
          <w:rFonts w:ascii="Arial" w:hAnsi="Arial" w:cs="Arial"/>
        </w:rPr>
        <w:t>, </w:t>
      </w:r>
      <w:r w:rsidRPr="00BE3937">
        <w:rPr>
          <w:rFonts w:ascii="Arial" w:hAnsi="Arial" w:cs="Arial"/>
          <w:i/>
          <w:iCs/>
        </w:rPr>
        <w:t>1</w:t>
      </w:r>
      <w:r w:rsidRPr="00BE3937">
        <w:rPr>
          <w:rFonts w:ascii="Arial" w:hAnsi="Arial" w:cs="Arial"/>
        </w:rPr>
        <w:t xml:space="preserve">(3), 218–229. </w:t>
      </w:r>
      <w:hyperlink r:id="rId6" w:history="1">
        <w:r w:rsidRPr="000462F8">
          <w:rPr>
            <w:rStyle w:val="Hyperlink"/>
            <w:rFonts w:ascii="Arial" w:hAnsi="Arial" w:cs="Arial"/>
          </w:rPr>
          <w:t>https://doi.org/10.1007/BF01020810</w:t>
        </w:r>
      </w:hyperlink>
      <w:r>
        <w:rPr>
          <w:rFonts w:ascii="Arial" w:hAnsi="Arial" w:cs="Arial"/>
        </w:rPr>
        <w:t xml:space="preserve"> </w:t>
      </w:r>
    </w:p>
    <w:p w14:paraId="1C9DCFB4" w14:textId="77777777" w:rsidR="002B3149" w:rsidRPr="005C5775" w:rsidRDefault="002B3149" w:rsidP="002B3149">
      <w:pPr>
        <w:rPr>
          <w:rFonts w:ascii="Arial" w:hAnsi="Arial" w:cs="Arial"/>
        </w:rPr>
      </w:pPr>
      <w:r w:rsidRPr="005C5775">
        <w:rPr>
          <w:rFonts w:ascii="Arial" w:hAnsi="Arial" w:cs="Arial"/>
        </w:rPr>
        <w:t xml:space="preserve">Abelson, M. A. (1987). Examination of Avoidable and Unavoidable Turnover. </w:t>
      </w:r>
      <w:r w:rsidRPr="005C5775">
        <w:rPr>
          <w:rFonts w:ascii="Arial" w:hAnsi="Arial" w:cs="Arial"/>
          <w:i/>
          <w:iCs/>
        </w:rPr>
        <w:t>Journal of Applied Psychology</w:t>
      </w:r>
      <w:r w:rsidRPr="005C5775">
        <w:rPr>
          <w:rFonts w:ascii="Arial" w:hAnsi="Arial" w:cs="Arial"/>
        </w:rPr>
        <w:t xml:space="preserve">, </w:t>
      </w:r>
      <w:r w:rsidRPr="005C5775">
        <w:rPr>
          <w:rFonts w:ascii="Arial" w:hAnsi="Arial" w:cs="Arial"/>
          <w:i/>
          <w:iCs/>
        </w:rPr>
        <w:t>72</w:t>
      </w:r>
      <w:r w:rsidRPr="005C5775">
        <w:rPr>
          <w:rFonts w:ascii="Arial" w:hAnsi="Arial" w:cs="Arial"/>
        </w:rPr>
        <w:t>(3), 382–386. https://doi.org/10.1037/0021-9010.72.3.382</w:t>
      </w:r>
    </w:p>
    <w:p w14:paraId="6D35DBAB" w14:textId="77777777" w:rsidR="002B3149" w:rsidRDefault="002B3149" w:rsidP="002B3149">
      <w:r w:rsidRPr="009E6B79">
        <w:rPr>
          <w:rFonts w:ascii="Arial" w:hAnsi="Arial" w:cs="Arial"/>
        </w:rPr>
        <w:t>Adams, W. (2024). Council Post: Meaningful Work: Why Your People Are Quiet Quitting And What To Do About It. </w:t>
      </w:r>
      <w:r w:rsidRPr="009E6B79">
        <w:rPr>
          <w:rFonts w:ascii="Arial" w:hAnsi="Arial" w:cs="Arial"/>
          <w:i/>
          <w:iCs/>
        </w:rPr>
        <w:t>Forbes</w:t>
      </w:r>
      <w:r w:rsidRPr="009E6B79">
        <w:rPr>
          <w:rFonts w:ascii="Arial" w:hAnsi="Arial" w:cs="Arial"/>
        </w:rPr>
        <w:t xml:space="preserve">. [online] 12 Aug. Available at: </w:t>
      </w:r>
      <w:hyperlink r:id="rId7" w:history="1">
        <w:r w:rsidRPr="009E6B79">
          <w:rPr>
            <w:rStyle w:val="Hyperlink"/>
            <w:rFonts w:ascii="Arial" w:hAnsi="Arial" w:cs="Arial"/>
          </w:rPr>
          <w:t>https://www.forbes.com/councils/forbesbusinesscouncil/2022/10/24/meaningful-work-why-your-people-are-quiet-quitting-and-what-to-do-about-it/</w:t>
        </w:r>
      </w:hyperlink>
    </w:p>
    <w:p w14:paraId="46392090" w14:textId="77777777" w:rsidR="002B3149" w:rsidRPr="00F863D1" w:rsidRDefault="002B3149" w:rsidP="002B3149">
      <w:pPr>
        <w:rPr>
          <w:rFonts w:ascii="Arial" w:hAnsi="Arial" w:cs="Arial"/>
        </w:rPr>
      </w:pPr>
      <w:r w:rsidRPr="00F863D1">
        <w:rPr>
          <w:rFonts w:ascii="Arial" w:hAnsi="Arial" w:cs="Arial"/>
        </w:rPr>
        <w:t xml:space="preserve">Albayrak, T. (2015). Importance Performance Competitor Analysis (IPCA): A study of hospitality companies. </w:t>
      </w:r>
      <w:r w:rsidRPr="00F863D1">
        <w:rPr>
          <w:rFonts w:ascii="Arial" w:hAnsi="Arial" w:cs="Arial"/>
          <w:i/>
          <w:iCs/>
        </w:rPr>
        <w:t>International Journal of Hospitality Management</w:t>
      </w:r>
      <w:r w:rsidRPr="00F863D1">
        <w:rPr>
          <w:rFonts w:ascii="Arial" w:hAnsi="Arial" w:cs="Arial"/>
        </w:rPr>
        <w:t xml:space="preserve">, </w:t>
      </w:r>
      <w:r w:rsidRPr="00F863D1">
        <w:rPr>
          <w:rFonts w:ascii="Arial" w:hAnsi="Arial" w:cs="Arial"/>
          <w:i/>
          <w:iCs/>
        </w:rPr>
        <w:t>48</w:t>
      </w:r>
      <w:r w:rsidRPr="00F863D1">
        <w:rPr>
          <w:rFonts w:ascii="Arial" w:hAnsi="Arial" w:cs="Arial"/>
        </w:rPr>
        <w:t xml:space="preserve">, 135–142. </w:t>
      </w:r>
      <w:hyperlink r:id="rId8" w:history="1">
        <w:r w:rsidRPr="00F863D1">
          <w:rPr>
            <w:rStyle w:val="Hyperlink"/>
            <w:rFonts w:ascii="Arial" w:hAnsi="Arial" w:cs="Arial"/>
          </w:rPr>
          <w:t>https://doi.org/10.1016/j.ijhm.2015.04.013</w:t>
        </w:r>
      </w:hyperlink>
      <w:r w:rsidRPr="00F863D1">
        <w:rPr>
          <w:rFonts w:ascii="Arial" w:hAnsi="Arial" w:cs="Arial"/>
        </w:rPr>
        <w:t xml:space="preserve"> </w:t>
      </w:r>
    </w:p>
    <w:p w14:paraId="18A30E74" w14:textId="77777777" w:rsidR="002B3149" w:rsidRDefault="002B3149" w:rsidP="002B3149">
      <w:pPr>
        <w:rPr>
          <w:rFonts w:ascii="Arial" w:hAnsi="Arial" w:cs="Arial"/>
        </w:rPr>
      </w:pPr>
      <w:r w:rsidRPr="00DF2736">
        <w:rPr>
          <w:rFonts w:ascii="Arial" w:hAnsi="Arial" w:cs="Arial"/>
        </w:rPr>
        <w:t xml:space="preserve">Allen, D. G., &amp; Bryant, P. C. (2012). </w:t>
      </w:r>
      <w:r w:rsidRPr="00DF2736">
        <w:rPr>
          <w:rFonts w:ascii="Arial" w:hAnsi="Arial" w:cs="Arial"/>
          <w:i/>
          <w:iCs/>
        </w:rPr>
        <w:t>Managing employee turnover : dispelling myths and fostering evidence-based retention strategies</w:t>
      </w:r>
      <w:r w:rsidRPr="00DF2736">
        <w:rPr>
          <w:rFonts w:ascii="Arial" w:hAnsi="Arial" w:cs="Arial"/>
        </w:rPr>
        <w:t xml:space="preserve"> (1st ed.). Business Expert Press. </w:t>
      </w:r>
      <w:hyperlink r:id="rId9" w:history="1">
        <w:r w:rsidRPr="00DF2736">
          <w:rPr>
            <w:rStyle w:val="Hyperlink"/>
            <w:rFonts w:ascii="Arial" w:hAnsi="Arial" w:cs="Arial"/>
          </w:rPr>
          <w:t>https://doi.org/10.4128/9781606493410</w:t>
        </w:r>
      </w:hyperlink>
      <w:r>
        <w:rPr>
          <w:rFonts w:ascii="Arial" w:hAnsi="Arial" w:cs="Arial"/>
        </w:rPr>
        <w:t xml:space="preserve"> </w:t>
      </w:r>
    </w:p>
    <w:p w14:paraId="426E3F53" w14:textId="77777777" w:rsidR="002B3149" w:rsidRDefault="002B3149" w:rsidP="002B3149">
      <w:pPr>
        <w:rPr>
          <w:rFonts w:ascii="Arial" w:hAnsi="Arial" w:cs="Arial"/>
        </w:rPr>
      </w:pPr>
      <w:r w:rsidRPr="003873D5">
        <w:rPr>
          <w:rFonts w:ascii="Arial" w:hAnsi="Arial" w:cs="Arial"/>
        </w:rPr>
        <w:t xml:space="preserve">An, S.-H. (2019). Employee Voluntary and Involuntary Turnover and Organizational Performance: Revisiting the Hypothesis from Classical Public Administration. </w:t>
      </w:r>
      <w:r w:rsidRPr="003873D5">
        <w:rPr>
          <w:rFonts w:ascii="Arial" w:hAnsi="Arial" w:cs="Arial"/>
          <w:i/>
          <w:iCs/>
        </w:rPr>
        <w:t>International Public Management Journal</w:t>
      </w:r>
      <w:r w:rsidRPr="003873D5">
        <w:rPr>
          <w:rFonts w:ascii="Arial" w:hAnsi="Arial" w:cs="Arial"/>
        </w:rPr>
        <w:t xml:space="preserve">, </w:t>
      </w:r>
      <w:r w:rsidRPr="003873D5">
        <w:rPr>
          <w:rFonts w:ascii="Arial" w:hAnsi="Arial" w:cs="Arial"/>
          <w:i/>
          <w:iCs/>
        </w:rPr>
        <w:t>22</w:t>
      </w:r>
      <w:r w:rsidRPr="003873D5">
        <w:rPr>
          <w:rFonts w:ascii="Arial" w:hAnsi="Arial" w:cs="Arial"/>
        </w:rPr>
        <w:t xml:space="preserve">(3), 444–469. </w:t>
      </w:r>
      <w:hyperlink r:id="rId10" w:history="1">
        <w:r w:rsidRPr="003873D5">
          <w:rPr>
            <w:rStyle w:val="Hyperlink"/>
            <w:rFonts w:ascii="Arial" w:hAnsi="Arial" w:cs="Arial"/>
          </w:rPr>
          <w:t>https://doi.org/10.1080/10967494.2018.1549629</w:t>
        </w:r>
      </w:hyperlink>
      <w:r>
        <w:rPr>
          <w:rFonts w:ascii="Arial" w:hAnsi="Arial" w:cs="Arial"/>
        </w:rPr>
        <w:t xml:space="preserve"> </w:t>
      </w:r>
    </w:p>
    <w:p w14:paraId="1A801C0F" w14:textId="77777777" w:rsidR="002B3149" w:rsidRDefault="002B3149" w:rsidP="002B3149">
      <w:pPr>
        <w:rPr>
          <w:rFonts w:ascii="Arial" w:hAnsi="Arial" w:cs="Arial"/>
        </w:rPr>
      </w:pPr>
      <w:r w:rsidRPr="000C4DA6">
        <w:rPr>
          <w:rFonts w:ascii="Arial" w:hAnsi="Arial" w:cs="Arial"/>
        </w:rPr>
        <w:t xml:space="preserve">Anna Ginès Fabrellas. (2019). The zero-hour contract in platform work Should we ban it or embrace it? </w:t>
      </w:r>
      <w:r w:rsidRPr="000C4DA6">
        <w:rPr>
          <w:rFonts w:ascii="Arial" w:hAnsi="Arial" w:cs="Arial"/>
          <w:i/>
          <w:iCs/>
        </w:rPr>
        <w:t>IDP : Revista de Internet, Derecho y Política</w:t>
      </w:r>
      <w:r w:rsidRPr="000C4DA6">
        <w:rPr>
          <w:rFonts w:ascii="Arial" w:hAnsi="Arial" w:cs="Arial"/>
        </w:rPr>
        <w:t xml:space="preserve">, </w:t>
      </w:r>
      <w:r w:rsidRPr="000C4DA6">
        <w:rPr>
          <w:rFonts w:ascii="Arial" w:hAnsi="Arial" w:cs="Arial"/>
          <w:i/>
          <w:iCs/>
        </w:rPr>
        <w:t>28</w:t>
      </w:r>
      <w:r w:rsidRPr="000C4DA6">
        <w:rPr>
          <w:rFonts w:ascii="Arial" w:hAnsi="Arial" w:cs="Arial"/>
        </w:rPr>
        <w:t xml:space="preserve">, 29–43. </w:t>
      </w:r>
      <w:hyperlink r:id="rId11" w:history="1">
        <w:r w:rsidRPr="000C4DA6">
          <w:rPr>
            <w:rStyle w:val="Hyperlink"/>
            <w:rFonts w:ascii="Arial" w:hAnsi="Arial" w:cs="Arial"/>
          </w:rPr>
          <w:t>https://doi.org/10.7238/idp.v0i28.3176</w:t>
        </w:r>
      </w:hyperlink>
      <w:r>
        <w:rPr>
          <w:rFonts w:ascii="Arial" w:hAnsi="Arial" w:cs="Arial"/>
        </w:rPr>
        <w:t xml:space="preserve"> </w:t>
      </w:r>
    </w:p>
    <w:p w14:paraId="3FC13B2C" w14:textId="77777777" w:rsidR="002B3149" w:rsidRPr="009E6B79" w:rsidRDefault="002B3149" w:rsidP="002B3149">
      <w:pPr>
        <w:rPr>
          <w:rFonts w:ascii="Arial" w:hAnsi="Arial" w:cs="Arial"/>
        </w:rPr>
      </w:pPr>
      <w:r w:rsidRPr="009E6B79">
        <w:rPr>
          <w:rFonts w:ascii="Arial" w:hAnsi="Arial" w:cs="Arial"/>
        </w:rPr>
        <w:t xml:space="preserve">Arnaiz, A., &amp; Verseman-Morrison, T. (2014). Get in tune with turnover trends: find the right staff members for your team and keep them engaged to achieve high retention. </w:t>
      </w:r>
      <w:r w:rsidRPr="009E6B79">
        <w:rPr>
          <w:rFonts w:ascii="Arial" w:hAnsi="Arial" w:cs="Arial"/>
          <w:i/>
          <w:iCs/>
        </w:rPr>
        <w:t>Veterinary Economics</w:t>
      </w:r>
      <w:r w:rsidRPr="009E6B79">
        <w:rPr>
          <w:rFonts w:ascii="Arial" w:hAnsi="Arial" w:cs="Arial"/>
        </w:rPr>
        <w:t xml:space="preserve">, </w:t>
      </w:r>
      <w:r w:rsidRPr="009E6B79">
        <w:rPr>
          <w:rFonts w:ascii="Arial" w:hAnsi="Arial" w:cs="Arial"/>
          <w:i/>
          <w:iCs/>
        </w:rPr>
        <w:t>55</w:t>
      </w:r>
      <w:r w:rsidRPr="009E6B79">
        <w:rPr>
          <w:rFonts w:ascii="Arial" w:hAnsi="Arial" w:cs="Arial"/>
        </w:rPr>
        <w:t>(3), 9-.</w:t>
      </w:r>
      <w:r>
        <w:rPr>
          <w:rFonts w:ascii="Arial" w:hAnsi="Arial" w:cs="Arial"/>
        </w:rPr>
        <w:t xml:space="preserve"> </w:t>
      </w:r>
    </w:p>
    <w:p w14:paraId="7307EB03" w14:textId="77777777" w:rsidR="002B3149" w:rsidRPr="006E4034" w:rsidRDefault="002B3149" w:rsidP="002B3149">
      <w:pPr>
        <w:tabs>
          <w:tab w:val="left" w:pos="3960"/>
        </w:tabs>
      </w:pPr>
      <w:r w:rsidRPr="00871FA7">
        <w:rPr>
          <w:rFonts w:ascii="Arial" w:hAnsi="Arial" w:cs="Arial"/>
        </w:rPr>
        <w:t xml:space="preserve">Ashton, C., &amp; Morton, L. (2005). Managing talent for competitive advantage: Taking a systemic approach to talent management. </w:t>
      </w:r>
      <w:r w:rsidRPr="00871FA7">
        <w:rPr>
          <w:rFonts w:ascii="Arial" w:hAnsi="Arial" w:cs="Arial"/>
          <w:i/>
          <w:iCs/>
        </w:rPr>
        <w:t>Strategic HR Review</w:t>
      </w:r>
      <w:r w:rsidRPr="00871FA7">
        <w:rPr>
          <w:rFonts w:ascii="Arial" w:hAnsi="Arial" w:cs="Arial"/>
        </w:rPr>
        <w:t xml:space="preserve">, </w:t>
      </w:r>
      <w:r w:rsidRPr="00871FA7">
        <w:rPr>
          <w:rFonts w:ascii="Arial" w:hAnsi="Arial" w:cs="Arial"/>
          <w:i/>
          <w:iCs/>
        </w:rPr>
        <w:t>4</w:t>
      </w:r>
      <w:r w:rsidRPr="00871FA7">
        <w:rPr>
          <w:rFonts w:ascii="Arial" w:hAnsi="Arial" w:cs="Arial"/>
        </w:rPr>
        <w:t xml:space="preserve">(5), 28–31. </w:t>
      </w:r>
      <w:hyperlink r:id="rId12" w:history="1">
        <w:r w:rsidRPr="000462F8">
          <w:rPr>
            <w:rStyle w:val="Hyperlink"/>
            <w:rFonts w:ascii="Arial" w:hAnsi="Arial" w:cs="Arial"/>
          </w:rPr>
          <w:t>https://doi.org/10.1108/14754390580000819</w:t>
        </w:r>
      </w:hyperlink>
      <w:r>
        <w:rPr>
          <w:rFonts w:ascii="Arial" w:hAnsi="Arial" w:cs="Arial"/>
        </w:rPr>
        <w:t xml:space="preserve"> </w:t>
      </w:r>
    </w:p>
    <w:p w14:paraId="11CFBEBD" w14:textId="77777777" w:rsidR="002B3149" w:rsidRPr="00C81B0D" w:rsidRDefault="002B3149" w:rsidP="002B3149">
      <w:pPr>
        <w:rPr>
          <w:rFonts w:ascii="Arial" w:hAnsi="Arial" w:cs="Arial"/>
        </w:rPr>
      </w:pPr>
      <w:r w:rsidRPr="00C81B0D">
        <w:rPr>
          <w:rFonts w:ascii="Arial" w:hAnsi="Arial" w:cs="Arial"/>
        </w:rPr>
        <w:t xml:space="preserve">Babai, M. Z., Boylan, J. E., &amp; Rostami-Tabar, B. (2022). Demand forecasting in supply chains: a review of aggregation and hierarchical approaches. </w:t>
      </w:r>
      <w:r w:rsidRPr="00C81B0D">
        <w:rPr>
          <w:rFonts w:ascii="Arial" w:hAnsi="Arial" w:cs="Arial"/>
          <w:i/>
          <w:iCs/>
        </w:rPr>
        <w:t>International Journal of Production Research</w:t>
      </w:r>
      <w:r w:rsidRPr="00C81B0D">
        <w:rPr>
          <w:rFonts w:ascii="Arial" w:hAnsi="Arial" w:cs="Arial"/>
        </w:rPr>
        <w:t xml:space="preserve">, </w:t>
      </w:r>
      <w:r w:rsidRPr="00C81B0D">
        <w:rPr>
          <w:rFonts w:ascii="Arial" w:hAnsi="Arial" w:cs="Arial"/>
          <w:i/>
          <w:iCs/>
        </w:rPr>
        <w:t>60</w:t>
      </w:r>
      <w:r w:rsidRPr="00C81B0D">
        <w:rPr>
          <w:rFonts w:ascii="Arial" w:hAnsi="Arial" w:cs="Arial"/>
        </w:rPr>
        <w:t xml:space="preserve">(1), 324–348. </w:t>
      </w:r>
      <w:hyperlink r:id="rId13" w:history="1">
        <w:r w:rsidRPr="00C81B0D">
          <w:rPr>
            <w:rStyle w:val="Hyperlink"/>
            <w:rFonts w:ascii="Arial" w:hAnsi="Arial" w:cs="Arial"/>
          </w:rPr>
          <w:t>https://doi.org/10.1080/00207543.2021.2005268</w:t>
        </w:r>
      </w:hyperlink>
      <w:r>
        <w:rPr>
          <w:rFonts w:ascii="Arial" w:hAnsi="Arial" w:cs="Arial"/>
        </w:rPr>
        <w:t xml:space="preserve"> </w:t>
      </w:r>
    </w:p>
    <w:p w14:paraId="69D51AD2" w14:textId="77777777" w:rsidR="002B3149" w:rsidRPr="0070098E" w:rsidRDefault="002B3149" w:rsidP="002B3149">
      <w:pPr>
        <w:rPr>
          <w:rFonts w:ascii="Arial" w:hAnsi="Arial" w:cs="Arial"/>
        </w:rPr>
      </w:pPr>
      <w:r w:rsidRPr="0070098E">
        <w:rPr>
          <w:rFonts w:ascii="Arial" w:hAnsi="Arial" w:cs="Arial"/>
        </w:rPr>
        <w:t xml:space="preserve">Bahl, S. (2022). How New-Age Onboarding And Induction Is Changing With The Current Mode Of Working? In </w:t>
      </w:r>
      <w:r w:rsidRPr="0070098E">
        <w:rPr>
          <w:rFonts w:ascii="Arial" w:hAnsi="Arial" w:cs="Arial"/>
          <w:i/>
          <w:iCs/>
        </w:rPr>
        <w:t>Business world (India)</w:t>
      </w:r>
      <w:r w:rsidRPr="0070098E">
        <w:rPr>
          <w:rFonts w:ascii="Arial" w:hAnsi="Arial" w:cs="Arial"/>
        </w:rPr>
        <w:t>. Athena Information Solutions Pvt. Ltd.</w:t>
      </w:r>
      <w:r>
        <w:rPr>
          <w:rFonts w:ascii="Arial" w:hAnsi="Arial" w:cs="Arial"/>
        </w:rPr>
        <w:t xml:space="preserve"> </w:t>
      </w:r>
    </w:p>
    <w:p w14:paraId="2F72D30A" w14:textId="77777777" w:rsidR="002B3149" w:rsidRPr="00BE3937" w:rsidRDefault="002B3149" w:rsidP="002B3149">
      <w:pPr>
        <w:rPr>
          <w:rFonts w:ascii="Arial" w:hAnsi="Arial" w:cs="Arial"/>
        </w:rPr>
      </w:pPr>
      <w:r w:rsidRPr="00BE3937">
        <w:rPr>
          <w:rFonts w:ascii="Arial" w:hAnsi="Arial" w:cs="Arial"/>
        </w:rPr>
        <w:t xml:space="preserve">Baker, T. (2014). </w:t>
      </w:r>
      <w:r w:rsidRPr="00BE3937">
        <w:rPr>
          <w:rFonts w:ascii="Arial" w:hAnsi="Arial" w:cs="Arial"/>
          <w:i/>
          <w:iCs/>
        </w:rPr>
        <w:t>Attracting and Retaining Talent : Becoming an Employer of Choice</w:t>
      </w:r>
      <w:r w:rsidRPr="00BE3937">
        <w:rPr>
          <w:rFonts w:ascii="Arial" w:hAnsi="Arial" w:cs="Arial"/>
        </w:rPr>
        <w:t xml:space="preserve"> (1st ed. 2014.). Palgrave Macmillan UK. </w:t>
      </w:r>
      <w:hyperlink r:id="rId14" w:history="1">
        <w:r w:rsidRPr="00BE3937">
          <w:rPr>
            <w:rStyle w:val="Hyperlink"/>
            <w:rFonts w:ascii="Arial" w:hAnsi="Arial" w:cs="Arial"/>
          </w:rPr>
          <w:t>https://doi.org/10.1057/9781137411754</w:t>
        </w:r>
      </w:hyperlink>
      <w:r>
        <w:rPr>
          <w:rFonts w:ascii="Arial" w:hAnsi="Arial" w:cs="Arial"/>
        </w:rPr>
        <w:t xml:space="preserve"> </w:t>
      </w:r>
    </w:p>
    <w:p w14:paraId="6316FDEC" w14:textId="77777777" w:rsidR="002B3149" w:rsidRPr="00871FA7" w:rsidRDefault="002B3149" w:rsidP="002B3149">
      <w:pPr>
        <w:rPr>
          <w:rFonts w:ascii="Arial" w:hAnsi="Arial" w:cs="Arial"/>
        </w:rPr>
      </w:pPr>
      <w:r w:rsidRPr="00871FA7">
        <w:rPr>
          <w:rFonts w:ascii="Arial" w:hAnsi="Arial" w:cs="Arial"/>
        </w:rPr>
        <w:lastRenderedPageBreak/>
        <w:t xml:space="preserve">Bansal, S., Gutierrez, G. J., &amp; Keiser, J. R. (2016). Quantifying Uncertainties and Risks Using Managerial Judgments in a Dynamic New Product Development Environment. </w:t>
      </w:r>
      <w:r w:rsidRPr="00871FA7">
        <w:rPr>
          <w:rFonts w:ascii="Arial" w:hAnsi="Arial" w:cs="Arial"/>
          <w:i/>
          <w:iCs/>
        </w:rPr>
        <w:t>Production and Operations Management</w:t>
      </w:r>
      <w:r w:rsidRPr="00871FA7">
        <w:rPr>
          <w:rFonts w:ascii="Arial" w:hAnsi="Arial" w:cs="Arial"/>
        </w:rPr>
        <w:t xml:space="preserve">, </w:t>
      </w:r>
      <w:r w:rsidRPr="00871FA7">
        <w:rPr>
          <w:rFonts w:ascii="Arial" w:hAnsi="Arial" w:cs="Arial"/>
          <w:i/>
          <w:iCs/>
        </w:rPr>
        <w:t>25</w:t>
      </w:r>
      <w:r w:rsidRPr="00871FA7">
        <w:rPr>
          <w:rFonts w:ascii="Arial" w:hAnsi="Arial" w:cs="Arial"/>
        </w:rPr>
        <w:t xml:space="preserve">(12), 2010–2013. </w:t>
      </w:r>
      <w:hyperlink r:id="rId15" w:history="1">
        <w:r w:rsidRPr="00871FA7">
          <w:rPr>
            <w:rStyle w:val="Hyperlink"/>
            <w:rFonts w:ascii="Arial" w:hAnsi="Arial" w:cs="Arial"/>
          </w:rPr>
          <w:t>https://doi.org/10.1111/poms.3_12637</w:t>
        </w:r>
      </w:hyperlink>
      <w:r>
        <w:rPr>
          <w:rFonts w:ascii="Arial" w:hAnsi="Arial" w:cs="Arial"/>
        </w:rPr>
        <w:t xml:space="preserve"> </w:t>
      </w:r>
    </w:p>
    <w:p w14:paraId="04183808" w14:textId="77777777" w:rsidR="002B3149" w:rsidRPr="00F863D1" w:rsidRDefault="002B3149" w:rsidP="002B3149">
      <w:pPr>
        <w:rPr>
          <w:rFonts w:ascii="Arial" w:hAnsi="Arial" w:cs="Arial"/>
        </w:rPr>
      </w:pPr>
      <w:r w:rsidRPr="00F863D1">
        <w:rPr>
          <w:rFonts w:ascii="Arial" w:hAnsi="Arial" w:cs="Arial"/>
        </w:rPr>
        <w:t xml:space="preserve">Bendell, B. L. (2022). Environmental investment decisions of family firms—An analysis of competitor and government influence. </w:t>
      </w:r>
      <w:r w:rsidRPr="00F863D1">
        <w:rPr>
          <w:rFonts w:ascii="Arial" w:hAnsi="Arial" w:cs="Arial"/>
          <w:i/>
          <w:iCs/>
        </w:rPr>
        <w:t>Business Strategy and the Environment</w:t>
      </w:r>
      <w:r w:rsidRPr="00F863D1">
        <w:rPr>
          <w:rFonts w:ascii="Arial" w:hAnsi="Arial" w:cs="Arial"/>
        </w:rPr>
        <w:t xml:space="preserve">, </w:t>
      </w:r>
      <w:r w:rsidRPr="00F863D1">
        <w:rPr>
          <w:rFonts w:ascii="Arial" w:hAnsi="Arial" w:cs="Arial"/>
          <w:i/>
          <w:iCs/>
        </w:rPr>
        <w:t>31</w:t>
      </w:r>
      <w:r w:rsidRPr="00F863D1">
        <w:rPr>
          <w:rFonts w:ascii="Arial" w:hAnsi="Arial" w:cs="Arial"/>
        </w:rPr>
        <w:t xml:space="preserve">(1), 1–14. </w:t>
      </w:r>
      <w:hyperlink r:id="rId16" w:history="1">
        <w:r w:rsidRPr="00F863D1">
          <w:rPr>
            <w:rStyle w:val="Hyperlink"/>
            <w:rFonts w:ascii="Arial" w:hAnsi="Arial" w:cs="Arial"/>
          </w:rPr>
          <w:t>https://doi.org/10.1002/bse.2870</w:t>
        </w:r>
      </w:hyperlink>
      <w:r w:rsidRPr="00F863D1">
        <w:rPr>
          <w:rFonts w:ascii="Arial" w:hAnsi="Arial" w:cs="Arial"/>
        </w:rPr>
        <w:t xml:space="preserve">    </w:t>
      </w:r>
    </w:p>
    <w:p w14:paraId="302A3099" w14:textId="77777777" w:rsidR="002B3149" w:rsidRPr="00C81B0D" w:rsidRDefault="002B3149" w:rsidP="002B3149">
      <w:pPr>
        <w:rPr>
          <w:rFonts w:ascii="Arial" w:hAnsi="Arial" w:cs="Arial"/>
        </w:rPr>
      </w:pPr>
      <w:r w:rsidRPr="00C81B0D">
        <w:rPr>
          <w:rFonts w:ascii="Arial" w:hAnsi="Arial" w:cs="Arial"/>
        </w:rPr>
        <w:t xml:space="preserve">Bidwell, M., &amp; Keller, J. (2014). Within or Without? How Firms Combine Internal and External Labor Markets to Fill Jobs. </w:t>
      </w:r>
      <w:r w:rsidRPr="00C81B0D">
        <w:rPr>
          <w:rFonts w:ascii="Arial" w:hAnsi="Arial" w:cs="Arial"/>
          <w:i/>
          <w:iCs/>
        </w:rPr>
        <w:t>Academy of Management Journal</w:t>
      </w:r>
      <w:r w:rsidRPr="00C81B0D">
        <w:rPr>
          <w:rFonts w:ascii="Arial" w:hAnsi="Arial" w:cs="Arial"/>
        </w:rPr>
        <w:t xml:space="preserve">, </w:t>
      </w:r>
      <w:r w:rsidRPr="00C81B0D">
        <w:rPr>
          <w:rFonts w:ascii="Arial" w:hAnsi="Arial" w:cs="Arial"/>
          <w:i/>
          <w:iCs/>
        </w:rPr>
        <w:t>57</w:t>
      </w:r>
      <w:r w:rsidRPr="00C81B0D">
        <w:rPr>
          <w:rFonts w:ascii="Arial" w:hAnsi="Arial" w:cs="Arial"/>
        </w:rPr>
        <w:t>(4), 1035–1055. https://doi.org/10.5465/amj.2012.0119</w:t>
      </w:r>
    </w:p>
    <w:p w14:paraId="5D971F11" w14:textId="77777777" w:rsidR="002B3149" w:rsidRPr="00AD733F" w:rsidRDefault="002B3149" w:rsidP="002B3149">
      <w:pPr>
        <w:rPr>
          <w:rFonts w:ascii="Arial" w:hAnsi="Arial" w:cs="Arial"/>
        </w:rPr>
      </w:pPr>
      <w:r w:rsidRPr="00AD733F">
        <w:rPr>
          <w:rFonts w:ascii="Arial" w:hAnsi="Arial" w:cs="Arial"/>
        </w:rPr>
        <w:t xml:space="preserve">Binyamin, G. (2020). Do leader expectations shape employee service performance? Enhancing self-expectations and internalization in employee role identity. </w:t>
      </w:r>
      <w:r w:rsidRPr="00AD733F">
        <w:rPr>
          <w:rFonts w:ascii="Arial" w:hAnsi="Arial" w:cs="Arial"/>
          <w:i/>
          <w:iCs/>
        </w:rPr>
        <w:t>Journal of Management &amp; Organization</w:t>
      </w:r>
      <w:r w:rsidRPr="00AD733F">
        <w:rPr>
          <w:rFonts w:ascii="Arial" w:hAnsi="Arial" w:cs="Arial"/>
        </w:rPr>
        <w:t xml:space="preserve">, </w:t>
      </w:r>
      <w:r w:rsidRPr="00AD733F">
        <w:rPr>
          <w:rFonts w:ascii="Arial" w:hAnsi="Arial" w:cs="Arial"/>
          <w:i/>
          <w:iCs/>
        </w:rPr>
        <w:t>26</w:t>
      </w:r>
      <w:r w:rsidRPr="00AD733F">
        <w:rPr>
          <w:rFonts w:ascii="Arial" w:hAnsi="Arial" w:cs="Arial"/>
        </w:rPr>
        <w:t xml:space="preserve">(4), 536–554. </w:t>
      </w:r>
      <w:hyperlink r:id="rId17" w:history="1">
        <w:r w:rsidRPr="00AD733F">
          <w:rPr>
            <w:rStyle w:val="Hyperlink"/>
            <w:rFonts w:ascii="Arial" w:hAnsi="Arial" w:cs="Arial"/>
          </w:rPr>
          <w:t>https://doi.org/10.1017/jmo.2017.68</w:t>
        </w:r>
      </w:hyperlink>
      <w:r>
        <w:rPr>
          <w:rFonts w:ascii="Arial" w:hAnsi="Arial" w:cs="Arial"/>
        </w:rPr>
        <w:t xml:space="preserve"> </w:t>
      </w:r>
    </w:p>
    <w:p w14:paraId="098FC5F1" w14:textId="77777777" w:rsidR="002B3149" w:rsidRPr="00DF2736" w:rsidRDefault="002B3149" w:rsidP="002B3149">
      <w:pPr>
        <w:rPr>
          <w:rFonts w:ascii="Arial" w:hAnsi="Arial" w:cs="Arial"/>
        </w:rPr>
      </w:pPr>
      <w:r w:rsidRPr="00DF2736">
        <w:rPr>
          <w:rFonts w:ascii="Arial" w:hAnsi="Arial" w:cs="Arial"/>
        </w:rPr>
        <w:t xml:space="preserve">Branch, D. (2011). Employee Motivation, Recognition, Rewards, and Retention: Kicking It Up a Notch. </w:t>
      </w:r>
      <w:r w:rsidRPr="00DF2736">
        <w:rPr>
          <w:rFonts w:ascii="Arial" w:hAnsi="Arial" w:cs="Arial"/>
          <w:i/>
          <w:iCs/>
        </w:rPr>
        <w:t>CPA Practice Management Forum</w:t>
      </w:r>
      <w:r w:rsidRPr="00DF2736">
        <w:rPr>
          <w:rFonts w:ascii="Arial" w:hAnsi="Arial" w:cs="Arial"/>
        </w:rPr>
        <w:t xml:space="preserve">, </w:t>
      </w:r>
      <w:r w:rsidRPr="00DF2736">
        <w:rPr>
          <w:rFonts w:ascii="Arial" w:hAnsi="Arial" w:cs="Arial"/>
          <w:i/>
          <w:iCs/>
        </w:rPr>
        <w:t>7</w:t>
      </w:r>
      <w:r w:rsidRPr="00DF2736">
        <w:rPr>
          <w:rFonts w:ascii="Arial" w:hAnsi="Arial" w:cs="Arial"/>
        </w:rPr>
        <w:t>(11), 5-.</w:t>
      </w:r>
    </w:p>
    <w:p w14:paraId="6BA95E34" w14:textId="77777777" w:rsidR="002B3149" w:rsidRPr="00DF2736" w:rsidRDefault="002B3149" w:rsidP="002B3149">
      <w:pPr>
        <w:rPr>
          <w:rFonts w:ascii="Arial" w:hAnsi="Arial" w:cs="Arial"/>
        </w:rPr>
      </w:pPr>
      <w:r w:rsidRPr="00DF2736">
        <w:rPr>
          <w:rFonts w:ascii="Arial" w:hAnsi="Arial" w:cs="Arial"/>
        </w:rPr>
        <w:t xml:space="preserve">Branch, D. (2011). Employee Motivation, Recognition, Rewards, and Retention: Kicking It Up a Notch. </w:t>
      </w:r>
      <w:r w:rsidRPr="00DF2736">
        <w:rPr>
          <w:rFonts w:ascii="Arial" w:hAnsi="Arial" w:cs="Arial"/>
          <w:i/>
          <w:iCs/>
        </w:rPr>
        <w:t>CPA Practice Management Forum</w:t>
      </w:r>
      <w:r w:rsidRPr="00DF2736">
        <w:rPr>
          <w:rFonts w:ascii="Arial" w:hAnsi="Arial" w:cs="Arial"/>
        </w:rPr>
        <w:t xml:space="preserve">, </w:t>
      </w:r>
      <w:r w:rsidRPr="00DF2736">
        <w:rPr>
          <w:rFonts w:ascii="Arial" w:hAnsi="Arial" w:cs="Arial"/>
          <w:i/>
          <w:iCs/>
        </w:rPr>
        <w:t>7</w:t>
      </w:r>
      <w:r w:rsidRPr="00DF2736">
        <w:rPr>
          <w:rFonts w:ascii="Arial" w:hAnsi="Arial" w:cs="Arial"/>
        </w:rPr>
        <w:t>(11), 5-.</w:t>
      </w:r>
    </w:p>
    <w:p w14:paraId="5B8FDECF" w14:textId="77777777" w:rsidR="002B3149" w:rsidRPr="00F863D1" w:rsidRDefault="002B3149" w:rsidP="002B3149">
      <w:pPr>
        <w:rPr>
          <w:rFonts w:ascii="Arial" w:hAnsi="Arial" w:cs="Arial"/>
        </w:rPr>
      </w:pPr>
      <w:r w:rsidRPr="00F863D1">
        <w:rPr>
          <w:rFonts w:ascii="Arial" w:hAnsi="Arial" w:cs="Arial"/>
        </w:rPr>
        <w:t xml:space="preserve">Brennan, J., English, W., Hasnas, J., &amp; Jaworski, P. (2021). </w:t>
      </w:r>
      <w:r w:rsidRPr="00F863D1">
        <w:rPr>
          <w:rFonts w:ascii="Arial" w:hAnsi="Arial" w:cs="Arial"/>
          <w:i/>
          <w:iCs/>
        </w:rPr>
        <w:t>Business ethics for better behavior</w:t>
      </w:r>
      <w:r w:rsidRPr="00F863D1">
        <w:rPr>
          <w:rFonts w:ascii="Arial" w:hAnsi="Arial" w:cs="Arial"/>
        </w:rPr>
        <w:t>. Oxford University Press.</w:t>
      </w:r>
    </w:p>
    <w:p w14:paraId="39639706" w14:textId="77777777" w:rsidR="002B3149" w:rsidRPr="00747DF0" w:rsidRDefault="002B3149" w:rsidP="002B3149">
      <w:pPr>
        <w:rPr>
          <w:rFonts w:ascii="Arial" w:hAnsi="Arial" w:cs="Arial"/>
        </w:rPr>
      </w:pPr>
      <w:r w:rsidRPr="00747DF0">
        <w:rPr>
          <w:rFonts w:ascii="Arial" w:hAnsi="Arial" w:cs="Arial"/>
        </w:rPr>
        <w:t>Brigden, A. and Thomas, J.M. (2003). What Does Economic Theory Tell Us about Labour Market Tightness? </w:t>
      </w:r>
      <w:r w:rsidRPr="00747DF0">
        <w:rPr>
          <w:rFonts w:ascii="Arial" w:hAnsi="Arial" w:cs="Arial"/>
          <w:i/>
          <w:iCs/>
        </w:rPr>
        <w:t>SSRN Electronic Journal</w:t>
      </w:r>
      <w:r w:rsidRPr="00747DF0">
        <w:rPr>
          <w:rFonts w:ascii="Arial" w:hAnsi="Arial" w:cs="Arial"/>
        </w:rPr>
        <w:t>, [online] 185(185). doi:https://doi.org/10.2139/ssrn.425789</w:t>
      </w:r>
      <w:r w:rsidRPr="00F863D1">
        <w:rPr>
          <w:rFonts w:ascii="Arial" w:hAnsi="Arial" w:cs="Arial"/>
        </w:rPr>
        <w:t xml:space="preserve">. </w:t>
      </w:r>
    </w:p>
    <w:p w14:paraId="3CA58344" w14:textId="77777777" w:rsidR="002B3149" w:rsidRPr="00E514BB" w:rsidRDefault="002B3149" w:rsidP="002B3149">
      <w:pPr>
        <w:rPr>
          <w:rFonts w:ascii="Arial" w:hAnsi="Arial" w:cs="Arial"/>
        </w:rPr>
      </w:pPr>
      <w:r w:rsidRPr="00E514BB">
        <w:rPr>
          <w:rFonts w:ascii="Arial" w:hAnsi="Arial" w:cs="Arial"/>
        </w:rPr>
        <w:t xml:space="preserve">Brown, E., British Computer Society., &amp; BCS, T. C. I. for I. (2012). </w:t>
      </w:r>
      <w:r w:rsidRPr="00E514BB">
        <w:rPr>
          <w:rFonts w:ascii="Arial" w:hAnsi="Arial" w:cs="Arial"/>
          <w:i/>
          <w:iCs/>
        </w:rPr>
        <w:t>Working the crowd : social media marketing for business</w:t>
      </w:r>
      <w:r w:rsidRPr="00E514BB">
        <w:rPr>
          <w:rFonts w:ascii="Arial" w:hAnsi="Arial" w:cs="Arial"/>
        </w:rPr>
        <w:t xml:space="preserve"> (2nd ed.). BCS.</w:t>
      </w:r>
    </w:p>
    <w:p w14:paraId="34A9A97C" w14:textId="77777777" w:rsidR="002B3149" w:rsidRPr="000F0B3F" w:rsidRDefault="002B3149" w:rsidP="002B3149">
      <w:pPr>
        <w:rPr>
          <w:rFonts w:ascii="Arial" w:hAnsi="Arial" w:cs="Arial"/>
        </w:rPr>
      </w:pPr>
      <w:r w:rsidRPr="000F0B3F">
        <w:rPr>
          <w:rFonts w:ascii="Arial" w:hAnsi="Arial" w:cs="Arial"/>
        </w:rPr>
        <w:t xml:space="preserve">Bryant, A. (2020). Liquid uncertainty, chaos and complexity: The gig economy and the open source movement. </w:t>
      </w:r>
      <w:r w:rsidRPr="000F0B3F">
        <w:rPr>
          <w:rFonts w:ascii="Arial" w:hAnsi="Arial" w:cs="Arial"/>
          <w:i/>
          <w:iCs/>
        </w:rPr>
        <w:t>Thesis Eleven</w:t>
      </w:r>
      <w:r w:rsidRPr="000F0B3F">
        <w:rPr>
          <w:rFonts w:ascii="Arial" w:hAnsi="Arial" w:cs="Arial"/>
        </w:rPr>
        <w:t xml:space="preserve">, </w:t>
      </w:r>
      <w:r w:rsidRPr="000F0B3F">
        <w:rPr>
          <w:rFonts w:ascii="Arial" w:hAnsi="Arial" w:cs="Arial"/>
          <w:i/>
          <w:iCs/>
        </w:rPr>
        <w:t>156</w:t>
      </w:r>
      <w:r w:rsidRPr="000F0B3F">
        <w:rPr>
          <w:rFonts w:ascii="Arial" w:hAnsi="Arial" w:cs="Arial"/>
        </w:rPr>
        <w:t xml:space="preserve">(1), 45–66. </w:t>
      </w:r>
      <w:hyperlink r:id="rId18" w:history="1">
        <w:r w:rsidRPr="000F0B3F">
          <w:rPr>
            <w:rStyle w:val="Hyperlink"/>
            <w:rFonts w:ascii="Arial" w:hAnsi="Arial" w:cs="Arial"/>
          </w:rPr>
          <w:t>https://doi.org/10.1177/0725513619898286</w:t>
        </w:r>
      </w:hyperlink>
      <w:r>
        <w:rPr>
          <w:rFonts w:ascii="Arial" w:hAnsi="Arial" w:cs="Arial"/>
        </w:rPr>
        <w:t xml:space="preserve"> </w:t>
      </w:r>
    </w:p>
    <w:p w14:paraId="6BD7D575" w14:textId="77777777" w:rsidR="002B3149" w:rsidRPr="00C12E0F" w:rsidRDefault="002B3149" w:rsidP="002B3149">
      <w:pPr>
        <w:rPr>
          <w:rFonts w:ascii="Arial" w:hAnsi="Arial" w:cs="Arial"/>
        </w:rPr>
      </w:pPr>
      <w:r w:rsidRPr="00C12E0F">
        <w:rPr>
          <w:rFonts w:ascii="Arial" w:hAnsi="Arial" w:cs="Arial"/>
        </w:rPr>
        <w:t xml:space="preserve">Cameron, J., Walker, C., Hart, A., Sadlo, G., Haslam, I., &amp; The Retain Support Group. (2012). Supporting workers with mental health problems to retain employment: Users’ experiences of a UK job retention project. </w:t>
      </w:r>
      <w:r w:rsidRPr="00C12E0F">
        <w:rPr>
          <w:rFonts w:ascii="Arial" w:hAnsi="Arial" w:cs="Arial"/>
          <w:i/>
          <w:iCs/>
        </w:rPr>
        <w:t>Work (Reading, Mass.)</w:t>
      </w:r>
      <w:r w:rsidRPr="00C12E0F">
        <w:rPr>
          <w:rFonts w:ascii="Arial" w:hAnsi="Arial" w:cs="Arial"/>
        </w:rPr>
        <w:t xml:space="preserve">, </w:t>
      </w:r>
      <w:r w:rsidRPr="00C12E0F">
        <w:rPr>
          <w:rFonts w:ascii="Arial" w:hAnsi="Arial" w:cs="Arial"/>
          <w:i/>
          <w:iCs/>
        </w:rPr>
        <w:t>42</w:t>
      </w:r>
      <w:r w:rsidRPr="00C12E0F">
        <w:rPr>
          <w:rFonts w:ascii="Arial" w:hAnsi="Arial" w:cs="Arial"/>
        </w:rPr>
        <w:t xml:space="preserve">(4), 461–471. </w:t>
      </w:r>
      <w:hyperlink r:id="rId19" w:history="1">
        <w:r w:rsidRPr="00C12E0F">
          <w:rPr>
            <w:rStyle w:val="Hyperlink"/>
            <w:rFonts w:ascii="Arial" w:hAnsi="Arial" w:cs="Arial"/>
          </w:rPr>
          <w:t>https://doi.org/10.3233/WOR-2012-1370</w:t>
        </w:r>
      </w:hyperlink>
      <w:r>
        <w:rPr>
          <w:rFonts w:ascii="Arial" w:hAnsi="Arial" w:cs="Arial"/>
        </w:rPr>
        <w:t xml:space="preserve"> </w:t>
      </w:r>
    </w:p>
    <w:p w14:paraId="5224DA6C" w14:textId="77777777" w:rsidR="002B3149" w:rsidRPr="00C81B0D" w:rsidRDefault="002B3149" w:rsidP="002B3149">
      <w:pPr>
        <w:rPr>
          <w:rFonts w:ascii="Arial" w:hAnsi="Arial" w:cs="Arial"/>
        </w:rPr>
      </w:pPr>
      <w:bookmarkStart w:id="0" w:name="_Hlk201696138"/>
      <w:r w:rsidRPr="00C81B0D">
        <w:rPr>
          <w:rFonts w:ascii="Arial" w:hAnsi="Arial" w:cs="Arial"/>
        </w:rPr>
        <w:t>Carbonneau</w:t>
      </w:r>
      <w:bookmarkEnd w:id="0"/>
      <w:r w:rsidRPr="00C81B0D">
        <w:rPr>
          <w:rFonts w:ascii="Arial" w:hAnsi="Arial" w:cs="Arial"/>
        </w:rPr>
        <w:t xml:space="preserve">, R., Laframboise, K., &amp; Vahidov, R. (2008). Application of machine learning techniques for supply chain demand forecasting. </w:t>
      </w:r>
      <w:r w:rsidRPr="00C81B0D">
        <w:rPr>
          <w:rFonts w:ascii="Arial" w:hAnsi="Arial" w:cs="Arial"/>
          <w:i/>
          <w:iCs/>
        </w:rPr>
        <w:t>European Journal of Operational Research</w:t>
      </w:r>
      <w:r w:rsidRPr="00C81B0D">
        <w:rPr>
          <w:rFonts w:ascii="Arial" w:hAnsi="Arial" w:cs="Arial"/>
        </w:rPr>
        <w:t xml:space="preserve">, </w:t>
      </w:r>
      <w:r w:rsidRPr="00C81B0D">
        <w:rPr>
          <w:rFonts w:ascii="Arial" w:hAnsi="Arial" w:cs="Arial"/>
          <w:i/>
          <w:iCs/>
        </w:rPr>
        <w:t>184</w:t>
      </w:r>
      <w:r w:rsidRPr="00C81B0D">
        <w:rPr>
          <w:rFonts w:ascii="Arial" w:hAnsi="Arial" w:cs="Arial"/>
        </w:rPr>
        <w:t xml:space="preserve">(3), 1140–1154. </w:t>
      </w:r>
      <w:hyperlink r:id="rId20" w:history="1">
        <w:r w:rsidRPr="00C81B0D">
          <w:rPr>
            <w:rStyle w:val="Hyperlink"/>
            <w:rFonts w:ascii="Arial" w:hAnsi="Arial" w:cs="Arial"/>
          </w:rPr>
          <w:t>https://doi.org/10.1016/j.ejor.2006.12.004</w:t>
        </w:r>
      </w:hyperlink>
      <w:r>
        <w:rPr>
          <w:rFonts w:ascii="Arial" w:hAnsi="Arial" w:cs="Arial"/>
        </w:rPr>
        <w:t xml:space="preserve"> </w:t>
      </w:r>
    </w:p>
    <w:p w14:paraId="6ADC30E2" w14:textId="77777777" w:rsidR="002B3149" w:rsidRPr="00E514BB" w:rsidRDefault="002B3149" w:rsidP="002B3149">
      <w:pPr>
        <w:rPr>
          <w:rFonts w:ascii="Arial" w:hAnsi="Arial" w:cs="Arial"/>
        </w:rPr>
      </w:pPr>
      <w:r w:rsidRPr="00E514BB">
        <w:rPr>
          <w:rFonts w:ascii="Arial" w:hAnsi="Arial" w:cs="Arial"/>
        </w:rPr>
        <w:t xml:space="preserve">Carrillat, F. A., d’Astous, A., &amp; Morissette Gregoire, E. (2014). Leveraging social media to enhance recruitment effectiveness: A Facebook experiment. </w:t>
      </w:r>
      <w:r w:rsidRPr="00E514BB">
        <w:rPr>
          <w:rFonts w:ascii="Arial" w:hAnsi="Arial" w:cs="Arial"/>
          <w:i/>
          <w:iCs/>
        </w:rPr>
        <w:t>Internet Research</w:t>
      </w:r>
      <w:r w:rsidRPr="00E514BB">
        <w:rPr>
          <w:rFonts w:ascii="Arial" w:hAnsi="Arial" w:cs="Arial"/>
        </w:rPr>
        <w:t xml:space="preserve">, </w:t>
      </w:r>
      <w:r w:rsidRPr="00E514BB">
        <w:rPr>
          <w:rFonts w:ascii="Arial" w:hAnsi="Arial" w:cs="Arial"/>
          <w:i/>
          <w:iCs/>
        </w:rPr>
        <w:t>24</w:t>
      </w:r>
      <w:r w:rsidRPr="00E514BB">
        <w:rPr>
          <w:rFonts w:ascii="Arial" w:hAnsi="Arial" w:cs="Arial"/>
        </w:rPr>
        <w:t xml:space="preserve">(4), 474–495. </w:t>
      </w:r>
      <w:hyperlink r:id="rId21" w:history="1">
        <w:r w:rsidRPr="00E514BB">
          <w:rPr>
            <w:rStyle w:val="Hyperlink"/>
            <w:rFonts w:ascii="Arial" w:hAnsi="Arial" w:cs="Arial"/>
          </w:rPr>
          <w:t>https://doi.org/10.1108/IntR-07-2013-0142</w:t>
        </w:r>
      </w:hyperlink>
      <w:r>
        <w:rPr>
          <w:rFonts w:ascii="Arial" w:hAnsi="Arial" w:cs="Arial"/>
        </w:rPr>
        <w:t xml:space="preserve"> </w:t>
      </w:r>
    </w:p>
    <w:p w14:paraId="1C4C2B2A" w14:textId="77777777" w:rsidR="002B3149" w:rsidRPr="00437974" w:rsidRDefault="002B3149" w:rsidP="002B3149">
      <w:pPr>
        <w:rPr>
          <w:rFonts w:ascii="Arial" w:hAnsi="Arial" w:cs="Arial"/>
        </w:rPr>
      </w:pPr>
      <w:r w:rsidRPr="00437974">
        <w:rPr>
          <w:rFonts w:ascii="Arial" w:hAnsi="Arial" w:cs="Arial"/>
        </w:rPr>
        <w:t xml:space="preserve">Chamorro-Premuzic, T., &amp; Furnham, A. (2010). </w:t>
      </w:r>
      <w:r w:rsidRPr="00437974">
        <w:rPr>
          <w:rFonts w:ascii="Arial" w:hAnsi="Arial" w:cs="Arial"/>
          <w:i/>
          <w:iCs/>
        </w:rPr>
        <w:t>The psychology of personnel selection</w:t>
      </w:r>
      <w:r w:rsidRPr="00437974">
        <w:rPr>
          <w:rFonts w:ascii="Arial" w:hAnsi="Arial" w:cs="Arial"/>
        </w:rPr>
        <w:t xml:space="preserve"> (1st ed.). Cambridge University Press.</w:t>
      </w:r>
    </w:p>
    <w:p w14:paraId="3120B4D0" w14:textId="77777777" w:rsidR="002B3149" w:rsidRDefault="002B3149" w:rsidP="002B3149">
      <w:pPr>
        <w:rPr>
          <w:rFonts w:ascii="Arial" w:hAnsi="Arial" w:cs="Arial"/>
        </w:rPr>
      </w:pPr>
      <w:r w:rsidRPr="00D03C3B">
        <w:rPr>
          <w:rFonts w:ascii="Arial" w:hAnsi="Arial" w:cs="Arial"/>
        </w:rPr>
        <w:t>Cholteeva, Y. (2022). </w:t>
      </w:r>
      <w:r w:rsidRPr="00D03C3B">
        <w:rPr>
          <w:rFonts w:ascii="Arial" w:hAnsi="Arial" w:cs="Arial"/>
          <w:i/>
          <w:iCs/>
        </w:rPr>
        <w:t>High Employee Turnover Damaging Company Culture, Research Suggests</w:t>
      </w:r>
      <w:r w:rsidRPr="00D03C3B">
        <w:rPr>
          <w:rFonts w:ascii="Arial" w:hAnsi="Arial" w:cs="Arial"/>
        </w:rPr>
        <w:t xml:space="preserve">. [online] People Management. Available at: </w:t>
      </w:r>
      <w:hyperlink r:id="rId22" w:history="1">
        <w:r w:rsidRPr="00D03C3B">
          <w:rPr>
            <w:rStyle w:val="Hyperlink"/>
            <w:rFonts w:ascii="Arial" w:hAnsi="Arial" w:cs="Arial"/>
          </w:rPr>
          <w:t>https://www.peoplemanagement.co.uk/article/1795419/high-employee-turnover-damaging-company-culture-research-suggests</w:t>
        </w:r>
      </w:hyperlink>
      <w:r w:rsidRPr="00D03C3B">
        <w:rPr>
          <w:rFonts w:ascii="Arial" w:hAnsi="Arial" w:cs="Arial"/>
        </w:rPr>
        <w:t>.</w:t>
      </w:r>
      <w:r>
        <w:rPr>
          <w:rFonts w:ascii="Arial" w:hAnsi="Arial" w:cs="Arial"/>
        </w:rPr>
        <w:t xml:space="preserve"> </w:t>
      </w:r>
    </w:p>
    <w:p w14:paraId="4EC55F23" w14:textId="77777777" w:rsidR="002B3149" w:rsidRDefault="002B3149" w:rsidP="002B3149">
      <w:pPr>
        <w:rPr>
          <w:rFonts w:ascii="Arial" w:hAnsi="Arial" w:cs="Arial"/>
        </w:rPr>
      </w:pPr>
      <w:r w:rsidRPr="00C81B0D">
        <w:rPr>
          <w:rFonts w:ascii="Arial" w:hAnsi="Arial" w:cs="Arial"/>
        </w:rPr>
        <w:t>CIPD (2018). </w:t>
      </w:r>
      <w:r w:rsidRPr="00C81B0D">
        <w:rPr>
          <w:rFonts w:ascii="Arial" w:hAnsi="Arial" w:cs="Arial"/>
          <w:i/>
          <w:iCs/>
        </w:rPr>
        <w:t>Top Tips for Workforce Planning Success</w:t>
      </w:r>
      <w:r w:rsidRPr="00C81B0D">
        <w:rPr>
          <w:rFonts w:ascii="Arial" w:hAnsi="Arial" w:cs="Arial"/>
        </w:rPr>
        <w:t>. </w:t>
      </w:r>
      <w:r w:rsidRPr="00C81B0D">
        <w:rPr>
          <w:rFonts w:ascii="Arial" w:hAnsi="Arial" w:cs="Arial"/>
          <w:i/>
          <w:iCs/>
        </w:rPr>
        <w:t>YouTube</w:t>
      </w:r>
      <w:r w:rsidRPr="00C81B0D">
        <w:rPr>
          <w:rFonts w:ascii="Arial" w:hAnsi="Arial" w:cs="Arial"/>
        </w:rPr>
        <w:t xml:space="preserve">. Available at: </w:t>
      </w:r>
      <w:hyperlink r:id="rId23" w:history="1">
        <w:r w:rsidRPr="00C81B0D">
          <w:rPr>
            <w:rStyle w:val="Hyperlink"/>
            <w:rFonts w:ascii="Arial" w:hAnsi="Arial" w:cs="Arial"/>
          </w:rPr>
          <w:t>https://www.youtube.com/watch?v=2lwjI6iED9A</w:t>
        </w:r>
      </w:hyperlink>
      <w:r w:rsidRPr="00C81B0D">
        <w:rPr>
          <w:rFonts w:ascii="Arial" w:hAnsi="Arial" w:cs="Arial"/>
        </w:rPr>
        <w:t>.</w:t>
      </w:r>
      <w:r>
        <w:rPr>
          <w:rFonts w:ascii="Arial" w:hAnsi="Arial" w:cs="Arial"/>
        </w:rPr>
        <w:t xml:space="preserve"> </w:t>
      </w:r>
    </w:p>
    <w:p w14:paraId="04DF97D0" w14:textId="77777777" w:rsidR="002B3149" w:rsidRPr="00846DF8" w:rsidRDefault="002B3149" w:rsidP="002B3149">
      <w:pPr>
        <w:rPr>
          <w:rFonts w:ascii="Arial" w:hAnsi="Arial" w:cs="Arial"/>
        </w:rPr>
      </w:pPr>
      <w:r w:rsidRPr="00846DF8">
        <w:rPr>
          <w:rFonts w:ascii="Arial" w:hAnsi="Arial" w:cs="Arial"/>
        </w:rPr>
        <w:t>CIPD (2021). </w:t>
      </w:r>
      <w:r w:rsidRPr="00846DF8">
        <w:rPr>
          <w:rFonts w:ascii="Arial" w:hAnsi="Arial" w:cs="Arial"/>
          <w:i/>
          <w:iCs/>
        </w:rPr>
        <w:t>CIPD | Using technology to improve hiring and onboarding</w:t>
      </w:r>
      <w:r w:rsidRPr="00846DF8">
        <w:rPr>
          <w:rFonts w:ascii="Arial" w:hAnsi="Arial" w:cs="Arial"/>
        </w:rPr>
        <w:t xml:space="preserve">. [online] CIPD. Available at: </w:t>
      </w:r>
      <w:hyperlink r:id="rId24" w:history="1">
        <w:r w:rsidRPr="00846DF8">
          <w:rPr>
            <w:rStyle w:val="Hyperlink"/>
            <w:rFonts w:ascii="Arial" w:hAnsi="Arial" w:cs="Arial"/>
          </w:rPr>
          <w:t>https://www.cipd.org/uk/views-and-insights/thought-leadership/insight/using-technology-to-improve-hiring-and-onboarding/</w:t>
        </w:r>
      </w:hyperlink>
      <w:r w:rsidRPr="00846DF8">
        <w:rPr>
          <w:rFonts w:ascii="Arial" w:hAnsi="Arial" w:cs="Arial"/>
        </w:rPr>
        <w:t xml:space="preserve">. </w:t>
      </w:r>
    </w:p>
    <w:p w14:paraId="10CFAEBA" w14:textId="77777777" w:rsidR="002B3149" w:rsidRPr="00F04A58" w:rsidRDefault="002B3149" w:rsidP="002B3149">
      <w:pPr>
        <w:rPr>
          <w:rFonts w:ascii="Arial" w:hAnsi="Arial" w:cs="Arial"/>
        </w:rPr>
      </w:pPr>
      <w:r w:rsidRPr="00F04A58">
        <w:rPr>
          <w:rFonts w:ascii="Arial" w:hAnsi="Arial" w:cs="Arial"/>
        </w:rPr>
        <w:t>CIPD (2021). </w:t>
      </w:r>
      <w:r w:rsidRPr="00F04A58">
        <w:rPr>
          <w:rFonts w:ascii="Arial" w:hAnsi="Arial" w:cs="Arial"/>
          <w:i/>
          <w:iCs/>
        </w:rPr>
        <w:t>ZERO-HOURS CONTRACTS Understanding the law in partnership with Guide</w:t>
      </w:r>
      <w:r w:rsidRPr="00F04A58">
        <w:rPr>
          <w:rFonts w:ascii="Arial" w:hAnsi="Arial" w:cs="Arial"/>
        </w:rPr>
        <w:t xml:space="preserve">. [online] Available at: </w:t>
      </w:r>
      <w:hyperlink r:id="rId25" w:history="1">
        <w:r w:rsidRPr="00F04A58">
          <w:rPr>
            <w:rStyle w:val="Hyperlink"/>
            <w:rFonts w:ascii="Arial" w:hAnsi="Arial" w:cs="Arial"/>
          </w:rPr>
          <w:t>https://www.cipd.org/globalassets/media/knowledge/knowledge-hub/guides/zero-hours-contracts-guide-web-2021_tcm18-10706.pdf</w:t>
        </w:r>
      </w:hyperlink>
      <w:r w:rsidRPr="00F04A58">
        <w:rPr>
          <w:rFonts w:ascii="Arial" w:hAnsi="Arial" w:cs="Arial"/>
        </w:rPr>
        <w:t>.</w:t>
      </w:r>
      <w:r>
        <w:rPr>
          <w:rFonts w:ascii="Arial" w:hAnsi="Arial" w:cs="Arial"/>
        </w:rPr>
        <w:t xml:space="preserve"> </w:t>
      </w:r>
    </w:p>
    <w:p w14:paraId="0A6ED6D6" w14:textId="77777777" w:rsidR="002B3149" w:rsidRPr="00A21ABD" w:rsidRDefault="002B3149" w:rsidP="002B3149">
      <w:pPr>
        <w:rPr>
          <w:rFonts w:ascii="Arial" w:hAnsi="Arial" w:cs="Arial"/>
        </w:rPr>
      </w:pPr>
      <w:r w:rsidRPr="00A21ABD">
        <w:rPr>
          <w:rFonts w:ascii="Arial" w:hAnsi="Arial" w:cs="Arial"/>
        </w:rPr>
        <w:t>CIPD (2023). </w:t>
      </w:r>
      <w:r w:rsidRPr="00A21ABD">
        <w:rPr>
          <w:rFonts w:ascii="Arial" w:hAnsi="Arial" w:cs="Arial"/>
          <w:i/>
          <w:iCs/>
        </w:rPr>
        <w:t>CIPD | CIPD Launches Practical Guidance on Workforce Planning</w:t>
      </w:r>
      <w:r w:rsidRPr="00A21ABD">
        <w:rPr>
          <w:rFonts w:ascii="Arial" w:hAnsi="Arial" w:cs="Arial"/>
        </w:rPr>
        <w:t xml:space="preserve">. [online] CIPD. Available at: </w:t>
      </w:r>
      <w:hyperlink r:id="rId26" w:history="1">
        <w:r w:rsidRPr="00A21ABD">
          <w:rPr>
            <w:rStyle w:val="Hyperlink"/>
            <w:rFonts w:ascii="Arial" w:hAnsi="Arial" w:cs="Arial"/>
          </w:rPr>
          <w:t>https://www.cipd.org/uk/about/news/guidance-workforce-planning/</w:t>
        </w:r>
      </w:hyperlink>
      <w:r w:rsidRPr="00A21ABD">
        <w:rPr>
          <w:rFonts w:ascii="Arial" w:hAnsi="Arial" w:cs="Arial"/>
        </w:rPr>
        <w:t>.</w:t>
      </w:r>
      <w:r>
        <w:rPr>
          <w:rFonts w:ascii="Arial" w:hAnsi="Arial" w:cs="Arial"/>
        </w:rPr>
        <w:t xml:space="preserve"> </w:t>
      </w:r>
    </w:p>
    <w:p w14:paraId="59348B3C" w14:textId="77777777" w:rsidR="002B3149" w:rsidRPr="00F863D1" w:rsidRDefault="002B3149" w:rsidP="002B3149">
      <w:pPr>
        <w:rPr>
          <w:rFonts w:ascii="Arial" w:hAnsi="Arial" w:cs="Arial"/>
        </w:rPr>
      </w:pPr>
      <w:r w:rsidRPr="00F863D1">
        <w:rPr>
          <w:rFonts w:ascii="Arial" w:hAnsi="Arial" w:cs="Arial"/>
        </w:rPr>
        <w:t>CIPD (2023). </w:t>
      </w:r>
      <w:r w:rsidRPr="00F863D1">
        <w:rPr>
          <w:rFonts w:ascii="Arial" w:hAnsi="Arial" w:cs="Arial"/>
          <w:i/>
          <w:iCs/>
        </w:rPr>
        <w:t>CIPD | People Profession 2023: International survey report</w:t>
      </w:r>
      <w:r w:rsidRPr="00F863D1">
        <w:rPr>
          <w:rFonts w:ascii="Arial" w:hAnsi="Arial" w:cs="Arial"/>
        </w:rPr>
        <w:t xml:space="preserve">. [online] CIPD. Available at: </w:t>
      </w:r>
      <w:hyperlink r:id="rId27" w:history="1">
        <w:r w:rsidRPr="00F863D1">
          <w:rPr>
            <w:rStyle w:val="Hyperlink"/>
            <w:rFonts w:ascii="Arial" w:hAnsi="Arial" w:cs="Arial"/>
          </w:rPr>
          <w:t>https://www.cipd.org/uk/knowledge/reports/people-profession-survey-2023/</w:t>
        </w:r>
      </w:hyperlink>
      <w:r w:rsidRPr="00F863D1">
        <w:rPr>
          <w:rFonts w:ascii="Arial" w:hAnsi="Arial" w:cs="Arial"/>
        </w:rPr>
        <w:t xml:space="preserve">. </w:t>
      </w:r>
    </w:p>
    <w:p w14:paraId="4FCE5F2D" w14:textId="77777777" w:rsidR="002B3149" w:rsidRPr="00B40191" w:rsidRDefault="002B3149" w:rsidP="002B3149">
      <w:pPr>
        <w:rPr>
          <w:rFonts w:ascii="Arial" w:hAnsi="Arial" w:cs="Arial"/>
        </w:rPr>
      </w:pPr>
      <w:r w:rsidRPr="00B40191">
        <w:rPr>
          <w:rFonts w:ascii="Arial" w:hAnsi="Arial" w:cs="Arial"/>
        </w:rPr>
        <w:t>CIPD (2023). </w:t>
      </w:r>
      <w:r w:rsidRPr="00B40191">
        <w:rPr>
          <w:rFonts w:ascii="Arial" w:hAnsi="Arial" w:cs="Arial"/>
          <w:i/>
          <w:iCs/>
        </w:rPr>
        <w:t>CIPD | Recruitment resources</w:t>
      </w:r>
      <w:r w:rsidRPr="00B40191">
        <w:rPr>
          <w:rFonts w:ascii="Arial" w:hAnsi="Arial" w:cs="Arial"/>
        </w:rPr>
        <w:t xml:space="preserve">. [online] CIPD. Available at: </w:t>
      </w:r>
      <w:hyperlink r:id="rId28" w:history="1">
        <w:r w:rsidRPr="00B40191">
          <w:rPr>
            <w:rStyle w:val="Hyperlink"/>
            <w:rFonts w:ascii="Arial" w:hAnsi="Arial" w:cs="Arial"/>
          </w:rPr>
          <w:t>https://www.cipd.org/uk/topics/recruitment/</w:t>
        </w:r>
      </w:hyperlink>
      <w:r w:rsidRPr="00B40191">
        <w:rPr>
          <w:rFonts w:ascii="Arial" w:hAnsi="Arial" w:cs="Arial"/>
        </w:rPr>
        <w:t>.</w:t>
      </w:r>
      <w:r>
        <w:rPr>
          <w:rFonts w:ascii="Arial" w:hAnsi="Arial" w:cs="Arial"/>
        </w:rPr>
        <w:t xml:space="preserve"> </w:t>
      </w:r>
    </w:p>
    <w:p w14:paraId="3B262E25" w14:textId="77777777" w:rsidR="002B3149" w:rsidRPr="00CC4630" w:rsidRDefault="002B3149" w:rsidP="002B3149">
      <w:pPr>
        <w:rPr>
          <w:rFonts w:ascii="Arial" w:hAnsi="Arial" w:cs="Arial"/>
        </w:rPr>
      </w:pPr>
      <w:r w:rsidRPr="00CC4630">
        <w:rPr>
          <w:rFonts w:ascii="Arial" w:hAnsi="Arial" w:cs="Arial"/>
        </w:rPr>
        <w:t>CIPD (2023). </w:t>
      </w:r>
      <w:r w:rsidRPr="00CC4630">
        <w:rPr>
          <w:rFonts w:ascii="Arial" w:hAnsi="Arial" w:cs="Arial"/>
          <w:i/>
          <w:iCs/>
        </w:rPr>
        <w:t>People Profession 2023 UK and Ireland survey report</w:t>
      </w:r>
      <w:r w:rsidRPr="00CC4630">
        <w:rPr>
          <w:rFonts w:ascii="Arial" w:hAnsi="Arial" w:cs="Arial"/>
        </w:rPr>
        <w:t xml:space="preserve">. [online] Available at: </w:t>
      </w:r>
      <w:hyperlink r:id="rId29" w:history="1">
        <w:r w:rsidRPr="00CC4630">
          <w:rPr>
            <w:rStyle w:val="Hyperlink"/>
            <w:rFonts w:ascii="Arial" w:hAnsi="Arial" w:cs="Arial"/>
          </w:rPr>
          <w:t>https://www.cipd.org/globalassets/media/knowledge/knowledge-hub/reports/2023-pdfs/2023-people-profession-report-uk-ireland-2.pdf</w:t>
        </w:r>
      </w:hyperlink>
      <w:r w:rsidRPr="00CC4630">
        <w:rPr>
          <w:rFonts w:ascii="Arial" w:hAnsi="Arial" w:cs="Arial"/>
        </w:rPr>
        <w:t>.</w:t>
      </w:r>
      <w:r>
        <w:rPr>
          <w:rFonts w:ascii="Arial" w:hAnsi="Arial" w:cs="Arial"/>
        </w:rPr>
        <w:t xml:space="preserve"> </w:t>
      </w:r>
    </w:p>
    <w:p w14:paraId="42C51164" w14:textId="77777777" w:rsidR="002B3149" w:rsidRPr="00BE3937" w:rsidRDefault="002B3149" w:rsidP="002B3149">
      <w:pPr>
        <w:rPr>
          <w:rFonts w:ascii="Arial" w:hAnsi="Arial" w:cs="Arial"/>
        </w:rPr>
      </w:pPr>
      <w:r w:rsidRPr="00BE3937">
        <w:rPr>
          <w:rFonts w:ascii="Arial" w:hAnsi="Arial" w:cs="Arial"/>
        </w:rPr>
        <w:t>CIPD (2024). </w:t>
      </w:r>
      <w:r w:rsidRPr="00BE3937">
        <w:rPr>
          <w:rFonts w:ascii="Arial" w:hAnsi="Arial" w:cs="Arial"/>
          <w:i/>
          <w:iCs/>
        </w:rPr>
        <w:t>Benchmarking Employee turnover: What Are the Latest Trends and insights?</w:t>
      </w:r>
      <w:r w:rsidRPr="00BE3937">
        <w:rPr>
          <w:rFonts w:ascii="Arial" w:hAnsi="Arial" w:cs="Arial"/>
        </w:rPr>
        <w:t xml:space="preserve"> [online] CIPD. Available at: </w:t>
      </w:r>
      <w:hyperlink r:id="rId30" w:history="1">
        <w:r w:rsidRPr="00BE3937">
          <w:rPr>
            <w:rStyle w:val="Hyperlink"/>
            <w:rFonts w:ascii="Arial" w:hAnsi="Arial" w:cs="Arial"/>
          </w:rPr>
          <w:t>https://www.cipd.org/uk/views-and-insights/thought-leadership/cipd-voice/benchmarking-employee-turnover/</w:t>
        </w:r>
      </w:hyperlink>
      <w:r w:rsidRPr="00BE3937">
        <w:rPr>
          <w:rFonts w:ascii="Arial" w:hAnsi="Arial" w:cs="Arial"/>
        </w:rPr>
        <w:t>.</w:t>
      </w:r>
      <w:r>
        <w:rPr>
          <w:rFonts w:ascii="Arial" w:hAnsi="Arial" w:cs="Arial"/>
        </w:rPr>
        <w:t xml:space="preserve"> </w:t>
      </w:r>
    </w:p>
    <w:p w14:paraId="1D38FBE7" w14:textId="77777777" w:rsidR="002B3149" w:rsidRPr="00F863D1" w:rsidRDefault="002B3149" w:rsidP="002B3149">
      <w:pPr>
        <w:rPr>
          <w:rFonts w:ascii="Arial" w:hAnsi="Arial" w:cs="Arial"/>
        </w:rPr>
      </w:pPr>
      <w:r w:rsidRPr="00F863D1">
        <w:rPr>
          <w:rFonts w:ascii="Arial" w:hAnsi="Arial" w:cs="Arial"/>
        </w:rPr>
        <w:t>CIPD (2024). </w:t>
      </w:r>
      <w:r w:rsidRPr="00F863D1">
        <w:rPr>
          <w:rFonts w:ascii="Arial" w:hAnsi="Arial" w:cs="Arial"/>
          <w:i/>
          <w:iCs/>
        </w:rPr>
        <w:t>CIPD | Employer Branding | Factsheets</w:t>
      </w:r>
      <w:r w:rsidRPr="00F863D1">
        <w:rPr>
          <w:rFonts w:ascii="Arial" w:hAnsi="Arial" w:cs="Arial"/>
        </w:rPr>
        <w:t xml:space="preserve">. [online] CIPD. Available at: </w:t>
      </w:r>
      <w:hyperlink r:id="rId31" w:history="1">
        <w:r w:rsidRPr="00F863D1">
          <w:rPr>
            <w:rStyle w:val="Hyperlink"/>
            <w:rFonts w:ascii="Arial" w:hAnsi="Arial" w:cs="Arial"/>
          </w:rPr>
          <w:t>https://www.cipd.org/uk/knowledge/factsheets/recruitment-brand-factsheet/</w:t>
        </w:r>
      </w:hyperlink>
      <w:r w:rsidRPr="00F863D1">
        <w:rPr>
          <w:rFonts w:ascii="Arial" w:hAnsi="Arial" w:cs="Arial"/>
        </w:rPr>
        <w:t>.</w:t>
      </w:r>
    </w:p>
    <w:p w14:paraId="2E2486D7" w14:textId="77777777" w:rsidR="002B3149" w:rsidRDefault="002B3149" w:rsidP="002B3149">
      <w:pPr>
        <w:rPr>
          <w:rFonts w:ascii="Arial" w:hAnsi="Arial" w:cs="Arial"/>
        </w:rPr>
      </w:pPr>
      <w:r w:rsidRPr="00696F45">
        <w:rPr>
          <w:rFonts w:ascii="Arial" w:hAnsi="Arial" w:cs="Arial"/>
        </w:rPr>
        <w:t>‌</w:t>
      </w:r>
      <w:r w:rsidRPr="00CB0DD0">
        <w:rPr>
          <w:rFonts w:ascii="Arial" w:hAnsi="Arial" w:cs="Arial"/>
        </w:rPr>
        <w:t>CIPD (2024). </w:t>
      </w:r>
      <w:r w:rsidRPr="00CB0DD0">
        <w:rPr>
          <w:rFonts w:ascii="Arial" w:hAnsi="Arial" w:cs="Arial"/>
          <w:i/>
          <w:iCs/>
        </w:rPr>
        <w:t>CIPD | New focus on upskilling needed as staff turnover and vacancies are set to decline</w:t>
      </w:r>
      <w:r w:rsidRPr="00CB0DD0">
        <w:rPr>
          <w:rFonts w:ascii="Arial" w:hAnsi="Arial" w:cs="Arial"/>
        </w:rPr>
        <w:t xml:space="preserve">. [online] CIPD. Available at: </w:t>
      </w:r>
      <w:hyperlink r:id="rId32" w:history="1">
        <w:r w:rsidRPr="000462F8">
          <w:rPr>
            <w:rStyle w:val="Hyperlink"/>
            <w:rFonts w:ascii="Arial" w:hAnsi="Arial" w:cs="Arial"/>
          </w:rPr>
          <w:t>https://www.cipd.org/uk/about/press-releases/new-focus-on-upskilling-needed-as-staff-turnover-and-vacancies-set-to-decline/</w:t>
        </w:r>
      </w:hyperlink>
      <w:r w:rsidRPr="00CB0DD0">
        <w:rPr>
          <w:rFonts w:ascii="Arial" w:hAnsi="Arial" w:cs="Arial"/>
        </w:rPr>
        <w:t>.</w:t>
      </w:r>
      <w:r>
        <w:rPr>
          <w:rFonts w:ascii="Arial" w:hAnsi="Arial" w:cs="Arial"/>
        </w:rPr>
        <w:t xml:space="preserve"> </w:t>
      </w:r>
    </w:p>
    <w:p w14:paraId="4A55A93E" w14:textId="77777777" w:rsidR="002B3149" w:rsidRPr="00846DF8" w:rsidRDefault="002B3149" w:rsidP="002B3149">
      <w:pPr>
        <w:rPr>
          <w:rFonts w:ascii="Arial" w:hAnsi="Arial" w:cs="Arial"/>
        </w:rPr>
      </w:pPr>
      <w:r w:rsidRPr="00846DF8">
        <w:rPr>
          <w:rFonts w:ascii="Arial" w:hAnsi="Arial" w:cs="Arial"/>
          <w:b/>
          <w:bCs/>
        </w:rPr>
        <w:t>‌</w:t>
      </w:r>
      <w:r w:rsidRPr="00846DF8">
        <w:rPr>
          <w:rFonts w:ascii="Arial" w:hAnsi="Arial" w:cs="Arial"/>
        </w:rPr>
        <w:t>CIPD (2024). </w:t>
      </w:r>
      <w:r w:rsidRPr="00846DF8">
        <w:rPr>
          <w:rFonts w:ascii="Arial" w:hAnsi="Arial" w:cs="Arial"/>
          <w:i/>
          <w:iCs/>
        </w:rPr>
        <w:t>Induction</w:t>
      </w:r>
      <w:r w:rsidRPr="00846DF8">
        <w:rPr>
          <w:rFonts w:ascii="Arial" w:hAnsi="Arial" w:cs="Arial"/>
        </w:rPr>
        <w:t xml:space="preserve">. [online] CIPD. Available at: </w:t>
      </w:r>
      <w:hyperlink r:id="rId33" w:history="1">
        <w:r w:rsidRPr="00846DF8">
          <w:rPr>
            <w:rStyle w:val="Hyperlink"/>
            <w:rFonts w:ascii="Arial" w:hAnsi="Arial" w:cs="Arial"/>
          </w:rPr>
          <w:t>https://www.cipd.org/uk/knowledge/factsheets/induction-factsheet/</w:t>
        </w:r>
      </w:hyperlink>
      <w:r w:rsidRPr="00846DF8">
        <w:rPr>
          <w:rFonts w:ascii="Arial" w:hAnsi="Arial" w:cs="Arial"/>
        </w:rPr>
        <w:t>.</w:t>
      </w:r>
      <w:r>
        <w:rPr>
          <w:rFonts w:ascii="Arial" w:hAnsi="Arial" w:cs="Arial"/>
        </w:rPr>
        <w:t xml:space="preserve"> </w:t>
      </w:r>
    </w:p>
    <w:p w14:paraId="534A7FC5" w14:textId="77777777" w:rsidR="002B3149" w:rsidRPr="00B40191" w:rsidRDefault="002B3149" w:rsidP="002B3149">
      <w:pPr>
        <w:rPr>
          <w:rFonts w:ascii="Arial" w:hAnsi="Arial" w:cs="Arial"/>
        </w:rPr>
      </w:pPr>
      <w:r w:rsidRPr="00B40191">
        <w:rPr>
          <w:rFonts w:ascii="Arial" w:hAnsi="Arial" w:cs="Arial"/>
        </w:rPr>
        <w:t>‌CIPD (2024). </w:t>
      </w:r>
      <w:r w:rsidRPr="00B40191">
        <w:rPr>
          <w:rFonts w:ascii="Arial" w:hAnsi="Arial" w:cs="Arial"/>
          <w:i/>
          <w:iCs/>
        </w:rPr>
        <w:t>Selection Methods</w:t>
      </w:r>
      <w:r w:rsidRPr="00B40191">
        <w:rPr>
          <w:rFonts w:ascii="Arial" w:hAnsi="Arial" w:cs="Arial"/>
        </w:rPr>
        <w:t xml:space="preserve">. [online] CIPD. Available at: </w:t>
      </w:r>
      <w:r>
        <w:rPr>
          <w:rFonts w:ascii="Arial" w:hAnsi="Arial" w:cs="Arial"/>
        </w:rPr>
        <w:t xml:space="preserve"> </w:t>
      </w:r>
      <w:hyperlink r:id="rId34" w:history="1">
        <w:r w:rsidRPr="000462F8">
          <w:rPr>
            <w:rStyle w:val="Hyperlink"/>
            <w:rFonts w:ascii="Arial" w:hAnsi="Arial" w:cs="Arial"/>
          </w:rPr>
          <w:t>https://www.cipd.org/uk/knowledge/factsheets/selection-factsheet/</w:t>
        </w:r>
      </w:hyperlink>
      <w:r w:rsidRPr="00B40191">
        <w:rPr>
          <w:rFonts w:ascii="Arial" w:hAnsi="Arial" w:cs="Arial"/>
        </w:rPr>
        <w:t>.</w:t>
      </w:r>
      <w:r>
        <w:rPr>
          <w:rFonts w:ascii="Arial" w:hAnsi="Arial" w:cs="Arial"/>
        </w:rPr>
        <w:t xml:space="preserve"> </w:t>
      </w:r>
    </w:p>
    <w:p w14:paraId="6C149702" w14:textId="77777777" w:rsidR="002B3149" w:rsidRDefault="002B3149" w:rsidP="002B3149">
      <w:pPr>
        <w:rPr>
          <w:rFonts w:ascii="Arial" w:hAnsi="Arial" w:cs="Arial"/>
        </w:rPr>
      </w:pPr>
      <w:r w:rsidRPr="00392C97">
        <w:rPr>
          <w:rFonts w:ascii="Arial" w:hAnsi="Arial" w:cs="Arial"/>
        </w:rPr>
        <w:t>CIPD (2024). </w:t>
      </w:r>
      <w:r w:rsidRPr="00392C97">
        <w:rPr>
          <w:rFonts w:ascii="Arial" w:hAnsi="Arial" w:cs="Arial"/>
          <w:i/>
          <w:iCs/>
        </w:rPr>
        <w:t>Talent Management</w:t>
      </w:r>
      <w:r w:rsidRPr="00392C97">
        <w:rPr>
          <w:rFonts w:ascii="Arial" w:hAnsi="Arial" w:cs="Arial"/>
        </w:rPr>
        <w:t xml:space="preserve">. [online] CIPD. Available at: </w:t>
      </w:r>
      <w:hyperlink r:id="rId35" w:history="1">
        <w:r w:rsidRPr="00392C97">
          <w:rPr>
            <w:rStyle w:val="Hyperlink"/>
            <w:rFonts w:ascii="Arial" w:hAnsi="Arial" w:cs="Arial"/>
          </w:rPr>
          <w:t>https://www.cipd.org/uk/knowledge/factsheets/talent-factsheet/</w:t>
        </w:r>
      </w:hyperlink>
      <w:r w:rsidRPr="00392C97">
        <w:rPr>
          <w:rFonts w:ascii="Arial" w:hAnsi="Arial" w:cs="Arial"/>
        </w:rPr>
        <w:t>.</w:t>
      </w:r>
      <w:r>
        <w:rPr>
          <w:rFonts w:ascii="Arial" w:hAnsi="Arial" w:cs="Arial"/>
        </w:rPr>
        <w:t xml:space="preserve"> </w:t>
      </w:r>
    </w:p>
    <w:p w14:paraId="6CF21DE3" w14:textId="77777777" w:rsidR="002B3149" w:rsidRPr="00192402" w:rsidRDefault="002B3149" w:rsidP="002B3149">
      <w:pPr>
        <w:rPr>
          <w:rFonts w:ascii="Arial" w:hAnsi="Arial" w:cs="Arial"/>
        </w:rPr>
      </w:pPr>
      <w:r w:rsidRPr="00846DF8">
        <w:rPr>
          <w:rFonts w:ascii="Arial" w:hAnsi="Arial" w:cs="Arial"/>
          <w:b/>
          <w:bCs/>
        </w:rPr>
        <w:t>‌</w:t>
      </w:r>
      <w:r w:rsidRPr="00192402">
        <w:rPr>
          <w:rFonts w:ascii="Arial" w:hAnsi="Arial" w:cs="Arial"/>
        </w:rPr>
        <w:t>CIPD (2024). </w:t>
      </w:r>
      <w:r w:rsidRPr="00192402">
        <w:rPr>
          <w:rFonts w:ascii="Arial" w:hAnsi="Arial" w:cs="Arial"/>
          <w:i/>
          <w:iCs/>
        </w:rPr>
        <w:t>The Profession Map</w:t>
      </w:r>
      <w:r w:rsidRPr="00192402">
        <w:rPr>
          <w:rFonts w:ascii="Arial" w:hAnsi="Arial" w:cs="Arial"/>
        </w:rPr>
        <w:t xml:space="preserve">. [online] CIPD. Available at: </w:t>
      </w:r>
      <w:hyperlink r:id="rId36" w:history="1">
        <w:r w:rsidRPr="00192402">
          <w:rPr>
            <w:rStyle w:val="Hyperlink"/>
            <w:rFonts w:ascii="Arial" w:hAnsi="Arial" w:cs="Arial"/>
          </w:rPr>
          <w:t>https://www.cipd.org/globalassets/media/comms/the-people-profession/profession-map-pdfs/profession-map-nov-2024.pdf</w:t>
        </w:r>
      </w:hyperlink>
      <w:r w:rsidRPr="00192402">
        <w:rPr>
          <w:rFonts w:ascii="Arial" w:hAnsi="Arial" w:cs="Arial"/>
        </w:rPr>
        <w:t xml:space="preserve">. </w:t>
      </w:r>
    </w:p>
    <w:p w14:paraId="1F71788A" w14:textId="77777777" w:rsidR="002B3149" w:rsidRPr="00F863D1" w:rsidRDefault="002B3149" w:rsidP="002B3149">
      <w:pPr>
        <w:rPr>
          <w:rFonts w:ascii="Arial" w:hAnsi="Arial" w:cs="Arial"/>
        </w:rPr>
      </w:pPr>
      <w:r w:rsidRPr="0007224F">
        <w:rPr>
          <w:rFonts w:ascii="Arial" w:hAnsi="Arial" w:cs="Arial"/>
        </w:rPr>
        <w:t>‌</w:t>
      </w:r>
      <w:r w:rsidRPr="00F863D1">
        <w:rPr>
          <w:rFonts w:ascii="Arial" w:hAnsi="Arial" w:cs="Arial"/>
        </w:rPr>
        <w:t>CIPD (2024). </w:t>
      </w:r>
      <w:r w:rsidRPr="00F863D1">
        <w:rPr>
          <w:rFonts w:ascii="Arial" w:hAnsi="Arial" w:cs="Arial"/>
          <w:i/>
          <w:iCs/>
        </w:rPr>
        <w:t>Understanding Economy &amp; Labour Market</w:t>
      </w:r>
      <w:r w:rsidRPr="00F863D1">
        <w:rPr>
          <w:rFonts w:ascii="Arial" w:hAnsi="Arial" w:cs="Arial"/>
        </w:rPr>
        <w:t xml:space="preserve">. [online] CIPD. Available at: </w:t>
      </w:r>
      <w:hyperlink r:id="rId37" w:history="1">
        <w:r w:rsidRPr="00F863D1">
          <w:rPr>
            <w:rStyle w:val="Hyperlink"/>
            <w:rFonts w:ascii="Arial" w:hAnsi="Arial" w:cs="Arial"/>
          </w:rPr>
          <w:t>https://www.cipd.org/uk/knowledge/factsheets/economy-labour-market-factsheet/</w:t>
        </w:r>
      </w:hyperlink>
      <w:r w:rsidRPr="00F863D1">
        <w:rPr>
          <w:rFonts w:ascii="Arial" w:hAnsi="Arial" w:cs="Arial"/>
        </w:rPr>
        <w:t xml:space="preserve">. </w:t>
      </w:r>
    </w:p>
    <w:p w14:paraId="5F2A0F56" w14:textId="77777777" w:rsidR="002B3149" w:rsidRPr="0007224F" w:rsidRDefault="002B3149" w:rsidP="002B3149">
      <w:pPr>
        <w:rPr>
          <w:rFonts w:ascii="Arial" w:hAnsi="Arial" w:cs="Arial"/>
        </w:rPr>
      </w:pPr>
      <w:r w:rsidRPr="0007224F">
        <w:rPr>
          <w:rFonts w:ascii="Arial" w:hAnsi="Arial" w:cs="Arial"/>
        </w:rPr>
        <w:t>CIPD (2024). </w:t>
      </w:r>
      <w:r w:rsidRPr="0007224F">
        <w:rPr>
          <w:rFonts w:ascii="Arial" w:hAnsi="Arial" w:cs="Arial"/>
          <w:i/>
          <w:iCs/>
        </w:rPr>
        <w:t>Understanding Economy &amp; Labour Market</w:t>
      </w:r>
      <w:r w:rsidRPr="0007224F">
        <w:rPr>
          <w:rFonts w:ascii="Arial" w:hAnsi="Arial" w:cs="Arial"/>
        </w:rPr>
        <w:t xml:space="preserve">. [online] CIPD. Available at: </w:t>
      </w:r>
      <w:hyperlink r:id="rId38" w:history="1">
        <w:r w:rsidRPr="0007224F">
          <w:rPr>
            <w:rStyle w:val="Hyperlink"/>
            <w:rFonts w:ascii="Arial" w:hAnsi="Arial" w:cs="Arial"/>
          </w:rPr>
          <w:t>https://www.cipd.org/uk/knowledge/factsheets/economy-labour-market-factsheet/</w:t>
        </w:r>
      </w:hyperlink>
      <w:r w:rsidRPr="0007224F">
        <w:rPr>
          <w:rFonts w:ascii="Arial" w:hAnsi="Arial" w:cs="Arial"/>
        </w:rPr>
        <w:t>.</w:t>
      </w:r>
      <w:r w:rsidRPr="00F863D1">
        <w:rPr>
          <w:rFonts w:ascii="Arial" w:hAnsi="Arial" w:cs="Arial"/>
        </w:rPr>
        <w:t xml:space="preserve"> </w:t>
      </w:r>
    </w:p>
    <w:p w14:paraId="6B9B41D6" w14:textId="77777777" w:rsidR="002B3149" w:rsidRPr="001F6A2E" w:rsidRDefault="002B3149" w:rsidP="002B3149">
      <w:pPr>
        <w:rPr>
          <w:rFonts w:ascii="Arial" w:hAnsi="Arial" w:cs="Arial"/>
        </w:rPr>
      </w:pPr>
      <w:r w:rsidRPr="001F6A2E">
        <w:rPr>
          <w:rFonts w:ascii="Arial" w:hAnsi="Arial" w:cs="Arial"/>
        </w:rPr>
        <w:lastRenderedPageBreak/>
        <w:t>CIPD (2024). </w:t>
      </w:r>
      <w:r w:rsidRPr="001F6A2E">
        <w:rPr>
          <w:rFonts w:ascii="Arial" w:hAnsi="Arial" w:cs="Arial"/>
          <w:i/>
          <w:iCs/>
        </w:rPr>
        <w:t>Workforce Planning</w:t>
      </w:r>
      <w:r w:rsidRPr="001F6A2E">
        <w:rPr>
          <w:rFonts w:ascii="Arial" w:hAnsi="Arial" w:cs="Arial"/>
        </w:rPr>
        <w:t xml:space="preserve">. [online] CIPD. Available at: </w:t>
      </w:r>
      <w:hyperlink r:id="rId39" w:history="1">
        <w:r w:rsidRPr="001F6A2E">
          <w:rPr>
            <w:rStyle w:val="Hyperlink"/>
            <w:rFonts w:ascii="Arial" w:hAnsi="Arial" w:cs="Arial"/>
          </w:rPr>
          <w:t>https://www.cipd.org/uk/knowledge/factsheets/workforce-planning-factsheet/</w:t>
        </w:r>
      </w:hyperlink>
      <w:r w:rsidRPr="001F6A2E">
        <w:rPr>
          <w:rFonts w:ascii="Arial" w:hAnsi="Arial" w:cs="Arial"/>
        </w:rPr>
        <w:t>.</w:t>
      </w:r>
      <w:r>
        <w:rPr>
          <w:rFonts w:ascii="Arial" w:hAnsi="Arial" w:cs="Arial"/>
        </w:rPr>
        <w:t xml:space="preserve"> </w:t>
      </w:r>
    </w:p>
    <w:p w14:paraId="3E39A8A7" w14:textId="77777777" w:rsidR="002B3149" w:rsidRPr="00524E1B" w:rsidRDefault="002B3149" w:rsidP="002B3149">
      <w:pPr>
        <w:rPr>
          <w:rFonts w:ascii="Arial" w:hAnsi="Arial" w:cs="Arial"/>
        </w:rPr>
      </w:pPr>
      <w:r w:rsidRPr="00524E1B">
        <w:rPr>
          <w:rFonts w:ascii="Arial" w:hAnsi="Arial" w:cs="Arial"/>
        </w:rPr>
        <w:t>CIPD (2024). </w:t>
      </w:r>
      <w:r w:rsidRPr="00524E1B">
        <w:rPr>
          <w:rFonts w:ascii="Arial" w:hAnsi="Arial" w:cs="Arial"/>
          <w:i/>
          <w:iCs/>
        </w:rPr>
        <w:t>Workforce Planning</w:t>
      </w:r>
      <w:r w:rsidRPr="00524E1B">
        <w:rPr>
          <w:rFonts w:ascii="Arial" w:hAnsi="Arial" w:cs="Arial"/>
        </w:rPr>
        <w:t xml:space="preserve">. [online] CIPD. Available at: </w:t>
      </w:r>
      <w:hyperlink r:id="rId40" w:history="1">
        <w:r w:rsidRPr="00524E1B">
          <w:rPr>
            <w:rStyle w:val="Hyperlink"/>
            <w:rFonts w:ascii="Arial" w:hAnsi="Arial" w:cs="Arial"/>
          </w:rPr>
          <w:t>https://www.cipd.org/uk/knowledge/factsheets/workforce-planning-factsheet/</w:t>
        </w:r>
      </w:hyperlink>
      <w:r w:rsidRPr="00524E1B">
        <w:rPr>
          <w:rFonts w:ascii="Arial" w:hAnsi="Arial" w:cs="Arial"/>
        </w:rPr>
        <w:t>.</w:t>
      </w:r>
      <w:r>
        <w:rPr>
          <w:rFonts w:ascii="Arial" w:hAnsi="Arial" w:cs="Arial"/>
        </w:rPr>
        <w:t xml:space="preserve"> </w:t>
      </w:r>
    </w:p>
    <w:p w14:paraId="4507D686" w14:textId="77777777" w:rsidR="002B3149" w:rsidRDefault="002B3149" w:rsidP="002B3149">
      <w:pPr>
        <w:rPr>
          <w:rFonts w:ascii="Arial" w:hAnsi="Arial" w:cs="Arial"/>
        </w:rPr>
      </w:pPr>
      <w:r w:rsidRPr="000D3E27">
        <w:rPr>
          <w:rFonts w:ascii="Arial" w:hAnsi="Arial" w:cs="Arial"/>
        </w:rPr>
        <w:t>CIPD (2025). </w:t>
      </w:r>
      <w:r w:rsidRPr="000D3E27">
        <w:rPr>
          <w:rFonts w:ascii="Arial" w:hAnsi="Arial" w:cs="Arial"/>
          <w:i/>
          <w:iCs/>
        </w:rPr>
        <w:t>CIPD | Employee Turnover &amp; Retention | Factsheets</w:t>
      </w:r>
      <w:r w:rsidRPr="000D3E27">
        <w:rPr>
          <w:rFonts w:ascii="Arial" w:hAnsi="Arial" w:cs="Arial"/>
        </w:rPr>
        <w:t xml:space="preserve">. [online] CIPD. Available at: </w:t>
      </w:r>
      <w:hyperlink r:id="rId41" w:history="1">
        <w:r w:rsidRPr="000D3E27">
          <w:rPr>
            <w:rStyle w:val="Hyperlink"/>
            <w:rFonts w:ascii="Arial" w:hAnsi="Arial" w:cs="Arial"/>
          </w:rPr>
          <w:t>https://www.cipd.org/uk/knowledge/factsheets/turnover-retention-factsheet/</w:t>
        </w:r>
      </w:hyperlink>
      <w:r w:rsidRPr="000D3E27">
        <w:rPr>
          <w:rFonts w:ascii="Arial" w:hAnsi="Arial" w:cs="Arial"/>
        </w:rPr>
        <w:t>.</w:t>
      </w:r>
      <w:r>
        <w:rPr>
          <w:rFonts w:ascii="Arial" w:hAnsi="Arial" w:cs="Arial"/>
        </w:rPr>
        <w:t xml:space="preserve"> </w:t>
      </w:r>
    </w:p>
    <w:p w14:paraId="58BDB3EF" w14:textId="77777777" w:rsidR="002B3149" w:rsidRPr="00696F45" w:rsidRDefault="002B3149" w:rsidP="002B3149">
      <w:pPr>
        <w:rPr>
          <w:rFonts w:ascii="Arial" w:hAnsi="Arial" w:cs="Arial"/>
        </w:rPr>
      </w:pPr>
      <w:r w:rsidRPr="00696F45">
        <w:rPr>
          <w:rFonts w:ascii="Arial" w:hAnsi="Arial" w:cs="Arial"/>
        </w:rPr>
        <w:t>CIPD (2025). </w:t>
      </w:r>
      <w:r w:rsidRPr="00696F45">
        <w:rPr>
          <w:rFonts w:ascii="Arial" w:hAnsi="Arial" w:cs="Arial"/>
          <w:i/>
          <w:iCs/>
        </w:rPr>
        <w:t>Labour Market Outlook – Winter 2024/25</w:t>
      </w:r>
      <w:r w:rsidRPr="00696F45">
        <w:rPr>
          <w:rFonts w:ascii="Arial" w:hAnsi="Arial" w:cs="Arial"/>
        </w:rPr>
        <w:t xml:space="preserve">. [online] CIPD. Available at: </w:t>
      </w:r>
      <w:hyperlink r:id="rId42" w:history="1">
        <w:r w:rsidRPr="00696F45">
          <w:rPr>
            <w:rStyle w:val="Hyperlink"/>
            <w:rFonts w:ascii="Arial" w:hAnsi="Arial" w:cs="Arial"/>
          </w:rPr>
          <w:t>https://www.cipd.org/uk/knowledge/reports/labour-market-outlook/</w:t>
        </w:r>
      </w:hyperlink>
      <w:r w:rsidRPr="00696F45">
        <w:rPr>
          <w:rFonts w:ascii="Arial" w:hAnsi="Arial" w:cs="Arial"/>
        </w:rPr>
        <w:t>.</w:t>
      </w:r>
      <w:r>
        <w:rPr>
          <w:rFonts w:ascii="Arial" w:hAnsi="Arial" w:cs="Arial"/>
        </w:rPr>
        <w:t xml:space="preserve"> </w:t>
      </w:r>
    </w:p>
    <w:p w14:paraId="00ACCF30" w14:textId="77777777" w:rsidR="002B3149" w:rsidRPr="006E0AB0" w:rsidRDefault="002B3149" w:rsidP="002B3149">
      <w:r w:rsidRPr="006E0AB0">
        <w:t>CIPD (2025). </w:t>
      </w:r>
      <w:r w:rsidRPr="006E0AB0">
        <w:rPr>
          <w:i/>
          <w:iCs/>
        </w:rPr>
        <w:t>PESTLE Analysis</w:t>
      </w:r>
      <w:r w:rsidRPr="006E0AB0">
        <w:t xml:space="preserve">. [online] CIPD. Available at: </w:t>
      </w:r>
      <w:hyperlink r:id="rId43" w:history="1">
        <w:r w:rsidRPr="006E0AB0">
          <w:rPr>
            <w:rStyle w:val="Hyperlink"/>
          </w:rPr>
          <w:t>https://www.cipd.org/uk/knowledge/factsheets/pestle-analysis-factsheet/</w:t>
        </w:r>
      </w:hyperlink>
      <w:r w:rsidRPr="006E0AB0">
        <w:t>.</w:t>
      </w:r>
      <w:r>
        <w:t xml:space="preserve"> </w:t>
      </w:r>
    </w:p>
    <w:p w14:paraId="0095257B" w14:textId="77777777" w:rsidR="002B3149" w:rsidRPr="000F0B3F" w:rsidRDefault="002B3149" w:rsidP="002B3149">
      <w:pPr>
        <w:rPr>
          <w:rFonts w:ascii="Arial" w:hAnsi="Arial" w:cs="Arial"/>
        </w:rPr>
      </w:pPr>
      <w:r w:rsidRPr="000F0B3F">
        <w:rPr>
          <w:rFonts w:ascii="Arial" w:hAnsi="Arial" w:cs="Arial"/>
        </w:rPr>
        <w:t xml:space="preserve">Conway, N., &amp; Briner, R. B. (2002). Full-Time versus Part-Time Employees: Understanding the Links between Work Status, the Psychological Contract, and Attitudes. </w:t>
      </w:r>
      <w:r w:rsidRPr="000F0B3F">
        <w:rPr>
          <w:rFonts w:ascii="Arial" w:hAnsi="Arial" w:cs="Arial"/>
          <w:i/>
          <w:iCs/>
        </w:rPr>
        <w:t>Journal of Vocational Behavior</w:t>
      </w:r>
      <w:r w:rsidRPr="000F0B3F">
        <w:rPr>
          <w:rFonts w:ascii="Arial" w:hAnsi="Arial" w:cs="Arial"/>
        </w:rPr>
        <w:t xml:space="preserve">, </w:t>
      </w:r>
      <w:r w:rsidRPr="000F0B3F">
        <w:rPr>
          <w:rFonts w:ascii="Arial" w:hAnsi="Arial" w:cs="Arial"/>
          <w:i/>
          <w:iCs/>
        </w:rPr>
        <w:t>61</w:t>
      </w:r>
      <w:r w:rsidRPr="000F0B3F">
        <w:rPr>
          <w:rFonts w:ascii="Arial" w:hAnsi="Arial" w:cs="Arial"/>
        </w:rPr>
        <w:t xml:space="preserve">(2), 279–301. </w:t>
      </w:r>
      <w:hyperlink r:id="rId44" w:history="1">
        <w:r w:rsidRPr="000F0B3F">
          <w:rPr>
            <w:rStyle w:val="Hyperlink"/>
            <w:rFonts w:ascii="Arial" w:hAnsi="Arial" w:cs="Arial"/>
          </w:rPr>
          <w:t>https://doi.org/10.1006/jvbe.2001.1857</w:t>
        </w:r>
      </w:hyperlink>
      <w:r>
        <w:rPr>
          <w:rFonts w:ascii="Arial" w:hAnsi="Arial" w:cs="Arial"/>
        </w:rPr>
        <w:t xml:space="preserve"> </w:t>
      </w:r>
    </w:p>
    <w:p w14:paraId="74CB8645" w14:textId="77777777" w:rsidR="002B3149" w:rsidRDefault="002B3149" w:rsidP="002B3149">
      <w:pPr>
        <w:rPr>
          <w:rFonts w:ascii="Arial" w:hAnsi="Arial" w:cs="Arial"/>
        </w:rPr>
      </w:pPr>
      <w:r w:rsidRPr="00DF2736">
        <w:rPr>
          <w:rFonts w:ascii="Arial" w:hAnsi="Arial" w:cs="Arial"/>
        </w:rPr>
        <w:t>Crail, C. (2024). </w:t>
      </w:r>
      <w:r w:rsidRPr="00DF2736">
        <w:rPr>
          <w:rFonts w:ascii="Arial" w:hAnsi="Arial" w:cs="Arial"/>
          <w:i/>
          <w:iCs/>
        </w:rPr>
        <w:t>13 Effective Employee Retention Strategies For 2024</w:t>
      </w:r>
      <w:r w:rsidRPr="00DF2736">
        <w:rPr>
          <w:rFonts w:ascii="Arial" w:hAnsi="Arial" w:cs="Arial"/>
        </w:rPr>
        <w:t xml:space="preserve">. [online] Forbes Advisor UK. Available at: </w:t>
      </w:r>
      <w:hyperlink r:id="rId45" w:history="1">
        <w:r w:rsidRPr="00DF2736">
          <w:rPr>
            <w:rStyle w:val="Hyperlink"/>
            <w:rFonts w:ascii="Arial" w:hAnsi="Arial" w:cs="Arial"/>
          </w:rPr>
          <w:t>https://www.forbes.com/uk/advisor/business/employee-retention-strategies/</w:t>
        </w:r>
      </w:hyperlink>
      <w:r w:rsidRPr="00DF2736">
        <w:rPr>
          <w:rFonts w:ascii="Arial" w:hAnsi="Arial" w:cs="Arial"/>
        </w:rPr>
        <w:t>.</w:t>
      </w:r>
      <w:r>
        <w:rPr>
          <w:rFonts w:ascii="Arial" w:hAnsi="Arial" w:cs="Arial"/>
        </w:rPr>
        <w:t xml:space="preserve"> </w:t>
      </w:r>
    </w:p>
    <w:p w14:paraId="3EEAFF4F" w14:textId="77777777" w:rsidR="002B3149" w:rsidRPr="00A21ABD" w:rsidRDefault="002B3149" w:rsidP="002B3149">
      <w:pPr>
        <w:rPr>
          <w:rFonts w:ascii="Arial" w:hAnsi="Arial" w:cs="Arial"/>
        </w:rPr>
      </w:pPr>
      <w:r w:rsidRPr="00A21ABD">
        <w:rPr>
          <w:rFonts w:ascii="Arial" w:hAnsi="Arial" w:cs="Arial"/>
        </w:rPr>
        <w:t>‌Crawford, J., &amp; Jabbour, M. (2024). The relationship between enterprise risk management and managerial judgement in decision</w:t>
      </w:r>
      <w:r w:rsidRPr="00A21ABD">
        <w:rPr>
          <w:rFonts w:ascii="Cambria Math" w:hAnsi="Cambria Math" w:cs="Cambria Math"/>
        </w:rPr>
        <w:t>‐</w:t>
      </w:r>
      <w:r w:rsidRPr="00A21ABD">
        <w:rPr>
          <w:rFonts w:ascii="Arial" w:hAnsi="Arial" w:cs="Arial"/>
        </w:rPr>
        <w:t xml:space="preserve">making: A systematic literature review. </w:t>
      </w:r>
      <w:r w:rsidRPr="00A21ABD">
        <w:rPr>
          <w:rFonts w:ascii="Arial" w:hAnsi="Arial" w:cs="Arial"/>
          <w:i/>
          <w:iCs/>
        </w:rPr>
        <w:t>International Journal of Management Reviews : IJMR</w:t>
      </w:r>
      <w:r w:rsidRPr="00A21ABD">
        <w:rPr>
          <w:rFonts w:ascii="Arial" w:hAnsi="Arial" w:cs="Arial"/>
        </w:rPr>
        <w:t xml:space="preserve">, </w:t>
      </w:r>
      <w:r w:rsidRPr="00A21ABD">
        <w:rPr>
          <w:rFonts w:ascii="Arial" w:hAnsi="Arial" w:cs="Arial"/>
          <w:i/>
          <w:iCs/>
        </w:rPr>
        <w:t>26</w:t>
      </w:r>
      <w:r w:rsidRPr="00A21ABD">
        <w:rPr>
          <w:rFonts w:ascii="Arial" w:hAnsi="Arial" w:cs="Arial"/>
        </w:rPr>
        <w:t xml:space="preserve">(1), 110–136. </w:t>
      </w:r>
      <w:hyperlink r:id="rId46" w:history="1">
        <w:r w:rsidRPr="000462F8">
          <w:rPr>
            <w:rStyle w:val="Hyperlink"/>
            <w:rFonts w:ascii="Arial" w:hAnsi="Arial" w:cs="Arial"/>
          </w:rPr>
          <w:t>https://doi.org/10.1111/ijmr.12337</w:t>
        </w:r>
      </w:hyperlink>
      <w:r>
        <w:rPr>
          <w:rFonts w:ascii="Arial" w:hAnsi="Arial" w:cs="Arial"/>
        </w:rPr>
        <w:t xml:space="preserve"> </w:t>
      </w:r>
    </w:p>
    <w:p w14:paraId="58515D21" w14:textId="77777777" w:rsidR="002B3149" w:rsidRPr="00BE3937" w:rsidRDefault="002B3149" w:rsidP="002B3149">
      <w:pPr>
        <w:rPr>
          <w:rFonts w:ascii="Arial" w:hAnsi="Arial" w:cs="Arial"/>
        </w:rPr>
      </w:pPr>
      <w:r w:rsidRPr="00F04A58">
        <w:rPr>
          <w:rFonts w:ascii="Arial" w:hAnsi="Arial" w:cs="Arial"/>
        </w:rPr>
        <w:t xml:space="preserve">Daniels, K. (2022). </w:t>
      </w:r>
      <w:r w:rsidRPr="00F04A58">
        <w:rPr>
          <w:rFonts w:ascii="Arial" w:hAnsi="Arial" w:cs="Arial"/>
          <w:i/>
          <w:iCs/>
        </w:rPr>
        <w:t>Introduction to employment law : fundamentals for HR and business students</w:t>
      </w:r>
      <w:r w:rsidRPr="00F04A58">
        <w:rPr>
          <w:rFonts w:ascii="Arial" w:hAnsi="Arial" w:cs="Arial"/>
        </w:rPr>
        <w:t xml:space="preserve"> (Sixth edition.). Kogan Page Limited. </w:t>
      </w:r>
    </w:p>
    <w:p w14:paraId="446E9640" w14:textId="77777777" w:rsidR="002B3149" w:rsidRDefault="002B3149" w:rsidP="002B3149">
      <w:pPr>
        <w:rPr>
          <w:rFonts w:ascii="Arial" w:hAnsi="Arial" w:cs="Arial"/>
        </w:rPr>
      </w:pPr>
      <w:r w:rsidRPr="00072C0F">
        <w:rPr>
          <w:rFonts w:ascii="Arial" w:hAnsi="Arial" w:cs="Arial"/>
        </w:rPr>
        <w:t xml:space="preserve">De Bruecker, P., Van den Bergh, J., Beliën, J., &amp; Demeulemeester, E. (2015). Workforce planning incorporating skills: State of the art. </w:t>
      </w:r>
      <w:r w:rsidRPr="00072C0F">
        <w:rPr>
          <w:rFonts w:ascii="Arial" w:hAnsi="Arial" w:cs="Arial"/>
          <w:i/>
          <w:iCs/>
        </w:rPr>
        <w:t>European Journal of Operational Research</w:t>
      </w:r>
      <w:r w:rsidRPr="00072C0F">
        <w:rPr>
          <w:rFonts w:ascii="Arial" w:hAnsi="Arial" w:cs="Arial"/>
        </w:rPr>
        <w:t xml:space="preserve">, </w:t>
      </w:r>
      <w:r w:rsidRPr="00072C0F">
        <w:rPr>
          <w:rFonts w:ascii="Arial" w:hAnsi="Arial" w:cs="Arial"/>
          <w:i/>
          <w:iCs/>
        </w:rPr>
        <w:t>243</w:t>
      </w:r>
      <w:r w:rsidRPr="00072C0F">
        <w:rPr>
          <w:rFonts w:ascii="Arial" w:hAnsi="Arial" w:cs="Arial"/>
        </w:rPr>
        <w:t xml:space="preserve">(1), 1–16. </w:t>
      </w:r>
      <w:hyperlink r:id="rId47" w:history="1">
        <w:r w:rsidRPr="00072C0F">
          <w:rPr>
            <w:rStyle w:val="Hyperlink"/>
            <w:rFonts w:ascii="Arial" w:hAnsi="Arial" w:cs="Arial"/>
          </w:rPr>
          <w:t>https://doi.org/10.1016/j.ejor.2014.10.038</w:t>
        </w:r>
      </w:hyperlink>
      <w:r>
        <w:rPr>
          <w:rFonts w:ascii="Arial" w:hAnsi="Arial" w:cs="Arial"/>
        </w:rPr>
        <w:t xml:space="preserve"> </w:t>
      </w:r>
    </w:p>
    <w:p w14:paraId="6186F83B" w14:textId="77777777" w:rsidR="002B3149" w:rsidRPr="00E514BB" w:rsidRDefault="002B3149" w:rsidP="002B3149">
      <w:pPr>
        <w:rPr>
          <w:rFonts w:ascii="Arial" w:hAnsi="Arial" w:cs="Arial"/>
        </w:rPr>
      </w:pPr>
      <w:r w:rsidRPr="00E514BB">
        <w:rPr>
          <w:rFonts w:ascii="Arial" w:hAnsi="Arial" w:cs="Arial"/>
        </w:rPr>
        <w:t xml:space="preserve">Demir, M., &amp; Günaydın, Y. (2023). A digital job application reference: how do social media posts affect the recruitment process? </w:t>
      </w:r>
      <w:r w:rsidRPr="00E514BB">
        <w:rPr>
          <w:rFonts w:ascii="Arial" w:hAnsi="Arial" w:cs="Arial"/>
          <w:i/>
          <w:iCs/>
        </w:rPr>
        <w:t>Employee Relations</w:t>
      </w:r>
      <w:r w:rsidRPr="00E514BB">
        <w:rPr>
          <w:rFonts w:ascii="Arial" w:hAnsi="Arial" w:cs="Arial"/>
        </w:rPr>
        <w:t xml:space="preserve">, </w:t>
      </w:r>
      <w:r w:rsidRPr="00E514BB">
        <w:rPr>
          <w:rFonts w:ascii="Arial" w:hAnsi="Arial" w:cs="Arial"/>
          <w:i/>
          <w:iCs/>
        </w:rPr>
        <w:t>45</w:t>
      </w:r>
      <w:r w:rsidRPr="00E514BB">
        <w:rPr>
          <w:rFonts w:ascii="Arial" w:hAnsi="Arial" w:cs="Arial"/>
        </w:rPr>
        <w:t xml:space="preserve">(2), 457–477. </w:t>
      </w:r>
      <w:hyperlink r:id="rId48" w:history="1">
        <w:r w:rsidRPr="00E514BB">
          <w:rPr>
            <w:rStyle w:val="Hyperlink"/>
            <w:rFonts w:ascii="Arial" w:hAnsi="Arial" w:cs="Arial"/>
          </w:rPr>
          <w:t>https://doi.org/10.1108/ER-05-2022-0232</w:t>
        </w:r>
      </w:hyperlink>
      <w:r>
        <w:rPr>
          <w:rFonts w:ascii="Arial" w:hAnsi="Arial" w:cs="Arial"/>
        </w:rPr>
        <w:t xml:space="preserve"> </w:t>
      </w:r>
    </w:p>
    <w:p w14:paraId="11EDC741" w14:textId="77777777" w:rsidR="002B3149" w:rsidRPr="00AC5206" w:rsidRDefault="002B3149" w:rsidP="002B3149">
      <w:pPr>
        <w:rPr>
          <w:rFonts w:ascii="Arial" w:hAnsi="Arial" w:cs="Arial"/>
        </w:rPr>
      </w:pPr>
      <w:r w:rsidRPr="00AC5206">
        <w:rPr>
          <w:rFonts w:ascii="Arial" w:hAnsi="Arial" w:cs="Arial"/>
        </w:rPr>
        <w:t xml:space="preserve">Diaz-Munoz, R., &amp; Andrés-Reina, M.-P. (2024). ONBOARDING: KEY TO PERCEPTION OF THE COMPANY AS A GREAT PLACE TO WORK: INCORPORACIÓN: CLAVE PARA LA PERCEPCIÓN DE LA EMPRESA COMO UN GRAN LUGAR PARA TRABAJAR. </w:t>
      </w:r>
      <w:r w:rsidRPr="00AC5206">
        <w:rPr>
          <w:rFonts w:ascii="Arial" w:hAnsi="Arial" w:cs="Arial"/>
          <w:i/>
          <w:iCs/>
        </w:rPr>
        <w:t>Rect@. Revista Electrónica de Comunicaciones y Trabajos de ASEPUMA</w:t>
      </w:r>
      <w:r w:rsidRPr="00AC5206">
        <w:rPr>
          <w:rFonts w:ascii="Arial" w:hAnsi="Arial" w:cs="Arial"/>
        </w:rPr>
        <w:t xml:space="preserve">, </w:t>
      </w:r>
      <w:r w:rsidRPr="00AC5206">
        <w:rPr>
          <w:rFonts w:ascii="Arial" w:hAnsi="Arial" w:cs="Arial"/>
          <w:i/>
          <w:iCs/>
        </w:rPr>
        <w:t>25</w:t>
      </w:r>
      <w:r w:rsidRPr="00AC5206">
        <w:rPr>
          <w:rFonts w:ascii="Arial" w:hAnsi="Arial" w:cs="Arial"/>
        </w:rPr>
        <w:t>(1), 21–36.</w:t>
      </w:r>
      <w:r>
        <w:rPr>
          <w:rFonts w:ascii="Arial" w:hAnsi="Arial" w:cs="Arial"/>
        </w:rPr>
        <w:t xml:space="preserve"> </w:t>
      </w:r>
    </w:p>
    <w:p w14:paraId="6A01B797" w14:textId="77777777" w:rsidR="002B3149" w:rsidRDefault="002B3149" w:rsidP="002B3149">
      <w:pPr>
        <w:rPr>
          <w:rFonts w:ascii="Arial" w:hAnsi="Arial" w:cs="Arial"/>
        </w:rPr>
      </w:pPr>
      <w:r w:rsidRPr="00871FA7">
        <w:rPr>
          <w:rFonts w:ascii="Arial" w:hAnsi="Arial" w:cs="Arial"/>
        </w:rPr>
        <w:t xml:space="preserve">Dima, I. C. (2015). </w:t>
      </w:r>
      <w:r w:rsidRPr="00871FA7">
        <w:rPr>
          <w:rFonts w:ascii="Arial" w:hAnsi="Arial" w:cs="Arial"/>
          <w:i/>
          <w:iCs/>
        </w:rPr>
        <w:t>Systemic approaches to strategic management : examples from the automotive industry</w:t>
      </w:r>
      <w:r w:rsidRPr="00871FA7">
        <w:rPr>
          <w:rFonts w:ascii="Arial" w:hAnsi="Arial" w:cs="Arial"/>
        </w:rPr>
        <w:t xml:space="preserve">. Business Science Reference. </w:t>
      </w:r>
      <w:hyperlink r:id="rId49" w:history="1">
        <w:r w:rsidRPr="00871FA7">
          <w:rPr>
            <w:rStyle w:val="Hyperlink"/>
            <w:rFonts w:ascii="Arial" w:hAnsi="Arial" w:cs="Arial"/>
          </w:rPr>
          <w:t>https://doi.org/10.4018/978-1-4666-6481-4</w:t>
        </w:r>
      </w:hyperlink>
      <w:r>
        <w:rPr>
          <w:rFonts w:ascii="Arial" w:hAnsi="Arial" w:cs="Arial"/>
        </w:rPr>
        <w:t xml:space="preserve"> </w:t>
      </w:r>
    </w:p>
    <w:p w14:paraId="5EED17C9" w14:textId="77777777" w:rsidR="002B3149" w:rsidRPr="001C5E4C" w:rsidRDefault="002B3149" w:rsidP="002B3149">
      <w:pPr>
        <w:rPr>
          <w:rFonts w:ascii="Arial" w:hAnsi="Arial" w:cs="Arial"/>
        </w:rPr>
      </w:pPr>
      <w:r w:rsidRPr="009E6B79">
        <w:rPr>
          <w:rFonts w:ascii="Arial" w:hAnsi="Arial" w:cs="Arial"/>
        </w:rPr>
        <w:t xml:space="preserve">Dunning, M. (2015). More employers reward healthy behavior. </w:t>
      </w:r>
      <w:r w:rsidRPr="009E6B79">
        <w:rPr>
          <w:rFonts w:ascii="Arial" w:hAnsi="Arial" w:cs="Arial"/>
          <w:i/>
          <w:iCs/>
        </w:rPr>
        <w:t>Business Insurance</w:t>
      </w:r>
      <w:r w:rsidRPr="009E6B79">
        <w:rPr>
          <w:rFonts w:ascii="Arial" w:hAnsi="Arial" w:cs="Arial"/>
        </w:rPr>
        <w:t xml:space="preserve">, </w:t>
      </w:r>
      <w:r w:rsidRPr="009E6B79">
        <w:rPr>
          <w:rFonts w:ascii="Arial" w:hAnsi="Arial" w:cs="Arial"/>
          <w:i/>
          <w:iCs/>
        </w:rPr>
        <w:t>49</w:t>
      </w:r>
      <w:r w:rsidRPr="009E6B79">
        <w:rPr>
          <w:rFonts w:ascii="Arial" w:hAnsi="Arial" w:cs="Arial"/>
        </w:rPr>
        <w:t>(2), 3-.</w:t>
      </w:r>
      <w:r w:rsidRPr="009E6B79">
        <w:rPr>
          <w:rFonts w:ascii="Arial" w:hAnsi="Arial" w:cs="Arial"/>
          <w:b/>
          <w:bCs/>
        </w:rPr>
        <w:t xml:space="preserve"> </w:t>
      </w:r>
    </w:p>
    <w:p w14:paraId="48B6647E" w14:textId="77777777" w:rsidR="002B3149" w:rsidRDefault="002B3149" w:rsidP="002B3149">
      <w:pPr>
        <w:rPr>
          <w:rFonts w:ascii="Arial" w:hAnsi="Arial" w:cs="Arial"/>
        </w:rPr>
      </w:pPr>
      <w:r w:rsidRPr="00DF2736">
        <w:rPr>
          <w:rFonts w:ascii="Arial" w:hAnsi="Arial" w:cs="Arial"/>
        </w:rPr>
        <w:t xml:space="preserve">E. Baur, J., Ronald Buckley, M., Bagdasarov, Z., &amp; S. Dharmasiri, A. (2014). A historical approach to realistic job previews: An exploration into their origins, evolution, and recommendations for the future. </w:t>
      </w:r>
      <w:r w:rsidRPr="00DF2736">
        <w:rPr>
          <w:rFonts w:ascii="Arial" w:hAnsi="Arial" w:cs="Arial"/>
          <w:i/>
          <w:iCs/>
        </w:rPr>
        <w:t>Journal of Management History (2006)</w:t>
      </w:r>
      <w:r w:rsidRPr="00DF2736">
        <w:rPr>
          <w:rFonts w:ascii="Arial" w:hAnsi="Arial" w:cs="Arial"/>
        </w:rPr>
        <w:t xml:space="preserve">, </w:t>
      </w:r>
      <w:r w:rsidRPr="00DF2736">
        <w:rPr>
          <w:rFonts w:ascii="Arial" w:hAnsi="Arial" w:cs="Arial"/>
          <w:i/>
          <w:iCs/>
        </w:rPr>
        <w:t>20</w:t>
      </w:r>
      <w:r w:rsidRPr="00DF2736">
        <w:rPr>
          <w:rFonts w:ascii="Arial" w:hAnsi="Arial" w:cs="Arial"/>
        </w:rPr>
        <w:t xml:space="preserve">(2), 200–223. </w:t>
      </w:r>
      <w:hyperlink r:id="rId50" w:history="1">
        <w:r w:rsidRPr="00DF2736">
          <w:rPr>
            <w:rStyle w:val="Hyperlink"/>
            <w:rFonts w:ascii="Arial" w:hAnsi="Arial" w:cs="Arial"/>
          </w:rPr>
          <w:t>https://doi.org/10.1108/JMH-06-2012-0046</w:t>
        </w:r>
      </w:hyperlink>
      <w:r>
        <w:rPr>
          <w:rFonts w:ascii="Arial" w:hAnsi="Arial" w:cs="Arial"/>
        </w:rPr>
        <w:t xml:space="preserve"> </w:t>
      </w:r>
    </w:p>
    <w:p w14:paraId="183A13E3" w14:textId="77777777" w:rsidR="002B3149" w:rsidRPr="00DF2736" w:rsidRDefault="002B3149" w:rsidP="002B3149">
      <w:pPr>
        <w:rPr>
          <w:rFonts w:ascii="Arial" w:hAnsi="Arial" w:cs="Arial"/>
        </w:rPr>
      </w:pPr>
      <w:r w:rsidRPr="00DF2736">
        <w:rPr>
          <w:rFonts w:ascii="Arial" w:hAnsi="Arial" w:cs="Arial"/>
        </w:rPr>
        <w:lastRenderedPageBreak/>
        <w:t xml:space="preserve">EARNEST, D. R., ALLEN, D. G., &amp; LANDIS, R. S. (2011). MECHANISMS LINKING REALISTIC JOB PREVIEWS WITH TURNOVER: A META-ANALYTIC PATH ANALYSIS. </w:t>
      </w:r>
      <w:r w:rsidRPr="00DF2736">
        <w:rPr>
          <w:rFonts w:ascii="Arial" w:hAnsi="Arial" w:cs="Arial"/>
          <w:i/>
          <w:iCs/>
        </w:rPr>
        <w:t>Personnel Psychology</w:t>
      </w:r>
      <w:r w:rsidRPr="00DF2736">
        <w:rPr>
          <w:rFonts w:ascii="Arial" w:hAnsi="Arial" w:cs="Arial"/>
        </w:rPr>
        <w:t xml:space="preserve">, </w:t>
      </w:r>
      <w:r w:rsidRPr="00DF2736">
        <w:rPr>
          <w:rFonts w:ascii="Arial" w:hAnsi="Arial" w:cs="Arial"/>
          <w:i/>
          <w:iCs/>
        </w:rPr>
        <w:t>64</w:t>
      </w:r>
      <w:r w:rsidRPr="00DF2736">
        <w:rPr>
          <w:rFonts w:ascii="Arial" w:hAnsi="Arial" w:cs="Arial"/>
        </w:rPr>
        <w:t xml:space="preserve">(4), 865–897. </w:t>
      </w:r>
      <w:hyperlink r:id="rId51" w:history="1">
        <w:r w:rsidRPr="00DF2736">
          <w:rPr>
            <w:rStyle w:val="Hyperlink"/>
            <w:rFonts w:ascii="Arial" w:hAnsi="Arial" w:cs="Arial"/>
          </w:rPr>
          <w:t>https://doi.org/10.1111/j.1744-6570.2011.01230.x</w:t>
        </w:r>
      </w:hyperlink>
      <w:r>
        <w:rPr>
          <w:rFonts w:ascii="Arial" w:hAnsi="Arial" w:cs="Arial"/>
        </w:rPr>
        <w:t xml:space="preserve"> </w:t>
      </w:r>
    </w:p>
    <w:p w14:paraId="0719A457" w14:textId="77777777" w:rsidR="002B3149" w:rsidRPr="006C4196" w:rsidRDefault="002B3149" w:rsidP="002B3149">
      <w:pPr>
        <w:rPr>
          <w:rFonts w:ascii="Arial" w:hAnsi="Arial" w:cs="Arial"/>
        </w:rPr>
      </w:pPr>
      <w:r w:rsidRPr="006C4196">
        <w:rPr>
          <w:rFonts w:ascii="Arial" w:hAnsi="Arial" w:cs="Arial"/>
        </w:rPr>
        <w:t xml:space="preserve">Emmerichs, R. M., Marcum, C. Y., Robbert, A. A., United States. Dept. of Defense. Office of the Secretary of Defense., National Defense Research Institute, &amp; Rand Corporation. (2003). </w:t>
      </w:r>
      <w:r w:rsidRPr="006C4196">
        <w:rPr>
          <w:rFonts w:ascii="Arial" w:hAnsi="Arial" w:cs="Arial"/>
          <w:i/>
          <w:iCs/>
        </w:rPr>
        <w:t>An executive perspective on workforce planning</w:t>
      </w:r>
      <w:r w:rsidRPr="006C4196">
        <w:rPr>
          <w:rFonts w:ascii="Arial" w:hAnsi="Arial" w:cs="Arial"/>
        </w:rPr>
        <w:t>. Rand.</w:t>
      </w:r>
      <w:r>
        <w:rPr>
          <w:rFonts w:ascii="Arial" w:hAnsi="Arial" w:cs="Arial"/>
        </w:rPr>
        <w:t xml:space="preserve"> </w:t>
      </w:r>
    </w:p>
    <w:p w14:paraId="7DC24BE8" w14:textId="77777777" w:rsidR="002B3149" w:rsidRPr="00C12E0F" w:rsidRDefault="002B3149" w:rsidP="002B3149">
      <w:pPr>
        <w:rPr>
          <w:rFonts w:ascii="Arial" w:hAnsi="Arial" w:cs="Arial"/>
        </w:rPr>
      </w:pPr>
      <w:r w:rsidRPr="00C12E0F">
        <w:rPr>
          <w:rFonts w:ascii="Arial" w:hAnsi="Arial" w:cs="Arial"/>
        </w:rPr>
        <w:t xml:space="preserve">Farrand, L. (2017). How will the gig economy affect employee benefits? </w:t>
      </w:r>
      <w:r w:rsidRPr="00C12E0F">
        <w:rPr>
          <w:rFonts w:ascii="Arial" w:hAnsi="Arial" w:cs="Arial"/>
          <w:i/>
          <w:iCs/>
        </w:rPr>
        <w:t>Employee Benefits</w:t>
      </w:r>
      <w:r w:rsidRPr="00C12E0F">
        <w:rPr>
          <w:rFonts w:ascii="Arial" w:hAnsi="Arial" w:cs="Arial"/>
        </w:rPr>
        <w:t>.</w:t>
      </w:r>
    </w:p>
    <w:p w14:paraId="21E70D3A" w14:textId="77777777" w:rsidR="002B3149" w:rsidRPr="00F62C41" w:rsidRDefault="002B3149" w:rsidP="002B3149">
      <w:pPr>
        <w:rPr>
          <w:rFonts w:ascii="Arial" w:hAnsi="Arial" w:cs="Arial"/>
        </w:rPr>
      </w:pPr>
      <w:r>
        <w:rPr>
          <w:rFonts w:ascii="Arial" w:hAnsi="Arial" w:cs="Arial"/>
        </w:rPr>
        <w:t xml:space="preserve">Fields, J </w:t>
      </w:r>
      <w:r w:rsidRPr="00F62C41">
        <w:rPr>
          <w:rFonts w:ascii="Arial" w:hAnsi="Arial" w:cs="Arial"/>
        </w:rPr>
        <w:t>(2016). </w:t>
      </w:r>
      <w:r w:rsidRPr="00F62C41">
        <w:rPr>
          <w:rFonts w:ascii="Arial" w:hAnsi="Arial" w:cs="Arial"/>
          <w:i/>
          <w:iCs/>
        </w:rPr>
        <w:t>The Most Important HR Metrics You Should be Measuring</w:t>
      </w:r>
      <w:r w:rsidRPr="00F62C41">
        <w:rPr>
          <w:rFonts w:ascii="Arial" w:hAnsi="Arial" w:cs="Arial"/>
        </w:rPr>
        <w:t xml:space="preserve">. [online] Peoplehr.com. Available at: </w:t>
      </w:r>
      <w:hyperlink r:id="rId52" w:history="1">
        <w:r w:rsidRPr="00F62C41">
          <w:rPr>
            <w:rStyle w:val="Hyperlink"/>
            <w:rFonts w:ascii="Arial" w:hAnsi="Arial" w:cs="Arial"/>
          </w:rPr>
          <w:t>https://www.peoplehr.com/en-gb/resources/blog/the-most-important-hr-metrics-you-should-be-measuring/</w:t>
        </w:r>
      </w:hyperlink>
      <w:r w:rsidRPr="00F62C41">
        <w:rPr>
          <w:rFonts w:ascii="Arial" w:hAnsi="Arial" w:cs="Arial"/>
        </w:rPr>
        <w:t>.</w:t>
      </w:r>
      <w:r>
        <w:rPr>
          <w:rFonts w:ascii="Arial" w:hAnsi="Arial" w:cs="Arial"/>
        </w:rPr>
        <w:t xml:space="preserve"> </w:t>
      </w:r>
    </w:p>
    <w:p w14:paraId="37F32CFB" w14:textId="77777777" w:rsidR="002B3149" w:rsidRPr="00AD733F" w:rsidRDefault="002B3149" w:rsidP="002B3149">
      <w:pPr>
        <w:rPr>
          <w:rFonts w:ascii="Arial" w:hAnsi="Arial" w:cs="Arial"/>
        </w:rPr>
      </w:pPr>
      <w:r w:rsidRPr="00AD733F">
        <w:rPr>
          <w:rFonts w:ascii="Arial" w:hAnsi="Arial" w:cs="Arial"/>
        </w:rPr>
        <w:t>Fonner, K., &amp; Roloff, M. (2008). Developing the pre</w:t>
      </w:r>
      <w:r w:rsidRPr="00AD733F">
        <w:rPr>
          <w:rFonts w:ascii="Cambria Math" w:hAnsi="Cambria Math" w:cs="Cambria Math"/>
        </w:rPr>
        <w:t>‐</w:t>
      </w:r>
      <w:r w:rsidRPr="00AD733F">
        <w:rPr>
          <w:rFonts w:ascii="Arial" w:hAnsi="Arial" w:cs="Arial"/>
        </w:rPr>
        <w:t xml:space="preserve">employment schema: The significance of information about the workplace and emotional support from friends and family. </w:t>
      </w:r>
      <w:r w:rsidRPr="00AD733F">
        <w:rPr>
          <w:rFonts w:ascii="Arial" w:hAnsi="Arial" w:cs="Arial"/>
          <w:i/>
          <w:iCs/>
        </w:rPr>
        <w:t>International Journal of Organizational Analysis (2005)</w:t>
      </w:r>
      <w:r w:rsidRPr="00AD733F">
        <w:rPr>
          <w:rFonts w:ascii="Arial" w:hAnsi="Arial" w:cs="Arial"/>
        </w:rPr>
        <w:t xml:space="preserve">, </w:t>
      </w:r>
      <w:r w:rsidRPr="00AD733F">
        <w:rPr>
          <w:rFonts w:ascii="Arial" w:hAnsi="Arial" w:cs="Arial"/>
          <w:i/>
          <w:iCs/>
        </w:rPr>
        <w:t>16</w:t>
      </w:r>
      <w:r w:rsidRPr="00AD733F">
        <w:rPr>
          <w:rFonts w:ascii="Arial" w:hAnsi="Arial" w:cs="Arial"/>
        </w:rPr>
        <w:t xml:space="preserve">(4), 212–231. </w:t>
      </w:r>
      <w:hyperlink r:id="rId53" w:history="1">
        <w:r w:rsidRPr="00AD733F">
          <w:rPr>
            <w:rStyle w:val="Hyperlink"/>
            <w:rFonts w:ascii="Arial" w:hAnsi="Arial" w:cs="Arial"/>
          </w:rPr>
          <w:t>https://doi.org/10.1108/19348830810944675</w:t>
        </w:r>
      </w:hyperlink>
      <w:r>
        <w:rPr>
          <w:rFonts w:ascii="Arial" w:hAnsi="Arial" w:cs="Arial"/>
        </w:rPr>
        <w:t xml:space="preserve"> </w:t>
      </w:r>
    </w:p>
    <w:p w14:paraId="07117AE5" w14:textId="77777777" w:rsidR="002B3149" w:rsidRPr="00AD733F" w:rsidRDefault="002B3149" w:rsidP="002B3149">
      <w:pPr>
        <w:rPr>
          <w:rFonts w:ascii="Arial" w:hAnsi="Arial" w:cs="Arial"/>
        </w:rPr>
      </w:pPr>
      <w:r w:rsidRPr="00AD733F">
        <w:rPr>
          <w:rFonts w:ascii="Arial" w:hAnsi="Arial" w:cs="Arial"/>
        </w:rPr>
        <w:t xml:space="preserve">Foot, M., &amp; Hook, C. (2011). </w:t>
      </w:r>
      <w:r w:rsidRPr="00AD733F">
        <w:rPr>
          <w:rFonts w:ascii="Arial" w:hAnsi="Arial" w:cs="Arial"/>
          <w:i/>
          <w:iCs/>
        </w:rPr>
        <w:t>Introducing human resource management</w:t>
      </w:r>
      <w:r w:rsidRPr="00AD733F">
        <w:rPr>
          <w:rFonts w:ascii="Arial" w:hAnsi="Arial" w:cs="Arial"/>
        </w:rPr>
        <w:t xml:space="preserve"> (6th ed.). Pearson Financial Times/Prentice Hall.</w:t>
      </w:r>
    </w:p>
    <w:p w14:paraId="44A45146" w14:textId="77777777" w:rsidR="002B3149" w:rsidRPr="00A23ACC" w:rsidRDefault="002B3149" w:rsidP="002B3149">
      <w:pPr>
        <w:rPr>
          <w:rFonts w:ascii="Arial" w:hAnsi="Arial" w:cs="Arial"/>
        </w:rPr>
      </w:pPr>
      <w:r w:rsidRPr="00A23ACC">
        <w:rPr>
          <w:rFonts w:ascii="Arial" w:hAnsi="Arial" w:cs="Arial"/>
        </w:rPr>
        <w:t xml:space="preserve">FOSSATI, F. (2018). Who Wants Demanding Active Labour Market Policies? Public Attitudes towards Policies that put Pressure on the Unemployed. </w:t>
      </w:r>
      <w:r w:rsidRPr="00A23ACC">
        <w:rPr>
          <w:rFonts w:ascii="Arial" w:hAnsi="Arial" w:cs="Arial"/>
          <w:i/>
          <w:iCs/>
        </w:rPr>
        <w:t>Journal of Social Policy</w:t>
      </w:r>
      <w:r w:rsidRPr="00A23ACC">
        <w:rPr>
          <w:rFonts w:ascii="Arial" w:hAnsi="Arial" w:cs="Arial"/>
        </w:rPr>
        <w:t xml:space="preserve">, </w:t>
      </w:r>
      <w:r w:rsidRPr="00A23ACC">
        <w:rPr>
          <w:rFonts w:ascii="Arial" w:hAnsi="Arial" w:cs="Arial"/>
          <w:i/>
          <w:iCs/>
        </w:rPr>
        <w:t>47</w:t>
      </w:r>
      <w:r w:rsidRPr="00A23ACC">
        <w:rPr>
          <w:rFonts w:ascii="Arial" w:hAnsi="Arial" w:cs="Arial"/>
        </w:rPr>
        <w:t xml:space="preserve">(1), 77–97. </w:t>
      </w:r>
      <w:hyperlink r:id="rId54" w:history="1">
        <w:r w:rsidRPr="00A23ACC">
          <w:rPr>
            <w:rStyle w:val="Hyperlink"/>
            <w:rFonts w:ascii="Arial" w:hAnsi="Arial" w:cs="Arial"/>
          </w:rPr>
          <w:t>https://doi.org/10.1017/S0047279417000216</w:t>
        </w:r>
      </w:hyperlink>
      <w:r w:rsidRPr="00F863D1">
        <w:rPr>
          <w:rFonts w:ascii="Arial" w:hAnsi="Arial" w:cs="Arial"/>
        </w:rPr>
        <w:t xml:space="preserve"> </w:t>
      </w:r>
    </w:p>
    <w:p w14:paraId="6ECEB91A" w14:textId="77777777" w:rsidR="002B3149" w:rsidRDefault="002B3149" w:rsidP="002B3149">
      <w:pPr>
        <w:rPr>
          <w:rFonts w:ascii="Arial" w:hAnsi="Arial" w:cs="Arial"/>
        </w:rPr>
      </w:pPr>
      <w:r w:rsidRPr="001F6A2E">
        <w:rPr>
          <w:rFonts w:ascii="Arial" w:hAnsi="Arial" w:cs="Arial"/>
        </w:rPr>
        <w:t xml:space="preserve">Gibson, A. (2021). </w:t>
      </w:r>
      <w:r w:rsidRPr="001F6A2E">
        <w:rPr>
          <w:rFonts w:ascii="Arial" w:hAnsi="Arial" w:cs="Arial"/>
          <w:i/>
          <w:iCs/>
        </w:rPr>
        <w:t>Agile workforce planning : how to align people with organizational strategy for improved performance</w:t>
      </w:r>
      <w:r w:rsidRPr="001F6A2E">
        <w:rPr>
          <w:rFonts w:ascii="Arial" w:hAnsi="Arial" w:cs="Arial"/>
        </w:rPr>
        <w:t>. Kogan Page.</w:t>
      </w:r>
      <w:r>
        <w:rPr>
          <w:rFonts w:ascii="Arial" w:hAnsi="Arial" w:cs="Arial"/>
        </w:rPr>
        <w:t xml:space="preserve"> </w:t>
      </w:r>
    </w:p>
    <w:p w14:paraId="0BA01003" w14:textId="77777777" w:rsidR="002B3149" w:rsidRPr="00C12E0F" w:rsidRDefault="002B3149" w:rsidP="002B3149">
      <w:pPr>
        <w:rPr>
          <w:rFonts w:ascii="Arial" w:hAnsi="Arial" w:cs="Arial"/>
        </w:rPr>
      </w:pPr>
      <w:r w:rsidRPr="00C12E0F">
        <w:rPr>
          <w:rFonts w:ascii="Arial" w:hAnsi="Arial" w:cs="Arial"/>
        </w:rPr>
        <w:t xml:space="preserve">Grady, J. (2017). The state, employment, and regulation: making work not pay. </w:t>
      </w:r>
      <w:r w:rsidRPr="00C12E0F">
        <w:rPr>
          <w:rFonts w:ascii="Arial" w:hAnsi="Arial" w:cs="Arial"/>
          <w:i/>
          <w:iCs/>
        </w:rPr>
        <w:t>Employee Relations</w:t>
      </w:r>
      <w:r w:rsidRPr="00C12E0F">
        <w:rPr>
          <w:rFonts w:ascii="Arial" w:hAnsi="Arial" w:cs="Arial"/>
        </w:rPr>
        <w:t xml:space="preserve">, </w:t>
      </w:r>
      <w:r w:rsidRPr="00C12E0F">
        <w:rPr>
          <w:rFonts w:ascii="Arial" w:hAnsi="Arial" w:cs="Arial"/>
          <w:i/>
          <w:iCs/>
        </w:rPr>
        <w:t>39</w:t>
      </w:r>
      <w:r w:rsidRPr="00C12E0F">
        <w:rPr>
          <w:rFonts w:ascii="Arial" w:hAnsi="Arial" w:cs="Arial"/>
        </w:rPr>
        <w:t xml:space="preserve">(3), 274–290. </w:t>
      </w:r>
      <w:hyperlink r:id="rId55" w:history="1">
        <w:r w:rsidRPr="00C12E0F">
          <w:rPr>
            <w:rStyle w:val="Hyperlink"/>
            <w:rFonts w:ascii="Arial" w:hAnsi="Arial" w:cs="Arial"/>
          </w:rPr>
          <w:t>https://doi.org/10.1108/ER-03-2016-0059</w:t>
        </w:r>
      </w:hyperlink>
      <w:r>
        <w:rPr>
          <w:rFonts w:ascii="Arial" w:hAnsi="Arial" w:cs="Arial"/>
        </w:rPr>
        <w:t xml:space="preserve"> </w:t>
      </w:r>
    </w:p>
    <w:p w14:paraId="1692F66B" w14:textId="77777777" w:rsidR="002B3149" w:rsidRPr="006E0AB0" w:rsidRDefault="002B3149" w:rsidP="002B3149">
      <w:pPr>
        <w:rPr>
          <w:rFonts w:ascii="Arial" w:hAnsi="Arial" w:cs="Arial"/>
        </w:rPr>
      </w:pPr>
      <w:r w:rsidRPr="006E0AB0">
        <w:rPr>
          <w:rFonts w:ascii="Arial" w:hAnsi="Arial" w:cs="Arial"/>
        </w:rPr>
        <w:t>‌Greene, M. (2024). </w:t>
      </w:r>
      <w:r w:rsidRPr="006E0AB0">
        <w:rPr>
          <w:rFonts w:ascii="Arial" w:hAnsi="Arial" w:cs="Arial"/>
          <w:i/>
          <w:iCs/>
        </w:rPr>
        <w:t>Two puzzles: recent UK labour market dynamics − speech by Megan Greene</w:t>
      </w:r>
      <w:r w:rsidRPr="006E0AB0">
        <w:rPr>
          <w:rFonts w:ascii="Arial" w:hAnsi="Arial" w:cs="Arial"/>
        </w:rPr>
        <w:t xml:space="preserve">. [online] Bankofengland.co.uk. Available at: </w:t>
      </w:r>
      <w:hyperlink r:id="rId56" w:history="1">
        <w:r w:rsidRPr="006E0AB0">
          <w:rPr>
            <w:rStyle w:val="Hyperlink"/>
            <w:rFonts w:ascii="Arial" w:hAnsi="Arial" w:cs="Arial"/>
          </w:rPr>
          <w:t>https://www.bankofengland.co.uk/speech/2024/may/megan-greene-speech-at-make-uk-the-current-state-of-britains-labour-market</w:t>
        </w:r>
      </w:hyperlink>
      <w:r w:rsidRPr="006E0AB0">
        <w:rPr>
          <w:rFonts w:ascii="Arial" w:hAnsi="Arial" w:cs="Arial"/>
        </w:rPr>
        <w:t xml:space="preserve">. </w:t>
      </w:r>
    </w:p>
    <w:p w14:paraId="1F042A9C" w14:textId="77777777" w:rsidR="002B3149" w:rsidRPr="007369CF" w:rsidRDefault="002B3149" w:rsidP="002B3149">
      <w:pPr>
        <w:rPr>
          <w:rFonts w:ascii="Arial" w:hAnsi="Arial" w:cs="Arial"/>
        </w:rPr>
      </w:pPr>
      <w:r w:rsidRPr="007369CF">
        <w:rPr>
          <w:rFonts w:ascii="Arial" w:hAnsi="Arial" w:cs="Arial"/>
        </w:rPr>
        <w:t xml:space="preserve">Greene, R. J. (2020). </w:t>
      </w:r>
      <w:r w:rsidRPr="007369CF">
        <w:rPr>
          <w:rFonts w:ascii="Arial" w:hAnsi="Arial" w:cs="Arial"/>
          <w:i/>
          <w:iCs/>
        </w:rPr>
        <w:t>Strategic Talent Management: Creating the Right Workforce</w:t>
      </w:r>
      <w:r w:rsidRPr="007369CF">
        <w:rPr>
          <w:rFonts w:ascii="Arial" w:hAnsi="Arial" w:cs="Arial"/>
        </w:rPr>
        <w:t xml:space="preserve"> (1st edition., Vol. 1). Routledge. </w:t>
      </w:r>
      <w:hyperlink r:id="rId57" w:history="1">
        <w:r w:rsidRPr="007369CF">
          <w:rPr>
            <w:rStyle w:val="Hyperlink"/>
            <w:rFonts w:ascii="Arial" w:hAnsi="Arial" w:cs="Arial"/>
          </w:rPr>
          <w:t>https://doi.org/10.4324/9780367854683</w:t>
        </w:r>
      </w:hyperlink>
      <w:r>
        <w:rPr>
          <w:rFonts w:ascii="Arial" w:hAnsi="Arial" w:cs="Arial"/>
        </w:rPr>
        <w:t xml:space="preserve"> </w:t>
      </w:r>
    </w:p>
    <w:p w14:paraId="7DE35DF0" w14:textId="77777777" w:rsidR="002B3149" w:rsidRPr="00F863D1" w:rsidRDefault="002B3149" w:rsidP="002B3149">
      <w:pPr>
        <w:rPr>
          <w:rFonts w:ascii="Arial" w:hAnsi="Arial" w:cs="Arial"/>
        </w:rPr>
      </w:pPr>
      <w:r w:rsidRPr="00F863D1">
        <w:rPr>
          <w:rFonts w:ascii="Arial" w:hAnsi="Arial" w:cs="Arial"/>
        </w:rPr>
        <w:t xml:space="preserve">Gross, S.-A., Janciute, L., &amp; Musgrave, G. (2018). </w:t>
      </w:r>
      <w:r w:rsidRPr="00F863D1">
        <w:rPr>
          <w:rFonts w:ascii="Arial" w:hAnsi="Arial" w:cs="Arial"/>
          <w:i/>
          <w:iCs/>
        </w:rPr>
        <w:t>Well-Being and Mental Health in the Gig Economy Volume 5.0</w:t>
      </w:r>
      <w:r w:rsidRPr="00F863D1">
        <w:rPr>
          <w:rFonts w:ascii="Arial" w:hAnsi="Arial" w:cs="Arial"/>
        </w:rPr>
        <w:t xml:space="preserve">. University of Westminster Press. </w:t>
      </w:r>
    </w:p>
    <w:p w14:paraId="1697B408" w14:textId="77777777" w:rsidR="002B3149" w:rsidRPr="00F863D1" w:rsidRDefault="002B3149" w:rsidP="002B3149">
      <w:pPr>
        <w:rPr>
          <w:rFonts w:ascii="Arial" w:hAnsi="Arial" w:cs="Arial"/>
        </w:rPr>
      </w:pPr>
      <w:r w:rsidRPr="00F863D1">
        <w:rPr>
          <w:rFonts w:ascii="Arial" w:hAnsi="Arial" w:cs="Arial"/>
        </w:rPr>
        <w:t xml:space="preserve">Guo, L., Sharma, R., Yin, L., Lu, R., &amp; Rong, K. (2017). Automated competitor analysis using big data analytics: Evidence from the fitness mobile app business. </w:t>
      </w:r>
      <w:r w:rsidRPr="00F863D1">
        <w:rPr>
          <w:rFonts w:ascii="Arial" w:hAnsi="Arial" w:cs="Arial"/>
          <w:i/>
          <w:iCs/>
        </w:rPr>
        <w:t>Business Process Management Journal</w:t>
      </w:r>
      <w:r w:rsidRPr="00F863D1">
        <w:rPr>
          <w:rFonts w:ascii="Arial" w:hAnsi="Arial" w:cs="Arial"/>
        </w:rPr>
        <w:t xml:space="preserve">, </w:t>
      </w:r>
      <w:r w:rsidRPr="00F863D1">
        <w:rPr>
          <w:rFonts w:ascii="Arial" w:hAnsi="Arial" w:cs="Arial"/>
          <w:i/>
          <w:iCs/>
        </w:rPr>
        <w:t>23</w:t>
      </w:r>
      <w:r w:rsidRPr="00F863D1">
        <w:rPr>
          <w:rFonts w:ascii="Arial" w:hAnsi="Arial" w:cs="Arial"/>
        </w:rPr>
        <w:t xml:space="preserve">(3), 735–762. </w:t>
      </w:r>
      <w:hyperlink r:id="rId58" w:history="1">
        <w:r w:rsidRPr="00F863D1">
          <w:rPr>
            <w:rStyle w:val="Hyperlink"/>
            <w:rFonts w:ascii="Arial" w:hAnsi="Arial" w:cs="Arial"/>
          </w:rPr>
          <w:t>https://doi.org/10.1108/BPMJ-05-2015-0065</w:t>
        </w:r>
      </w:hyperlink>
      <w:r w:rsidRPr="00F863D1">
        <w:rPr>
          <w:rFonts w:ascii="Arial" w:hAnsi="Arial" w:cs="Arial"/>
        </w:rPr>
        <w:t xml:space="preserve"> </w:t>
      </w:r>
    </w:p>
    <w:p w14:paraId="54E2437D" w14:textId="77777777" w:rsidR="002B3149" w:rsidRPr="00CB21B8" w:rsidRDefault="002B3149" w:rsidP="002B3149">
      <w:pPr>
        <w:rPr>
          <w:rFonts w:ascii="Arial" w:hAnsi="Arial" w:cs="Arial"/>
        </w:rPr>
      </w:pPr>
      <w:r w:rsidRPr="00CB21B8">
        <w:rPr>
          <w:rFonts w:ascii="Arial" w:hAnsi="Arial" w:cs="Arial"/>
        </w:rPr>
        <w:t xml:space="preserve">Hainš, V. V., &amp; Bockaj, J. (2018). Employee Perception of Financial and Non-financial Reward as Elements of Job Performance Evaluation. </w:t>
      </w:r>
      <w:r w:rsidRPr="00CB21B8">
        <w:rPr>
          <w:rFonts w:ascii="Arial" w:hAnsi="Arial" w:cs="Arial"/>
          <w:i/>
          <w:iCs/>
        </w:rPr>
        <w:t>International Journal of Business and Administrative Studies</w:t>
      </w:r>
      <w:r w:rsidRPr="00CB21B8">
        <w:rPr>
          <w:rFonts w:ascii="Arial" w:hAnsi="Arial" w:cs="Arial"/>
        </w:rPr>
        <w:t xml:space="preserve">, </w:t>
      </w:r>
      <w:r w:rsidRPr="00CB21B8">
        <w:rPr>
          <w:rFonts w:ascii="Arial" w:hAnsi="Arial" w:cs="Arial"/>
          <w:i/>
          <w:iCs/>
        </w:rPr>
        <w:t>4</w:t>
      </w:r>
      <w:r w:rsidRPr="00CB21B8">
        <w:rPr>
          <w:rFonts w:ascii="Arial" w:hAnsi="Arial" w:cs="Arial"/>
        </w:rPr>
        <w:t xml:space="preserve">(2), 53-. </w:t>
      </w:r>
      <w:hyperlink r:id="rId59" w:history="1">
        <w:r w:rsidRPr="00CB21B8">
          <w:rPr>
            <w:rStyle w:val="Hyperlink"/>
            <w:rFonts w:ascii="Arial" w:hAnsi="Arial" w:cs="Arial"/>
          </w:rPr>
          <w:t>https://doi.org/10.20469/ijbas.4.10002-2</w:t>
        </w:r>
      </w:hyperlink>
      <w:r>
        <w:rPr>
          <w:rFonts w:ascii="Arial" w:hAnsi="Arial" w:cs="Arial"/>
        </w:rPr>
        <w:t xml:space="preserve"> </w:t>
      </w:r>
    </w:p>
    <w:p w14:paraId="0743EF2D" w14:textId="77777777" w:rsidR="002B3149" w:rsidRDefault="002B3149" w:rsidP="002B3149">
      <w:pPr>
        <w:rPr>
          <w:rFonts w:ascii="Arial" w:hAnsi="Arial" w:cs="Arial"/>
        </w:rPr>
      </w:pPr>
      <w:r w:rsidRPr="00D03C3B">
        <w:rPr>
          <w:rFonts w:ascii="Arial" w:hAnsi="Arial" w:cs="Arial"/>
        </w:rPr>
        <w:t>Hall, J. (2019). </w:t>
      </w:r>
      <w:r w:rsidRPr="00D03C3B">
        <w:rPr>
          <w:rFonts w:ascii="Arial" w:hAnsi="Arial" w:cs="Arial"/>
          <w:i/>
          <w:iCs/>
        </w:rPr>
        <w:t>The cost of turnover can kill your business and make things less fun</w:t>
      </w:r>
      <w:r w:rsidRPr="00D03C3B">
        <w:rPr>
          <w:rFonts w:ascii="Arial" w:hAnsi="Arial" w:cs="Arial"/>
        </w:rPr>
        <w:t xml:space="preserve">. [online] Forbes. Available at: </w:t>
      </w:r>
      <w:hyperlink r:id="rId60" w:history="1">
        <w:r w:rsidRPr="00D03C3B">
          <w:rPr>
            <w:rStyle w:val="Hyperlink"/>
            <w:rFonts w:ascii="Arial" w:hAnsi="Arial" w:cs="Arial"/>
          </w:rPr>
          <w:t>https://www.forbes.com/sites/johnhall/2019/05/09/the-cost-of-turnover-can-kill-your-business-and-make-things-less-fun/</w:t>
        </w:r>
      </w:hyperlink>
      <w:r w:rsidRPr="00D03C3B">
        <w:rPr>
          <w:rFonts w:ascii="Arial" w:hAnsi="Arial" w:cs="Arial"/>
        </w:rPr>
        <w:t>.</w:t>
      </w:r>
      <w:r>
        <w:rPr>
          <w:rFonts w:ascii="Arial" w:hAnsi="Arial" w:cs="Arial"/>
        </w:rPr>
        <w:t xml:space="preserve"> </w:t>
      </w:r>
    </w:p>
    <w:p w14:paraId="543B3FE1" w14:textId="77777777" w:rsidR="002B3149" w:rsidRDefault="002B3149" w:rsidP="002B3149">
      <w:pPr>
        <w:rPr>
          <w:rFonts w:ascii="Arial" w:hAnsi="Arial" w:cs="Arial"/>
        </w:rPr>
      </w:pPr>
      <w:r w:rsidRPr="001F6A2E">
        <w:rPr>
          <w:rFonts w:ascii="Arial" w:hAnsi="Arial" w:cs="Arial"/>
        </w:rPr>
        <w:lastRenderedPageBreak/>
        <w:t xml:space="preserve">‌Harper, P., Kleinman, E., Gallagher, J., &amp; Knight, V. (2013). Cost-effective workforce planning: optimising the dental team skill-mix for England. </w:t>
      </w:r>
      <w:r w:rsidRPr="001F6A2E">
        <w:rPr>
          <w:rFonts w:ascii="Arial" w:hAnsi="Arial" w:cs="Arial"/>
          <w:i/>
          <w:iCs/>
        </w:rPr>
        <w:t>Journal of Enterprise Information Management</w:t>
      </w:r>
      <w:r w:rsidRPr="001F6A2E">
        <w:rPr>
          <w:rFonts w:ascii="Arial" w:hAnsi="Arial" w:cs="Arial"/>
        </w:rPr>
        <w:t xml:space="preserve">, </w:t>
      </w:r>
      <w:r w:rsidRPr="001F6A2E">
        <w:rPr>
          <w:rFonts w:ascii="Arial" w:hAnsi="Arial" w:cs="Arial"/>
          <w:i/>
          <w:iCs/>
        </w:rPr>
        <w:t>26</w:t>
      </w:r>
      <w:r w:rsidRPr="001F6A2E">
        <w:rPr>
          <w:rFonts w:ascii="Arial" w:hAnsi="Arial" w:cs="Arial"/>
        </w:rPr>
        <w:t xml:space="preserve">(1/2), 91–108. </w:t>
      </w:r>
      <w:hyperlink r:id="rId61" w:history="1">
        <w:r w:rsidRPr="000462F8">
          <w:rPr>
            <w:rStyle w:val="Hyperlink"/>
            <w:rFonts w:ascii="Arial" w:hAnsi="Arial" w:cs="Arial"/>
          </w:rPr>
          <w:t>https://doi.org/10.1108/17410391311289569</w:t>
        </w:r>
      </w:hyperlink>
      <w:r>
        <w:rPr>
          <w:rFonts w:ascii="Arial" w:hAnsi="Arial" w:cs="Arial"/>
        </w:rPr>
        <w:t xml:space="preserve"> </w:t>
      </w:r>
    </w:p>
    <w:p w14:paraId="000E6CDD" w14:textId="77777777" w:rsidR="002B3149" w:rsidRPr="00BE3937" w:rsidRDefault="002B3149" w:rsidP="002B3149">
      <w:pPr>
        <w:rPr>
          <w:rFonts w:ascii="Arial" w:hAnsi="Arial" w:cs="Arial"/>
        </w:rPr>
      </w:pPr>
      <w:r w:rsidRPr="00BE3937">
        <w:rPr>
          <w:rFonts w:ascii="Arial" w:hAnsi="Arial" w:cs="Arial"/>
        </w:rPr>
        <w:t xml:space="preserve">Heap, D. (2005). Job separations in the UK. </w:t>
      </w:r>
      <w:r w:rsidRPr="00BE3937">
        <w:rPr>
          <w:rFonts w:ascii="Arial" w:hAnsi="Arial" w:cs="Arial"/>
          <w:i/>
          <w:iCs/>
        </w:rPr>
        <w:t>Labour Market Trends</w:t>
      </w:r>
      <w:r w:rsidRPr="00BE3937">
        <w:rPr>
          <w:rFonts w:ascii="Arial" w:hAnsi="Arial" w:cs="Arial"/>
        </w:rPr>
        <w:t xml:space="preserve">, </w:t>
      </w:r>
      <w:r w:rsidRPr="00BE3937">
        <w:rPr>
          <w:rFonts w:ascii="Arial" w:hAnsi="Arial" w:cs="Arial"/>
          <w:i/>
          <w:iCs/>
        </w:rPr>
        <w:t>113</w:t>
      </w:r>
      <w:r w:rsidRPr="00BE3937">
        <w:rPr>
          <w:rFonts w:ascii="Arial" w:hAnsi="Arial" w:cs="Arial"/>
        </w:rPr>
        <w:t>(6), 231-.</w:t>
      </w:r>
    </w:p>
    <w:p w14:paraId="447310C2" w14:textId="77777777" w:rsidR="002B3149" w:rsidRPr="00F863D1" w:rsidRDefault="002B3149" w:rsidP="002B3149">
      <w:pPr>
        <w:rPr>
          <w:rFonts w:ascii="Arial" w:hAnsi="Arial" w:cs="Arial"/>
        </w:rPr>
      </w:pPr>
      <w:r w:rsidRPr="00F863D1">
        <w:rPr>
          <w:rFonts w:ascii="Arial" w:hAnsi="Arial" w:cs="Arial"/>
        </w:rPr>
        <w:t>Hedge, J. W., &amp; Borman, W. C. (Eds.). (2012). </w:t>
      </w:r>
      <w:r w:rsidRPr="00F863D1">
        <w:rPr>
          <w:rFonts w:ascii="Arial" w:hAnsi="Arial" w:cs="Arial"/>
          <w:i/>
          <w:iCs/>
        </w:rPr>
        <w:t>The Oxford handbook of work and aging</w:t>
      </w:r>
      <w:r w:rsidRPr="00F863D1">
        <w:rPr>
          <w:rFonts w:ascii="Arial" w:hAnsi="Arial" w:cs="Arial"/>
        </w:rPr>
        <w:t xml:space="preserve">. Oxford University Press. </w:t>
      </w:r>
    </w:p>
    <w:p w14:paraId="0D56BE58" w14:textId="77777777" w:rsidR="002B3149" w:rsidRPr="00F863D1" w:rsidRDefault="002B3149" w:rsidP="002B3149">
      <w:pPr>
        <w:rPr>
          <w:rFonts w:ascii="Arial" w:hAnsi="Arial" w:cs="Arial"/>
        </w:rPr>
      </w:pPr>
      <w:r w:rsidRPr="00F863D1">
        <w:rPr>
          <w:rFonts w:ascii="Arial" w:hAnsi="Arial" w:cs="Arial"/>
        </w:rPr>
        <w:t xml:space="preserve">Heide, M., SCHRÖDER, S., WITTEMANN, N., &amp; DON, P. (2024). Employer Branding – Employer Attractiveness as a New Mindset in the Healthcare Sector. </w:t>
      </w:r>
      <w:r w:rsidRPr="00F863D1">
        <w:rPr>
          <w:rFonts w:ascii="Arial" w:hAnsi="Arial" w:cs="Arial"/>
          <w:i/>
          <w:iCs/>
        </w:rPr>
        <w:t>Management Dynamics in the Knowledge Economy</w:t>
      </w:r>
      <w:r w:rsidRPr="00F863D1">
        <w:rPr>
          <w:rFonts w:ascii="Arial" w:hAnsi="Arial" w:cs="Arial"/>
        </w:rPr>
        <w:t xml:space="preserve">, </w:t>
      </w:r>
      <w:r w:rsidRPr="00F863D1">
        <w:rPr>
          <w:rFonts w:ascii="Arial" w:hAnsi="Arial" w:cs="Arial"/>
          <w:i/>
          <w:iCs/>
        </w:rPr>
        <w:t>12</w:t>
      </w:r>
      <w:r w:rsidRPr="00F863D1">
        <w:rPr>
          <w:rFonts w:ascii="Arial" w:hAnsi="Arial" w:cs="Arial"/>
        </w:rPr>
        <w:t xml:space="preserve">(1), 70–85. </w:t>
      </w:r>
      <w:hyperlink r:id="rId62" w:history="1">
        <w:r w:rsidRPr="00F863D1">
          <w:rPr>
            <w:rStyle w:val="Hyperlink"/>
            <w:rFonts w:ascii="Arial" w:hAnsi="Arial" w:cs="Arial"/>
          </w:rPr>
          <w:t>https://doi.org/10.2478/mdke-2024-0005</w:t>
        </w:r>
      </w:hyperlink>
      <w:r w:rsidRPr="00F863D1">
        <w:rPr>
          <w:rFonts w:ascii="Arial" w:hAnsi="Arial" w:cs="Arial"/>
        </w:rPr>
        <w:t xml:space="preserve"> </w:t>
      </w:r>
    </w:p>
    <w:p w14:paraId="53D0EB3E" w14:textId="77777777" w:rsidR="002B3149" w:rsidRPr="00A23ACC" w:rsidRDefault="002B3149" w:rsidP="002B3149">
      <w:pPr>
        <w:rPr>
          <w:rFonts w:ascii="Arial" w:hAnsi="Arial" w:cs="Arial"/>
        </w:rPr>
      </w:pPr>
      <w:r w:rsidRPr="00A23ACC">
        <w:rPr>
          <w:rFonts w:ascii="Arial" w:hAnsi="Arial" w:cs="Arial"/>
        </w:rPr>
        <w:t xml:space="preserve">Henkens, K., Remery, C., &amp; Schippers, J. (2005). Recruiting personnel in a tight labour market: an analysis of employers’ behaviour. </w:t>
      </w:r>
      <w:r w:rsidRPr="00A23ACC">
        <w:rPr>
          <w:rFonts w:ascii="Arial" w:hAnsi="Arial" w:cs="Arial"/>
          <w:i/>
          <w:iCs/>
        </w:rPr>
        <w:t>International Journal of Manpower</w:t>
      </w:r>
      <w:r w:rsidRPr="00A23ACC">
        <w:rPr>
          <w:rFonts w:ascii="Arial" w:hAnsi="Arial" w:cs="Arial"/>
        </w:rPr>
        <w:t xml:space="preserve">, </w:t>
      </w:r>
      <w:r w:rsidRPr="00A23ACC">
        <w:rPr>
          <w:rFonts w:ascii="Arial" w:hAnsi="Arial" w:cs="Arial"/>
          <w:i/>
          <w:iCs/>
        </w:rPr>
        <w:t>26</w:t>
      </w:r>
      <w:r w:rsidRPr="00A23ACC">
        <w:rPr>
          <w:rFonts w:ascii="Arial" w:hAnsi="Arial" w:cs="Arial"/>
        </w:rPr>
        <w:t xml:space="preserve">(5), 421–433. </w:t>
      </w:r>
      <w:hyperlink r:id="rId63" w:history="1">
        <w:r w:rsidRPr="00A23ACC">
          <w:rPr>
            <w:rStyle w:val="Hyperlink"/>
            <w:rFonts w:ascii="Arial" w:hAnsi="Arial" w:cs="Arial"/>
          </w:rPr>
          <w:t>https://doi.org/10.1108/01437720510615116</w:t>
        </w:r>
      </w:hyperlink>
      <w:r w:rsidRPr="00F863D1">
        <w:rPr>
          <w:rFonts w:ascii="Arial" w:hAnsi="Arial" w:cs="Arial"/>
        </w:rPr>
        <w:t xml:space="preserve"> </w:t>
      </w:r>
    </w:p>
    <w:p w14:paraId="10DD88FC" w14:textId="77777777" w:rsidR="002B3149" w:rsidRPr="006A3554" w:rsidRDefault="002B3149" w:rsidP="002B3149">
      <w:pPr>
        <w:rPr>
          <w:rFonts w:ascii="Arial" w:hAnsi="Arial" w:cs="Arial"/>
        </w:rPr>
      </w:pPr>
      <w:bookmarkStart w:id="1" w:name="_Hlk201777358"/>
      <w:r>
        <w:rPr>
          <w:rFonts w:ascii="Arial" w:hAnsi="Arial" w:cs="Arial"/>
        </w:rPr>
        <w:t>Hennekam, S</w:t>
      </w:r>
      <w:r w:rsidRPr="006A3554">
        <w:rPr>
          <w:rFonts w:ascii="Arial" w:hAnsi="Arial" w:cs="Arial"/>
        </w:rPr>
        <w:t xml:space="preserve"> (2021). </w:t>
      </w:r>
      <w:bookmarkEnd w:id="1"/>
      <w:r w:rsidRPr="006A3554">
        <w:rPr>
          <w:rFonts w:ascii="Arial" w:hAnsi="Arial" w:cs="Arial"/>
          <w:i/>
          <w:iCs/>
        </w:rPr>
        <w:t>Why employers must handle staff demotions sensitively</w:t>
      </w:r>
      <w:r w:rsidRPr="006A3554">
        <w:rPr>
          <w:rFonts w:ascii="Arial" w:hAnsi="Arial" w:cs="Arial"/>
        </w:rPr>
        <w:t>. [online] www.peoplemanagement.co.uk. Available at: https://www.peoplemanagement.co.uk/article/1744115/why-employers-must-handle-staff-demotions-sensitively.</w:t>
      </w:r>
    </w:p>
    <w:p w14:paraId="1DDCEEC3" w14:textId="77777777" w:rsidR="002B3149" w:rsidRPr="009E6B79" w:rsidRDefault="002B3149" w:rsidP="002B3149">
      <w:pPr>
        <w:rPr>
          <w:rFonts w:ascii="Arial" w:hAnsi="Arial" w:cs="Arial"/>
        </w:rPr>
      </w:pPr>
      <w:r w:rsidRPr="009E6B79">
        <w:rPr>
          <w:rFonts w:ascii="Arial" w:hAnsi="Arial" w:cs="Arial"/>
        </w:rPr>
        <w:t xml:space="preserve">Heubeck, E. (2023). Interview Educators After They’re Hired, Too. Here’s Why; “Stay” interviews and exit interviews can be just as valuable as pre-employment interviews. </w:t>
      </w:r>
      <w:r w:rsidRPr="009E6B79">
        <w:rPr>
          <w:rFonts w:ascii="Arial" w:hAnsi="Arial" w:cs="Arial"/>
          <w:i/>
          <w:iCs/>
        </w:rPr>
        <w:t>Education Week</w:t>
      </w:r>
      <w:r w:rsidRPr="009E6B79">
        <w:rPr>
          <w:rFonts w:ascii="Arial" w:hAnsi="Arial" w:cs="Arial"/>
        </w:rPr>
        <w:t xml:space="preserve">, </w:t>
      </w:r>
      <w:r w:rsidRPr="009E6B79">
        <w:rPr>
          <w:rFonts w:ascii="Arial" w:hAnsi="Arial" w:cs="Arial"/>
          <w:i/>
          <w:iCs/>
        </w:rPr>
        <w:t>42</w:t>
      </w:r>
      <w:r w:rsidRPr="009E6B79">
        <w:rPr>
          <w:rFonts w:ascii="Arial" w:hAnsi="Arial" w:cs="Arial"/>
        </w:rPr>
        <w:t>(35).</w:t>
      </w:r>
      <w:r>
        <w:rPr>
          <w:rFonts w:ascii="Arial" w:hAnsi="Arial" w:cs="Arial"/>
        </w:rPr>
        <w:t xml:space="preserve"> </w:t>
      </w:r>
    </w:p>
    <w:p w14:paraId="3FC05FB2" w14:textId="77777777" w:rsidR="002B3149" w:rsidRDefault="002B3149" w:rsidP="002B3149">
      <w:pPr>
        <w:rPr>
          <w:rFonts w:ascii="Arial" w:hAnsi="Arial" w:cs="Arial"/>
        </w:rPr>
      </w:pPr>
      <w:r w:rsidRPr="00D03C3B">
        <w:rPr>
          <w:rFonts w:ascii="Arial" w:hAnsi="Arial" w:cs="Arial"/>
        </w:rPr>
        <w:t xml:space="preserve">Hoeve, Y., Brouwer, J., &amp; Kunnen, S. (2020). Turnover prevention: The direct and indirect association between organizational job stressors, negative emotions and professional commitment in novice nurses. </w:t>
      </w:r>
      <w:r w:rsidRPr="00D03C3B">
        <w:rPr>
          <w:rFonts w:ascii="Arial" w:hAnsi="Arial" w:cs="Arial"/>
          <w:i/>
          <w:iCs/>
        </w:rPr>
        <w:t>Journal of Advanced Nursing</w:t>
      </w:r>
      <w:r w:rsidRPr="00D03C3B">
        <w:rPr>
          <w:rFonts w:ascii="Arial" w:hAnsi="Arial" w:cs="Arial"/>
        </w:rPr>
        <w:t xml:space="preserve">, </w:t>
      </w:r>
      <w:r w:rsidRPr="00D03C3B">
        <w:rPr>
          <w:rFonts w:ascii="Arial" w:hAnsi="Arial" w:cs="Arial"/>
          <w:i/>
          <w:iCs/>
        </w:rPr>
        <w:t>76</w:t>
      </w:r>
      <w:r w:rsidRPr="00D03C3B">
        <w:rPr>
          <w:rFonts w:ascii="Arial" w:hAnsi="Arial" w:cs="Arial"/>
        </w:rPr>
        <w:t xml:space="preserve">(3), 836–845. </w:t>
      </w:r>
      <w:hyperlink r:id="rId64" w:history="1">
        <w:r w:rsidRPr="00D03C3B">
          <w:rPr>
            <w:rStyle w:val="Hyperlink"/>
            <w:rFonts w:ascii="Arial" w:hAnsi="Arial" w:cs="Arial"/>
          </w:rPr>
          <w:t>https://doi.org/10.1111/jan.14281</w:t>
        </w:r>
      </w:hyperlink>
      <w:r>
        <w:rPr>
          <w:rFonts w:ascii="Arial" w:hAnsi="Arial" w:cs="Arial"/>
        </w:rPr>
        <w:t xml:space="preserve"> </w:t>
      </w:r>
    </w:p>
    <w:p w14:paraId="5223F3A0" w14:textId="77777777" w:rsidR="002B3149" w:rsidRPr="00F863D1" w:rsidRDefault="002B3149" w:rsidP="002B3149">
      <w:pPr>
        <w:rPr>
          <w:rFonts w:ascii="Arial" w:hAnsi="Arial" w:cs="Arial"/>
        </w:rPr>
      </w:pPr>
      <w:r w:rsidRPr="00F863D1">
        <w:rPr>
          <w:rFonts w:ascii="Arial" w:hAnsi="Arial" w:cs="Arial"/>
        </w:rPr>
        <w:t xml:space="preserve">Hooley, G., Piercy, N. F., &amp; Nicoulaud, B. (2012). </w:t>
      </w:r>
      <w:r w:rsidRPr="00F863D1">
        <w:rPr>
          <w:rFonts w:ascii="Arial" w:hAnsi="Arial" w:cs="Arial"/>
          <w:i/>
          <w:iCs/>
        </w:rPr>
        <w:t>Marketing strategy &amp; competitive positioning</w:t>
      </w:r>
      <w:r w:rsidRPr="00F863D1">
        <w:rPr>
          <w:rFonts w:ascii="Arial" w:hAnsi="Arial" w:cs="Arial"/>
        </w:rPr>
        <w:t xml:space="preserve"> (Fifth edition.). Financial Times/Prentice Hall.</w:t>
      </w:r>
    </w:p>
    <w:p w14:paraId="4846114C" w14:textId="77777777" w:rsidR="002B3149" w:rsidRPr="00AC5206" w:rsidRDefault="002B3149" w:rsidP="002B3149">
      <w:pPr>
        <w:rPr>
          <w:rFonts w:ascii="Arial" w:hAnsi="Arial" w:cs="Arial"/>
        </w:rPr>
      </w:pPr>
      <w:r w:rsidRPr="00AC5206">
        <w:rPr>
          <w:rFonts w:ascii="Arial" w:hAnsi="Arial" w:cs="Arial"/>
        </w:rPr>
        <w:t xml:space="preserve">Hosain, M. S., Liu, P., &amp; Mustafi, M. A. A. (2021). Social networking information and pre-employment background check: mediating effects of perceived benefit and organizational branding. </w:t>
      </w:r>
      <w:r w:rsidRPr="00AC5206">
        <w:rPr>
          <w:rFonts w:ascii="Arial" w:hAnsi="Arial" w:cs="Arial"/>
          <w:i/>
          <w:iCs/>
        </w:rPr>
        <w:t>International Journal of Manpower</w:t>
      </w:r>
      <w:r w:rsidRPr="00AC5206">
        <w:rPr>
          <w:rFonts w:ascii="Arial" w:hAnsi="Arial" w:cs="Arial"/>
        </w:rPr>
        <w:t xml:space="preserve">, </w:t>
      </w:r>
      <w:r w:rsidRPr="00AC5206">
        <w:rPr>
          <w:rFonts w:ascii="Arial" w:hAnsi="Arial" w:cs="Arial"/>
          <w:i/>
          <w:iCs/>
        </w:rPr>
        <w:t>42</w:t>
      </w:r>
      <w:r w:rsidRPr="00AC5206">
        <w:rPr>
          <w:rFonts w:ascii="Arial" w:hAnsi="Arial" w:cs="Arial"/>
        </w:rPr>
        <w:t xml:space="preserve">(7), 1279–1303. </w:t>
      </w:r>
      <w:hyperlink r:id="rId65" w:history="1">
        <w:r w:rsidRPr="00AC5206">
          <w:rPr>
            <w:rStyle w:val="Hyperlink"/>
            <w:rFonts w:ascii="Arial" w:hAnsi="Arial" w:cs="Arial"/>
          </w:rPr>
          <w:t>https://doi.org/10.1108/IJM-09-2020-0419</w:t>
        </w:r>
      </w:hyperlink>
      <w:r>
        <w:rPr>
          <w:rFonts w:ascii="Arial" w:hAnsi="Arial" w:cs="Arial"/>
        </w:rPr>
        <w:t xml:space="preserve"> </w:t>
      </w:r>
    </w:p>
    <w:p w14:paraId="43127816" w14:textId="77777777" w:rsidR="002B3149" w:rsidRPr="00192402" w:rsidRDefault="002B3149" w:rsidP="002B3149">
      <w:pPr>
        <w:rPr>
          <w:rFonts w:ascii="Arial" w:hAnsi="Arial" w:cs="Arial"/>
        </w:rPr>
      </w:pPr>
      <w:r w:rsidRPr="00192402">
        <w:rPr>
          <w:rFonts w:ascii="Arial" w:hAnsi="Arial" w:cs="Arial"/>
        </w:rPr>
        <w:t>‌</w:t>
      </w:r>
      <w:r w:rsidRPr="0070098E">
        <w:rPr>
          <w:rFonts w:ascii="Arial" w:hAnsi="Arial" w:cs="Arial"/>
        </w:rPr>
        <w:t>Ibrahim, U. S. G., Yusof, R. B., &amp; Ibrahim, H. I. B. (2022). The Role of Employee Onboarding Training Program in Mitigating Deviant Workplace Behavior: Job Satisfaction as a Mediator. </w:t>
      </w:r>
      <w:r w:rsidRPr="0070098E">
        <w:rPr>
          <w:rFonts w:ascii="Arial" w:hAnsi="Arial" w:cs="Arial"/>
          <w:i/>
          <w:iCs/>
        </w:rPr>
        <w:t>Global Business and Management Research</w:t>
      </w:r>
      <w:r w:rsidRPr="0070098E">
        <w:rPr>
          <w:rFonts w:ascii="Arial" w:hAnsi="Arial" w:cs="Arial"/>
        </w:rPr>
        <w:t>, </w:t>
      </w:r>
      <w:r w:rsidRPr="0070098E">
        <w:rPr>
          <w:rFonts w:ascii="Arial" w:hAnsi="Arial" w:cs="Arial"/>
          <w:i/>
          <w:iCs/>
        </w:rPr>
        <w:t>14</w:t>
      </w:r>
      <w:r w:rsidRPr="0070098E">
        <w:rPr>
          <w:rFonts w:ascii="Arial" w:hAnsi="Arial" w:cs="Arial"/>
        </w:rPr>
        <w:t xml:space="preserve">(3S), 983–1007. </w:t>
      </w:r>
      <w:r>
        <w:rPr>
          <w:rFonts w:ascii="Arial" w:hAnsi="Arial" w:cs="Arial"/>
        </w:rPr>
        <w:t xml:space="preserve"> </w:t>
      </w:r>
    </w:p>
    <w:p w14:paraId="3695B7EA" w14:textId="77777777" w:rsidR="002B3149" w:rsidRPr="00C12E0F" w:rsidRDefault="002B3149" w:rsidP="002B3149">
      <w:pPr>
        <w:rPr>
          <w:rFonts w:ascii="Arial" w:hAnsi="Arial" w:cs="Arial"/>
        </w:rPr>
      </w:pPr>
      <w:r w:rsidRPr="00C12E0F">
        <w:rPr>
          <w:rFonts w:ascii="Arial" w:hAnsi="Arial" w:cs="Arial"/>
        </w:rPr>
        <w:t xml:space="preserve">Ito, J. K., &amp; Brotheridge, C. M. (2005). Does supporting employees’ career adaptability lead to commitment, turnover, or both? </w:t>
      </w:r>
      <w:r w:rsidRPr="00C12E0F">
        <w:rPr>
          <w:rFonts w:ascii="Arial" w:hAnsi="Arial" w:cs="Arial"/>
          <w:i/>
          <w:iCs/>
        </w:rPr>
        <w:t>Human Resource Management</w:t>
      </w:r>
      <w:r w:rsidRPr="00C12E0F">
        <w:rPr>
          <w:rFonts w:ascii="Arial" w:hAnsi="Arial" w:cs="Arial"/>
        </w:rPr>
        <w:t xml:space="preserve">, </w:t>
      </w:r>
      <w:r w:rsidRPr="00C12E0F">
        <w:rPr>
          <w:rFonts w:ascii="Arial" w:hAnsi="Arial" w:cs="Arial"/>
          <w:i/>
          <w:iCs/>
        </w:rPr>
        <w:t>44</w:t>
      </w:r>
      <w:r w:rsidRPr="00C12E0F">
        <w:rPr>
          <w:rFonts w:ascii="Arial" w:hAnsi="Arial" w:cs="Arial"/>
        </w:rPr>
        <w:t xml:space="preserve">(1), 5–19. </w:t>
      </w:r>
      <w:hyperlink r:id="rId66" w:history="1">
        <w:r w:rsidRPr="00C12E0F">
          <w:rPr>
            <w:rStyle w:val="Hyperlink"/>
            <w:rFonts w:ascii="Arial" w:hAnsi="Arial" w:cs="Arial"/>
          </w:rPr>
          <w:t>https://doi.org/10.1002/hrm.20037</w:t>
        </w:r>
      </w:hyperlink>
      <w:r>
        <w:rPr>
          <w:rFonts w:ascii="Arial" w:hAnsi="Arial" w:cs="Arial"/>
        </w:rPr>
        <w:t xml:space="preserve"> </w:t>
      </w:r>
    </w:p>
    <w:p w14:paraId="28BD5045" w14:textId="77777777" w:rsidR="002B3149" w:rsidRPr="00DF2736" w:rsidRDefault="002B3149" w:rsidP="002B3149">
      <w:pPr>
        <w:rPr>
          <w:rFonts w:ascii="Arial" w:hAnsi="Arial" w:cs="Arial"/>
        </w:rPr>
      </w:pPr>
      <w:r w:rsidRPr="00DF2736">
        <w:rPr>
          <w:rFonts w:ascii="Arial" w:hAnsi="Arial" w:cs="Arial"/>
        </w:rPr>
        <w:t xml:space="preserve">Jeske, D., &amp; Olson, D. (2022). Onboarding new hires: recognising mutual learning opportunities. </w:t>
      </w:r>
      <w:r w:rsidRPr="00DF2736">
        <w:rPr>
          <w:rFonts w:ascii="Arial" w:hAnsi="Arial" w:cs="Arial"/>
          <w:i/>
          <w:iCs/>
        </w:rPr>
        <w:t>Journal of Work-Applied Management</w:t>
      </w:r>
      <w:r w:rsidRPr="00DF2736">
        <w:rPr>
          <w:rFonts w:ascii="Arial" w:hAnsi="Arial" w:cs="Arial"/>
        </w:rPr>
        <w:t xml:space="preserve">, </w:t>
      </w:r>
      <w:r w:rsidRPr="00DF2736">
        <w:rPr>
          <w:rFonts w:ascii="Arial" w:hAnsi="Arial" w:cs="Arial"/>
          <w:i/>
          <w:iCs/>
        </w:rPr>
        <w:t>14</w:t>
      </w:r>
      <w:r w:rsidRPr="00DF2736">
        <w:rPr>
          <w:rFonts w:ascii="Arial" w:hAnsi="Arial" w:cs="Arial"/>
        </w:rPr>
        <w:t xml:space="preserve">(1), 63–76. </w:t>
      </w:r>
      <w:hyperlink r:id="rId67" w:history="1">
        <w:r w:rsidRPr="00DF2736">
          <w:rPr>
            <w:rStyle w:val="Hyperlink"/>
            <w:rFonts w:ascii="Arial" w:hAnsi="Arial" w:cs="Arial"/>
          </w:rPr>
          <w:t>https://doi.org/10.1108/JWAM-04-2021-0036</w:t>
        </w:r>
      </w:hyperlink>
      <w:r>
        <w:rPr>
          <w:rFonts w:ascii="Arial" w:hAnsi="Arial" w:cs="Arial"/>
        </w:rPr>
        <w:t xml:space="preserve"> </w:t>
      </w:r>
    </w:p>
    <w:p w14:paraId="01BD2CC1" w14:textId="77777777" w:rsidR="002B3149" w:rsidRPr="0070098E" w:rsidRDefault="002B3149" w:rsidP="002B3149">
      <w:pPr>
        <w:rPr>
          <w:rFonts w:ascii="Arial" w:hAnsi="Arial" w:cs="Arial"/>
        </w:rPr>
      </w:pPr>
      <w:r w:rsidRPr="0070098E">
        <w:rPr>
          <w:rFonts w:ascii="Arial" w:hAnsi="Arial" w:cs="Arial"/>
        </w:rPr>
        <w:t xml:space="preserve">Jeske, D., &amp; Olson, D. (2022). Onboarding new hires: recognising mutual learning opportunities. </w:t>
      </w:r>
      <w:r w:rsidRPr="0070098E">
        <w:rPr>
          <w:rFonts w:ascii="Arial" w:hAnsi="Arial" w:cs="Arial"/>
          <w:i/>
          <w:iCs/>
        </w:rPr>
        <w:t>Journal of Work-Applied Management</w:t>
      </w:r>
      <w:r w:rsidRPr="0070098E">
        <w:rPr>
          <w:rFonts w:ascii="Arial" w:hAnsi="Arial" w:cs="Arial"/>
        </w:rPr>
        <w:t xml:space="preserve">, </w:t>
      </w:r>
      <w:r w:rsidRPr="0070098E">
        <w:rPr>
          <w:rFonts w:ascii="Arial" w:hAnsi="Arial" w:cs="Arial"/>
          <w:i/>
          <w:iCs/>
        </w:rPr>
        <w:t>14</w:t>
      </w:r>
      <w:r w:rsidRPr="0070098E">
        <w:rPr>
          <w:rFonts w:ascii="Arial" w:hAnsi="Arial" w:cs="Arial"/>
        </w:rPr>
        <w:t xml:space="preserve">(1), 63–76. </w:t>
      </w:r>
      <w:hyperlink r:id="rId68" w:history="1">
        <w:r w:rsidRPr="0070098E">
          <w:rPr>
            <w:rStyle w:val="Hyperlink"/>
            <w:rFonts w:ascii="Arial" w:hAnsi="Arial" w:cs="Arial"/>
          </w:rPr>
          <w:t>https://doi.org/10.1108/JWAM-04-2021-0036</w:t>
        </w:r>
      </w:hyperlink>
      <w:r w:rsidRPr="0070098E">
        <w:rPr>
          <w:rFonts w:ascii="Arial" w:hAnsi="Arial" w:cs="Arial"/>
        </w:rPr>
        <w:t xml:space="preserve"> </w:t>
      </w:r>
    </w:p>
    <w:p w14:paraId="516A98BE" w14:textId="77777777" w:rsidR="002B3149" w:rsidRPr="00F863D1" w:rsidRDefault="002B3149" w:rsidP="002B3149">
      <w:pPr>
        <w:rPr>
          <w:rFonts w:ascii="Arial" w:hAnsi="Arial" w:cs="Arial"/>
        </w:rPr>
      </w:pPr>
      <w:r w:rsidRPr="004E7312">
        <w:rPr>
          <w:rFonts w:ascii="Arial" w:hAnsi="Arial" w:cs="Arial"/>
        </w:rPr>
        <w:lastRenderedPageBreak/>
        <w:t>Jorgensen, N. (2024). Council Post: How Business Leaders Can Navigate A Tight Labor Market. </w:t>
      </w:r>
      <w:r w:rsidRPr="004E7312">
        <w:rPr>
          <w:rFonts w:ascii="Arial" w:hAnsi="Arial" w:cs="Arial"/>
          <w:i/>
          <w:iCs/>
        </w:rPr>
        <w:t>Forbes</w:t>
      </w:r>
      <w:r w:rsidRPr="004E7312">
        <w:rPr>
          <w:rFonts w:ascii="Arial" w:hAnsi="Arial" w:cs="Arial"/>
        </w:rPr>
        <w:t xml:space="preserve">. [online] 12 Aug. Available at: </w:t>
      </w:r>
      <w:hyperlink r:id="rId69" w:history="1">
        <w:r w:rsidRPr="004E7312">
          <w:rPr>
            <w:rStyle w:val="Hyperlink"/>
            <w:rFonts w:ascii="Arial" w:hAnsi="Arial" w:cs="Arial"/>
          </w:rPr>
          <w:t>https://www.forbes.com/councils/forbeshumanresourcescouncil/2022/11/09/how-business-leaders-can-navigate-a-tight-labor-market/</w:t>
        </w:r>
      </w:hyperlink>
      <w:r w:rsidRPr="004E7312">
        <w:rPr>
          <w:rFonts w:ascii="Arial" w:hAnsi="Arial" w:cs="Arial"/>
        </w:rPr>
        <w:t>.</w:t>
      </w:r>
      <w:r w:rsidRPr="00F863D1">
        <w:rPr>
          <w:rFonts w:ascii="Arial" w:hAnsi="Arial" w:cs="Arial"/>
        </w:rPr>
        <w:t xml:space="preserve"> </w:t>
      </w:r>
    </w:p>
    <w:p w14:paraId="01728673" w14:textId="77777777" w:rsidR="002B3149" w:rsidRDefault="002B3149" w:rsidP="002B3149">
      <w:pPr>
        <w:rPr>
          <w:rFonts w:ascii="Arial" w:hAnsi="Arial" w:cs="Arial"/>
        </w:rPr>
      </w:pPr>
      <w:r w:rsidRPr="00DF2736">
        <w:rPr>
          <w:rFonts w:ascii="Arial" w:hAnsi="Arial" w:cs="Arial"/>
        </w:rPr>
        <w:t xml:space="preserve">Kalliath, P., Kalliath, T., Chan, X. W., &amp; Chan, C. (2019). Linking Work–Family Enrichment to Job Satisfaction through Job Well-Being and Family Support: A Moderated Mediation Analysis of Social Workers across India. </w:t>
      </w:r>
      <w:r w:rsidRPr="00DF2736">
        <w:rPr>
          <w:rFonts w:ascii="Arial" w:hAnsi="Arial" w:cs="Arial"/>
          <w:i/>
          <w:iCs/>
        </w:rPr>
        <w:t>The British Journal of Social Work</w:t>
      </w:r>
      <w:r w:rsidRPr="00DF2736">
        <w:rPr>
          <w:rFonts w:ascii="Arial" w:hAnsi="Arial" w:cs="Arial"/>
        </w:rPr>
        <w:t xml:space="preserve">, </w:t>
      </w:r>
      <w:r w:rsidRPr="00DF2736">
        <w:rPr>
          <w:rFonts w:ascii="Arial" w:hAnsi="Arial" w:cs="Arial"/>
          <w:i/>
          <w:iCs/>
        </w:rPr>
        <w:t>49</w:t>
      </w:r>
      <w:r w:rsidRPr="00DF2736">
        <w:rPr>
          <w:rFonts w:ascii="Arial" w:hAnsi="Arial" w:cs="Arial"/>
        </w:rPr>
        <w:t xml:space="preserve">(1), 234–255. </w:t>
      </w:r>
      <w:hyperlink r:id="rId70" w:history="1">
        <w:r w:rsidRPr="00DF2736">
          <w:rPr>
            <w:rStyle w:val="Hyperlink"/>
            <w:rFonts w:ascii="Arial" w:hAnsi="Arial" w:cs="Arial"/>
          </w:rPr>
          <w:t>https://doi.org/10.1093/bjsw/bcy022</w:t>
        </w:r>
      </w:hyperlink>
      <w:r>
        <w:rPr>
          <w:rFonts w:ascii="Arial" w:hAnsi="Arial" w:cs="Arial"/>
        </w:rPr>
        <w:t xml:space="preserve"> </w:t>
      </w:r>
    </w:p>
    <w:p w14:paraId="219C9098" w14:textId="77777777" w:rsidR="002B3149" w:rsidRDefault="002B3149" w:rsidP="002B3149">
      <w:pPr>
        <w:rPr>
          <w:rFonts w:ascii="Arial" w:hAnsi="Arial" w:cs="Arial"/>
        </w:rPr>
      </w:pPr>
      <w:r w:rsidRPr="00C81B0D">
        <w:rPr>
          <w:rFonts w:ascii="Arial" w:hAnsi="Arial" w:cs="Arial"/>
        </w:rPr>
        <w:t xml:space="preserve">Ke, J., Yang, H., Zheng, H., Chen, X., Jia, Y., Gong, P., &amp; Ye, J. (2019). Hexagon-Based Convolutional Neural Network for Supply-Demand Forecasting of Ride-Sourcing Services. </w:t>
      </w:r>
      <w:r w:rsidRPr="00C81B0D">
        <w:rPr>
          <w:rFonts w:ascii="Arial" w:hAnsi="Arial" w:cs="Arial"/>
          <w:i/>
          <w:iCs/>
        </w:rPr>
        <w:t>IEEE Transactions on Intelligent Transportation Systems</w:t>
      </w:r>
      <w:r w:rsidRPr="00C81B0D">
        <w:rPr>
          <w:rFonts w:ascii="Arial" w:hAnsi="Arial" w:cs="Arial"/>
        </w:rPr>
        <w:t xml:space="preserve">, </w:t>
      </w:r>
      <w:r w:rsidRPr="00C81B0D">
        <w:rPr>
          <w:rFonts w:ascii="Arial" w:hAnsi="Arial" w:cs="Arial"/>
          <w:i/>
          <w:iCs/>
        </w:rPr>
        <w:t>20</w:t>
      </w:r>
      <w:r w:rsidRPr="00C81B0D">
        <w:rPr>
          <w:rFonts w:ascii="Arial" w:hAnsi="Arial" w:cs="Arial"/>
        </w:rPr>
        <w:t xml:space="preserve">(11), 4160–4173. </w:t>
      </w:r>
      <w:hyperlink r:id="rId71" w:history="1">
        <w:r w:rsidRPr="00C81B0D">
          <w:rPr>
            <w:rStyle w:val="Hyperlink"/>
            <w:rFonts w:ascii="Arial" w:hAnsi="Arial" w:cs="Arial"/>
          </w:rPr>
          <w:t>https://doi.org/10.1109/TITS.2018.2882861</w:t>
        </w:r>
      </w:hyperlink>
      <w:r>
        <w:rPr>
          <w:rFonts w:ascii="Arial" w:hAnsi="Arial" w:cs="Arial"/>
        </w:rPr>
        <w:t xml:space="preserve"> </w:t>
      </w:r>
    </w:p>
    <w:p w14:paraId="0E63CE25" w14:textId="77777777" w:rsidR="002B3149" w:rsidRPr="00FE685E" w:rsidRDefault="002B3149" w:rsidP="002B3149">
      <w:pPr>
        <w:rPr>
          <w:rFonts w:ascii="Arial" w:hAnsi="Arial" w:cs="Arial"/>
        </w:rPr>
      </w:pPr>
      <w:r w:rsidRPr="00FE685E">
        <w:rPr>
          <w:rFonts w:ascii="Arial" w:hAnsi="Arial" w:cs="Arial"/>
        </w:rPr>
        <w:t xml:space="preserve">Keswin, E. (2022). Onboarding Rituals Help Employees Feel Connected. </w:t>
      </w:r>
      <w:r w:rsidRPr="00FE685E">
        <w:rPr>
          <w:rFonts w:ascii="Arial" w:hAnsi="Arial" w:cs="Arial"/>
          <w:i/>
          <w:iCs/>
        </w:rPr>
        <w:t>Talent Development</w:t>
      </w:r>
      <w:r w:rsidRPr="00FE685E">
        <w:rPr>
          <w:rFonts w:ascii="Arial" w:hAnsi="Arial" w:cs="Arial"/>
        </w:rPr>
        <w:t xml:space="preserve">, </w:t>
      </w:r>
      <w:r w:rsidRPr="00FE685E">
        <w:rPr>
          <w:rFonts w:ascii="Arial" w:hAnsi="Arial" w:cs="Arial"/>
          <w:i/>
          <w:iCs/>
        </w:rPr>
        <w:t>76</w:t>
      </w:r>
      <w:r w:rsidRPr="00FE685E">
        <w:rPr>
          <w:rFonts w:ascii="Arial" w:hAnsi="Arial" w:cs="Arial"/>
        </w:rPr>
        <w:t xml:space="preserve">(4), 78–79. </w:t>
      </w:r>
    </w:p>
    <w:p w14:paraId="25E825E4" w14:textId="77777777" w:rsidR="002B3149" w:rsidRPr="00E514BB" w:rsidRDefault="002B3149" w:rsidP="002B3149">
      <w:pPr>
        <w:rPr>
          <w:rFonts w:ascii="Arial" w:hAnsi="Arial" w:cs="Arial"/>
        </w:rPr>
      </w:pPr>
      <w:r w:rsidRPr="00E514BB">
        <w:rPr>
          <w:rFonts w:ascii="Arial" w:hAnsi="Arial" w:cs="Arial"/>
        </w:rPr>
        <w:t xml:space="preserve">King, D. B., O’Rourke, N., &amp; DeLongis, A. (2014). Social Media Recruitment and Online Data Collection: A Beginner’s Guide and Best Practices for Accessing Low-Prevalence and Hard-to-Reach Populations. </w:t>
      </w:r>
      <w:r w:rsidRPr="00E514BB">
        <w:rPr>
          <w:rFonts w:ascii="Arial" w:hAnsi="Arial" w:cs="Arial"/>
          <w:i/>
          <w:iCs/>
        </w:rPr>
        <w:t>Canadian Psychology = Psychologie Canadienne</w:t>
      </w:r>
      <w:r w:rsidRPr="00E514BB">
        <w:rPr>
          <w:rFonts w:ascii="Arial" w:hAnsi="Arial" w:cs="Arial"/>
        </w:rPr>
        <w:t xml:space="preserve">, </w:t>
      </w:r>
      <w:r w:rsidRPr="00E514BB">
        <w:rPr>
          <w:rFonts w:ascii="Arial" w:hAnsi="Arial" w:cs="Arial"/>
          <w:i/>
          <w:iCs/>
        </w:rPr>
        <w:t>55</w:t>
      </w:r>
      <w:r w:rsidRPr="00E514BB">
        <w:rPr>
          <w:rFonts w:ascii="Arial" w:hAnsi="Arial" w:cs="Arial"/>
        </w:rPr>
        <w:t xml:space="preserve">(4), 240–249. </w:t>
      </w:r>
      <w:hyperlink r:id="rId72" w:history="1">
        <w:r w:rsidRPr="00E514BB">
          <w:rPr>
            <w:rStyle w:val="Hyperlink"/>
            <w:rFonts w:ascii="Arial" w:hAnsi="Arial" w:cs="Arial"/>
          </w:rPr>
          <w:t>https://doi.org/10.1037/a0038087</w:t>
        </w:r>
      </w:hyperlink>
      <w:r>
        <w:rPr>
          <w:rFonts w:ascii="Arial" w:hAnsi="Arial" w:cs="Arial"/>
        </w:rPr>
        <w:t xml:space="preserve"> </w:t>
      </w:r>
    </w:p>
    <w:p w14:paraId="56025FC0" w14:textId="77777777" w:rsidR="002B3149" w:rsidRPr="00437974" w:rsidRDefault="002B3149" w:rsidP="002B3149">
      <w:pPr>
        <w:rPr>
          <w:rFonts w:ascii="Arial" w:hAnsi="Arial" w:cs="Arial"/>
        </w:rPr>
      </w:pPr>
      <w:r w:rsidRPr="00437974">
        <w:rPr>
          <w:rFonts w:ascii="Arial" w:hAnsi="Arial" w:cs="Arial"/>
        </w:rPr>
        <w:t xml:space="preserve">Kodden, B. (2020). </w:t>
      </w:r>
      <w:r w:rsidRPr="00437974">
        <w:rPr>
          <w:rFonts w:ascii="Arial" w:hAnsi="Arial" w:cs="Arial"/>
          <w:i/>
          <w:iCs/>
        </w:rPr>
        <w:t>The Art of Sustainable Performance : A Model for Recruiting, Selection, and Professional Development</w:t>
      </w:r>
      <w:r w:rsidRPr="00437974">
        <w:rPr>
          <w:rFonts w:ascii="Arial" w:hAnsi="Arial" w:cs="Arial"/>
        </w:rPr>
        <w:t xml:space="preserve"> (1st ed. 2020.). Springer Nature. https://doi.org/10.1007/978-3-030-46463-9</w:t>
      </w:r>
    </w:p>
    <w:p w14:paraId="3420289F" w14:textId="77777777" w:rsidR="002B3149" w:rsidRPr="000C4DA6" w:rsidRDefault="002B3149" w:rsidP="002B3149">
      <w:pPr>
        <w:rPr>
          <w:rFonts w:ascii="Arial" w:hAnsi="Arial" w:cs="Arial"/>
        </w:rPr>
      </w:pPr>
      <w:r w:rsidRPr="009721A6">
        <w:rPr>
          <w:rFonts w:ascii="Arial" w:hAnsi="Arial" w:cs="Arial"/>
        </w:rPr>
        <w:t>‌</w:t>
      </w:r>
      <w:r w:rsidRPr="000C4DA6">
        <w:rPr>
          <w:rFonts w:ascii="Arial" w:hAnsi="Arial" w:cs="Arial"/>
        </w:rPr>
        <w:t>Koumenta, M., &amp; Williams, M. (2019). An anatomy of zero</w:t>
      </w:r>
      <w:r w:rsidRPr="000C4DA6">
        <w:rPr>
          <w:rFonts w:ascii="Cambria Math" w:hAnsi="Cambria Math" w:cs="Cambria Math"/>
        </w:rPr>
        <w:t>‐</w:t>
      </w:r>
      <w:r w:rsidRPr="000C4DA6">
        <w:rPr>
          <w:rFonts w:ascii="Arial" w:hAnsi="Arial" w:cs="Arial"/>
        </w:rPr>
        <w:t xml:space="preserve">hour contracts in the UK. </w:t>
      </w:r>
      <w:r w:rsidRPr="000C4DA6">
        <w:rPr>
          <w:rFonts w:ascii="Arial" w:hAnsi="Arial" w:cs="Arial"/>
          <w:i/>
          <w:iCs/>
        </w:rPr>
        <w:t>Industrial Relations Journal</w:t>
      </w:r>
      <w:r w:rsidRPr="000C4DA6">
        <w:rPr>
          <w:rFonts w:ascii="Arial" w:hAnsi="Arial" w:cs="Arial"/>
        </w:rPr>
        <w:t xml:space="preserve">, </w:t>
      </w:r>
      <w:r w:rsidRPr="000C4DA6">
        <w:rPr>
          <w:rFonts w:ascii="Arial" w:hAnsi="Arial" w:cs="Arial"/>
          <w:i/>
          <w:iCs/>
        </w:rPr>
        <w:t>50</w:t>
      </w:r>
      <w:r w:rsidRPr="000C4DA6">
        <w:rPr>
          <w:rFonts w:ascii="Arial" w:hAnsi="Arial" w:cs="Arial"/>
        </w:rPr>
        <w:t xml:space="preserve">(1), 20–40. </w:t>
      </w:r>
      <w:hyperlink r:id="rId73" w:history="1">
        <w:r w:rsidRPr="000462F8">
          <w:rPr>
            <w:rStyle w:val="Hyperlink"/>
            <w:rFonts w:ascii="Arial" w:hAnsi="Arial" w:cs="Arial"/>
          </w:rPr>
          <w:t>https://doi.org/10.1111/irj.12233</w:t>
        </w:r>
      </w:hyperlink>
      <w:r>
        <w:rPr>
          <w:rFonts w:ascii="Arial" w:hAnsi="Arial" w:cs="Arial"/>
        </w:rPr>
        <w:t xml:space="preserve"> </w:t>
      </w:r>
    </w:p>
    <w:p w14:paraId="50C33214" w14:textId="77777777" w:rsidR="002B3149" w:rsidRPr="00D03C3B" w:rsidRDefault="002B3149" w:rsidP="002B3149">
      <w:pPr>
        <w:rPr>
          <w:rFonts w:ascii="Arial" w:hAnsi="Arial" w:cs="Arial"/>
        </w:rPr>
      </w:pPr>
      <w:bookmarkStart w:id="2" w:name="_Hlk201950199"/>
      <w:r w:rsidRPr="00D03C3B">
        <w:rPr>
          <w:rFonts w:ascii="Arial" w:hAnsi="Arial" w:cs="Arial"/>
        </w:rPr>
        <w:t xml:space="preserve">Kryscynski, D. (2021). </w:t>
      </w:r>
      <w:bookmarkEnd w:id="2"/>
      <w:r w:rsidRPr="00D03C3B">
        <w:rPr>
          <w:rFonts w:ascii="Arial" w:hAnsi="Arial" w:cs="Arial"/>
        </w:rPr>
        <w:t xml:space="preserve">Firm-Specific Worker Incentives, Employee Retention, and Wage–Tenure Slopes. </w:t>
      </w:r>
      <w:r w:rsidRPr="00D03C3B">
        <w:rPr>
          <w:rFonts w:ascii="Arial" w:hAnsi="Arial" w:cs="Arial"/>
          <w:i/>
          <w:iCs/>
        </w:rPr>
        <w:t>Organization Science (Providence, R.I.)</w:t>
      </w:r>
      <w:r w:rsidRPr="00D03C3B">
        <w:rPr>
          <w:rFonts w:ascii="Arial" w:hAnsi="Arial" w:cs="Arial"/>
        </w:rPr>
        <w:t xml:space="preserve">, </w:t>
      </w:r>
      <w:r w:rsidRPr="00D03C3B">
        <w:rPr>
          <w:rFonts w:ascii="Arial" w:hAnsi="Arial" w:cs="Arial"/>
          <w:i/>
          <w:iCs/>
        </w:rPr>
        <w:t>32</w:t>
      </w:r>
      <w:r w:rsidRPr="00D03C3B">
        <w:rPr>
          <w:rFonts w:ascii="Arial" w:hAnsi="Arial" w:cs="Arial"/>
        </w:rPr>
        <w:t xml:space="preserve">(2), 352–375. </w:t>
      </w:r>
      <w:hyperlink r:id="rId74" w:history="1">
        <w:r w:rsidRPr="00D03C3B">
          <w:rPr>
            <w:rStyle w:val="Hyperlink"/>
            <w:rFonts w:ascii="Arial" w:hAnsi="Arial" w:cs="Arial"/>
          </w:rPr>
          <w:t>https://doi.org/10.1287/orsc.2020.1393</w:t>
        </w:r>
      </w:hyperlink>
      <w:r>
        <w:rPr>
          <w:rFonts w:ascii="Arial" w:hAnsi="Arial" w:cs="Arial"/>
        </w:rPr>
        <w:t xml:space="preserve"> </w:t>
      </w:r>
    </w:p>
    <w:p w14:paraId="6B650CB1" w14:textId="77777777" w:rsidR="002B3149" w:rsidRPr="00B40191" w:rsidRDefault="002B3149" w:rsidP="002B3149">
      <w:pPr>
        <w:rPr>
          <w:rFonts w:ascii="Arial" w:hAnsi="Arial" w:cs="Arial"/>
        </w:rPr>
      </w:pPr>
      <w:r w:rsidRPr="00B40191">
        <w:rPr>
          <w:rFonts w:ascii="Arial" w:hAnsi="Arial" w:cs="Arial"/>
        </w:rPr>
        <w:t xml:space="preserve">‌Ladkin, A., &amp; Buhalis, D. (2016). Online and social media recruitment: Hospitality employer and prospective employee considerations. </w:t>
      </w:r>
      <w:r w:rsidRPr="00B40191">
        <w:rPr>
          <w:rFonts w:ascii="Arial" w:hAnsi="Arial" w:cs="Arial"/>
          <w:i/>
          <w:iCs/>
        </w:rPr>
        <w:t>International Journal of Contemporary Hospitality Management</w:t>
      </w:r>
      <w:r w:rsidRPr="00B40191">
        <w:rPr>
          <w:rFonts w:ascii="Arial" w:hAnsi="Arial" w:cs="Arial"/>
        </w:rPr>
        <w:t xml:space="preserve">, </w:t>
      </w:r>
      <w:r w:rsidRPr="00B40191">
        <w:rPr>
          <w:rFonts w:ascii="Arial" w:hAnsi="Arial" w:cs="Arial"/>
          <w:i/>
          <w:iCs/>
        </w:rPr>
        <w:t>28</w:t>
      </w:r>
      <w:r w:rsidRPr="00B40191">
        <w:rPr>
          <w:rFonts w:ascii="Arial" w:hAnsi="Arial" w:cs="Arial"/>
        </w:rPr>
        <w:t xml:space="preserve">(2), 327–345. </w:t>
      </w:r>
      <w:hyperlink r:id="rId75" w:history="1">
        <w:r w:rsidRPr="000462F8">
          <w:rPr>
            <w:rStyle w:val="Hyperlink"/>
            <w:rFonts w:ascii="Arial" w:hAnsi="Arial" w:cs="Arial"/>
          </w:rPr>
          <w:t>https://doi.org/10.1108/IJCHM-05-2014-0218</w:t>
        </w:r>
      </w:hyperlink>
      <w:r>
        <w:rPr>
          <w:rFonts w:ascii="Arial" w:hAnsi="Arial" w:cs="Arial"/>
        </w:rPr>
        <w:t xml:space="preserve"> </w:t>
      </w:r>
    </w:p>
    <w:p w14:paraId="1EA4E3EE" w14:textId="77777777" w:rsidR="002B3149" w:rsidRPr="00AD733F" w:rsidRDefault="002B3149" w:rsidP="002B3149">
      <w:pPr>
        <w:rPr>
          <w:rFonts w:ascii="Arial" w:hAnsi="Arial" w:cs="Arial"/>
        </w:rPr>
      </w:pPr>
      <w:r w:rsidRPr="00AD733F">
        <w:rPr>
          <w:rFonts w:ascii="Arial" w:hAnsi="Arial" w:cs="Arial"/>
        </w:rPr>
        <w:t xml:space="preserve">Ladwig, M. R. (2020). 617 Changing Onboarding to Increase Retention. </w:t>
      </w:r>
      <w:r w:rsidRPr="00AD733F">
        <w:rPr>
          <w:rFonts w:ascii="Arial" w:hAnsi="Arial" w:cs="Arial"/>
          <w:i/>
          <w:iCs/>
        </w:rPr>
        <w:t>Journal of Burn Care &amp; Research</w:t>
      </w:r>
      <w:r w:rsidRPr="00AD733F">
        <w:rPr>
          <w:rFonts w:ascii="Arial" w:hAnsi="Arial" w:cs="Arial"/>
        </w:rPr>
        <w:t xml:space="preserve">, </w:t>
      </w:r>
      <w:r w:rsidRPr="00AD733F">
        <w:rPr>
          <w:rFonts w:ascii="Arial" w:hAnsi="Arial" w:cs="Arial"/>
          <w:i/>
          <w:iCs/>
        </w:rPr>
        <w:t>41</w:t>
      </w:r>
      <w:r w:rsidRPr="00AD733F">
        <w:rPr>
          <w:rFonts w:ascii="Arial" w:hAnsi="Arial" w:cs="Arial"/>
        </w:rPr>
        <w:t>(Supplement_1), S153–S154. https://doi.org/10.1093/jbcr/iraa024.243</w:t>
      </w:r>
    </w:p>
    <w:p w14:paraId="36C8DE3B" w14:textId="77777777" w:rsidR="002B3149" w:rsidRPr="00F863D1" w:rsidRDefault="002B3149" w:rsidP="002B3149">
      <w:pPr>
        <w:rPr>
          <w:rFonts w:ascii="Arial" w:hAnsi="Arial" w:cs="Arial"/>
        </w:rPr>
      </w:pPr>
      <w:r w:rsidRPr="00F863D1">
        <w:rPr>
          <w:rFonts w:ascii="Arial" w:hAnsi="Arial" w:cs="Arial"/>
        </w:rPr>
        <w:t xml:space="preserve">Lampe, B., Fontenay, C., Nugent, J., &amp; Jomini, P. (2022). Climbing the Jobs Ladder Slower: Young People in a Weak Labour Market. </w:t>
      </w:r>
      <w:r w:rsidRPr="00F863D1">
        <w:rPr>
          <w:rFonts w:ascii="Arial" w:hAnsi="Arial" w:cs="Arial"/>
          <w:i/>
          <w:iCs/>
        </w:rPr>
        <w:t>Australian Economic Review</w:t>
      </w:r>
      <w:r w:rsidRPr="00F863D1">
        <w:rPr>
          <w:rFonts w:ascii="Arial" w:hAnsi="Arial" w:cs="Arial"/>
        </w:rPr>
        <w:t xml:space="preserve">, </w:t>
      </w:r>
      <w:r w:rsidRPr="00F863D1">
        <w:rPr>
          <w:rFonts w:ascii="Arial" w:hAnsi="Arial" w:cs="Arial"/>
          <w:i/>
          <w:iCs/>
        </w:rPr>
        <w:t>55</w:t>
      </w:r>
      <w:r w:rsidRPr="00F863D1">
        <w:rPr>
          <w:rFonts w:ascii="Arial" w:hAnsi="Arial" w:cs="Arial"/>
        </w:rPr>
        <w:t xml:space="preserve">(1), 40–70. </w:t>
      </w:r>
      <w:hyperlink r:id="rId76" w:history="1">
        <w:r w:rsidRPr="00F863D1">
          <w:rPr>
            <w:rStyle w:val="Hyperlink"/>
            <w:rFonts w:ascii="Arial" w:hAnsi="Arial" w:cs="Arial"/>
          </w:rPr>
          <w:t>https://doi.org/10.1111/1467-8462.12444</w:t>
        </w:r>
      </w:hyperlink>
      <w:r w:rsidRPr="00F863D1">
        <w:rPr>
          <w:rFonts w:ascii="Arial" w:hAnsi="Arial" w:cs="Arial"/>
        </w:rPr>
        <w:t xml:space="preserve"> </w:t>
      </w:r>
    </w:p>
    <w:p w14:paraId="53023CD2" w14:textId="77777777" w:rsidR="002B3149" w:rsidRDefault="002B3149" w:rsidP="002B3149">
      <w:pPr>
        <w:rPr>
          <w:rFonts w:ascii="Arial" w:hAnsi="Arial" w:cs="Arial"/>
        </w:rPr>
      </w:pPr>
      <w:r w:rsidRPr="00AD733F">
        <w:rPr>
          <w:rFonts w:ascii="Arial" w:hAnsi="Arial" w:cs="Arial"/>
        </w:rPr>
        <w:t xml:space="preserve">Laudon, K., &amp; Laudon, J. P. (2013). </w:t>
      </w:r>
      <w:r w:rsidRPr="00AD733F">
        <w:rPr>
          <w:rFonts w:ascii="Arial" w:hAnsi="Arial" w:cs="Arial"/>
          <w:i/>
          <w:iCs/>
        </w:rPr>
        <w:t>Management Information Systems, Global Edition</w:t>
      </w:r>
      <w:r w:rsidRPr="00AD733F">
        <w:rPr>
          <w:rFonts w:ascii="Arial" w:hAnsi="Arial" w:cs="Arial"/>
        </w:rPr>
        <w:t xml:space="preserve"> (13th ed.). Pearson Education Limited.</w:t>
      </w:r>
    </w:p>
    <w:p w14:paraId="17E437C2" w14:textId="77777777" w:rsidR="002B3149" w:rsidRPr="00F863D1" w:rsidRDefault="002B3149" w:rsidP="002B3149">
      <w:pPr>
        <w:rPr>
          <w:rFonts w:ascii="Arial" w:hAnsi="Arial" w:cs="Arial"/>
        </w:rPr>
      </w:pPr>
      <w:r w:rsidRPr="00747DF0">
        <w:rPr>
          <w:rFonts w:ascii="Arial" w:hAnsi="Arial" w:cs="Arial"/>
        </w:rPr>
        <w:t>‌</w:t>
      </w:r>
      <w:r w:rsidRPr="00F863D1">
        <w:rPr>
          <w:rFonts w:ascii="Arial" w:eastAsia="Times New Roman" w:hAnsi="Arial" w:cs="Arial"/>
          <w:kern w:val="0"/>
          <w:lang w:eastAsia="en-GB"/>
          <w14:ligatures w14:val="none"/>
        </w:rPr>
        <w:t>L</w:t>
      </w:r>
      <w:r w:rsidRPr="00F863D1">
        <w:rPr>
          <w:rFonts w:ascii="Arial" w:hAnsi="Arial" w:cs="Arial"/>
        </w:rPr>
        <w:t xml:space="preserve">ee, J. Y., Yang, Y. S., &amp; Ghauri, P. N. (2023). E-commerce Policy Environment, Digital Platform, and Internationalization of Chinese New Ventures: The Moderating Effects of Covid-19 Pandemic. </w:t>
      </w:r>
      <w:r w:rsidRPr="00F863D1">
        <w:rPr>
          <w:rFonts w:ascii="Arial" w:hAnsi="Arial" w:cs="Arial"/>
          <w:i/>
          <w:iCs/>
        </w:rPr>
        <w:t>Management International Review</w:t>
      </w:r>
      <w:r w:rsidRPr="00F863D1">
        <w:rPr>
          <w:rFonts w:ascii="Arial" w:hAnsi="Arial" w:cs="Arial"/>
        </w:rPr>
        <w:t xml:space="preserve">, </w:t>
      </w:r>
      <w:r w:rsidRPr="00F863D1">
        <w:rPr>
          <w:rFonts w:ascii="Arial" w:hAnsi="Arial" w:cs="Arial"/>
          <w:i/>
          <w:iCs/>
        </w:rPr>
        <w:t>63</w:t>
      </w:r>
      <w:r w:rsidRPr="00F863D1">
        <w:rPr>
          <w:rFonts w:ascii="Arial" w:hAnsi="Arial" w:cs="Arial"/>
        </w:rPr>
        <w:t>(1), 57–90. https://doi.org/10.1007/s11575-022-00491-0</w:t>
      </w:r>
    </w:p>
    <w:p w14:paraId="293BBD6F" w14:textId="77777777" w:rsidR="002B3149" w:rsidRPr="00BD720E" w:rsidRDefault="002B3149" w:rsidP="002B3149">
      <w:pPr>
        <w:rPr>
          <w:rFonts w:ascii="Arial" w:hAnsi="Arial" w:cs="Arial"/>
        </w:rPr>
      </w:pPr>
      <w:r w:rsidRPr="00BD720E">
        <w:rPr>
          <w:rFonts w:ascii="Arial" w:hAnsi="Arial" w:cs="Arial"/>
        </w:rPr>
        <w:t xml:space="preserve">LEE, J.-Y. (2015). INTERNAL LABOR MARKETS UNDER EXTERNAL MARKET PRESSURES. </w:t>
      </w:r>
      <w:r w:rsidRPr="00BD720E">
        <w:rPr>
          <w:rFonts w:ascii="Arial" w:hAnsi="Arial" w:cs="Arial"/>
          <w:i/>
          <w:iCs/>
        </w:rPr>
        <w:t>Industrial &amp; Labor Relations Review</w:t>
      </w:r>
      <w:r w:rsidRPr="00BD720E">
        <w:rPr>
          <w:rFonts w:ascii="Arial" w:hAnsi="Arial" w:cs="Arial"/>
        </w:rPr>
        <w:t xml:space="preserve">, </w:t>
      </w:r>
      <w:r w:rsidRPr="00BD720E">
        <w:rPr>
          <w:rFonts w:ascii="Arial" w:hAnsi="Arial" w:cs="Arial"/>
          <w:i/>
          <w:iCs/>
        </w:rPr>
        <w:t>68</w:t>
      </w:r>
      <w:r w:rsidRPr="00BD720E">
        <w:rPr>
          <w:rFonts w:ascii="Arial" w:hAnsi="Arial" w:cs="Arial"/>
        </w:rPr>
        <w:t xml:space="preserve">(2), 338–371. </w:t>
      </w:r>
      <w:hyperlink r:id="rId77" w:history="1">
        <w:r w:rsidRPr="00BD720E">
          <w:rPr>
            <w:rStyle w:val="Hyperlink"/>
            <w:rFonts w:ascii="Arial" w:hAnsi="Arial" w:cs="Arial"/>
          </w:rPr>
          <w:t>https://doi.org/10.1177/0019793914564964</w:t>
        </w:r>
      </w:hyperlink>
      <w:r>
        <w:rPr>
          <w:rFonts w:ascii="Arial" w:hAnsi="Arial" w:cs="Arial"/>
        </w:rPr>
        <w:t xml:space="preserve"> </w:t>
      </w:r>
    </w:p>
    <w:p w14:paraId="73DF0863" w14:textId="77777777" w:rsidR="002B3149" w:rsidRPr="00E75F62" w:rsidRDefault="002B3149" w:rsidP="002B3149">
      <w:pPr>
        <w:rPr>
          <w:rFonts w:ascii="Arial" w:hAnsi="Arial" w:cs="Arial"/>
        </w:rPr>
      </w:pPr>
      <w:r w:rsidRPr="00E75F62">
        <w:rPr>
          <w:rFonts w:ascii="Arial" w:hAnsi="Arial" w:cs="Arial"/>
        </w:rPr>
        <w:lastRenderedPageBreak/>
        <w:t xml:space="preserve">Long, C. P., Bendersky, C., &amp; Morrill, C. (2011). Fairness Monitoring: Linking Managerial Controls and Fairness Judgments in Organizations. </w:t>
      </w:r>
      <w:r w:rsidRPr="00E75F62">
        <w:rPr>
          <w:rFonts w:ascii="Arial" w:hAnsi="Arial" w:cs="Arial"/>
          <w:i/>
          <w:iCs/>
        </w:rPr>
        <w:t>Academy of Management Journal</w:t>
      </w:r>
      <w:r w:rsidRPr="00E75F62">
        <w:rPr>
          <w:rFonts w:ascii="Arial" w:hAnsi="Arial" w:cs="Arial"/>
        </w:rPr>
        <w:t xml:space="preserve">, </w:t>
      </w:r>
      <w:r w:rsidRPr="00E75F62">
        <w:rPr>
          <w:rFonts w:ascii="Arial" w:hAnsi="Arial" w:cs="Arial"/>
          <w:i/>
          <w:iCs/>
        </w:rPr>
        <w:t>54</w:t>
      </w:r>
      <w:r w:rsidRPr="00E75F62">
        <w:rPr>
          <w:rFonts w:ascii="Arial" w:hAnsi="Arial" w:cs="Arial"/>
        </w:rPr>
        <w:t xml:space="preserve">(5), 1045–1068. </w:t>
      </w:r>
      <w:hyperlink r:id="rId78" w:history="1">
        <w:r w:rsidRPr="00E75F62">
          <w:rPr>
            <w:rStyle w:val="Hyperlink"/>
            <w:rFonts w:ascii="Arial" w:hAnsi="Arial" w:cs="Arial"/>
          </w:rPr>
          <w:t>https://doi.org/10.5465/amj.2011.0008</w:t>
        </w:r>
      </w:hyperlink>
      <w:r>
        <w:rPr>
          <w:rFonts w:ascii="Arial" w:hAnsi="Arial" w:cs="Arial"/>
        </w:rPr>
        <w:t xml:space="preserve"> </w:t>
      </w:r>
    </w:p>
    <w:p w14:paraId="4E51BF97" w14:textId="77777777" w:rsidR="002B3149" w:rsidRPr="009056E7" w:rsidRDefault="002B3149" w:rsidP="002B3149">
      <w:pPr>
        <w:rPr>
          <w:rFonts w:ascii="Arial" w:hAnsi="Arial" w:cs="Arial"/>
        </w:rPr>
      </w:pPr>
      <w:r w:rsidRPr="009056E7">
        <w:rPr>
          <w:rFonts w:ascii="Arial" w:hAnsi="Arial" w:cs="Arial"/>
        </w:rPr>
        <w:t xml:space="preserve">Make onboarding your prime retention tool. (2024). In </w:t>
      </w:r>
      <w:r w:rsidRPr="009056E7">
        <w:rPr>
          <w:rFonts w:ascii="Arial" w:hAnsi="Arial" w:cs="Arial"/>
          <w:i/>
          <w:iCs/>
        </w:rPr>
        <w:t>The HR Specialist</w:t>
      </w:r>
      <w:r w:rsidRPr="009056E7">
        <w:rPr>
          <w:rFonts w:ascii="Arial" w:hAnsi="Arial" w:cs="Arial"/>
        </w:rPr>
        <w:t xml:space="preserve"> (Vol. 22, Number 4, pp. 1-). Business Management Daily, a division of Capitol Information Group.</w:t>
      </w:r>
    </w:p>
    <w:p w14:paraId="312FE6FD" w14:textId="77777777" w:rsidR="002B3149" w:rsidRPr="00F863D1" w:rsidRDefault="002B3149" w:rsidP="002B3149">
      <w:pPr>
        <w:rPr>
          <w:rFonts w:ascii="Arial" w:hAnsi="Arial" w:cs="Arial"/>
        </w:rPr>
      </w:pPr>
      <w:r w:rsidRPr="00F863D1">
        <w:rPr>
          <w:rFonts w:ascii="Arial" w:hAnsi="Arial" w:cs="Arial"/>
        </w:rPr>
        <w:t xml:space="preserve"> Marmol, T. del, Feys, B., Probert, C., &amp; 50minutes.com, associated with work. (2015). </w:t>
      </w:r>
      <w:r w:rsidRPr="00F863D1">
        <w:rPr>
          <w:rFonts w:ascii="Arial" w:hAnsi="Arial" w:cs="Arial"/>
          <w:i/>
          <w:iCs/>
        </w:rPr>
        <w:t>PESTLE analysis</w:t>
      </w:r>
      <w:r w:rsidRPr="00F863D1">
        <w:rPr>
          <w:rFonts w:ascii="Arial" w:hAnsi="Arial" w:cs="Arial"/>
        </w:rPr>
        <w:t xml:space="preserve"> (C. Probert, Tran.). Lemaitre Publishing.</w:t>
      </w:r>
    </w:p>
    <w:p w14:paraId="15BD374D" w14:textId="77777777" w:rsidR="002B3149" w:rsidRDefault="002B3149" w:rsidP="002B3149">
      <w:pPr>
        <w:rPr>
          <w:rFonts w:ascii="Arial" w:hAnsi="Arial" w:cs="Arial"/>
        </w:rPr>
      </w:pPr>
      <w:r w:rsidRPr="009056E7">
        <w:rPr>
          <w:rFonts w:ascii="Arial" w:hAnsi="Arial" w:cs="Arial"/>
        </w:rPr>
        <w:t xml:space="preserve">Mosquera, P., &amp; Soares, M. E. (2025). Onboarding: a key to employee retention and workplace well-being. </w:t>
      </w:r>
      <w:r w:rsidRPr="009056E7">
        <w:rPr>
          <w:rFonts w:ascii="Arial" w:hAnsi="Arial" w:cs="Arial"/>
          <w:i/>
          <w:iCs/>
        </w:rPr>
        <w:t>Review of Managerial Science</w:t>
      </w:r>
      <w:r w:rsidRPr="009056E7">
        <w:rPr>
          <w:rFonts w:ascii="Arial" w:hAnsi="Arial" w:cs="Arial"/>
        </w:rPr>
        <w:t xml:space="preserve">. </w:t>
      </w:r>
      <w:hyperlink r:id="rId79" w:history="1">
        <w:r w:rsidRPr="009056E7">
          <w:rPr>
            <w:rStyle w:val="Hyperlink"/>
            <w:rFonts w:ascii="Arial" w:hAnsi="Arial" w:cs="Arial"/>
          </w:rPr>
          <w:t>https://doi.org/10.1007/s11846-025-00864-3</w:t>
        </w:r>
      </w:hyperlink>
      <w:r>
        <w:rPr>
          <w:rFonts w:ascii="Arial" w:hAnsi="Arial" w:cs="Arial"/>
        </w:rPr>
        <w:t xml:space="preserve"> </w:t>
      </w:r>
    </w:p>
    <w:p w14:paraId="16FF5214" w14:textId="77777777" w:rsidR="002B3149" w:rsidRPr="00871FA7" w:rsidRDefault="002B3149" w:rsidP="002B3149">
      <w:pPr>
        <w:rPr>
          <w:rFonts w:ascii="Arial" w:hAnsi="Arial" w:cs="Arial"/>
        </w:rPr>
      </w:pPr>
      <w:r w:rsidRPr="00871FA7">
        <w:rPr>
          <w:rFonts w:ascii="Arial" w:hAnsi="Arial" w:cs="Arial"/>
        </w:rPr>
        <w:t xml:space="preserve">Muir (Zapata), C. P., Sherf, E. N., &amp; Liu, J. T. (2022). It’s Not Only What You Do, But Why You Do It: How Managerial Motives Influence Employees’ Fairness Judgments. </w:t>
      </w:r>
      <w:r w:rsidRPr="00871FA7">
        <w:rPr>
          <w:rFonts w:ascii="Arial" w:hAnsi="Arial" w:cs="Arial"/>
          <w:i/>
          <w:iCs/>
        </w:rPr>
        <w:t>Journal of Applied Psychology</w:t>
      </w:r>
      <w:r w:rsidRPr="00871FA7">
        <w:rPr>
          <w:rFonts w:ascii="Arial" w:hAnsi="Arial" w:cs="Arial"/>
        </w:rPr>
        <w:t xml:space="preserve">, </w:t>
      </w:r>
      <w:r w:rsidRPr="00871FA7">
        <w:rPr>
          <w:rFonts w:ascii="Arial" w:hAnsi="Arial" w:cs="Arial"/>
          <w:i/>
          <w:iCs/>
        </w:rPr>
        <w:t>107</w:t>
      </w:r>
      <w:r w:rsidRPr="00871FA7">
        <w:rPr>
          <w:rFonts w:ascii="Arial" w:hAnsi="Arial" w:cs="Arial"/>
        </w:rPr>
        <w:t xml:space="preserve">(4), 581–603. </w:t>
      </w:r>
      <w:hyperlink r:id="rId80" w:history="1">
        <w:r w:rsidRPr="00871FA7">
          <w:rPr>
            <w:rStyle w:val="Hyperlink"/>
            <w:rFonts w:ascii="Arial" w:hAnsi="Arial" w:cs="Arial"/>
          </w:rPr>
          <w:t>https://doi.org/10.1037/apl0000898</w:t>
        </w:r>
      </w:hyperlink>
      <w:r>
        <w:rPr>
          <w:rFonts w:ascii="Arial" w:hAnsi="Arial" w:cs="Arial"/>
        </w:rPr>
        <w:t xml:space="preserve"> </w:t>
      </w:r>
    </w:p>
    <w:p w14:paraId="5BFC7938" w14:textId="77777777" w:rsidR="002B3149" w:rsidRPr="009E6B79" w:rsidRDefault="002B3149" w:rsidP="002B3149">
      <w:pPr>
        <w:rPr>
          <w:rFonts w:ascii="Arial" w:hAnsi="Arial" w:cs="Arial"/>
        </w:rPr>
      </w:pPr>
      <w:r w:rsidRPr="009E6B79">
        <w:rPr>
          <w:rFonts w:ascii="Arial" w:hAnsi="Arial" w:cs="Arial"/>
        </w:rPr>
        <w:t xml:space="preserve">Mutanga, J., Kaisara, G., Yakobi, K., &amp; Atiku, S. O. (2021). Exploring push and pull factors for talent development and retention: implications for practice. </w:t>
      </w:r>
      <w:r w:rsidRPr="009E6B79">
        <w:rPr>
          <w:rFonts w:ascii="Arial" w:hAnsi="Arial" w:cs="Arial"/>
          <w:i/>
          <w:iCs/>
        </w:rPr>
        <w:t>Development and Learning in Organizations</w:t>
      </w:r>
      <w:r w:rsidRPr="009E6B79">
        <w:rPr>
          <w:rFonts w:ascii="Arial" w:hAnsi="Arial" w:cs="Arial"/>
        </w:rPr>
        <w:t xml:space="preserve">, </w:t>
      </w:r>
      <w:r w:rsidRPr="009E6B79">
        <w:rPr>
          <w:rFonts w:ascii="Arial" w:hAnsi="Arial" w:cs="Arial"/>
          <w:i/>
          <w:iCs/>
        </w:rPr>
        <w:t>35</w:t>
      </w:r>
      <w:r w:rsidRPr="009E6B79">
        <w:rPr>
          <w:rFonts w:ascii="Arial" w:hAnsi="Arial" w:cs="Arial"/>
        </w:rPr>
        <w:t xml:space="preserve">(6), 1–3. </w:t>
      </w:r>
      <w:hyperlink r:id="rId81" w:history="1">
        <w:r w:rsidRPr="009E6B79">
          <w:rPr>
            <w:rStyle w:val="Hyperlink"/>
            <w:rFonts w:ascii="Arial" w:hAnsi="Arial" w:cs="Arial"/>
          </w:rPr>
          <w:t>https://doi.org/10.1108/DLO-12-2020-0246</w:t>
        </w:r>
      </w:hyperlink>
      <w:r>
        <w:rPr>
          <w:rFonts w:ascii="Arial" w:hAnsi="Arial" w:cs="Arial"/>
        </w:rPr>
        <w:t xml:space="preserve"> </w:t>
      </w:r>
    </w:p>
    <w:p w14:paraId="7FC33CC5" w14:textId="77777777" w:rsidR="002B3149" w:rsidRPr="00F863D1" w:rsidRDefault="002B3149" w:rsidP="002B3149">
      <w:pPr>
        <w:rPr>
          <w:rFonts w:ascii="Arial" w:hAnsi="Arial" w:cs="Arial"/>
        </w:rPr>
      </w:pPr>
      <w:r w:rsidRPr="00F863D1">
        <w:rPr>
          <w:rFonts w:ascii="Arial" w:hAnsi="Arial" w:cs="Arial"/>
        </w:rPr>
        <w:t xml:space="preserve">Ness, Immanuel., Ovetz, Robert., Roque, Isabel., Swidler, E.-Marie., &amp; Zwick, Austin. (Eds.). (2023). </w:t>
      </w:r>
      <w:r w:rsidRPr="00F863D1">
        <w:rPr>
          <w:rFonts w:ascii="Arial" w:hAnsi="Arial" w:cs="Arial"/>
          <w:i/>
          <w:iCs/>
        </w:rPr>
        <w:t>The Routledge handbook of the gig economy</w:t>
      </w:r>
      <w:r w:rsidRPr="00F863D1">
        <w:rPr>
          <w:rFonts w:ascii="Arial" w:hAnsi="Arial" w:cs="Arial"/>
        </w:rPr>
        <w:t>. Routledge.</w:t>
      </w:r>
    </w:p>
    <w:p w14:paraId="7FFF5330" w14:textId="77777777" w:rsidR="002B3149" w:rsidRPr="00E514BB" w:rsidRDefault="002B3149" w:rsidP="002B3149">
      <w:pPr>
        <w:rPr>
          <w:rFonts w:ascii="Arial" w:hAnsi="Arial" w:cs="Arial"/>
        </w:rPr>
      </w:pPr>
      <w:bookmarkStart w:id="3" w:name="_Hlk201781642"/>
      <w:r w:rsidRPr="00E514BB">
        <w:rPr>
          <w:rFonts w:ascii="Arial" w:hAnsi="Arial" w:cs="Arial"/>
        </w:rPr>
        <w:t>Nikolaou,</w:t>
      </w:r>
      <w:bookmarkEnd w:id="3"/>
      <w:r w:rsidRPr="00E514BB">
        <w:rPr>
          <w:rFonts w:ascii="Arial" w:hAnsi="Arial" w:cs="Arial"/>
        </w:rPr>
        <w:t xml:space="preserve"> I., &amp; Oostrom, J. K. (2015). </w:t>
      </w:r>
      <w:r w:rsidRPr="00E514BB">
        <w:rPr>
          <w:rFonts w:ascii="Arial" w:hAnsi="Arial" w:cs="Arial"/>
          <w:i/>
          <w:iCs/>
        </w:rPr>
        <w:t>Employee recruitment, selection, and assessment : contemporary issues for theory and practice</w:t>
      </w:r>
      <w:r w:rsidRPr="00E514BB">
        <w:rPr>
          <w:rFonts w:ascii="Arial" w:hAnsi="Arial" w:cs="Arial"/>
        </w:rPr>
        <w:t xml:space="preserve"> (1st ed.). Psychology Press. https://doi.org/10.4324/9781315742175</w:t>
      </w:r>
    </w:p>
    <w:p w14:paraId="012761EF" w14:textId="77777777" w:rsidR="002B3149" w:rsidRPr="009E6B79" w:rsidRDefault="002B3149" w:rsidP="002B3149">
      <w:pPr>
        <w:rPr>
          <w:rFonts w:ascii="Arial" w:hAnsi="Arial" w:cs="Arial"/>
        </w:rPr>
      </w:pPr>
      <w:r w:rsidRPr="009E6B79">
        <w:rPr>
          <w:rFonts w:ascii="Arial" w:hAnsi="Arial" w:cs="Arial"/>
        </w:rPr>
        <w:t xml:space="preserve">Nikou, S., &amp; Luukkonen, M. (2024). The push-pull factor model and its implications for the retention of international students in the host country. </w:t>
      </w:r>
      <w:r w:rsidRPr="009E6B79">
        <w:rPr>
          <w:rFonts w:ascii="Arial" w:hAnsi="Arial" w:cs="Arial"/>
          <w:i/>
          <w:iCs/>
        </w:rPr>
        <w:t>Higher Education, Skills and Work-Based Learning</w:t>
      </w:r>
      <w:r w:rsidRPr="009E6B79">
        <w:rPr>
          <w:rFonts w:ascii="Arial" w:hAnsi="Arial" w:cs="Arial"/>
        </w:rPr>
        <w:t xml:space="preserve">, </w:t>
      </w:r>
      <w:r w:rsidRPr="009E6B79">
        <w:rPr>
          <w:rFonts w:ascii="Arial" w:hAnsi="Arial" w:cs="Arial"/>
          <w:i/>
          <w:iCs/>
        </w:rPr>
        <w:t>14</w:t>
      </w:r>
      <w:r w:rsidRPr="009E6B79">
        <w:rPr>
          <w:rFonts w:ascii="Arial" w:hAnsi="Arial" w:cs="Arial"/>
        </w:rPr>
        <w:t xml:space="preserve">(1), 76–94. </w:t>
      </w:r>
      <w:hyperlink r:id="rId82" w:history="1">
        <w:r w:rsidRPr="009E6B79">
          <w:rPr>
            <w:rStyle w:val="Hyperlink"/>
            <w:rFonts w:ascii="Arial" w:hAnsi="Arial" w:cs="Arial"/>
          </w:rPr>
          <w:t>https://doi.org/10.1108/HESWBL-04-2023-0084</w:t>
        </w:r>
      </w:hyperlink>
      <w:r>
        <w:rPr>
          <w:rFonts w:ascii="Arial" w:hAnsi="Arial" w:cs="Arial"/>
        </w:rPr>
        <w:t xml:space="preserve"> </w:t>
      </w:r>
    </w:p>
    <w:p w14:paraId="5EE4CD49" w14:textId="77777777" w:rsidR="002B3149" w:rsidRPr="00C12E0F" w:rsidRDefault="002B3149" w:rsidP="002B3149">
      <w:pPr>
        <w:rPr>
          <w:rFonts w:ascii="Arial" w:hAnsi="Arial" w:cs="Arial"/>
        </w:rPr>
      </w:pPr>
      <w:r w:rsidRPr="00C12E0F">
        <w:rPr>
          <w:rFonts w:ascii="Arial" w:hAnsi="Arial" w:cs="Arial"/>
        </w:rPr>
        <w:t xml:space="preserve">Nye, S. (2018). Working solo. </w:t>
      </w:r>
      <w:r w:rsidRPr="00C12E0F">
        <w:rPr>
          <w:rFonts w:ascii="Arial" w:hAnsi="Arial" w:cs="Arial"/>
          <w:i/>
          <w:iCs/>
        </w:rPr>
        <w:t>New Hampshire Business Review</w:t>
      </w:r>
      <w:r w:rsidRPr="00C12E0F">
        <w:rPr>
          <w:rFonts w:ascii="Arial" w:hAnsi="Arial" w:cs="Arial"/>
        </w:rPr>
        <w:t xml:space="preserve">, </w:t>
      </w:r>
      <w:r w:rsidRPr="00C12E0F">
        <w:rPr>
          <w:rFonts w:ascii="Arial" w:hAnsi="Arial" w:cs="Arial"/>
          <w:i/>
          <w:iCs/>
        </w:rPr>
        <w:t>40</w:t>
      </w:r>
      <w:r w:rsidRPr="00C12E0F">
        <w:rPr>
          <w:rFonts w:ascii="Arial" w:hAnsi="Arial" w:cs="Arial"/>
        </w:rPr>
        <w:t>(15), 8–9.</w:t>
      </w:r>
    </w:p>
    <w:p w14:paraId="0AA463F5" w14:textId="77777777" w:rsidR="002B3149" w:rsidRPr="00DF2736" w:rsidRDefault="002B3149" w:rsidP="002B3149">
      <w:pPr>
        <w:rPr>
          <w:rFonts w:ascii="Arial" w:hAnsi="Arial" w:cs="Arial"/>
        </w:rPr>
      </w:pPr>
      <w:r w:rsidRPr="00DF2736">
        <w:rPr>
          <w:rFonts w:ascii="Arial" w:hAnsi="Arial" w:cs="Arial"/>
        </w:rPr>
        <w:t xml:space="preserve">O’Brien, K. R., &amp; Hebl, M. R. (2015). Great expectations in academia: realistic job previews on jobs and work-family balance. </w:t>
      </w:r>
      <w:r w:rsidRPr="00DF2736">
        <w:rPr>
          <w:rFonts w:ascii="Arial" w:hAnsi="Arial" w:cs="Arial"/>
          <w:i/>
          <w:iCs/>
        </w:rPr>
        <w:t>Gender in Management</w:t>
      </w:r>
      <w:r w:rsidRPr="00DF2736">
        <w:rPr>
          <w:rFonts w:ascii="Arial" w:hAnsi="Arial" w:cs="Arial"/>
        </w:rPr>
        <w:t xml:space="preserve">, </w:t>
      </w:r>
      <w:r w:rsidRPr="00DF2736">
        <w:rPr>
          <w:rFonts w:ascii="Arial" w:hAnsi="Arial" w:cs="Arial"/>
          <w:i/>
          <w:iCs/>
        </w:rPr>
        <w:t>30</w:t>
      </w:r>
      <w:r w:rsidRPr="00DF2736">
        <w:rPr>
          <w:rFonts w:ascii="Arial" w:hAnsi="Arial" w:cs="Arial"/>
        </w:rPr>
        <w:t xml:space="preserve">(6), 457–478. </w:t>
      </w:r>
      <w:hyperlink r:id="rId83" w:history="1">
        <w:r w:rsidRPr="00DF2736">
          <w:rPr>
            <w:rStyle w:val="Hyperlink"/>
            <w:rFonts w:ascii="Arial" w:hAnsi="Arial" w:cs="Arial"/>
          </w:rPr>
          <w:t>https://doi.org/10.1108/GM-02-2014-0014</w:t>
        </w:r>
      </w:hyperlink>
      <w:r>
        <w:rPr>
          <w:rFonts w:ascii="Arial" w:hAnsi="Arial" w:cs="Arial"/>
        </w:rPr>
        <w:t xml:space="preserve"> </w:t>
      </w:r>
    </w:p>
    <w:p w14:paraId="5F9B654D" w14:textId="77777777" w:rsidR="002B3149" w:rsidRDefault="002B3149" w:rsidP="002B3149">
      <w:pPr>
        <w:rPr>
          <w:rFonts w:ascii="Arial" w:hAnsi="Arial" w:cs="Arial"/>
        </w:rPr>
      </w:pPr>
      <w:r w:rsidRPr="003528AD">
        <w:rPr>
          <w:rFonts w:ascii="Arial" w:hAnsi="Arial" w:cs="Arial"/>
        </w:rPr>
        <w:t xml:space="preserve">Ovaska-Few, S. (2019). Responding to the growing gig economy. </w:t>
      </w:r>
      <w:r w:rsidRPr="003528AD">
        <w:rPr>
          <w:rFonts w:ascii="Arial" w:hAnsi="Arial" w:cs="Arial"/>
          <w:i/>
          <w:iCs/>
        </w:rPr>
        <w:t>Journal of Accountancy</w:t>
      </w:r>
      <w:r w:rsidRPr="003528AD">
        <w:rPr>
          <w:rFonts w:ascii="Arial" w:hAnsi="Arial" w:cs="Arial"/>
        </w:rPr>
        <w:t xml:space="preserve">, </w:t>
      </w:r>
      <w:r w:rsidRPr="003528AD">
        <w:rPr>
          <w:rFonts w:ascii="Arial" w:hAnsi="Arial" w:cs="Arial"/>
          <w:i/>
          <w:iCs/>
        </w:rPr>
        <w:t>228</w:t>
      </w:r>
      <w:r w:rsidRPr="003528AD">
        <w:rPr>
          <w:rFonts w:ascii="Arial" w:hAnsi="Arial" w:cs="Arial"/>
        </w:rPr>
        <w:t>(4), 34–37.</w:t>
      </w:r>
    </w:p>
    <w:p w14:paraId="678A16C2" w14:textId="77777777" w:rsidR="002B3149" w:rsidRDefault="002B3149" w:rsidP="002B3149">
      <w:pPr>
        <w:rPr>
          <w:rFonts w:ascii="Arial" w:hAnsi="Arial" w:cs="Arial"/>
        </w:rPr>
      </w:pPr>
      <w:r w:rsidRPr="006154E4">
        <w:rPr>
          <w:rFonts w:ascii="Arial" w:hAnsi="Arial" w:cs="Arial"/>
        </w:rPr>
        <w:t xml:space="preserve">Parker, A., &amp; Gerbasi, A. (2016). The impact of energizing interactions on voluntary and involuntary turnover. </w:t>
      </w:r>
      <w:r w:rsidRPr="006154E4">
        <w:rPr>
          <w:rFonts w:ascii="Arial" w:hAnsi="Arial" w:cs="Arial"/>
          <w:i/>
          <w:iCs/>
        </w:rPr>
        <w:t>Management (Paris, France : 1998)</w:t>
      </w:r>
      <w:r w:rsidRPr="006154E4">
        <w:rPr>
          <w:rFonts w:ascii="Arial" w:hAnsi="Arial" w:cs="Arial"/>
        </w:rPr>
        <w:t xml:space="preserve">, </w:t>
      </w:r>
      <w:r w:rsidRPr="006154E4">
        <w:rPr>
          <w:rFonts w:ascii="Arial" w:hAnsi="Arial" w:cs="Arial"/>
          <w:i/>
          <w:iCs/>
        </w:rPr>
        <w:t>19</w:t>
      </w:r>
      <w:r w:rsidRPr="006154E4">
        <w:rPr>
          <w:rFonts w:ascii="Arial" w:hAnsi="Arial" w:cs="Arial"/>
        </w:rPr>
        <w:t xml:space="preserve">(3), 177–202. </w:t>
      </w:r>
      <w:hyperlink r:id="rId84" w:history="1">
        <w:r w:rsidRPr="006154E4">
          <w:rPr>
            <w:rStyle w:val="Hyperlink"/>
            <w:rFonts w:ascii="Arial" w:hAnsi="Arial" w:cs="Arial"/>
          </w:rPr>
          <w:t>https://doi.org/10.3917/mana.193.0177</w:t>
        </w:r>
      </w:hyperlink>
    </w:p>
    <w:p w14:paraId="3797FDDF" w14:textId="77777777" w:rsidR="002B3149" w:rsidRPr="000F0B3F" w:rsidRDefault="002B3149" w:rsidP="002B3149">
      <w:pPr>
        <w:rPr>
          <w:rFonts w:ascii="Arial" w:hAnsi="Arial" w:cs="Arial"/>
        </w:rPr>
      </w:pPr>
      <w:r w:rsidRPr="000F0B3F">
        <w:rPr>
          <w:rFonts w:ascii="Arial" w:hAnsi="Arial" w:cs="Arial"/>
        </w:rPr>
        <w:t xml:space="preserve">Patel, B., &amp; O’Halloran, R. M. (2022). Housekeeping Staffing Alternatives: Contract Employees or Hire Full-Time. </w:t>
      </w:r>
      <w:r w:rsidRPr="000F0B3F">
        <w:rPr>
          <w:rFonts w:ascii="Arial" w:hAnsi="Arial" w:cs="Arial"/>
          <w:i/>
          <w:iCs/>
        </w:rPr>
        <w:t>Journal of Hospitality &amp; Tourism Cases</w:t>
      </w:r>
      <w:r w:rsidRPr="000F0B3F">
        <w:rPr>
          <w:rFonts w:ascii="Arial" w:hAnsi="Arial" w:cs="Arial"/>
        </w:rPr>
        <w:t xml:space="preserve">, </w:t>
      </w:r>
      <w:r w:rsidRPr="000F0B3F">
        <w:rPr>
          <w:rFonts w:ascii="Arial" w:hAnsi="Arial" w:cs="Arial"/>
          <w:i/>
          <w:iCs/>
        </w:rPr>
        <w:t>10</w:t>
      </w:r>
      <w:r w:rsidRPr="000F0B3F">
        <w:rPr>
          <w:rFonts w:ascii="Arial" w:hAnsi="Arial" w:cs="Arial"/>
        </w:rPr>
        <w:t xml:space="preserve">(4), 6–14. </w:t>
      </w:r>
      <w:hyperlink r:id="rId85" w:history="1">
        <w:r w:rsidRPr="000F0B3F">
          <w:rPr>
            <w:rStyle w:val="Hyperlink"/>
            <w:rFonts w:ascii="Arial" w:hAnsi="Arial" w:cs="Arial"/>
          </w:rPr>
          <w:t>https://doi.org/10.1177/216499872201000402</w:t>
        </w:r>
      </w:hyperlink>
      <w:r>
        <w:rPr>
          <w:rFonts w:ascii="Arial" w:hAnsi="Arial" w:cs="Arial"/>
        </w:rPr>
        <w:t xml:space="preserve"> </w:t>
      </w:r>
    </w:p>
    <w:p w14:paraId="5CF33558" w14:textId="77777777" w:rsidR="002B3149" w:rsidRPr="00E514BB" w:rsidRDefault="002B3149" w:rsidP="002B3149">
      <w:pPr>
        <w:rPr>
          <w:rFonts w:ascii="Arial" w:hAnsi="Arial" w:cs="Arial"/>
        </w:rPr>
      </w:pPr>
      <w:r w:rsidRPr="00E514BB">
        <w:rPr>
          <w:rFonts w:ascii="Arial" w:hAnsi="Arial" w:cs="Arial"/>
        </w:rPr>
        <w:t xml:space="preserve">Phan Xuan Binh, &amp; Nguyen Minh Ha. (2020). Determinants of job seekers to select recruitment agency for new job vacancies. </w:t>
      </w:r>
      <w:r w:rsidRPr="00E514BB">
        <w:rPr>
          <w:rFonts w:ascii="Arial" w:hAnsi="Arial" w:cs="Arial"/>
          <w:i/>
          <w:iCs/>
        </w:rPr>
        <w:t>Ho Chi Minh City Open University Journal of Science - Economics and Business Administration</w:t>
      </w:r>
      <w:r w:rsidRPr="00E514BB">
        <w:rPr>
          <w:rFonts w:ascii="Arial" w:hAnsi="Arial" w:cs="Arial"/>
        </w:rPr>
        <w:t xml:space="preserve">, </w:t>
      </w:r>
      <w:r w:rsidRPr="00E514BB">
        <w:rPr>
          <w:rFonts w:ascii="Arial" w:hAnsi="Arial" w:cs="Arial"/>
          <w:i/>
          <w:iCs/>
        </w:rPr>
        <w:t>1</w:t>
      </w:r>
      <w:r w:rsidRPr="00E514BB">
        <w:rPr>
          <w:rFonts w:ascii="Arial" w:hAnsi="Arial" w:cs="Arial"/>
        </w:rPr>
        <w:t xml:space="preserve">(1), 77–86. </w:t>
      </w:r>
      <w:hyperlink r:id="rId86" w:history="1">
        <w:r w:rsidRPr="00E514BB">
          <w:rPr>
            <w:rStyle w:val="Hyperlink"/>
            <w:rFonts w:ascii="Arial" w:hAnsi="Arial" w:cs="Arial"/>
          </w:rPr>
          <w:t>https://doi.org/10.46223/HCMCOUJS.econ.en.1.1.120.2011</w:t>
        </w:r>
      </w:hyperlink>
      <w:r>
        <w:rPr>
          <w:rFonts w:ascii="Arial" w:hAnsi="Arial" w:cs="Arial"/>
        </w:rPr>
        <w:t xml:space="preserve"> </w:t>
      </w:r>
    </w:p>
    <w:p w14:paraId="795248EE" w14:textId="77777777" w:rsidR="002B3149" w:rsidRPr="006C4196" w:rsidRDefault="002B3149" w:rsidP="002B3149">
      <w:pPr>
        <w:rPr>
          <w:rFonts w:ascii="Arial" w:hAnsi="Arial" w:cs="Arial"/>
        </w:rPr>
      </w:pPr>
      <w:r w:rsidRPr="006C4196">
        <w:rPr>
          <w:rFonts w:ascii="Arial" w:hAnsi="Arial" w:cs="Arial"/>
        </w:rPr>
        <w:t xml:space="preserve">Picardi, C. A. (2020). </w:t>
      </w:r>
      <w:r w:rsidRPr="006C4196">
        <w:rPr>
          <w:rFonts w:ascii="Arial" w:hAnsi="Arial" w:cs="Arial"/>
          <w:i/>
          <w:iCs/>
        </w:rPr>
        <w:t>Recruitment and selection : strategies for workforce planning and assessment</w:t>
      </w:r>
      <w:r w:rsidRPr="006C4196">
        <w:rPr>
          <w:rFonts w:ascii="Arial" w:hAnsi="Arial" w:cs="Arial"/>
        </w:rPr>
        <w:t>. SAGE.</w:t>
      </w:r>
    </w:p>
    <w:p w14:paraId="64C4DC1A" w14:textId="77777777" w:rsidR="002B3149" w:rsidRDefault="002B3149" w:rsidP="002B3149">
      <w:pPr>
        <w:rPr>
          <w:rFonts w:ascii="Arial" w:hAnsi="Arial" w:cs="Arial"/>
        </w:rPr>
      </w:pPr>
      <w:r w:rsidRPr="006E0AB0">
        <w:rPr>
          <w:rFonts w:ascii="Arial" w:hAnsi="Arial" w:cs="Arial"/>
        </w:rPr>
        <w:lastRenderedPageBreak/>
        <w:t xml:space="preserve">‌Pilbeam, S., &amp; Corbridge, M. (2010). </w:t>
      </w:r>
      <w:r w:rsidRPr="006E0AB0">
        <w:rPr>
          <w:rFonts w:ascii="Arial" w:hAnsi="Arial" w:cs="Arial"/>
          <w:i/>
          <w:iCs/>
        </w:rPr>
        <w:t>People resourcing and talent planning : HRM in practice</w:t>
      </w:r>
      <w:r w:rsidRPr="006E0AB0">
        <w:rPr>
          <w:rFonts w:ascii="Arial" w:hAnsi="Arial" w:cs="Arial"/>
        </w:rPr>
        <w:t xml:space="preserve"> (Fourth edition.). Pearson Education Limited.</w:t>
      </w:r>
    </w:p>
    <w:p w14:paraId="6F3CC535" w14:textId="77777777" w:rsidR="002B3149" w:rsidRDefault="002B3149" w:rsidP="002B3149">
      <w:pPr>
        <w:rPr>
          <w:rFonts w:ascii="Arial" w:hAnsi="Arial" w:cs="Arial"/>
        </w:rPr>
      </w:pPr>
      <w:r w:rsidRPr="00AC5206">
        <w:rPr>
          <w:rFonts w:ascii="Arial" w:hAnsi="Arial" w:cs="Arial"/>
        </w:rPr>
        <w:t xml:space="preserve">PINCO, O., &amp; CRIȘAN, E. (2024). UNLOCKING ONBOARDING SUCCESS: ESSENTIAL KEYS TO EMPLOYEE INTEGRATION. </w:t>
      </w:r>
      <w:r w:rsidRPr="00AC5206">
        <w:rPr>
          <w:rFonts w:ascii="Arial" w:hAnsi="Arial" w:cs="Arial"/>
          <w:i/>
          <w:iCs/>
        </w:rPr>
        <w:t>Analele Universităţii Din Oradea. Ştiinţe Economice</w:t>
      </w:r>
      <w:r w:rsidRPr="00AC5206">
        <w:rPr>
          <w:rFonts w:ascii="Arial" w:hAnsi="Arial" w:cs="Arial"/>
        </w:rPr>
        <w:t xml:space="preserve">, </w:t>
      </w:r>
      <w:r w:rsidRPr="00AC5206">
        <w:rPr>
          <w:rFonts w:ascii="Arial" w:hAnsi="Arial" w:cs="Arial"/>
          <w:i/>
          <w:iCs/>
        </w:rPr>
        <w:t>33</w:t>
      </w:r>
      <w:r w:rsidRPr="00AC5206">
        <w:rPr>
          <w:rFonts w:ascii="Arial" w:hAnsi="Arial" w:cs="Arial"/>
        </w:rPr>
        <w:t xml:space="preserve">(1), 587–596. </w:t>
      </w:r>
      <w:hyperlink r:id="rId87" w:history="1">
        <w:r w:rsidRPr="00AC5206">
          <w:rPr>
            <w:rStyle w:val="Hyperlink"/>
            <w:rFonts w:ascii="Arial" w:hAnsi="Arial" w:cs="Arial"/>
          </w:rPr>
          <w:t>https://doi.org/10.47535/1991AUOES33(1)065</w:t>
        </w:r>
      </w:hyperlink>
      <w:r>
        <w:rPr>
          <w:rFonts w:ascii="Arial" w:hAnsi="Arial" w:cs="Arial"/>
        </w:rPr>
        <w:t xml:space="preserve"> </w:t>
      </w:r>
    </w:p>
    <w:p w14:paraId="09667473" w14:textId="77777777" w:rsidR="002B3149" w:rsidRPr="00F863D1" w:rsidRDefault="002B3149" w:rsidP="002B3149">
      <w:pPr>
        <w:rPr>
          <w:rFonts w:ascii="Arial" w:hAnsi="Arial" w:cs="Arial"/>
        </w:rPr>
      </w:pPr>
      <w:r w:rsidRPr="00F863D1">
        <w:rPr>
          <w:rFonts w:ascii="Arial" w:hAnsi="Arial" w:cs="Arial"/>
        </w:rPr>
        <w:t xml:space="preserve">Porter, M. E. (1998). </w:t>
      </w:r>
      <w:r w:rsidRPr="00F863D1">
        <w:rPr>
          <w:rFonts w:ascii="Arial" w:hAnsi="Arial" w:cs="Arial"/>
          <w:i/>
          <w:iCs/>
        </w:rPr>
        <w:t>Competitive strategy : techniques for analyzing industries and competitors</w:t>
      </w:r>
      <w:r w:rsidRPr="00F863D1">
        <w:rPr>
          <w:rFonts w:ascii="Arial" w:hAnsi="Arial" w:cs="Arial"/>
        </w:rPr>
        <w:t xml:space="preserve"> (1st ed.). Free Press. </w:t>
      </w:r>
    </w:p>
    <w:p w14:paraId="3A8E0C5C" w14:textId="77777777" w:rsidR="002B3149" w:rsidRPr="00437974" w:rsidRDefault="002B3149" w:rsidP="002B3149">
      <w:pPr>
        <w:rPr>
          <w:rFonts w:ascii="Arial" w:hAnsi="Arial" w:cs="Arial"/>
        </w:rPr>
      </w:pPr>
      <w:bookmarkStart w:id="4" w:name="_Hlk201781955"/>
      <w:r w:rsidRPr="00437974">
        <w:rPr>
          <w:rFonts w:ascii="Arial" w:hAnsi="Arial" w:cs="Arial"/>
        </w:rPr>
        <w:t>Prochazka</w:t>
      </w:r>
      <w:bookmarkEnd w:id="4"/>
      <w:r w:rsidRPr="00437974">
        <w:rPr>
          <w:rFonts w:ascii="Arial" w:hAnsi="Arial" w:cs="Arial"/>
        </w:rPr>
        <w:t xml:space="preserve">, J., Novacek, J., &amp; Vaculik, M. (2023). The evaluation of personnel selection methods by HR practitioners: The effect of reference and its interaction with information about validity. </w:t>
      </w:r>
      <w:r w:rsidRPr="00437974">
        <w:rPr>
          <w:rFonts w:ascii="Arial" w:hAnsi="Arial" w:cs="Arial"/>
          <w:i/>
          <w:iCs/>
        </w:rPr>
        <w:t>International Journal of Human Resource Management</w:t>
      </w:r>
      <w:r w:rsidRPr="00437974">
        <w:rPr>
          <w:rFonts w:ascii="Arial" w:hAnsi="Arial" w:cs="Arial"/>
        </w:rPr>
        <w:t xml:space="preserve">, </w:t>
      </w:r>
      <w:r w:rsidRPr="00437974">
        <w:rPr>
          <w:rFonts w:ascii="Arial" w:hAnsi="Arial" w:cs="Arial"/>
          <w:i/>
          <w:iCs/>
        </w:rPr>
        <w:t>34</w:t>
      </w:r>
      <w:r w:rsidRPr="00437974">
        <w:rPr>
          <w:rFonts w:ascii="Arial" w:hAnsi="Arial" w:cs="Arial"/>
        </w:rPr>
        <w:t xml:space="preserve">(16), 3233–3251. </w:t>
      </w:r>
      <w:hyperlink r:id="rId88" w:history="1">
        <w:r w:rsidRPr="00437974">
          <w:rPr>
            <w:rStyle w:val="Hyperlink"/>
            <w:rFonts w:ascii="Arial" w:hAnsi="Arial" w:cs="Arial"/>
          </w:rPr>
          <w:t>https://doi.org/10.1080/09585192.2022.2117563</w:t>
        </w:r>
      </w:hyperlink>
      <w:r>
        <w:rPr>
          <w:rFonts w:ascii="Arial" w:hAnsi="Arial" w:cs="Arial"/>
        </w:rPr>
        <w:t xml:space="preserve"> </w:t>
      </w:r>
    </w:p>
    <w:p w14:paraId="767D022E" w14:textId="77777777" w:rsidR="002B3149" w:rsidRDefault="002B3149" w:rsidP="002B3149">
      <w:pPr>
        <w:rPr>
          <w:rFonts w:ascii="Arial" w:hAnsi="Arial" w:cs="Arial"/>
        </w:rPr>
      </w:pPr>
      <w:r w:rsidRPr="00AD733F">
        <w:rPr>
          <w:rFonts w:ascii="Arial" w:hAnsi="Arial" w:cs="Arial"/>
        </w:rPr>
        <w:t xml:space="preserve">Quirk, S., &amp; Sacopulos, M. J. (2021). Successful Hiring, Onboarding, and Retention of Physicians. </w:t>
      </w:r>
      <w:r w:rsidRPr="00AD733F">
        <w:rPr>
          <w:rFonts w:ascii="Arial" w:hAnsi="Arial" w:cs="Arial"/>
          <w:i/>
          <w:iCs/>
        </w:rPr>
        <w:t>The Journal of Medical Practice Management</w:t>
      </w:r>
      <w:r w:rsidRPr="00AD733F">
        <w:rPr>
          <w:rFonts w:ascii="Arial" w:hAnsi="Arial" w:cs="Arial"/>
        </w:rPr>
        <w:t xml:space="preserve">, </w:t>
      </w:r>
      <w:r w:rsidRPr="00AD733F">
        <w:rPr>
          <w:rFonts w:ascii="Arial" w:hAnsi="Arial" w:cs="Arial"/>
          <w:i/>
          <w:iCs/>
        </w:rPr>
        <w:t>36</w:t>
      </w:r>
      <w:r w:rsidRPr="00AD733F">
        <w:rPr>
          <w:rFonts w:ascii="Arial" w:hAnsi="Arial" w:cs="Arial"/>
        </w:rPr>
        <w:t>(6), 315–317.</w:t>
      </w:r>
      <w:r>
        <w:rPr>
          <w:rFonts w:ascii="Arial" w:hAnsi="Arial" w:cs="Arial"/>
        </w:rPr>
        <w:t xml:space="preserve"> </w:t>
      </w:r>
    </w:p>
    <w:p w14:paraId="34C999F8" w14:textId="77777777" w:rsidR="002B3149" w:rsidRPr="00871FA7" w:rsidRDefault="002B3149" w:rsidP="002B3149">
      <w:pPr>
        <w:rPr>
          <w:rFonts w:ascii="Arial" w:hAnsi="Arial" w:cs="Arial"/>
        </w:rPr>
      </w:pPr>
      <w:r w:rsidRPr="00871FA7">
        <w:rPr>
          <w:rFonts w:ascii="Arial" w:hAnsi="Arial" w:cs="Arial"/>
        </w:rPr>
        <w:t xml:space="preserve">Raff, D. M. G., &amp; Scranton, P. (Eds.). (2017). </w:t>
      </w:r>
      <w:r w:rsidRPr="00871FA7">
        <w:rPr>
          <w:rFonts w:ascii="Arial" w:hAnsi="Arial" w:cs="Arial"/>
          <w:i/>
          <w:iCs/>
        </w:rPr>
        <w:t>The emergence of routines : entrepreneurship, organization, and business history</w:t>
      </w:r>
      <w:r w:rsidRPr="00871FA7">
        <w:rPr>
          <w:rFonts w:ascii="Arial" w:hAnsi="Arial" w:cs="Arial"/>
        </w:rPr>
        <w:t xml:space="preserve"> (First edition.). Oxford University Press.</w:t>
      </w:r>
      <w:r>
        <w:rPr>
          <w:rFonts w:ascii="Arial" w:hAnsi="Arial" w:cs="Arial"/>
        </w:rPr>
        <w:t xml:space="preserve"> </w:t>
      </w:r>
    </w:p>
    <w:p w14:paraId="3524914B" w14:textId="77777777" w:rsidR="002B3149" w:rsidRPr="00BE3937" w:rsidRDefault="002B3149" w:rsidP="002B3149">
      <w:pPr>
        <w:rPr>
          <w:rFonts w:ascii="Arial" w:hAnsi="Arial" w:cs="Arial"/>
        </w:rPr>
      </w:pPr>
      <w:r w:rsidRPr="00BE3937">
        <w:rPr>
          <w:rFonts w:ascii="Arial" w:hAnsi="Arial" w:cs="Arial"/>
        </w:rPr>
        <w:t xml:space="preserve">Redding, C., Booker, L. N., Smith, T. M., &amp; Desimone, L. M. (2019). School administrators’ direct and indirect influences on middle school math teachers’ turnover. </w:t>
      </w:r>
      <w:r w:rsidRPr="00BE3937">
        <w:rPr>
          <w:rFonts w:ascii="Arial" w:hAnsi="Arial" w:cs="Arial"/>
          <w:i/>
          <w:iCs/>
        </w:rPr>
        <w:t>Journal of Educational Administration</w:t>
      </w:r>
      <w:r w:rsidRPr="00BE3937">
        <w:rPr>
          <w:rFonts w:ascii="Arial" w:hAnsi="Arial" w:cs="Arial"/>
        </w:rPr>
        <w:t xml:space="preserve">, </w:t>
      </w:r>
      <w:r w:rsidRPr="00BE3937">
        <w:rPr>
          <w:rFonts w:ascii="Arial" w:hAnsi="Arial" w:cs="Arial"/>
          <w:i/>
          <w:iCs/>
        </w:rPr>
        <w:t>57</w:t>
      </w:r>
      <w:r w:rsidRPr="00BE3937">
        <w:rPr>
          <w:rFonts w:ascii="Arial" w:hAnsi="Arial" w:cs="Arial"/>
        </w:rPr>
        <w:t xml:space="preserve">(6), 708–730. </w:t>
      </w:r>
      <w:hyperlink r:id="rId89" w:history="1">
        <w:r w:rsidRPr="00BE3937">
          <w:rPr>
            <w:rStyle w:val="Hyperlink"/>
            <w:rFonts w:ascii="Arial" w:hAnsi="Arial" w:cs="Arial"/>
          </w:rPr>
          <w:t>https://doi.org/10.1108/JEA-10-2018-0190</w:t>
        </w:r>
      </w:hyperlink>
      <w:r>
        <w:rPr>
          <w:rFonts w:ascii="Arial" w:hAnsi="Arial" w:cs="Arial"/>
        </w:rPr>
        <w:t xml:space="preserve"> </w:t>
      </w:r>
    </w:p>
    <w:p w14:paraId="56E6A7B0" w14:textId="77777777" w:rsidR="002B3149" w:rsidRPr="000C4DA6" w:rsidRDefault="002B3149" w:rsidP="002B3149">
      <w:pPr>
        <w:rPr>
          <w:rFonts w:ascii="Arial" w:hAnsi="Arial" w:cs="Arial"/>
        </w:rPr>
      </w:pPr>
      <w:r w:rsidRPr="000C4DA6">
        <w:rPr>
          <w:rFonts w:ascii="Arial" w:hAnsi="Arial" w:cs="Arial"/>
        </w:rPr>
        <w:t xml:space="preserve">Reljanović Mario Lj. (2019). Zero working hours contracts Zero working hours contracts. </w:t>
      </w:r>
      <w:r w:rsidRPr="000C4DA6">
        <w:rPr>
          <w:rFonts w:ascii="Arial" w:hAnsi="Arial" w:cs="Arial"/>
          <w:i/>
          <w:iCs/>
        </w:rPr>
        <w:t>Strani Pravni Život</w:t>
      </w:r>
      <w:r w:rsidRPr="000C4DA6">
        <w:rPr>
          <w:rFonts w:ascii="Arial" w:hAnsi="Arial" w:cs="Arial"/>
        </w:rPr>
        <w:t xml:space="preserve">, </w:t>
      </w:r>
      <w:r w:rsidRPr="000C4DA6">
        <w:rPr>
          <w:rFonts w:ascii="Arial" w:hAnsi="Arial" w:cs="Arial"/>
          <w:i/>
          <w:iCs/>
        </w:rPr>
        <w:t>2019</w:t>
      </w:r>
      <w:r w:rsidRPr="000C4DA6">
        <w:rPr>
          <w:rFonts w:ascii="Arial" w:hAnsi="Arial" w:cs="Arial"/>
        </w:rPr>
        <w:t>(3), 33–47.</w:t>
      </w:r>
    </w:p>
    <w:p w14:paraId="69BBE2AD" w14:textId="77777777" w:rsidR="002B3149" w:rsidRPr="00DF2736" w:rsidRDefault="002B3149" w:rsidP="002B3149">
      <w:pPr>
        <w:rPr>
          <w:rFonts w:ascii="Arial" w:hAnsi="Arial" w:cs="Arial"/>
        </w:rPr>
      </w:pPr>
      <w:r w:rsidRPr="00DF2736">
        <w:rPr>
          <w:rFonts w:ascii="Arial" w:hAnsi="Arial" w:cs="Arial"/>
        </w:rPr>
        <w:t xml:space="preserve">Richardson, J., McBey, K., &amp; McKenna, S. (2008). Integrating realistic job previews and realistic living conditions previews: Realistic recruitment for internationally mobile knowledge workers. </w:t>
      </w:r>
      <w:r w:rsidRPr="00DF2736">
        <w:rPr>
          <w:rFonts w:ascii="Arial" w:hAnsi="Arial" w:cs="Arial"/>
          <w:i/>
          <w:iCs/>
        </w:rPr>
        <w:t>Personnel Review</w:t>
      </w:r>
      <w:r w:rsidRPr="00DF2736">
        <w:rPr>
          <w:rFonts w:ascii="Arial" w:hAnsi="Arial" w:cs="Arial"/>
        </w:rPr>
        <w:t xml:space="preserve">, </w:t>
      </w:r>
      <w:r w:rsidRPr="00DF2736">
        <w:rPr>
          <w:rFonts w:ascii="Arial" w:hAnsi="Arial" w:cs="Arial"/>
          <w:i/>
          <w:iCs/>
        </w:rPr>
        <w:t>37</w:t>
      </w:r>
      <w:r w:rsidRPr="00DF2736">
        <w:rPr>
          <w:rFonts w:ascii="Arial" w:hAnsi="Arial" w:cs="Arial"/>
        </w:rPr>
        <w:t>(5), 490–508. https://doi.org/10.1108/00483480810891646</w:t>
      </w:r>
    </w:p>
    <w:p w14:paraId="67F3FB95" w14:textId="77777777" w:rsidR="002B3149" w:rsidRPr="00A23ACC" w:rsidRDefault="002B3149" w:rsidP="002B3149">
      <w:pPr>
        <w:rPr>
          <w:rFonts w:ascii="Arial" w:hAnsi="Arial" w:cs="Arial"/>
        </w:rPr>
      </w:pPr>
      <w:r w:rsidRPr="00A23ACC">
        <w:rPr>
          <w:rFonts w:ascii="Arial" w:hAnsi="Arial" w:cs="Arial"/>
        </w:rPr>
        <w:t xml:space="preserve">Rogers, J. (2001). Tight labor market loosens a bit. In </w:t>
      </w:r>
      <w:r w:rsidRPr="00A23ACC">
        <w:rPr>
          <w:rFonts w:ascii="Arial" w:hAnsi="Arial" w:cs="Arial"/>
          <w:i/>
          <w:iCs/>
        </w:rPr>
        <w:t>National jeweler</w:t>
      </w:r>
      <w:r w:rsidRPr="00A23ACC">
        <w:rPr>
          <w:rFonts w:ascii="Arial" w:hAnsi="Arial" w:cs="Arial"/>
        </w:rPr>
        <w:t xml:space="preserve"> (Vol. 45, Number 3, pp. 6-). Jewelers of America.</w:t>
      </w:r>
      <w:r w:rsidRPr="00F863D1">
        <w:rPr>
          <w:rFonts w:ascii="Arial" w:hAnsi="Arial" w:cs="Arial"/>
        </w:rPr>
        <w:t xml:space="preserve"> </w:t>
      </w:r>
    </w:p>
    <w:p w14:paraId="1607832F" w14:textId="77777777" w:rsidR="002B3149" w:rsidRDefault="002B3149" w:rsidP="002B3149">
      <w:pPr>
        <w:rPr>
          <w:rFonts w:ascii="Arial" w:hAnsi="Arial" w:cs="Arial"/>
        </w:rPr>
      </w:pPr>
      <w:r>
        <w:rPr>
          <w:rFonts w:ascii="Arial" w:hAnsi="Arial" w:cs="Arial"/>
        </w:rPr>
        <w:t xml:space="preserve"> </w:t>
      </w:r>
      <w:r w:rsidRPr="009E6B79">
        <w:rPr>
          <w:rFonts w:ascii="Arial" w:hAnsi="Arial" w:cs="Arial"/>
        </w:rPr>
        <w:t xml:space="preserve">Rosen, J., Stiehl, E. M., Mittal, V., &amp; Leana, C. R. (2011). Stayers, Leavers, and Switchers Among Certified Nursing Assistants in Nursing Homes: A Longitudinal Investigation of Turnover Intent, Staff Retention, and Turnover. </w:t>
      </w:r>
      <w:r w:rsidRPr="009E6B79">
        <w:rPr>
          <w:rFonts w:ascii="Arial" w:hAnsi="Arial" w:cs="Arial"/>
          <w:i/>
          <w:iCs/>
        </w:rPr>
        <w:t>The Gerontologist</w:t>
      </w:r>
      <w:r w:rsidRPr="009E6B79">
        <w:rPr>
          <w:rFonts w:ascii="Arial" w:hAnsi="Arial" w:cs="Arial"/>
        </w:rPr>
        <w:t xml:space="preserve">, </w:t>
      </w:r>
      <w:r w:rsidRPr="009E6B79">
        <w:rPr>
          <w:rFonts w:ascii="Arial" w:hAnsi="Arial" w:cs="Arial"/>
          <w:i/>
          <w:iCs/>
        </w:rPr>
        <w:t>51</w:t>
      </w:r>
      <w:r w:rsidRPr="009E6B79">
        <w:rPr>
          <w:rFonts w:ascii="Arial" w:hAnsi="Arial" w:cs="Arial"/>
        </w:rPr>
        <w:t xml:space="preserve">(5), 597–609. </w:t>
      </w:r>
      <w:hyperlink r:id="rId90" w:history="1">
        <w:r w:rsidRPr="000462F8">
          <w:rPr>
            <w:rStyle w:val="Hyperlink"/>
            <w:rFonts w:ascii="Arial" w:hAnsi="Arial" w:cs="Arial"/>
          </w:rPr>
          <w:t>https://doi.org/10.1093/geront/gnr025</w:t>
        </w:r>
      </w:hyperlink>
      <w:r>
        <w:rPr>
          <w:rFonts w:ascii="Arial" w:hAnsi="Arial" w:cs="Arial"/>
        </w:rPr>
        <w:t xml:space="preserve"> </w:t>
      </w:r>
    </w:p>
    <w:p w14:paraId="394065CF" w14:textId="77777777" w:rsidR="002B3149" w:rsidRPr="008A6BB6" w:rsidRDefault="002B3149" w:rsidP="002B3149">
      <w:pPr>
        <w:rPr>
          <w:rFonts w:ascii="Arial" w:hAnsi="Arial" w:cs="Arial"/>
        </w:rPr>
      </w:pPr>
      <w:r w:rsidRPr="00CC4630">
        <w:rPr>
          <w:rFonts w:ascii="Arial" w:hAnsi="Arial" w:cs="Arial"/>
        </w:rPr>
        <w:t>‌</w:t>
      </w:r>
      <w:r w:rsidRPr="008A6BB6">
        <w:rPr>
          <w:rFonts w:ascii="Arial" w:hAnsi="Arial" w:cs="Arial"/>
        </w:rPr>
        <w:t xml:space="preserve">Rubenstein, A. L., Kammeyer-Mueller, J. D., Wang, M., &amp; Thundiyil, T. G. (2019). “Embedded” at hire? Predicting the voluntary and involuntary turnover of new employees. </w:t>
      </w:r>
      <w:r w:rsidRPr="008A6BB6">
        <w:rPr>
          <w:rFonts w:ascii="Arial" w:hAnsi="Arial" w:cs="Arial"/>
          <w:i/>
          <w:iCs/>
        </w:rPr>
        <w:t>Journal of Organizational Behavior</w:t>
      </w:r>
      <w:r w:rsidRPr="008A6BB6">
        <w:rPr>
          <w:rFonts w:ascii="Arial" w:hAnsi="Arial" w:cs="Arial"/>
        </w:rPr>
        <w:t xml:space="preserve">, </w:t>
      </w:r>
      <w:r w:rsidRPr="008A6BB6">
        <w:rPr>
          <w:rFonts w:ascii="Arial" w:hAnsi="Arial" w:cs="Arial"/>
          <w:i/>
          <w:iCs/>
        </w:rPr>
        <w:t>40</w:t>
      </w:r>
      <w:r w:rsidRPr="008A6BB6">
        <w:rPr>
          <w:rFonts w:ascii="Arial" w:hAnsi="Arial" w:cs="Arial"/>
        </w:rPr>
        <w:t xml:space="preserve">(3), 342–359. </w:t>
      </w:r>
      <w:hyperlink r:id="rId91" w:history="1">
        <w:r w:rsidRPr="000462F8">
          <w:rPr>
            <w:rStyle w:val="Hyperlink"/>
            <w:rFonts w:ascii="Arial" w:hAnsi="Arial" w:cs="Arial"/>
          </w:rPr>
          <w:t>https://doi.org/10.1002/job.2335</w:t>
        </w:r>
      </w:hyperlink>
      <w:r>
        <w:rPr>
          <w:rFonts w:ascii="Arial" w:hAnsi="Arial" w:cs="Arial"/>
        </w:rPr>
        <w:t xml:space="preserve"> </w:t>
      </w:r>
    </w:p>
    <w:p w14:paraId="768E97D4" w14:textId="77777777" w:rsidR="002B3149" w:rsidRPr="00BE3937" w:rsidRDefault="002B3149" w:rsidP="002B3149">
      <w:pPr>
        <w:rPr>
          <w:rFonts w:ascii="Arial" w:hAnsi="Arial" w:cs="Arial"/>
        </w:rPr>
      </w:pPr>
      <w:r w:rsidRPr="00BE3937">
        <w:rPr>
          <w:rFonts w:ascii="Arial" w:hAnsi="Arial" w:cs="Arial"/>
        </w:rPr>
        <w:t xml:space="preserve">Ryan, J. C. (2021). Retaining, resigning and firing: bibliometrics as a people analytics tool for examining research performance outcomes and faculty turnover. </w:t>
      </w:r>
      <w:r w:rsidRPr="00BE3937">
        <w:rPr>
          <w:rFonts w:ascii="Arial" w:hAnsi="Arial" w:cs="Arial"/>
          <w:i/>
          <w:iCs/>
        </w:rPr>
        <w:t>Personnel Review</w:t>
      </w:r>
      <w:r w:rsidRPr="00BE3937">
        <w:rPr>
          <w:rFonts w:ascii="Arial" w:hAnsi="Arial" w:cs="Arial"/>
        </w:rPr>
        <w:t xml:space="preserve">, </w:t>
      </w:r>
      <w:r w:rsidRPr="00BE3937">
        <w:rPr>
          <w:rFonts w:ascii="Arial" w:hAnsi="Arial" w:cs="Arial"/>
          <w:i/>
          <w:iCs/>
        </w:rPr>
        <w:t>50</w:t>
      </w:r>
      <w:r w:rsidRPr="00BE3937">
        <w:rPr>
          <w:rFonts w:ascii="Arial" w:hAnsi="Arial" w:cs="Arial"/>
        </w:rPr>
        <w:t xml:space="preserve">(5), 1316–1335. </w:t>
      </w:r>
      <w:hyperlink r:id="rId92" w:history="1">
        <w:r w:rsidRPr="00BE3937">
          <w:rPr>
            <w:rStyle w:val="Hyperlink"/>
            <w:rFonts w:ascii="Arial" w:hAnsi="Arial" w:cs="Arial"/>
          </w:rPr>
          <w:t>https://doi.org/10.1108/PR-12-2019-0676</w:t>
        </w:r>
      </w:hyperlink>
      <w:r>
        <w:rPr>
          <w:rFonts w:ascii="Arial" w:hAnsi="Arial" w:cs="Arial"/>
        </w:rPr>
        <w:t xml:space="preserve"> </w:t>
      </w:r>
    </w:p>
    <w:p w14:paraId="576393DB" w14:textId="77777777" w:rsidR="002B3149" w:rsidRPr="006A3554" w:rsidRDefault="002B3149" w:rsidP="002B3149">
      <w:pPr>
        <w:rPr>
          <w:rFonts w:ascii="Arial" w:hAnsi="Arial" w:cs="Arial"/>
        </w:rPr>
      </w:pPr>
      <w:bookmarkStart w:id="5" w:name="_Hlk201777476"/>
      <w:r w:rsidRPr="006A3554">
        <w:rPr>
          <w:rFonts w:ascii="Arial" w:hAnsi="Arial" w:cs="Arial"/>
        </w:rPr>
        <w:t>Safaei</w:t>
      </w:r>
      <w:bookmarkEnd w:id="5"/>
      <w:r w:rsidRPr="006A3554">
        <w:rPr>
          <w:rFonts w:ascii="Arial" w:hAnsi="Arial" w:cs="Arial"/>
        </w:rPr>
        <w:t xml:space="preserve">, N., Banjevic, D., &amp; Jardine, A. K. S. (2012). Workforce Planning for Power Restoration: An Integrated Simulation-Optimization Approach. </w:t>
      </w:r>
      <w:r w:rsidRPr="006A3554">
        <w:rPr>
          <w:rFonts w:ascii="Arial" w:hAnsi="Arial" w:cs="Arial"/>
          <w:i/>
          <w:iCs/>
        </w:rPr>
        <w:t>IEEE Transactions on Power Systems</w:t>
      </w:r>
      <w:r w:rsidRPr="006A3554">
        <w:rPr>
          <w:rFonts w:ascii="Arial" w:hAnsi="Arial" w:cs="Arial"/>
        </w:rPr>
        <w:t xml:space="preserve">, </w:t>
      </w:r>
      <w:r w:rsidRPr="006A3554">
        <w:rPr>
          <w:rFonts w:ascii="Arial" w:hAnsi="Arial" w:cs="Arial"/>
          <w:i/>
          <w:iCs/>
        </w:rPr>
        <w:t>27</w:t>
      </w:r>
      <w:r w:rsidRPr="006A3554">
        <w:rPr>
          <w:rFonts w:ascii="Arial" w:hAnsi="Arial" w:cs="Arial"/>
        </w:rPr>
        <w:t xml:space="preserve">(1), 442–449. </w:t>
      </w:r>
      <w:hyperlink r:id="rId93" w:history="1">
        <w:r w:rsidRPr="006A3554">
          <w:rPr>
            <w:rStyle w:val="Hyperlink"/>
            <w:rFonts w:ascii="Arial" w:hAnsi="Arial" w:cs="Arial"/>
          </w:rPr>
          <w:t>https://doi.org/10.1109/TPWRS.2011.2166090</w:t>
        </w:r>
      </w:hyperlink>
      <w:r>
        <w:rPr>
          <w:rFonts w:ascii="Arial" w:hAnsi="Arial" w:cs="Arial"/>
        </w:rPr>
        <w:t xml:space="preserve"> </w:t>
      </w:r>
    </w:p>
    <w:p w14:paraId="222C0B82" w14:textId="77777777" w:rsidR="002B3149" w:rsidRPr="006A3554" w:rsidRDefault="002B3149" w:rsidP="002B3149">
      <w:pPr>
        <w:rPr>
          <w:rFonts w:ascii="Arial" w:hAnsi="Arial" w:cs="Arial"/>
        </w:rPr>
      </w:pPr>
      <w:bookmarkStart w:id="6" w:name="_Hlk201777411"/>
      <w:r w:rsidRPr="006A3554">
        <w:rPr>
          <w:rFonts w:ascii="Arial" w:hAnsi="Arial" w:cs="Arial"/>
        </w:rPr>
        <w:t xml:space="preserve">Safarishahrbijari, </w:t>
      </w:r>
      <w:bookmarkEnd w:id="6"/>
      <w:r w:rsidRPr="006A3554">
        <w:rPr>
          <w:rFonts w:ascii="Arial" w:hAnsi="Arial" w:cs="Arial"/>
        </w:rPr>
        <w:t xml:space="preserve">A. (2018). Workforce forecasting models: A systematic review. </w:t>
      </w:r>
      <w:r w:rsidRPr="006A3554">
        <w:rPr>
          <w:rFonts w:ascii="Arial" w:hAnsi="Arial" w:cs="Arial"/>
          <w:i/>
          <w:iCs/>
        </w:rPr>
        <w:t>Journal of Forecasting</w:t>
      </w:r>
      <w:r w:rsidRPr="006A3554">
        <w:rPr>
          <w:rFonts w:ascii="Arial" w:hAnsi="Arial" w:cs="Arial"/>
        </w:rPr>
        <w:t xml:space="preserve">, </w:t>
      </w:r>
      <w:r w:rsidRPr="006A3554">
        <w:rPr>
          <w:rFonts w:ascii="Arial" w:hAnsi="Arial" w:cs="Arial"/>
          <w:i/>
          <w:iCs/>
        </w:rPr>
        <w:t>37</w:t>
      </w:r>
      <w:r w:rsidRPr="006A3554">
        <w:rPr>
          <w:rFonts w:ascii="Arial" w:hAnsi="Arial" w:cs="Arial"/>
        </w:rPr>
        <w:t>(7), 739–753. https://doi.org/10.1002/for.2541</w:t>
      </w:r>
    </w:p>
    <w:p w14:paraId="0EC230A1" w14:textId="77777777" w:rsidR="002B3149" w:rsidRPr="00B40191" w:rsidRDefault="002B3149" w:rsidP="002B3149">
      <w:pPr>
        <w:rPr>
          <w:rFonts w:ascii="Arial" w:hAnsi="Arial" w:cs="Arial"/>
        </w:rPr>
      </w:pPr>
      <w:r>
        <w:rPr>
          <w:rFonts w:ascii="Arial" w:hAnsi="Arial" w:cs="Arial"/>
        </w:rPr>
        <w:t xml:space="preserve">Schaller, C (2020) </w:t>
      </w:r>
      <w:r w:rsidRPr="00BB3120">
        <w:rPr>
          <w:rFonts w:ascii="Arial" w:hAnsi="Arial" w:cs="Arial"/>
        </w:rPr>
        <w:t> </w:t>
      </w:r>
      <w:r w:rsidRPr="00BB3120">
        <w:rPr>
          <w:rFonts w:ascii="Arial" w:hAnsi="Arial" w:cs="Arial"/>
          <w:i/>
          <w:iCs/>
        </w:rPr>
        <w:t>Are virtual candidate assessments as good as face-to-face?</w:t>
      </w:r>
      <w:r w:rsidRPr="00BB3120">
        <w:rPr>
          <w:rFonts w:ascii="Arial" w:hAnsi="Arial" w:cs="Arial"/>
        </w:rPr>
        <w:t xml:space="preserve"> [online] www.peoplemanagement.co.uk. Available at: </w:t>
      </w:r>
      <w:hyperlink r:id="rId94" w:history="1">
        <w:r w:rsidRPr="000462F8">
          <w:rPr>
            <w:rStyle w:val="Hyperlink"/>
            <w:rFonts w:ascii="Arial" w:hAnsi="Arial" w:cs="Arial"/>
          </w:rPr>
          <w:t>https://www.peoplemanagement.co.uk/article/1746142/virtual-candidate-assessments-good-face-to-face</w:t>
        </w:r>
      </w:hyperlink>
      <w:r w:rsidRPr="00BB3120">
        <w:rPr>
          <w:rFonts w:ascii="Arial" w:hAnsi="Arial" w:cs="Arial"/>
        </w:rPr>
        <w:t>.</w:t>
      </w:r>
      <w:r>
        <w:rPr>
          <w:rFonts w:ascii="Arial" w:hAnsi="Arial" w:cs="Arial"/>
        </w:rPr>
        <w:t xml:space="preserve"> </w:t>
      </w:r>
    </w:p>
    <w:p w14:paraId="4AD03F05" w14:textId="77777777" w:rsidR="002B3149" w:rsidRPr="00BD720E" w:rsidRDefault="002B3149" w:rsidP="002B3149">
      <w:pPr>
        <w:rPr>
          <w:rFonts w:ascii="Arial" w:hAnsi="Arial" w:cs="Arial"/>
        </w:rPr>
      </w:pPr>
      <w:bookmarkStart w:id="7" w:name="_Hlk201696345"/>
      <w:r w:rsidRPr="00BD720E">
        <w:rPr>
          <w:rFonts w:ascii="Arial" w:hAnsi="Arial" w:cs="Arial"/>
        </w:rPr>
        <w:t xml:space="preserve">Schmidt, </w:t>
      </w:r>
      <w:bookmarkEnd w:id="7"/>
      <w:r w:rsidRPr="00BD720E">
        <w:rPr>
          <w:rFonts w:ascii="Arial" w:hAnsi="Arial" w:cs="Arial"/>
        </w:rPr>
        <w:t xml:space="preserve">J. A., Willness, C. R., Jones, D. A., &amp; Bourdage, J. S. (2018). Human resource management practices and voluntary turnover: a study of internal workforce and external labor market contingencies. </w:t>
      </w:r>
      <w:r w:rsidRPr="00BD720E">
        <w:rPr>
          <w:rFonts w:ascii="Arial" w:hAnsi="Arial" w:cs="Arial"/>
          <w:i/>
          <w:iCs/>
        </w:rPr>
        <w:t>International Journal of Human Resource Management</w:t>
      </w:r>
      <w:r w:rsidRPr="00BD720E">
        <w:rPr>
          <w:rFonts w:ascii="Arial" w:hAnsi="Arial" w:cs="Arial"/>
        </w:rPr>
        <w:t xml:space="preserve">, </w:t>
      </w:r>
      <w:r w:rsidRPr="00BD720E">
        <w:rPr>
          <w:rFonts w:ascii="Arial" w:hAnsi="Arial" w:cs="Arial"/>
          <w:i/>
          <w:iCs/>
        </w:rPr>
        <w:t>29</w:t>
      </w:r>
      <w:r w:rsidRPr="00BD720E">
        <w:rPr>
          <w:rFonts w:ascii="Arial" w:hAnsi="Arial" w:cs="Arial"/>
        </w:rPr>
        <w:t xml:space="preserve">(3), 571–594. </w:t>
      </w:r>
      <w:hyperlink r:id="rId95" w:history="1">
        <w:r w:rsidRPr="00BD720E">
          <w:rPr>
            <w:rStyle w:val="Hyperlink"/>
            <w:rFonts w:ascii="Arial" w:hAnsi="Arial" w:cs="Arial"/>
          </w:rPr>
          <w:t>https://doi.org/10.1080/09585192.2016.1165275</w:t>
        </w:r>
      </w:hyperlink>
      <w:r>
        <w:rPr>
          <w:rFonts w:ascii="Arial" w:hAnsi="Arial" w:cs="Arial"/>
        </w:rPr>
        <w:t xml:space="preserve"> </w:t>
      </w:r>
    </w:p>
    <w:p w14:paraId="320E74F0" w14:textId="77777777" w:rsidR="002B3149" w:rsidRDefault="002B3149" w:rsidP="002B3149">
      <w:pPr>
        <w:rPr>
          <w:rFonts w:ascii="Arial" w:hAnsi="Arial" w:cs="Arial"/>
        </w:rPr>
      </w:pPr>
      <w:bookmarkStart w:id="8" w:name="_Hlk201867692"/>
      <w:r w:rsidRPr="00DF2736">
        <w:rPr>
          <w:rFonts w:ascii="Arial" w:hAnsi="Arial" w:cs="Arial"/>
        </w:rPr>
        <w:t>Shahbaz</w:t>
      </w:r>
      <w:bookmarkEnd w:id="8"/>
      <w:r w:rsidRPr="00DF2736">
        <w:rPr>
          <w:rFonts w:ascii="Arial" w:hAnsi="Arial" w:cs="Arial"/>
        </w:rPr>
        <w:t xml:space="preserve">, M. (2025). </w:t>
      </w:r>
      <w:r w:rsidRPr="00DF2736">
        <w:rPr>
          <w:rFonts w:ascii="Arial" w:hAnsi="Arial" w:cs="Arial"/>
          <w:i/>
          <w:iCs/>
        </w:rPr>
        <w:t>The Impact of Financial and Non-Financial Rewards on Employee Turnover in the Telecom Industry of Pakistan: The Moderating Role of Training and Development</w:t>
      </w:r>
      <w:r>
        <w:rPr>
          <w:rFonts w:ascii="Arial" w:hAnsi="Arial" w:cs="Arial"/>
        </w:rPr>
        <w:t xml:space="preserve">. </w:t>
      </w:r>
    </w:p>
    <w:p w14:paraId="6FA8F805" w14:textId="77777777" w:rsidR="002B3149" w:rsidRDefault="002B3149" w:rsidP="002B3149">
      <w:pPr>
        <w:rPr>
          <w:rFonts w:ascii="Arial" w:hAnsi="Arial" w:cs="Arial"/>
        </w:rPr>
      </w:pPr>
      <w:r w:rsidRPr="003873D5">
        <w:rPr>
          <w:rFonts w:ascii="Arial" w:hAnsi="Arial" w:cs="Arial"/>
        </w:rPr>
        <w:t xml:space="preserve">Shaw, J. D., Delery, J. E., Jenkins, G. D., &amp; Gupta, N. (1998). An Organization-Level Analysis of Voluntary and Involuntary Turnover. </w:t>
      </w:r>
      <w:r w:rsidRPr="003873D5">
        <w:rPr>
          <w:rFonts w:ascii="Arial" w:hAnsi="Arial" w:cs="Arial"/>
          <w:i/>
          <w:iCs/>
        </w:rPr>
        <w:t>Academy of Management Journal</w:t>
      </w:r>
      <w:r w:rsidRPr="003873D5">
        <w:rPr>
          <w:rFonts w:ascii="Arial" w:hAnsi="Arial" w:cs="Arial"/>
        </w:rPr>
        <w:t xml:space="preserve">, </w:t>
      </w:r>
      <w:r w:rsidRPr="003873D5">
        <w:rPr>
          <w:rFonts w:ascii="Arial" w:hAnsi="Arial" w:cs="Arial"/>
          <w:i/>
          <w:iCs/>
        </w:rPr>
        <w:t>41</w:t>
      </w:r>
      <w:r w:rsidRPr="003873D5">
        <w:rPr>
          <w:rFonts w:ascii="Arial" w:hAnsi="Arial" w:cs="Arial"/>
        </w:rPr>
        <w:t xml:space="preserve">(5), 511–525. </w:t>
      </w:r>
      <w:hyperlink r:id="rId96" w:history="1">
        <w:r w:rsidRPr="003873D5">
          <w:rPr>
            <w:rStyle w:val="Hyperlink"/>
            <w:rFonts w:ascii="Arial" w:hAnsi="Arial" w:cs="Arial"/>
          </w:rPr>
          <w:t>https://doi.org/10.5465/256939</w:t>
        </w:r>
      </w:hyperlink>
      <w:r>
        <w:rPr>
          <w:rFonts w:ascii="Arial" w:hAnsi="Arial" w:cs="Arial"/>
        </w:rPr>
        <w:t xml:space="preserve"> </w:t>
      </w:r>
    </w:p>
    <w:p w14:paraId="403FDA0B" w14:textId="77777777" w:rsidR="002B3149" w:rsidRPr="001C5E4C" w:rsidRDefault="002B3149" w:rsidP="002B3149">
      <w:pPr>
        <w:rPr>
          <w:rFonts w:ascii="Arial" w:hAnsi="Arial" w:cs="Arial"/>
        </w:rPr>
      </w:pPr>
      <w:r w:rsidRPr="00F863D1">
        <w:rPr>
          <w:rFonts w:ascii="Arial" w:hAnsi="Arial" w:cs="Arial"/>
        </w:rPr>
        <w:t xml:space="preserve">Shields, J. (2007). </w:t>
      </w:r>
      <w:r w:rsidRPr="00F863D1">
        <w:rPr>
          <w:rFonts w:ascii="Arial" w:hAnsi="Arial" w:cs="Arial"/>
          <w:i/>
          <w:iCs/>
        </w:rPr>
        <w:t>Managing employee performance and reward : concepts, practices, strategies</w:t>
      </w:r>
      <w:r w:rsidRPr="00F863D1">
        <w:rPr>
          <w:rFonts w:ascii="Arial" w:hAnsi="Arial" w:cs="Arial"/>
        </w:rPr>
        <w:t>. Cambridge University Press.</w:t>
      </w:r>
    </w:p>
    <w:p w14:paraId="6C9CA625" w14:textId="77777777" w:rsidR="002B3149" w:rsidRPr="009721A6" w:rsidRDefault="002B3149" w:rsidP="002B3149">
      <w:pPr>
        <w:rPr>
          <w:rFonts w:ascii="Arial" w:hAnsi="Arial" w:cs="Arial"/>
        </w:rPr>
      </w:pPr>
      <w:r w:rsidRPr="009721A6">
        <w:rPr>
          <w:rFonts w:ascii="Arial" w:hAnsi="Arial" w:cs="Arial"/>
        </w:rPr>
        <w:t>‌Silkin, L. (2022). </w:t>
      </w:r>
      <w:r w:rsidRPr="009721A6">
        <w:rPr>
          <w:rFonts w:ascii="Arial" w:hAnsi="Arial" w:cs="Arial"/>
          <w:i/>
          <w:iCs/>
        </w:rPr>
        <w:t>CIPD | How to manage an increase in flexible working requests</w:t>
      </w:r>
      <w:r w:rsidRPr="009721A6">
        <w:rPr>
          <w:rFonts w:ascii="Arial" w:hAnsi="Arial" w:cs="Arial"/>
        </w:rPr>
        <w:t xml:space="preserve">. [online] CIPD. Available at: </w:t>
      </w:r>
      <w:hyperlink r:id="rId97" w:history="1">
        <w:r w:rsidRPr="000462F8">
          <w:rPr>
            <w:rStyle w:val="Hyperlink"/>
            <w:rFonts w:ascii="Arial" w:hAnsi="Arial" w:cs="Arial"/>
          </w:rPr>
          <w:t>https://www.cipd.org/uk/knowledge/guides/agency-workers-guide/</w:t>
        </w:r>
      </w:hyperlink>
      <w:r w:rsidRPr="009721A6">
        <w:rPr>
          <w:rFonts w:ascii="Arial" w:hAnsi="Arial" w:cs="Arial"/>
        </w:rPr>
        <w:t>.</w:t>
      </w:r>
      <w:r>
        <w:rPr>
          <w:rFonts w:ascii="Arial" w:hAnsi="Arial" w:cs="Arial"/>
        </w:rPr>
        <w:t xml:space="preserve"> </w:t>
      </w:r>
    </w:p>
    <w:p w14:paraId="509EC497" w14:textId="77777777" w:rsidR="002B3149" w:rsidRPr="00E514BB" w:rsidRDefault="002B3149" w:rsidP="002B3149">
      <w:pPr>
        <w:rPr>
          <w:rFonts w:ascii="Arial" w:hAnsi="Arial" w:cs="Arial"/>
        </w:rPr>
      </w:pPr>
      <w:r w:rsidRPr="00E514BB">
        <w:rPr>
          <w:rFonts w:ascii="Arial" w:hAnsi="Arial" w:cs="Arial"/>
        </w:rPr>
        <w:t xml:space="preserve">Skiba, S. (2020). OUTSOURCING AS A METHOD OF RECRUITMENT IN THE TSL SECTOR. </w:t>
      </w:r>
      <w:r w:rsidRPr="00E514BB">
        <w:rPr>
          <w:rFonts w:ascii="Arial" w:hAnsi="Arial" w:cs="Arial"/>
          <w:i/>
          <w:iCs/>
        </w:rPr>
        <w:t>Economic and Social Development: Book of Proceedings</w:t>
      </w:r>
      <w:r w:rsidRPr="00E514BB">
        <w:rPr>
          <w:rFonts w:ascii="Arial" w:hAnsi="Arial" w:cs="Arial"/>
        </w:rPr>
        <w:t>, 339–344.</w:t>
      </w:r>
      <w:r>
        <w:rPr>
          <w:rFonts w:ascii="Arial" w:hAnsi="Arial" w:cs="Arial"/>
        </w:rPr>
        <w:t xml:space="preserve"> </w:t>
      </w:r>
    </w:p>
    <w:p w14:paraId="75E8A51A" w14:textId="77777777" w:rsidR="002B3149" w:rsidRDefault="002B3149" w:rsidP="002B3149">
      <w:pPr>
        <w:rPr>
          <w:rFonts w:ascii="Arial" w:hAnsi="Arial" w:cs="Arial"/>
        </w:rPr>
      </w:pPr>
      <w:r w:rsidRPr="006154E4">
        <w:rPr>
          <w:rFonts w:ascii="Arial" w:hAnsi="Arial" w:cs="Arial"/>
        </w:rPr>
        <w:t xml:space="preserve">Stumpf, S. A., &amp; Dawley, P. K. (1981). Predicting Voluntary and Involuntary Turnover Using Absenteeism and Performance Indices. </w:t>
      </w:r>
      <w:r w:rsidRPr="006154E4">
        <w:rPr>
          <w:rFonts w:ascii="Arial" w:hAnsi="Arial" w:cs="Arial"/>
          <w:i/>
          <w:iCs/>
        </w:rPr>
        <w:t>Academy of Management Journal</w:t>
      </w:r>
      <w:r w:rsidRPr="006154E4">
        <w:rPr>
          <w:rFonts w:ascii="Arial" w:hAnsi="Arial" w:cs="Arial"/>
        </w:rPr>
        <w:t xml:space="preserve">, </w:t>
      </w:r>
      <w:r w:rsidRPr="006154E4">
        <w:rPr>
          <w:rFonts w:ascii="Arial" w:hAnsi="Arial" w:cs="Arial"/>
          <w:i/>
          <w:iCs/>
        </w:rPr>
        <w:t>24</w:t>
      </w:r>
      <w:r w:rsidRPr="006154E4">
        <w:rPr>
          <w:rFonts w:ascii="Arial" w:hAnsi="Arial" w:cs="Arial"/>
        </w:rPr>
        <w:t xml:space="preserve">(1), 148–163. </w:t>
      </w:r>
      <w:hyperlink r:id="rId98" w:history="1">
        <w:r w:rsidRPr="006154E4">
          <w:rPr>
            <w:rStyle w:val="Hyperlink"/>
            <w:rFonts w:ascii="Arial" w:hAnsi="Arial" w:cs="Arial"/>
          </w:rPr>
          <w:t>https://doi.org/10.5465/255830</w:t>
        </w:r>
      </w:hyperlink>
      <w:r>
        <w:rPr>
          <w:rFonts w:ascii="Arial" w:hAnsi="Arial" w:cs="Arial"/>
        </w:rPr>
        <w:t xml:space="preserve"> </w:t>
      </w:r>
    </w:p>
    <w:p w14:paraId="7912C4E3" w14:textId="77777777" w:rsidR="002B3149" w:rsidRDefault="002B3149" w:rsidP="002B3149">
      <w:pPr>
        <w:rPr>
          <w:rFonts w:ascii="Arial" w:hAnsi="Arial" w:cs="Arial"/>
        </w:rPr>
      </w:pPr>
      <w:r w:rsidRPr="00BE3937">
        <w:rPr>
          <w:rFonts w:ascii="Arial" w:hAnsi="Arial" w:cs="Arial"/>
        </w:rPr>
        <w:t xml:space="preserve">Sushila Devi Rajaratnam. (2007). Direct and Indirect Influence of HRM Practices on Employee Performance and Turnover Intention Direct and Indirect Influence of HRM Practices on Employee Performance and Turnover Intention. </w:t>
      </w:r>
      <w:r w:rsidRPr="00BE3937">
        <w:rPr>
          <w:rFonts w:ascii="Arial" w:hAnsi="Arial" w:cs="Arial"/>
          <w:i/>
          <w:iCs/>
        </w:rPr>
        <w:t>Malaysian Management Journal</w:t>
      </w:r>
      <w:r w:rsidRPr="00BE3937">
        <w:rPr>
          <w:rFonts w:ascii="Arial" w:hAnsi="Arial" w:cs="Arial"/>
        </w:rPr>
        <w:t xml:space="preserve">, </w:t>
      </w:r>
      <w:r w:rsidRPr="00BE3937">
        <w:rPr>
          <w:rFonts w:ascii="Arial" w:hAnsi="Arial" w:cs="Arial"/>
          <w:i/>
          <w:iCs/>
        </w:rPr>
        <w:t>11</w:t>
      </w:r>
      <w:r w:rsidRPr="00BE3937">
        <w:rPr>
          <w:rFonts w:ascii="Arial" w:hAnsi="Arial" w:cs="Arial"/>
        </w:rPr>
        <w:t>(1 &amp; 2).</w:t>
      </w:r>
      <w:r>
        <w:rPr>
          <w:rFonts w:ascii="Arial" w:hAnsi="Arial" w:cs="Arial"/>
        </w:rPr>
        <w:t xml:space="preserve"> </w:t>
      </w:r>
    </w:p>
    <w:p w14:paraId="60182EC6" w14:textId="77777777" w:rsidR="002B3149" w:rsidRPr="00871FA7" w:rsidRDefault="002B3149" w:rsidP="002B3149">
      <w:pPr>
        <w:rPr>
          <w:rFonts w:ascii="Arial" w:hAnsi="Arial" w:cs="Arial"/>
        </w:rPr>
      </w:pPr>
      <w:bookmarkStart w:id="9" w:name="_Hlk201776016"/>
      <w:r w:rsidRPr="00871FA7">
        <w:rPr>
          <w:rFonts w:ascii="Arial" w:hAnsi="Arial" w:cs="Arial"/>
        </w:rPr>
        <w:t>Syedain, H. (2010). </w:t>
      </w:r>
      <w:bookmarkEnd w:id="9"/>
      <w:r w:rsidRPr="00871FA7">
        <w:rPr>
          <w:rFonts w:ascii="Arial" w:hAnsi="Arial" w:cs="Arial"/>
          <w:i/>
          <w:iCs/>
        </w:rPr>
        <w:t>Workforce planning: a Force for Good</w:t>
      </w:r>
      <w:r w:rsidRPr="00871FA7">
        <w:rPr>
          <w:rFonts w:ascii="Arial" w:hAnsi="Arial" w:cs="Arial"/>
        </w:rPr>
        <w:t xml:space="preserve">. [online] www.peoplemanagement.co.uk. Available at: </w:t>
      </w:r>
      <w:hyperlink r:id="rId99" w:history="1">
        <w:r w:rsidRPr="00871FA7">
          <w:rPr>
            <w:rStyle w:val="Hyperlink"/>
            <w:rFonts w:ascii="Arial" w:hAnsi="Arial" w:cs="Arial"/>
          </w:rPr>
          <w:t>https://www.peoplemanagement.co.uk/article/1741070/workforce-planning-force-for-good</w:t>
        </w:r>
      </w:hyperlink>
      <w:r w:rsidRPr="00871FA7">
        <w:rPr>
          <w:rFonts w:ascii="Arial" w:hAnsi="Arial" w:cs="Arial"/>
        </w:rPr>
        <w:t>.</w:t>
      </w:r>
      <w:r>
        <w:rPr>
          <w:rFonts w:ascii="Arial" w:hAnsi="Arial" w:cs="Arial"/>
        </w:rPr>
        <w:t xml:space="preserve"> </w:t>
      </w:r>
    </w:p>
    <w:p w14:paraId="1AC75AF1" w14:textId="77777777" w:rsidR="002B3149" w:rsidRDefault="002B3149" w:rsidP="002B3149">
      <w:pPr>
        <w:rPr>
          <w:rFonts w:ascii="Arial" w:hAnsi="Arial" w:cs="Arial"/>
        </w:rPr>
      </w:pPr>
      <w:r w:rsidRPr="00E514BB">
        <w:rPr>
          <w:rFonts w:ascii="Arial" w:hAnsi="Arial" w:cs="Arial"/>
        </w:rPr>
        <w:t xml:space="preserve">Tal Ariana </w:t>
      </w:r>
      <w:bookmarkStart w:id="10" w:name="_Hlk201780304"/>
      <w:r w:rsidRPr="00E514BB">
        <w:rPr>
          <w:rFonts w:ascii="Arial" w:hAnsi="Arial" w:cs="Arial"/>
        </w:rPr>
        <w:t xml:space="preserve">Emanuela. (2018). </w:t>
      </w:r>
      <w:bookmarkEnd w:id="10"/>
      <w:r w:rsidRPr="00E514BB">
        <w:rPr>
          <w:rFonts w:ascii="Arial" w:hAnsi="Arial" w:cs="Arial"/>
        </w:rPr>
        <w:t xml:space="preserve">The Impact of Social Media on Recruitment The Impact of Social Media on Recruitment. </w:t>
      </w:r>
      <w:r w:rsidRPr="00E514BB">
        <w:rPr>
          <w:rFonts w:ascii="Arial" w:hAnsi="Arial" w:cs="Arial"/>
          <w:i/>
          <w:iCs/>
        </w:rPr>
        <w:t>“Ovidius” University Annals. Economic Sciences Series (Online)</w:t>
      </w:r>
      <w:r w:rsidRPr="00E514BB">
        <w:rPr>
          <w:rFonts w:ascii="Arial" w:hAnsi="Arial" w:cs="Arial"/>
        </w:rPr>
        <w:t xml:space="preserve">, </w:t>
      </w:r>
      <w:r w:rsidRPr="00E514BB">
        <w:rPr>
          <w:rFonts w:ascii="Arial" w:hAnsi="Arial" w:cs="Arial"/>
          <w:i/>
          <w:iCs/>
        </w:rPr>
        <w:t>XVIII</w:t>
      </w:r>
      <w:r w:rsidRPr="00E514BB">
        <w:rPr>
          <w:rFonts w:ascii="Arial" w:hAnsi="Arial" w:cs="Arial"/>
        </w:rPr>
        <w:t>(2), 537–541.</w:t>
      </w:r>
      <w:r>
        <w:rPr>
          <w:rFonts w:ascii="Arial" w:hAnsi="Arial" w:cs="Arial"/>
        </w:rPr>
        <w:t xml:space="preserve">  </w:t>
      </w:r>
    </w:p>
    <w:p w14:paraId="6CF89070" w14:textId="77777777" w:rsidR="002B3149" w:rsidRDefault="002B3149" w:rsidP="002B3149">
      <w:pPr>
        <w:rPr>
          <w:rFonts w:ascii="Arial" w:hAnsi="Arial" w:cs="Arial"/>
        </w:rPr>
      </w:pPr>
      <w:r w:rsidRPr="00D03C3B">
        <w:rPr>
          <w:rFonts w:ascii="Arial" w:hAnsi="Arial" w:cs="Arial"/>
        </w:rPr>
        <w:t>Tatum, M. (2023). </w:t>
      </w:r>
      <w:r w:rsidRPr="00D03C3B">
        <w:rPr>
          <w:rFonts w:ascii="Arial" w:hAnsi="Arial" w:cs="Arial"/>
          <w:i/>
          <w:iCs/>
        </w:rPr>
        <w:t>Employee turnover: How Much Is Too much?</w:t>
      </w:r>
      <w:r w:rsidRPr="00D03C3B">
        <w:rPr>
          <w:rFonts w:ascii="Arial" w:hAnsi="Arial" w:cs="Arial"/>
        </w:rPr>
        <w:t xml:space="preserve"> [online] People Management. Available at: </w:t>
      </w:r>
      <w:hyperlink r:id="rId100" w:history="1">
        <w:r w:rsidRPr="00D03C3B">
          <w:rPr>
            <w:rStyle w:val="Hyperlink"/>
            <w:rFonts w:ascii="Arial" w:hAnsi="Arial" w:cs="Arial"/>
          </w:rPr>
          <w:t>https://www.peoplemanagement.co.uk/article/1823900/employee-turnover-much</w:t>
        </w:r>
      </w:hyperlink>
      <w:r w:rsidRPr="00D03C3B">
        <w:rPr>
          <w:rFonts w:ascii="Arial" w:hAnsi="Arial" w:cs="Arial"/>
        </w:rPr>
        <w:t>.</w:t>
      </w:r>
      <w:r>
        <w:rPr>
          <w:rFonts w:ascii="Arial" w:hAnsi="Arial" w:cs="Arial"/>
        </w:rPr>
        <w:t xml:space="preserve"> </w:t>
      </w:r>
    </w:p>
    <w:p w14:paraId="16C9FE11" w14:textId="77777777" w:rsidR="002B3149" w:rsidRDefault="002B3149" w:rsidP="002B3149">
      <w:pPr>
        <w:rPr>
          <w:rFonts w:ascii="Arial" w:hAnsi="Arial" w:cs="Arial"/>
        </w:rPr>
      </w:pPr>
      <w:r w:rsidRPr="00BE3937">
        <w:rPr>
          <w:rFonts w:ascii="Arial" w:hAnsi="Arial" w:cs="Arial"/>
        </w:rPr>
        <w:t xml:space="preserve">Taylor, S., &amp; Chartered Institute of Personnel and Development. (2022). </w:t>
      </w:r>
      <w:r w:rsidRPr="00BE3937">
        <w:rPr>
          <w:rFonts w:ascii="Arial" w:hAnsi="Arial" w:cs="Arial"/>
          <w:i/>
          <w:iCs/>
        </w:rPr>
        <w:t>Resourcing and talent management : the theory and practice of recruiting and developing a workforce</w:t>
      </w:r>
      <w:r w:rsidRPr="00BE3937">
        <w:rPr>
          <w:rFonts w:ascii="Arial" w:hAnsi="Arial" w:cs="Arial"/>
        </w:rPr>
        <w:t xml:space="preserve"> (8th ed.). KoganPage.</w:t>
      </w:r>
      <w:r>
        <w:rPr>
          <w:rFonts w:ascii="Arial" w:hAnsi="Arial" w:cs="Arial"/>
        </w:rPr>
        <w:t xml:space="preserve"> </w:t>
      </w:r>
    </w:p>
    <w:p w14:paraId="5E24A2DF" w14:textId="77777777" w:rsidR="002B3149" w:rsidRDefault="002B3149" w:rsidP="002B3149">
      <w:pPr>
        <w:rPr>
          <w:rFonts w:ascii="Arial" w:hAnsi="Arial" w:cs="Arial"/>
        </w:rPr>
      </w:pPr>
      <w:r w:rsidRPr="009E6B79">
        <w:rPr>
          <w:rFonts w:ascii="Arial" w:hAnsi="Arial" w:cs="Arial"/>
        </w:rPr>
        <w:t xml:space="preserve">Teague, S., Youssef, G. J., Macdonald, J. A., Sciberras, E., Shatte, A., Fuller-Tyszkiewicz, M., Greenwood, C., McIntosh, J., Olsson, C. A., &amp; Hutchinson, D. (2018). Retention strategies in longitudinal cohort studies: a systematic review and meta-analysis. </w:t>
      </w:r>
      <w:r w:rsidRPr="009E6B79">
        <w:rPr>
          <w:rFonts w:ascii="Arial" w:hAnsi="Arial" w:cs="Arial"/>
          <w:i/>
          <w:iCs/>
        </w:rPr>
        <w:t>BMC Medical Research Methodology</w:t>
      </w:r>
      <w:r w:rsidRPr="009E6B79">
        <w:rPr>
          <w:rFonts w:ascii="Arial" w:hAnsi="Arial" w:cs="Arial"/>
        </w:rPr>
        <w:t xml:space="preserve">, </w:t>
      </w:r>
      <w:r w:rsidRPr="009E6B79">
        <w:rPr>
          <w:rFonts w:ascii="Arial" w:hAnsi="Arial" w:cs="Arial"/>
          <w:i/>
          <w:iCs/>
        </w:rPr>
        <w:t>18</w:t>
      </w:r>
      <w:r w:rsidRPr="009E6B79">
        <w:rPr>
          <w:rFonts w:ascii="Arial" w:hAnsi="Arial" w:cs="Arial"/>
        </w:rPr>
        <w:t xml:space="preserve">(1), Article 151. </w:t>
      </w:r>
      <w:hyperlink r:id="rId101" w:history="1">
        <w:r w:rsidRPr="009E6B79">
          <w:rPr>
            <w:rStyle w:val="Hyperlink"/>
            <w:rFonts w:ascii="Arial" w:hAnsi="Arial" w:cs="Arial"/>
          </w:rPr>
          <w:t>https://doi.org/10.1186/s12874-018-0586-7</w:t>
        </w:r>
      </w:hyperlink>
      <w:r>
        <w:rPr>
          <w:rFonts w:ascii="Arial" w:hAnsi="Arial" w:cs="Arial"/>
        </w:rPr>
        <w:t xml:space="preserve"> </w:t>
      </w:r>
    </w:p>
    <w:p w14:paraId="3E8936E7" w14:textId="77777777" w:rsidR="002B3149" w:rsidRPr="00F62C41" w:rsidRDefault="002B3149" w:rsidP="002B3149">
      <w:pPr>
        <w:rPr>
          <w:rFonts w:ascii="Arial" w:hAnsi="Arial" w:cs="Arial"/>
        </w:rPr>
      </w:pPr>
      <w:r w:rsidRPr="00F62C41">
        <w:rPr>
          <w:rFonts w:ascii="Arial" w:hAnsi="Arial" w:cs="Arial"/>
        </w:rPr>
        <w:lastRenderedPageBreak/>
        <w:t xml:space="preserve">Theodoulou, I., Reddy, A. M., &amp; Wong, J. (2018). Is innovative workforce planning software the solution to NHS staffing and cost crisis? An exploration of the locum industry. </w:t>
      </w:r>
      <w:r w:rsidRPr="00F62C41">
        <w:rPr>
          <w:rFonts w:ascii="Arial" w:hAnsi="Arial" w:cs="Arial"/>
          <w:i/>
          <w:iCs/>
        </w:rPr>
        <w:t>BMC Health Services Research</w:t>
      </w:r>
      <w:r w:rsidRPr="00F62C41">
        <w:rPr>
          <w:rFonts w:ascii="Arial" w:hAnsi="Arial" w:cs="Arial"/>
        </w:rPr>
        <w:t xml:space="preserve">, </w:t>
      </w:r>
      <w:r w:rsidRPr="00F62C41">
        <w:rPr>
          <w:rFonts w:ascii="Arial" w:hAnsi="Arial" w:cs="Arial"/>
          <w:i/>
          <w:iCs/>
        </w:rPr>
        <w:t>18</w:t>
      </w:r>
      <w:r w:rsidRPr="00F62C41">
        <w:rPr>
          <w:rFonts w:ascii="Arial" w:hAnsi="Arial" w:cs="Arial"/>
        </w:rPr>
        <w:t xml:space="preserve">(1), Article 188. </w:t>
      </w:r>
      <w:hyperlink r:id="rId102" w:history="1">
        <w:r w:rsidRPr="00F62C41">
          <w:rPr>
            <w:rStyle w:val="Hyperlink"/>
            <w:rFonts w:ascii="Arial" w:hAnsi="Arial" w:cs="Arial"/>
          </w:rPr>
          <w:t>https://doi.org/10.1186/s12913-018-2989-x</w:t>
        </w:r>
      </w:hyperlink>
      <w:r>
        <w:rPr>
          <w:rFonts w:ascii="Arial" w:hAnsi="Arial" w:cs="Arial"/>
        </w:rPr>
        <w:t xml:space="preserve"> </w:t>
      </w:r>
    </w:p>
    <w:p w14:paraId="310C195B" w14:textId="77777777" w:rsidR="002B3149" w:rsidRPr="00DF2736" w:rsidRDefault="002B3149" w:rsidP="002B3149">
      <w:pPr>
        <w:rPr>
          <w:rFonts w:ascii="Arial" w:hAnsi="Arial" w:cs="Arial"/>
        </w:rPr>
      </w:pPr>
      <w:r w:rsidRPr="00DF2736">
        <w:rPr>
          <w:rFonts w:ascii="Arial" w:hAnsi="Arial" w:cs="Arial"/>
        </w:rPr>
        <w:t xml:space="preserve">Thomas, C., Rowe, L., &amp; Moore, N. (2024). Motivating, developing and retaining talent through job enrichment: an exploration of “side-of-desk” projects in a corporate environment. </w:t>
      </w:r>
      <w:r w:rsidRPr="00DF2736">
        <w:rPr>
          <w:rFonts w:ascii="Arial" w:hAnsi="Arial" w:cs="Arial"/>
          <w:i/>
          <w:iCs/>
        </w:rPr>
        <w:t>Employee Relations</w:t>
      </w:r>
      <w:r w:rsidRPr="00DF2736">
        <w:rPr>
          <w:rFonts w:ascii="Arial" w:hAnsi="Arial" w:cs="Arial"/>
        </w:rPr>
        <w:t xml:space="preserve">, </w:t>
      </w:r>
      <w:r w:rsidRPr="00DF2736">
        <w:rPr>
          <w:rFonts w:ascii="Arial" w:hAnsi="Arial" w:cs="Arial"/>
          <w:i/>
          <w:iCs/>
        </w:rPr>
        <w:t>46</w:t>
      </w:r>
      <w:r w:rsidRPr="00DF2736">
        <w:rPr>
          <w:rFonts w:ascii="Arial" w:hAnsi="Arial" w:cs="Arial"/>
        </w:rPr>
        <w:t xml:space="preserve">(2), 250–268. </w:t>
      </w:r>
      <w:hyperlink r:id="rId103" w:history="1">
        <w:r w:rsidRPr="00DF2736">
          <w:rPr>
            <w:rStyle w:val="Hyperlink"/>
            <w:rFonts w:ascii="Arial" w:hAnsi="Arial" w:cs="Arial"/>
          </w:rPr>
          <w:t>https://doi.org/10.1108/ER-08-2023-0447</w:t>
        </w:r>
      </w:hyperlink>
      <w:r>
        <w:rPr>
          <w:rFonts w:ascii="Arial" w:hAnsi="Arial" w:cs="Arial"/>
        </w:rPr>
        <w:t xml:space="preserve"> </w:t>
      </w:r>
    </w:p>
    <w:p w14:paraId="38357EF1" w14:textId="77777777" w:rsidR="002B3149" w:rsidRPr="00437974" w:rsidRDefault="002B3149" w:rsidP="002B3149">
      <w:pPr>
        <w:rPr>
          <w:rFonts w:ascii="Arial" w:hAnsi="Arial" w:cs="Arial"/>
        </w:rPr>
      </w:pPr>
      <w:r w:rsidRPr="00437974">
        <w:rPr>
          <w:rFonts w:ascii="Arial" w:hAnsi="Arial" w:cs="Arial"/>
        </w:rPr>
        <w:t xml:space="preserve">TOLONEN, H., AHONEN, S., JENTOFT, S., KUULASMAA, K., &amp; HELDAL, J. (2015). Differences in participation rates and lessons learned about recruitment of participants - The European Health Examination Survey Pilot Project. </w:t>
      </w:r>
      <w:r w:rsidRPr="00437974">
        <w:rPr>
          <w:rFonts w:ascii="Arial" w:hAnsi="Arial" w:cs="Arial"/>
          <w:i/>
          <w:iCs/>
        </w:rPr>
        <w:t>Scandinavian Journal of Public Health</w:t>
      </w:r>
      <w:r w:rsidRPr="00437974">
        <w:rPr>
          <w:rFonts w:ascii="Arial" w:hAnsi="Arial" w:cs="Arial"/>
        </w:rPr>
        <w:t xml:space="preserve">, </w:t>
      </w:r>
      <w:r w:rsidRPr="00437974">
        <w:rPr>
          <w:rFonts w:ascii="Arial" w:hAnsi="Arial" w:cs="Arial"/>
          <w:i/>
          <w:iCs/>
        </w:rPr>
        <w:t>43</w:t>
      </w:r>
      <w:r w:rsidRPr="00437974">
        <w:rPr>
          <w:rFonts w:ascii="Arial" w:hAnsi="Arial" w:cs="Arial"/>
        </w:rPr>
        <w:t>(2), 212–219. https://doi.org/10.1177/1403494814565692</w:t>
      </w:r>
    </w:p>
    <w:p w14:paraId="7753B6F1" w14:textId="77777777" w:rsidR="002B3149" w:rsidRPr="00E514BB" w:rsidRDefault="002B3149" w:rsidP="002B3149">
      <w:pPr>
        <w:rPr>
          <w:rFonts w:ascii="Arial" w:hAnsi="Arial" w:cs="Arial"/>
        </w:rPr>
      </w:pPr>
      <w:r w:rsidRPr="00E514BB">
        <w:rPr>
          <w:rFonts w:ascii="Arial" w:hAnsi="Arial" w:cs="Arial"/>
        </w:rPr>
        <w:t xml:space="preserve">Vardaman, J. M., Tabor, W. E., Hargrove, D. C., &amp; Zhou, F. (2024). Reducing agency costs through recruitment: staffing referrals and family business success. </w:t>
      </w:r>
      <w:r w:rsidRPr="00E514BB">
        <w:rPr>
          <w:rFonts w:ascii="Arial" w:hAnsi="Arial" w:cs="Arial"/>
          <w:i/>
          <w:iCs/>
        </w:rPr>
        <w:t>Journal of Family Business Management</w:t>
      </w:r>
      <w:r w:rsidRPr="00E514BB">
        <w:rPr>
          <w:rFonts w:ascii="Arial" w:hAnsi="Arial" w:cs="Arial"/>
        </w:rPr>
        <w:t xml:space="preserve">, </w:t>
      </w:r>
      <w:r w:rsidRPr="00E514BB">
        <w:rPr>
          <w:rFonts w:ascii="Arial" w:hAnsi="Arial" w:cs="Arial"/>
          <w:i/>
          <w:iCs/>
        </w:rPr>
        <w:t>14</w:t>
      </w:r>
      <w:r w:rsidRPr="00E514BB">
        <w:rPr>
          <w:rFonts w:ascii="Arial" w:hAnsi="Arial" w:cs="Arial"/>
        </w:rPr>
        <w:t xml:space="preserve">(1), 103–119. </w:t>
      </w:r>
      <w:hyperlink r:id="rId104" w:history="1">
        <w:r w:rsidRPr="00E514BB">
          <w:rPr>
            <w:rStyle w:val="Hyperlink"/>
            <w:rFonts w:ascii="Arial" w:hAnsi="Arial" w:cs="Arial"/>
          </w:rPr>
          <w:t>https://doi.org/10.1108/JFBM-05-2023-0063</w:t>
        </w:r>
      </w:hyperlink>
      <w:r>
        <w:rPr>
          <w:rFonts w:ascii="Arial" w:hAnsi="Arial" w:cs="Arial"/>
        </w:rPr>
        <w:t xml:space="preserve"> </w:t>
      </w:r>
    </w:p>
    <w:p w14:paraId="619E421F" w14:textId="77777777" w:rsidR="002B3149" w:rsidRPr="00AC5206" w:rsidRDefault="002B3149" w:rsidP="002B3149">
      <w:pPr>
        <w:rPr>
          <w:rFonts w:ascii="Arial" w:hAnsi="Arial" w:cs="Arial"/>
        </w:rPr>
      </w:pPr>
      <w:r w:rsidRPr="00AC5206">
        <w:rPr>
          <w:rFonts w:ascii="Arial" w:hAnsi="Arial" w:cs="Arial"/>
        </w:rPr>
        <w:t xml:space="preserve">Vokic, N. P., &amp; Ondrusek, V. R. E. (2024). Is engaged onboarding important for engaged Work? The relationship between structured onboarding and employee engagement. </w:t>
      </w:r>
      <w:r w:rsidRPr="00AC5206">
        <w:rPr>
          <w:rFonts w:ascii="Arial" w:hAnsi="Arial" w:cs="Arial"/>
          <w:i/>
          <w:iCs/>
        </w:rPr>
        <w:t>Management</w:t>
      </w:r>
      <w:r w:rsidRPr="00AC5206">
        <w:rPr>
          <w:rFonts w:ascii="Arial" w:hAnsi="Arial" w:cs="Arial"/>
        </w:rPr>
        <w:t xml:space="preserve">, </w:t>
      </w:r>
      <w:r w:rsidRPr="00AC5206">
        <w:rPr>
          <w:rFonts w:ascii="Arial" w:hAnsi="Arial" w:cs="Arial"/>
          <w:i/>
          <w:iCs/>
        </w:rPr>
        <w:t>29</w:t>
      </w:r>
      <w:r w:rsidRPr="00AC5206">
        <w:rPr>
          <w:rFonts w:ascii="Arial" w:hAnsi="Arial" w:cs="Arial"/>
        </w:rPr>
        <w:t xml:space="preserve">(2), 59–69. </w:t>
      </w:r>
      <w:hyperlink r:id="rId105" w:history="1">
        <w:r w:rsidRPr="00AC5206">
          <w:rPr>
            <w:rStyle w:val="Hyperlink"/>
            <w:rFonts w:ascii="Arial" w:hAnsi="Arial" w:cs="Arial"/>
          </w:rPr>
          <w:t>https://doi.org/10.30924/mjcmi.29.2.5</w:t>
        </w:r>
      </w:hyperlink>
      <w:r>
        <w:rPr>
          <w:rFonts w:ascii="Arial" w:hAnsi="Arial" w:cs="Arial"/>
        </w:rPr>
        <w:t xml:space="preserve"> </w:t>
      </w:r>
    </w:p>
    <w:p w14:paraId="0F5B81CC" w14:textId="77777777" w:rsidR="002B3149" w:rsidRPr="001C5E4C" w:rsidRDefault="002B3149" w:rsidP="002B3149">
      <w:pPr>
        <w:rPr>
          <w:rFonts w:ascii="Arial" w:hAnsi="Arial" w:cs="Arial"/>
        </w:rPr>
      </w:pPr>
      <w:r>
        <w:rPr>
          <w:rFonts w:ascii="Arial" w:hAnsi="Arial" w:cs="Arial"/>
        </w:rPr>
        <w:t>Walker, S</w:t>
      </w:r>
      <w:r w:rsidRPr="002A11E1">
        <w:rPr>
          <w:rFonts w:ascii="Arial" w:hAnsi="Arial" w:cs="Arial"/>
        </w:rPr>
        <w:t xml:space="preserve"> (2024). </w:t>
      </w:r>
      <w:r w:rsidRPr="002A11E1">
        <w:rPr>
          <w:rFonts w:ascii="Arial" w:hAnsi="Arial" w:cs="Arial"/>
          <w:i/>
          <w:iCs/>
        </w:rPr>
        <w:t>A Guide to Staff Turnover: Meanings &amp; Calculations</w:t>
      </w:r>
      <w:r w:rsidRPr="002A11E1">
        <w:rPr>
          <w:rFonts w:ascii="Arial" w:hAnsi="Arial" w:cs="Arial"/>
        </w:rPr>
        <w:t xml:space="preserve">. [online] Peoplehr.com. Available at: </w:t>
      </w:r>
      <w:hyperlink r:id="rId106" w:history="1">
        <w:r w:rsidRPr="000462F8">
          <w:rPr>
            <w:rStyle w:val="Hyperlink"/>
            <w:rFonts w:ascii="Arial" w:hAnsi="Arial" w:cs="Arial"/>
          </w:rPr>
          <w:t>https://www.peoplehr.com/en-gb/resources/blog/staff-turnover/</w:t>
        </w:r>
      </w:hyperlink>
      <w:r w:rsidRPr="002A11E1">
        <w:rPr>
          <w:rFonts w:ascii="Arial" w:hAnsi="Arial" w:cs="Arial"/>
        </w:rPr>
        <w:t>.</w:t>
      </w:r>
      <w:r>
        <w:rPr>
          <w:rFonts w:ascii="Arial" w:hAnsi="Arial" w:cs="Arial"/>
        </w:rPr>
        <w:t xml:space="preserve"> </w:t>
      </w:r>
    </w:p>
    <w:p w14:paraId="448F1D1E" w14:textId="77777777" w:rsidR="002B3149" w:rsidRPr="00D03C3B" w:rsidRDefault="002B3149" w:rsidP="002B3149">
      <w:pPr>
        <w:rPr>
          <w:rFonts w:ascii="Arial" w:hAnsi="Arial" w:cs="Arial"/>
        </w:rPr>
      </w:pPr>
      <w:r w:rsidRPr="00D03C3B">
        <w:rPr>
          <w:rFonts w:ascii="Arial" w:hAnsi="Arial" w:cs="Arial"/>
        </w:rPr>
        <w:t xml:space="preserve">Wallace, J., &amp; Gaylor, K. P. (2012). A study of the dysfunctional and functional aspects of voluntary employee turnover. </w:t>
      </w:r>
      <w:r w:rsidRPr="00D03C3B">
        <w:rPr>
          <w:rFonts w:ascii="Arial" w:hAnsi="Arial" w:cs="Arial"/>
          <w:i/>
          <w:iCs/>
        </w:rPr>
        <w:t>S.A.M. Advanced Management Journal (1984)</w:t>
      </w:r>
      <w:r w:rsidRPr="00D03C3B">
        <w:rPr>
          <w:rFonts w:ascii="Arial" w:hAnsi="Arial" w:cs="Arial"/>
        </w:rPr>
        <w:t xml:space="preserve">, </w:t>
      </w:r>
      <w:r w:rsidRPr="00D03C3B">
        <w:rPr>
          <w:rFonts w:ascii="Arial" w:hAnsi="Arial" w:cs="Arial"/>
          <w:i/>
          <w:iCs/>
        </w:rPr>
        <w:t>77</w:t>
      </w:r>
      <w:r w:rsidRPr="00D03C3B">
        <w:rPr>
          <w:rFonts w:ascii="Arial" w:hAnsi="Arial" w:cs="Arial"/>
        </w:rPr>
        <w:t>(3), 27-.</w:t>
      </w:r>
    </w:p>
    <w:p w14:paraId="415CCF9B" w14:textId="77777777" w:rsidR="002B3149" w:rsidRPr="006154E4" w:rsidRDefault="002B3149" w:rsidP="002B3149">
      <w:pPr>
        <w:rPr>
          <w:rFonts w:ascii="Arial" w:hAnsi="Arial" w:cs="Arial"/>
        </w:rPr>
      </w:pPr>
      <w:r w:rsidRPr="006154E4">
        <w:rPr>
          <w:rFonts w:ascii="Arial" w:hAnsi="Arial" w:cs="Arial"/>
        </w:rPr>
        <w:t xml:space="preserve">Welch, L., &amp; Brantmeier, N. K. (2021). Examining Employee Retention and Motivation Trends in Research Administration. </w:t>
      </w:r>
      <w:r w:rsidRPr="006154E4">
        <w:rPr>
          <w:rFonts w:ascii="Arial" w:hAnsi="Arial" w:cs="Arial"/>
          <w:i/>
          <w:iCs/>
        </w:rPr>
        <w:t>The Journal of Research Administration</w:t>
      </w:r>
      <w:r w:rsidRPr="006154E4">
        <w:rPr>
          <w:rFonts w:ascii="Arial" w:hAnsi="Arial" w:cs="Arial"/>
        </w:rPr>
        <w:t xml:space="preserve">, </w:t>
      </w:r>
      <w:r w:rsidRPr="006154E4">
        <w:rPr>
          <w:rFonts w:ascii="Arial" w:hAnsi="Arial" w:cs="Arial"/>
          <w:i/>
          <w:iCs/>
        </w:rPr>
        <w:t>52</w:t>
      </w:r>
      <w:r w:rsidRPr="006154E4">
        <w:rPr>
          <w:rFonts w:ascii="Arial" w:hAnsi="Arial" w:cs="Arial"/>
        </w:rPr>
        <w:t>(2), 70–86.</w:t>
      </w:r>
      <w:r>
        <w:rPr>
          <w:rFonts w:ascii="Arial" w:hAnsi="Arial" w:cs="Arial"/>
        </w:rPr>
        <w:t xml:space="preserve"> </w:t>
      </w:r>
    </w:p>
    <w:p w14:paraId="209540A2" w14:textId="77777777" w:rsidR="002B3149" w:rsidRDefault="002B3149" w:rsidP="002B3149">
      <w:pPr>
        <w:rPr>
          <w:rFonts w:ascii="Arial" w:hAnsi="Arial" w:cs="Arial"/>
        </w:rPr>
      </w:pPr>
      <w:bookmarkStart w:id="11" w:name="_Hlk201867854"/>
      <w:r w:rsidRPr="00CB21B8">
        <w:rPr>
          <w:rFonts w:ascii="Arial" w:hAnsi="Arial" w:cs="Arial"/>
        </w:rPr>
        <w:t>Whitaker</w:t>
      </w:r>
      <w:bookmarkEnd w:id="11"/>
      <w:r w:rsidRPr="00CB21B8">
        <w:rPr>
          <w:rFonts w:ascii="Arial" w:hAnsi="Arial" w:cs="Arial"/>
        </w:rPr>
        <w:t xml:space="preserve">, P. (2010). What non-financial rewards are successful motivators? </w:t>
      </w:r>
      <w:r w:rsidRPr="00CB21B8">
        <w:rPr>
          <w:rFonts w:ascii="Arial" w:hAnsi="Arial" w:cs="Arial"/>
          <w:i/>
          <w:iCs/>
        </w:rPr>
        <w:t>Strategic HR Review</w:t>
      </w:r>
      <w:r w:rsidRPr="00CB21B8">
        <w:rPr>
          <w:rFonts w:ascii="Arial" w:hAnsi="Arial" w:cs="Arial"/>
        </w:rPr>
        <w:t xml:space="preserve">, </w:t>
      </w:r>
      <w:r w:rsidRPr="00CB21B8">
        <w:rPr>
          <w:rFonts w:ascii="Arial" w:hAnsi="Arial" w:cs="Arial"/>
          <w:i/>
          <w:iCs/>
        </w:rPr>
        <w:t>9</w:t>
      </w:r>
      <w:r w:rsidRPr="00CB21B8">
        <w:rPr>
          <w:rFonts w:ascii="Arial" w:hAnsi="Arial" w:cs="Arial"/>
        </w:rPr>
        <w:t xml:space="preserve">(1), 43-. </w:t>
      </w:r>
      <w:hyperlink r:id="rId107" w:history="1">
        <w:r w:rsidRPr="00CB21B8">
          <w:rPr>
            <w:rStyle w:val="Hyperlink"/>
            <w:rFonts w:ascii="Arial" w:hAnsi="Arial" w:cs="Arial"/>
          </w:rPr>
          <w:t>https://doi.org/10.1108/shr.2010.37209aab.005</w:t>
        </w:r>
      </w:hyperlink>
      <w:r>
        <w:rPr>
          <w:rFonts w:ascii="Arial" w:hAnsi="Arial" w:cs="Arial"/>
        </w:rPr>
        <w:t xml:space="preserve"> </w:t>
      </w:r>
    </w:p>
    <w:p w14:paraId="18DD39BB" w14:textId="77777777" w:rsidR="002B3149" w:rsidRDefault="002B3149" w:rsidP="002B3149">
      <w:pPr>
        <w:rPr>
          <w:rFonts w:ascii="Arial" w:hAnsi="Arial" w:cs="Arial"/>
        </w:rPr>
      </w:pPr>
      <w:r w:rsidRPr="009E6B79">
        <w:rPr>
          <w:rFonts w:ascii="Arial" w:hAnsi="Arial" w:cs="Arial"/>
        </w:rPr>
        <w:t xml:space="preserve">Young, E. L., Moulton, S. E., Julian, A., Smith, A., &amp; Butler, R. (2021). Retention and job satisfaction of school psychologists. </w:t>
      </w:r>
      <w:r w:rsidRPr="009E6B79">
        <w:rPr>
          <w:rFonts w:ascii="Arial" w:hAnsi="Arial" w:cs="Arial"/>
          <w:i/>
          <w:iCs/>
        </w:rPr>
        <w:t>Psychology in the Schools</w:t>
      </w:r>
      <w:r w:rsidRPr="009E6B79">
        <w:rPr>
          <w:rFonts w:ascii="Arial" w:hAnsi="Arial" w:cs="Arial"/>
        </w:rPr>
        <w:t xml:space="preserve">, </w:t>
      </w:r>
      <w:r w:rsidRPr="009E6B79">
        <w:rPr>
          <w:rFonts w:ascii="Arial" w:hAnsi="Arial" w:cs="Arial"/>
          <w:i/>
          <w:iCs/>
        </w:rPr>
        <w:t>58</w:t>
      </w:r>
      <w:r w:rsidRPr="009E6B79">
        <w:rPr>
          <w:rFonts w:ascii="Arial" w:hAnsi="Arial" w:cs="Arial"/>
        </w:rPr>
        <w:t xml:space="preserve">(3), 585–600. </w:t>
      </w:r>
      <w:hyperlink r:id="rId108" w:history="1">
        <w:r w:rsidRPr="009E6B79">
          <w:rPr>
            <w:rStyle w:val="Hyperlink"/>
            <w:rFonts w:ascii="Arial" w:hAnsi="Arial" w:cs="Arial"/>
          </w:rPr>
          <w:t>https://doi.org/10.1002/pits.22465</w:t>
        </w:r>
      </w:hyperlink>
    </w:p>
    <w:p w14:paraId="79FC7B38" w14:textId="77777777" w:rsidR="002B3149" w:rsidRDefault="002B3149" w:rsidP="002B3149">
      <w:pPr>
        <w:rPr>
          <w:rFonts w:ascii="Arial" w:hAnsi="Arial" w:cs="Arial"/>
        </w:rPr>
      </w:pPr>
      <w:r w:rsidRPr="000F0B3F">
        <w:rPr>
          <w:rFonts w:ascii="Arial" w:hAnsi="Arial" w:cs="Arial"/>
        </w:rPr>
        <w:t xml:space="preserve">Zafarino, S. (2019). Full-time or contract tech professionals? When to hire tech contractors. </w:t>
      </w:r>
      <w:r w:rsidRPr="000F0B3F">
        <w:rPr>
          <w:rFonts w:ascii="Arial" w:hAnsi="Arial" w:cs="Arial"/>
          <w:i/>
          <w:iCs/>
        </w:rPr>
        <w:t>CIO</w:t>
      </w:r>
      <w:r w:rsidRPr="000F0B3F">
        <w:rPr>
          <w:rFonts w:ascii="Arial" w:hAnsi="Arial" w:cs="Arial"/>
        </w:rPr>
        <w:t>.</w:t>
      </w:r>
      <w:r>
        <w:rPr>
          <w:rFonts w:ascii="Arial" w:hAnsi="Arial" w:cs="Arial"/>
        </w:rPr>
        <w:t xml:space="preserve"> </w:t>
      </w:r>
    </w:p>
    <w:p w14:paraId="66100DB3" w14:textId="77777777" w:rsidR="002B3149" w:rsidRPr="00B312B0" w:rsidRDefault="002B3149" w:rsidP="002B3149">
      <w:pPr>
        <w:rPr>
          <w:rFonts w:ascii="Arial" w:hAnsi="Arial" w:cs="Arial"/>
        </w:rPr>
      </w:pPr>
      <w:r w:rsidRPr="00B312B0">
        <w:rPr>
          <w:rFonts w:ascii="Arial" w:hAnsi="Arial" w:cs="Arial"/>
        </w:rPr>
        <w:t xml:space="preserve">Zekan, B. (2021). Managerial Judgment In City Benchmarking. </w:t>
      </w:r>
      <w:r w:rsidRPr="00B312B0">
        <w:rPr>
          <w:rFonts w:ascii="Arial" w:hAnsi="Arial" w:cs="Arial"/>
          <w:i/>
          <w:iCs/>
        </w:rPr>
        <w:t>Journal of Hospitality &amp; Tourism Research (Washington, D.C.)</w:t>
      </w:r>
      <w:r w:rsidRPr="00B312B0">
        <w:rPr>
          <w:rFonts w:ascii="Arial" w:hAnsi="Arial" w:cs="Arial"/>
        </w:rPr>
        <w:t xml:space="preserve">, </w:t>
      </w:r>
      <w:r w:rsidRPr="00B312B0">
        <w:rPr>
          <w:rFonts w:ascii="Arial" w:hAnsi="Arial" w:cs="Arial"/>
          <w:i/>
          <w:iCs/>
        </w:rPr>
        <w:t>45</w:t>
      </w:r>
      <w:r w:rsidRPr="00B312B0">
        <w:rPr>
          <w:rFonts w:ascii="Arial" w:hAnsi="Arial" w:cs="Arial"/>
        </w:rPr>
        <w:t xml:space="preserve">(1), 90–108. </w:t>
      </w:r>
      <w:hyperlink r:id="rId109" w:history="1">
        <w:r w:rsidRPr="00B312B0">
          <w:rPr>
            <w:rStyle w:val="Hyperlink"/>
            <w:rFonts w:ascii="Arial" w:hAnsi="Arial" w:cs="Arial"/>
          </w:rPr>
          <w:t>https://doi.org/10.1177/1096348020963640</w:t>
        </w:r>
      </w:hyperlink>
      <w:r>
        <w:rPr>
          <w:rFonts w:ascii="Arial" w:hAnsi="Arial" w:cs="Arial"/>
        </w:rPr>
        <w:t xml:space="preserve"> </w:t>
      </w:r>
    </w:p>
    <w:p w14:paraId="10EA7DB2" w14:textId="77777777" w:rsidR="002B3149" w:rsidRPr="00F863D1" w:rsidRDefault="002B3149" w:rsidP="002B3149">
      <w:pPr>
        <w:rPr>
          <w:rFonts w:ascii="Arial" w:hAnsi="Arial" w:cs="Arial"/>
        </w:rPr>
      </w:pPr>
      <w:r w:rsidRPr="0007224F">
        <w:rPr>
          <w:rFonts w:ascii="Arial" w:hAnsi="Arial" w:cs="Arial"/>
        </w:rPr>
        <w:t>‌</w:t>
      </w:r>
      <w:r w:rsidRPr="00F863D1">
        <w:rPr>
          <w:rFonts w:ascii="Arial" w:hAnsi="Arial" w:cs="Arial"/>
        </w:rPr>
        <w:t xml:space="preserve">ZG Überblick. (2022). Tight Labour Market — Labour Shortage Following Corona. </w:t>
      </w:r>
      <w:r w:rsidRPr="00F863D1">
        <w:rPr>
          <w:rFonts w:ascii="Arial" w:hAnsi="Arial" w:cs="Arial"/>
          <w:i/>
          <w:iCs/>
        </w:rPr>
        <w:t>Wirtschaftsdienst (Hamburg)</w:t>
      </w:r>
      <w:r w:rsidRPr="00F863D1">
        <w:rPr>
          <w:rFonts w:ascii="Arial" w:hAnsi="Arial" w:cs="Arial"/>
        </w:rPr>
        <w:t xml:space="preserve">, </w:t>
      </w:r>
      <w:r w:rsidRPr="00F863D1">
        <w:rPr>
          <w:rFonts w:ascii="Arial" w:hAnsi="Arial" w:cs="Arial"/>
          <w:i/>
          <w:iCs/>
        </w:rPr>
        <w:t>102</w:t>
      </w:r>
      <w:r w:rsidRPr="00F863D1">
        <w:rPr>
          <w:rFonts w:ascii="Arial" w:hAnsi="Arial" w:cs="Arial"/>
        </w:rPr>
        <w:t>(9), 664–664. https://doi.org/10.1007/s10273-022-3275-4</w:t>
      </w:r>
    </w:p>
    <w:p w14:paraId="0EE4DE33" w14:textId="77777777" w:rsidR="002B3149" w:rsidRPr="00246CD7" w:rsidRDefault="002B3149" w:rsidP="002B3149">
      <w:pPr>
        <w:rPr>
          <w:rFonts w:ascii="Arial" w:hAnsi="Arial" w:cs="Arial"/>
        </w:rPr>
      </w:pPr>
      <w:r w:rsidRPr="00246CD7">
        <w:rPr>
          <w:rFonts w:ascii="Arial" w:hAnsi="Arial" w:cs="Arial"/>
        </w:rPr>
        <w:t xml:space="preserve">Zuiker, M., &amp; Westerlaken, R. (2024). The impact of onboarding practices on employee retention in the cruise industry. </w:t>
      </w:r>
      <w:r w:rsidRPr="00246CD7">
        <w:rPr>
          <w:rFonts w:ascii="Arial" w:hAnsi="Arial" w:cs="Arial"/>
          <w:i/>
          <w:iCs/>
        </w:rPr>
        <w:t>Research in Hospitality Management</w:t>
      </w:r>
      <w:r w:rsidRPr="00246CD7">
        <w:rPr>
          <w:rFonts w:ascii="Arial" w:hAnsi="Arial" w:cs="Arial"/>
        </w:rPr>
        <w:t xml:space="preserve">, </w:t>
      </w:r>
      <w:r w:rsidRPr="00246CD7">
        <w:rPr>
          <w:rFonts w:ascii="Arial" w:hAnsi="Arial" w:cs="Arial"/>
          <w:i/>
          <w:iCs/>
        </w:rPr>
        <w:t>14</w:t>
      </w:r>
      <w:r w:rsidRPr="00246CD7">
        <w:rPr>
          <w:rFonts w:ascii="Arial" w:hAnsi="Arial" w:cs="Arial"/>
        </w:rPr>
        <w:t xml:space="preserve">(2), 198–208. </w:t>
      </w:r>
      <w:hyperlink r:id="rId110" w:history="1">
        <w:r w:rsidRPr="00246CD7">
          <w:rPr>
            <w:rStyle w:val="Hyperlink"/>
            <w:rFonts w:ascii="Arial" w:hAnsi="Arial" w:cs="Arial"/>
          </w:rPr>
          <w:t>https://doi.org/10.1080/22243534.2024.2406333</w:t>
        </w:r>
      </w:hyperlink>
      <w:r>
        <w:rPr>
          <w:rFonts w:ascii="Arial" w:hAnsi="Arial" w:cs="Arial"/>
        </w:rPr>
        <w:t xml:space="preserve"> </w:t>
      </w:r>
    </w:p>
    <w:p w14:paraId="56AD38F3" w14:textId="77777777" w:rsidR="002B3149" w:rsidRPr="002B3149" w:rsidRDefault="002B3149" w:rsidP="00F1652F">
      <w:pPr>
        <w:pStyle w:val="Nornal"/>
        <w:rPr>
          <w:color w:val="auto"/>
        </w:rPr>
      </w:pPr>
    </w:p>
    <w:sectPr w:rsidR="002B3149" w:rsidRPr="002B3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5045DFA"/>
    <w:multiLevelType w:val="hybridMultilevel"/>
    <w:tmpl w:val="2F042352"/>
    <w:numStyleLink w:val="ImportedStyle5"/>
  </w:abstractNum>
  <w:abstractNum w:abstractNumId="2" w15:restartNumberingAfterBreak="0">
    <w:nsid w:val="52B06948"/>
    <w:multiLevelType w:val="multilevel"/>
    <w:tmpl w:val="60CE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187B33"/>
    <w:multiLevelType w:val="multilevel"/>
    <w:tmpl w:val="2FAC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B032FD"/>
    <w:multiLevelType w:val="multilevel"/>
    <w:tmpl w:val="88EE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6F4F5E"/>
    <w:multiLevelType w:val="multilevel"/>
    <w:tmpl w:val="40323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299131">
    <w:abstractNumId w:val="0"/>
  </w:num>
  <w:num w:numId="2" w16cid:durableId="1692682602">
    <w:abstractNumId w:val="1"/>
  </w:num>
  <w:num w:numId="3" w16cid:durableId="1080523361">
    <w:abstractNumId w:val="3"/>
  </w:num>
  <w:num w:numId="4" w16cid:durableId="2096702143">
    <w:abstractNumId w:val="4"/>
  </w:num>
  <w:num w:numId="5" w16cid:durableId="1165706600">
    <w:abstractNumId w:val="2"/>
  </w:num>
  <w:num w:numId="6" w16cid:durableId="1582757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D5C"/>
    <w:rsid w:val="00004797"/>
    <w:rsid w:val="00005DD9"/>
    <w:rsid w:val="00010257"/>
    <w:rsid w:val="000269A2"/>
    <w:rsid w:val="00030765"/>
    <w:rsid w:val="00035719"/>
    <w:rsid w:val="00037F3B"/>
    <w:rsid w:val="00040F56"/>
    <w:rsid w:val="00042195"/>
    <w:rsid w:val="000446A2"/>
    <w:rsid w:val="0004486D"/>
    <w:rsid w:val="00053D02"/>
    <w:rsid w:val="00057A93"/>
    <w:rsid w:val="0006087D"/>
    <w:rsid w:val="000627C5"/>
    <w:rsid w:val="00063D9D"/>
    <w:rsid w:val="00070D75"/>
    <w:rsid w:val="00085F48"/>
    <w:rsid w:val="000911DC"/>
    <w:rsid w:val="000A795C"/>
    <w:rsid w:val="000B44A7"/>
    <w:rsid w:val="000B5E57"/>
    <w:rsid w:val="000C4A24"/>
    <w:rsid w:val="000E0963"/>
    <w:rsid w:val="000E0A9D"/>
    <w:rsid w:val="000E2E5C"/>
    <w:rsid w:val="000E38EB"/>
    <w:rsid w:val="000F0A57"/>
    <w:rsid w:val="000F1A6C"/>
    <w:rsid w:val="00115644"/>
    <w:rsid w:val="00123385"/>
    <w:rsid w:val="00143B13"/>
    <w:rsid w:val="001465C9"/>
    <w:rsid w:val="001479BF"/>
    <w:rsid w:val="001531CE"/>
    <w:rsid w:val="001545EB"/>
    <w:rsid w:val="00165A69"/>
    <w:rsid w:val="001740AD"/>
    <w:rsid w:val="00176556"/>
    <w:rsid w:val="00180E21"/>
    <w:rsid w:val="001834CD"/>
    <w:rsid w:val="0019435D"/>
    <w:rsid w:val="001A0197"/>
    <w:rsid w:val="001C16FE"/>
    <w:rsid w:val="001C1BC4"/>
    <w:rsid w:val="001C35D2"/>
    <w:rsid w:val="001C7352"/>
    <w:rsid w:val="001E2532"/>
    <w:rsid w:val="001F3CA0"/>
    <w:rsid w:val="001F719A"/>
    <w:rsid w:val="00227352"/>
    <w:rsid w:val="00233096"/>
    <w:rsid w:val="00242F36"/>
    <w:rsid w:val="00244501"/>
    <w:rsid w:val="00253E24"/>
    <w:rsid w:val="0025423C"/>
    <w:rsid w:val="00257B6B"/>
    <w:rsid w:val="00262A0D"/>
    <w:rsid w:val="00274BAB"/>
    <w:rsid w:val="002810FA"/>
    <w:rsid w:val="00286AE4"/>
    <w:rsid w:val="00297605"/>
    <w:rsid w:val="002A410D"/>
    <w:rsid w:val="002B14D7"/>
    <w:rsid w:val="002B3149"/>
    <w:rsid w:val="002B66FA"/>
    <w:rsid w:val="002C0040"/>
    <w:rsid w:val="002D1B18"/>
    <w:rsid w:val="002D5C35"/>
    <w:rsid w:val="002D673E"/>
    <w:rsid w:val="002D682E"/>
    <w:rsid w:val="00300811"/>
    <w:rsid w:val="00301CA0"/>
    <w:rsid w:val="00305C63"/>
    <w:rsid w:val="003073BB"/>
    <w:rsid w:val="00312D02"/>
    <w:rsid w:val="00315392"/>
    <w:rsid w:val="00336FEC"/>
    <w:rsid w:val="00342466"/>
    <w:rsid w:val="00345CAF"/>
    <w:rsid w:val="003521D4"/>
    <w:rsid w:val="0035309F"/>
    <w:rsid w:val="00356E50"/>
    <w:rsid w:val="003573C2"/>
    <w:rsid w:val="00360F18"/>
    <w:rsid w:val="00364481"/>
    <w:rsid w:val="00366693"/>
    <w:rsid w:val="00367354"/>
    <w:rsid w:val="0037084B"/>
    <w:rsid w:val="003A042D"/>
    <w:rsid w:val="003A252F"/>
    <w:rsid w:val="003B1614"/>
    <w:rsid w:val="003D05C9"/>
    <w:rsid w:val="003D3A6D"/>
    <w:rsid w:val="003D63F7"/>
    <w:rsid w:val="003E502E"/>
    <w:rsid w:val="003E7E56"/>
    <w:rsid w:val="0041558A"/>
    <w:rsid w:val="004207BE"/>
    <w:rsid w:val="004220A8"/>
    <w:rsid w:val="004314A5"/>
    <w:rsid w:val="004334B0"/>
    <w:rsid w:val="00434A8A"/>
    <w:rsid w:val="0044150C"/>
    <w:rsid w:val="00441FFE"/>
    <w:rsid w:val="00455F9B"/>
    <w:rsid w:val="00480A70"/>
    <w:rsid w:val="004858CB"/>
    <w:rsid w:val="004912A6"/>
    <w:rsid w:val="004940DA"/>
    <w:rsid w:val="004A0630"/>
    <w:rsid w:val="004B7DCB"/>
    <w:rsid w:val="004C39F1"/>
    <w:rsid w:val="004C78F8"/>
    <w:rsid w:val="004D381F"/>
    <w:rsid w:val="004E008F"/>
    <w:rsid w:val="004E3C49"/>
    <w:rsid w:val="004E7927"/>
    <w:rsid w:val="004F520B"/>
    <w:rsid w:val="00500B46"/>
    <w:rsid w:val="00502150"/>
    <w:rsid w:val="00504FC3"/>
    <w:rsid w:val="00505F61"/>
    <w:rsid w:val="005145DC"/>
    <w:rsid w:val="005209A8"/>
    <w:rsid w:val="00520A0B"/>
    <w:rsid w:val="00521797"/>
    <w:rsid w:val="00525923"/>
    <w:rsid w:val="00527159"/>
    <w:rsid w:val="00542316"/>
    <w:rsid w:val="005443CE"/>
    <w:rsid w:val="00545E7B"/>
    <w:rsid w:val="00545FA5"/>
    <w:rsid w:val="005463C1"/>
    <w:rsid w:val="00547F46"/>
    <w:rsid w:val="00556136"/>
    <w:rsid w:val="00567DE4"/>
    <w:rsid w:val="00580E6A"/>
    <w:rsid w:val="0058219D"/>
    <w:rsid w:val="00591CD5"/>
    <w:rsid w:val="005A10FC"/>
    <w:rsid w:val="005B0019"/>
    <w:rsid w:val="005B0270"/>
    <w:rsid w:val="005B03B0"/>
    <w:rsid w:val="005E06E5"/>
    <w:rsid w:val="005E0F02"/>
    <w:rsid w:val="005E4828"/>
    <w:rsid w:val="005F2E47"/>
    <w:rsid w:val="005F2FF4"/>
    <w:rsid w:val="005F6FA7"/>
    <w:rsid w:val="00602866"/>
    <w:rsid w:val="00606506"/>
    <w:rsid w:val="006135E4"/>
    <w:rsid w:val="00621EF0"/>
    <w:rsid w:val="00626712"/>
    <w:rsid w:val="00626D0A"/>
    <w:rsid w:val="006278F1"/>
    <w:rsid w:val="00661003"/>
    <w:rsid w:val="0067020D"/>
    <w:rsid w:val="0068783C"/>
    <w:rsid w:val="006900AC"/>
    <w:rsid w:val="00693050"/>
    <w:rsid w:val="006965AE"/>
    <w:rsid w:val="006A0437"/>
    <w:rsid w:val="006A2EDD"/>
    <w:rsid w:val="006C13C2"/>
    <w:rsid w:val="006C28D2"/>
    <w:rsid w:val="006D1BB7"/>
    <w:rsid w:val="006D2F86"/>
    <w:rsid w:val="007114CF"/>
    <w:rsid w:val="00725397"/>
    <w:rsid w:val="007277AD"/>
    <w:rsid w:val="007332BB"/>
    <w:rsid w:val="00733460"/>
    <w:rsid w:val="00733788"/>
    <w:rsid w:val="00740CD7"/>
    <w:rsid w:val="00741594"/>
    <w:rsid w:val="00742F44"/>
    <w:rsid w:val="00743B17"/>
    <w:rsid w:val="00751E55"/>
    <w:rsid w:val="007558A5"/>
    <w:rsid w:val="00756A47"/>
    <w:rsid w:val="00764FF5"/>
    <w:rsid w:val="007652FB"/>
    <w:rsid w:val="007669F5"/>
    <w:rsid w:val="00771A51"/>
    <w:rsid w:val="007731C0"/>
    <w:rsid w:val="007766F5"/>
    <w:rsid w:val="00780854"/>
    <w:rsid w:val="00785AE6"/>
    <w:rsid w:val="00793F27"/>
    <w:rsid w:val="00794B89"/>
    <w:rsid w:val="007A3A60"/>
    <w:rsid w:val="007C52CD"/>
    <w:rsid w:val="007C77E0"/>
    <w:rsid w:val="007E75B6"/>
    <w:rsid w:val="007F1BA7"/>
    <w:rsid w:val="007F5427"/>
    <w:rsid w:val="0081700A"/>
    <w:rsid w:val="00830ED3"/>
    <w:rsid w:val="00837731"/>
    <w:rsid w:val="0084451B"/>
    <w:rsid w:val="008517F6"/>
    <w:rsid w:val="0085277A"/>
    <w:rsid w:val="00853E34"/>
    <w:rsid w:val="00861B64"/>
    <w:rsid w:val="00871930"/>
    <w:rsid w:val="00873DE2"/>
    <w:rsid w:val="0088654D"/>
    <w:rsid w:val="008870A7"/>
    <w:rsid w:val="00887332"/>
    <w:rsid w:val="008907B4"/>
    <w:rsid w:val="008A4D54"/>
    <w:rsid w:val="008A7815"/>
    <w:rsid w:val="008B1E7B"/>
    <w:rsid w:val="008C4B9D"/>
    <w:rsid w:val="008C7F0B"/>
    <w:rsid w:val="008D022F"/>
    <w:rsid w:val="008D1B69"/>
    <w:rsid w:val="008D5438"/>
    <w:rsid w:val="008E7316"/>
    <w:rsid w:val="008F0578"/>
    <w:rsid w:val="00905D13"/>
    <w:rsid w:val="009164A0"/>
    <w:rsid w:val="00916FCB"/>
    <w:rsid w:val="00917B38"/>
    <w:rsid w:val="009207C3"/>
    <w:rsid w:val="009247D8"/>
    <w:rsid w:val="00927B56"/>
    <w:rsid w:val="009301DF"/>
    <w:rsid w:val="009304D6"/>
    <w:rsid w:val="00930BA9"/>
    <w:rsid w:val="00946CE8"/>
    <w:rsid w:val="00946E59"/>
    <w:rsid w:val="00955954"/>
    <w:rsid w:val="00956205"/>
    <w:rsid w:val="009600ED"/>
    <w:rsid w:val="00964B79"/>
    <w:rsid w:val="009664D1"/>
    <w:rsid w:val="009670B2"/>
    <w:rsid w:val="00967746"/>
    <w:rsid w:val="00975025"/>
    <w:rsid w:val="0099535F"/>
    <w:rsid w:val="00995BE2"/>
    <w:rsid w:val="009A1E0A"/>
    <w:rsid w:val="009A74D6"/>
    <w:rsid w:val="009B3AD9"/>
    <w:rsid w:val="009B50E3"/>
    <w:rsid w:val="009D3B89"/>
    <w:rsid w:val="009F703A"/>
    <w:rsid w:val="00A01DF5"/>
    <w:rsid w:val="00A02C79"/>
    <w:rsid w:val="00A12B88"/>
    <w:rsid w:val="00A25B20"/>
    <w:rsid w:val="00A302FE"/>
    <w:rsid w:val="00A30ADB"/>
    <w:rsid w:val="00A35D81"/>
    <w:rsid w:val="00A44604"/>
    <w:rsid w:val="00A51086"/>
    <w:rsid w:val="00A54FFD"/>
    <w:rsid w:val="00A613FB"/>
    <w:rsid w:val="00A6349A"/>
    <w:rsid w:val="00A65A6C"/>
    <w:rsid w:val="00A74A79"/>
    <w:rsid w:val="00A75838"/>
    <w:rsid w:val="00A80723"/>
    <w:rsid w:val="00A833C7"/>
    <w:rsid w:val="00A90EEF"/>
    <w:rsid w:val="00A97975"/>
    <w:rsid w:val="00AA4377"/>
    <w:rsid w:val="00AB6069"/>
    <w:rsid w:val="00AE2913"/>
    <w:rsid w:val="00AE3751"/>
    <w:rsid w:val="00AE40C7"/>
    <w:rsid w:val="00AE5D28"/>
    <w:rsid w:val="00AE60A9"/>
    <w:rsid w:val="00B072D4"/>
    <w:rsid w:val="00B07434"/>
    <w:rsid w:val="00B25D3A"/>
    <w:rsid w:val="00B46089"/>
    <w:rsid w:val="00B47517"/>
    <w:rsid w:val="00B5358E"/>
    <w:rsid w:val="00B73585"/>
    <w:rsid w:val="00B761C8"/>
    <w:rsid w:val="00B808AC"/>
    <w:rsid w:val="00B9170E"/>
    <w:rsid w:val="00B92F20"/>
    <w:rsid w:val="00B945C4"/>
    <w:rsid w:val="00BA2C00"/>
    <w:rsid w:val="00BA2F89"/>
    <w:rsid w:val="00BA5AF4"/>
    <w:rsid w:val="00BB3A96"/>
    <w:rsid w:val="00BB5953"/>
    <w:rsid w:val="00BB7BED"/>
    <w:rsid w:val="00BC4442"/>
    <w:rsid w:val="00BC5F9E"/>
    <w:rsid w:val="00BD06AA"/>
    <w:rsid w:val="00BD17CE"/>
    <w:rsid w:val="00BF43E2"/>
    <w:rsid w:val="00BF5838"/>
    <w:rsid w:val="00C21F4C"/>
    <w:rsid w:val="00C22012"/>
    <w:rsid w:val="00C22CBF"/>
    <w:rsid w:val="00C3543E"/>
    <w:rsid w:val="00C35B85"/>
    <w:rsid w:val="00C37E1B"/>
    <w:rsid w:val="00C4383E"/>
    <w:rsid w:val="00C450DA"/>
    <w:rsid w:val="00C64D0B"/>
    <w:rsid w:val="00C65269"/>
    <w:rsid w:val="00C85944"/>
    <w:rsid w:val="00C94B08"/>
    <w:rsid w:val="00CA044A"/>
    <w:rsid w:val="00CA50F6"/>
    <w:rsid w:val="00CB136C"/>
    <w:rsid w:val="00CB2134"/>
    <w:rsid w:val="00CB70DE"/>
    <w:rsid w:val="00CC012E"/>
    <w:rsid w:val="00CC1FDC"/>
    <w:rsid w:val="00CC588B"/>
    <w:rsid w:val="00CC6EE7"/>
    <w:rsid w:val="00CD2DC4"/>
    <w:rsid w:val="00CD3DA0"/>
    <w:rsid w:val="00CD7327"/>
    <w:rsid w:val="00CE65BB"/>
    <w:rsid w:val="00CE6962"/>
    <w:rsid w:val="00D00076"/>
    <w:rsid w:val="00D116C5"/>
    <w:rsid w:val="00D33AC4"/>
    <w:rsid w:val="00D3486B"/>
    <w:rsid w:val="00D37CAA"/>
    <w:rsid w:val="00D40B31"/>
    <w:rsid w:val="00D424B2"/>
    <w:rsid w:val="00D508F9"/>
    <w:rsid w:val="00D5099C"/>
    <w:rsid w:val="00D52434"/>
    <w:rsid w:val="00D60290"/>
    <w:rsid w:val="00D662D2"/>
    <w:rsid w:val="00D7365D"/>
    <w:rsid w:val="00D7761D"/>
    <w:rsid w:val="00D9297A"/>
    <w:rsid w:val="00D95FDE"/>
    <w:rsid w:val="00DA2772"/>
    <w:rsid w:val="00DA6F68"/>
    <w:rsid w:val="00DC34B3"/>
    <w:rsid w:val="00DC6174"/>
    <w:rsid w:val="00DE02E2"/>
    <w:rsid w:val="00DE031B"/>
    <w:rsid w:val="00DE1BD8"/>
    <w:rsid w:val="00DF14B6"/>
    <w:rsid w:val="00DF5A98"/>
    <w:rsid w:val="00E04298"/>
    <w:rsid w:val="00E11172"/>
    <w:rsid w:val="00E166BF"/>
    <w:rsid w:val="00E16F97"/>
    <w:rsid w:val="00E3175A"/>
    <w:rsid w:val="00E32FA8"/>
    <w:rsid w:val="00E44727"/>
    <w:rsid w:val="00E44AEF"/>
    <w:rsid w:val="00E460AA"/>
    <w:rsid w:val="00E46903"/>
    <w:rsid w:val="00E51179"/>
    <w:rsid w:val="00E51341"/>
    <w:rsid w:val="00E52D5C"/>
    <w:rsid w:val="00E57B16"/>
    <w:rsid w:val="00E60F9D"/>
    <w:rsid w:val="00E725B0"/>
    <w:rsid w:val="00E73F79"/>
    <w:rsid w:val="00E844DD"/>
    <w:rsid w:val="00E845BB"/>
    <w:rsid w:val="00E84B56"/>
    <w:rsid w:val="00EA1076"/>
    <w:rsid w:val="00EA1B9E"/>
    <w:rsid w:val="00EB5EFD"/>
    <w:rsid w:val="00ED3B2B"/>
    <w:rsid w:val="00ED4322"/>
    <w:rsid w:val="00ED4767"/>
    <w:rsid w:val="00ED558D"/>
    <w:rsid w:val="00EE50E1"/>
    <w:rsid w:val="00EF0BB4"/>
    <w:rsid w:val="00EF3710"/>
    <w:rsid w:val="00EF66C5"/>
    <w:rsid w:val="00F00476"/>
    <w:rsid w:val="00F019D9"/>
    <w:rsid w:val="00F1652F"/>
    <w:rsid w:val="00F2483C"/>
    <w:rsid w:val="00F27722"/>
    <w:rsid w:val="00F35A71"/>
    <w:rsid w:val="00F37552"/>
    <w:rsid w:val="00F431AB"/>
    <w:rsid w:val="00F55E62"/>
    <w:rsid w:val="00F57C16"/>
    <w:rsid w:val="00F630A5"/>
    <w:rsid w:val="00F74C35"/>
    <w:rsid w:val="00F83B60"/>
    <w:rsid w:val="00F87818"/>
    <w:rsid w:val="00FA4026"/>
    <w:rsid w:val="00FA6426"/>
    <w:rsid w:val="00FB508B"/>
    <w:rsid w:val="00FC00C2"/>
    <w:rsid w:val="00FE2157"/>
    <w:rsid w:val="00FF6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85AFD"/>
  <w15:chartTrackingRefBased/>
  <w15:docId w15:val="{E8E72494-D570-4866-8C37-9D31696C3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149"/>
  </w:style>
  <w:style w:type="paragraph" w:styleId="Heading1">
    <w:name w:val="heading 1"/>
    <w:basedOn w:val="Normal"/>
    <w:next w:val="Normal"/>
    <w:link w:val="Heading1Char"/>
    <w:uiPriority w:val="9"/>
    <w:qFormat/>
    <w:rsid w:val="00E52D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2D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2D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2D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2D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2D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2D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2D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2D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D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2D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2D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2D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2D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2D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2D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2D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2D5C"/>
    <w:rPr>
      <w:rFonts w:eastAsiaTheme="majorEastAsia" w:cstheme="majorBidi"/>
      <w:color w:val="272727" w:themeColor="text1" w:themeTint="D8"/>
    </w:rPr>
  </w:style>
  <w:style w:type="paragraph" w:styleId="Title">
    <w:name w:val="Title"/>
    <w:basedOn w:val="Normal"/>
    <w:next w:val="Normal"/>
    <w:link w:val="TitleChar"/>
    <w:uiPriority w:val="10"/>
    <w:qFormat/>
    <w:rsid w:val="00E52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D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2D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2D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2D5C"/>
    <w:pPr>
      <w:spacing w:before="160"/>
      <w:jc w:val="center"/>
    </w:pPr>
    <w:rPr>
      <w:i/>
      <w:iCs/>
      <w:color w:val="404040" w:themeColor="text1" w:themeTint="BF"/>
    </w:rPr>
  </w:style>
  <w:style w:type="character" w:customStyle="1" w:styleId="QuoteChar">
    <w:name w:val="Quote Char"/>
    <w:basedOn w:val="DefaultParagraphFont"/>
    <w:link w:val="Quote"/>
    <w:uiPriority w:val="29"/>
    <w:rsid w:val="00E52D5C"/>
    <w:rPr>
      <w:i/>
      <w:iCs/>
      <w:color w:val="404040" w:themeColor="text1" w:themeTint="BF"/>
    </w:rPr>
  </w:style>
  <w:style w:type="paragraph" w:styleId="ListParagraph">
    <w:name w:val="List Paragraph"/>
    <w:basedOn w:val="Normal"/>
    <w:uiPriority w:val="34"/>
    <w:qFormat/>
    <w:rsid w:val="00E52D5C"/>
    <w:pPr>
      <w:ind w:left="720"/>
      <w:contextualSpacing/>
    </w:pPr>
  </w:style>
  <w:style w:type="character" w:styleId="IntenseEmphasis">
    <w:name w:val="Intense Emphasis"/>
    <w:basedOn w:val="DefaultParagraphFont"/>
    <w:uiPriority w:val="21"/>
    <w:qFormat/>
    <w:rsid w:val="00E52D5C"/>
    <w:rPr>
      <w:i/>
      <w:iCs/>
      <w:color w:val="2F5496" w:themeColor="accent1" w:themeShade="BF"/>
    </w:rPr>
  </w:style>
  <w:style w:type="paragraph" w:styleId="IntenseQuote">
    <w:name w:val="Intense Quote"/>
    <w:basedOn w:val="Normal"/>
    <w:next w:val="Normal"/>
    <w:link w:val="IntenseQuoteChar"/>
    <w:uiPriority w:val="30"/>
    <w:qFormat/>
    <w:rsid w:val="00E52D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2D5C"/>
    <w:rPr>
      <w:i/>
      <w:iCs/>
      <w:color w:val="2F5496" w:themeColor="accent1" w:themeShade="BF"/>
    </w:rPr>
  </w:style>
  <w:style w:type="character" w:styleId="IntenseReference">
    <w:name w:val="Intense Reference"/>
    <w:basedOn w:val="DefaultParagraphFont"/>
    <w:uiPriority w:val="32"/>
    <w:qFormat/>
    <w:rsid w:val="00E52D5C"/>
    <w:rPr>
      <w:b/>
      <w:bCs/>
      <w:smallCaps/>
      <w:color w:val="2F5496" w:themeColor="accent1" w:themeShade="BF"/>
      <w:spacing w:val="5"/>
    </w:rPr>
  </w:style>
  <w:style w:type="character" w:customStyle="1" w:styleId="ui-provider">
    <w:name w:val="ui-provider"/>
    <w:rsid w:val="00785AE6"/>
  </w:style>
  <w:style w:type="paragraph" w:customStyle="1" w:styleId="Nornal">
    <w:name w:val="Nornal"/>
    <w:rsid w:val="00785AE6"/>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zh-CN"/>
      <w14:ligatures w14:val="none"/>
    </w:rPr>
  </w:style>
  <w:style w:type="numbering" w:customStyle="1" w:styleId="ImportedStyle5">
    <w:name w:val="Imported Style 5"/>
    <w:rsid w:val="00785AE6"/>
    <w:pPr>
      <w:numPr>
        <w:numId w:val="1"/>
      </w:numPr>
    </w:pPr>
  </w:style>
  <w:style w:type="character" w:customStyle="1" w:styleId="None">
    <w:name w:val="None"/>
    <w:rsid w:val="00CB2134"/>
  </w:style>
  <w:style w:type="paragraph" w:customStyle="1" w:styleId="TableStyle2">
    <w:name w:val="Table Style 2"/>
    <w:rsid w:val="00D00076"/>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u w:color="000000"/>
      <w:bdr w:val="nil"/>
      <w:lang w:val="en-US" w:eastAsia="zh-CN"/>
      <w14:textOutline w14:w="12700" w14:cap="flat" w14:cmpd="sng" w14:algn="ctr">
        <w14:noFill/>
        <w14:prstDash w14:val="solid"/>
        <w14:miter w14:lim="400000"/>
      </w14:textOutline>
      <w14:ligatures w14:val="none"/>
    </w:rPr>
  </w:style>
  <w:style w:type="character" w:styleId="Hyperlink">
    <w:name w:val="Hyperlink"/>
    <w:basedOn w:val="DefaultParagraphFont"/>
    <w:uiPriority w:val="99"/>
    <w:unhideWhenUsed/>
    <w:rsid w:val="002B3149"/>
    <w:rPr>
      <w:color w:val="0563C1" w:themeColor="hyperlink"/>
      <w:u w:val="single"/>
    </w:rPr>
  </w:style>
  <w:style w:type="character" w:styleId="UnresolvedMention">
    <w:name w:val="Unresolved Mention"/>
    <w:basedOn w:val="DefaultParagraphFont"/>
    <w:uiPriority w:val="99"/>
    <w:semiHidden/>
    <w:unhideWhenUsed/>
    <w:rsid w:val="002B3149"/>
    <w:rPr>
      <w:color w:val="605E5C"/>
      <w:shd w:val="clear" w:color="auto" w:fill="E1DFDD"/>
    </w:rPr>
  </w:style>
  <w:style w:type="paragraph" w:styleId="NormalWeb">
    <w:name w:val="Normal (Web)"/>
    <w:basedOn w:val="Normal"/>
    <w:uiPriority w:val="99"/>
    <w:semiHidden/>
    <w:unhideWhenUsed/>
    <w:rsid w:val="002B314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15265">
      <w:bodyDiv w:val="1"/>
      <w:marLeft w:val="0"/>
      <w:marRight w:val="0"/>
      <w:marTop w:val="0"/>
      <w:marBottom w:val="0"/>
      <w:divBdr>
        <w:top w:val="none" w:sz="0" w:space="0" w:color="auto"/>
        <w:left w:val="none" w:sz="0" w:space="0" w:color="auto"/>
        <w:bottom w:val="none" w:sz="0" w:space="0" w:color="auto"/>
        <w:right w:val="none" w:sz="0" w:space="0" w:color="auto"/>
      </w:divBdr>
    </w:div>
    <w:div w:id="135922195">
      <w:bodyDiv w:val="1"/>
      <w:marLeft w:val="0"/>
      <w:marRight w:val="0"/>
      <w:marTop w:val="0"/>
      <w:marBottom w:val="0"/>
      <w:divBdr>
        <w:top w:val="none" w:sz="0" w:space="0" w:color="auto"/>
        <w:left w:val="none" w:sz="0" w:space="0" w:color="auto"/>
        <w:bottom w:val="none" w:sz="0" w:space="0" w:color="auto"/>
        <w:right w:val="none" w:sz="0" w:space="0" w:color="auto"/>
      </w:divBdr>
    </w:div>
    <w:div w:id="211501011">
      <w:bodyDiv w:val="1"/>
      <w:marLeft w:val="0"/>
      <w:marRight w:val="0"/>
      <w:marTop w:val="0"/>
      <w:marBottom w:val="0"/>
      <w:divBdr>
        <w:top w:val="none" w:sz="0" w:space="0" w:color="auto"/>
        <w:left w:val="none" w:sz="0" w:space="0" w:color="auto"/>
        <w:bottom w:val="none" w:sz="0" w:space="0" w:color="auto"/>
        <w:right w:val="none" w:sz="0" w:space="0" w:color="auto"/>
      </w:divBdr>
      <w:divsChild>
        <w:div w:id="199127742">
          <w:marLeft w:val="0"/>
          <w:marRight w:val="0"/>
          <w:marTop w:val="0"/>
          <w:marBottom w:val="0"/>
          <w:divBdr>
            <w:top w:val="none" w:sz="0" w:space="0" w:color="auto"/>
            <w:left w:val="none" w:sz="0" w:space="0" w:color="auto"/>
            <w:bottom w:val="none" w:sz="0" w:space="0" w:color="auto"/>
            <w:right w:val="none" w:sz="0" w:space="0" w:color="auto"/>
          </w:divBdr>
          <w:divsChild>
            <w:div w:id="1316757366">
              <w:marLeft w:val="0"/>
              <w:marRight w:val="0"/>
              <w:marTop w:val="0"/>
              <w:marBottom w:val="0"/>
              <w:divBdr>
                <w:top w:val="none" w:sz="0" w:space="0" w:color="auto"/>
                <w:left w:val="none" w:sz="0" w:space="0" w:color="auto"/>
                <w:bottom w:val="none" w:sz="0" w:space="0" w:color="auto"/>
                <w:right w:val="none" w:sz="0" w:space="0" w:color="auto"/>
              </w:divBdr>
              <w:divsChild>
                <w:div w:id="343436898">
                  <w:marLeft w:val="0"/>
                  <w:marRight w:val="0"/>
                  <w:marTop w:val="0"/>
                  <w:marBottom w:val="0"/>
                  <w:divBdr>
                    <w:top w:val="none" w:sz="0" w:space="0" w:color="auto"/>
                    <w:left w:val="none" w:sz="0" w:space="0" w:color="auto"/>
                    <w:bottom w:val="none" w:sz="0" w:space="0" w:color="auto"/>
                    <w:right w:val="none" w:sz="0" w:space="0" w:color="auto"/>
                  </w:divBdr>
                  <w:divsChild>
                    <w:div w:id="2048483085">
                      <w:marLeft w:val="0"/>
                      <w:marRight w:val="0"/>
                      <w:marTop w:val="0"/>
                      <w:marBottom w:val="0"/>
                      <w:divBdr>
                        <w:top w:val="none" w:sz="0" w:space="0" w:color="auto"/>
                        <w:left w:val="none" w:sz="0" w:space="0" w:color="auto"/>
                        <w:bottom w:val="none" w:sz="0" w:space="0" w:color="auto"/>
                        <w:right w:val="none" w:sz="0" w:space="0" w:color="auto"/>
                      </w:divBdr>
                      <w:divsChild>
                        <w:div w:id="1888374859">
                          <w:marLeft w:val="0"/>
                          <w:marRight w:val="0"/>
                          <w:marTop w:val="0"/>
                          <w:marBottom w:val="0"/>
                          <w:divBdr>
                            <w:top w:val="none" w:sz="0" w:space="0" w:color="auto"/>
                            <w:left w:val="none" w:sz="0" w:space="0" w:color="auto"/>
                            <w:bottom w:val="none" w:sz="0" w:space="0" w:color="auto"/>
                            <w:right w:val="none" w:sz="0" w:space="0" w:color="auto"/>
                          </w:divBdr>
                          <w:divsChild>
                            <w:div w:id="1049382670">
                              <w:marLeft w:val="0"/>
                              <w:marRight w:val="0"/>
                              <w:marTop w:val="0"/>
                              <w:marBottom w:val="0"/>
                              <w:divBdr>
                                <w:top w:val="none" w:sz="0" w:space="0" w:color="auto"/>
                                <w:left w:val="none" w:sz="0" w:space="0" w:color="auto"/>
                                <w:bottom w:val="none" w:sz="0" w:space="0" w:color="auto"/>
                                <w:right w:val="none" w:sz="0" w:space="0" w:color="auto"/>
                              </w:divBdr>
                              <w:divsChild>
                                <w:div w:id="733628459">
                                  <w:marLeft w:val="0"/>
                                  <w:marRight w:val="0"/>
                                  <w:marTop w:val="0"/>
                                  <w:marBottom w:val="0"/>
                                  <w:divBdr>
                                    <w:top w:val="none" w:sz="0" w:space="0" w:color="auto"/>
                                    <w:left w:val="none" w:sz="0" w:space="0" w:color="auto"/>
                                    <w:bottom w:val="none" w:sz="0" w:space="0" w:color="auto"/>
                                    <w:right w:val="none" w:sz="0" w:space="0" w:color="auto"/>
                                  </w:divBdr>
                                  <w:divsChild>
                                    <w:div w:id="186247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394142">
                      <w:marLeft w:val="0"/>
                      <w:marRight w:val="0"/>
                      <w:marTop w:val="0"/>
                      <w:marBottom w:val="0"/>
                      <w:divBdr>
                        <w:top w:val="none" w:sz="0" w:space="0" w:color="auto"/>
                        <w:left w:val="none" w:sz="0" w:space="0" w:color="auto"/>
                        <w:bottom w:val="none" w:sz="0" w:space="0" w:color="auto"/>
                        <w:right w:val="none" w:sz="0" w:space="0" w:color="auto"/>
                      </w:divBdr>
                      <w:divsChild>
                        <w:div w:id="5782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312949">
      <w:bodyDiv w:val="1"/>
      <w:marLeft w:val="0"/>
      <w:marRight w:val="0"/>
      <w:marTop w:val="0"/>
      <w:marBottom w:val="0"/>
      <w:divBdr>
        <w:top w:val="none" w:sz="0" w:space="0" w:color="auto"/>
        <w:left w:val="none" w:sz="0" w:space="0" w:color="auto"/>
        <w:bottom w:val="none" w:sz="0" w:space="0" w:color="auto"/>
        <w:right w:val="none" w:sz="0" w:space="0" w:color="auto"/>
      </w:divBdr>
    </w:div>
    <w:div w:id="294720514">
      <w:bodyDiv w:val="1"/>
      <w:marLeft w:val="0"/>
      <w:marRight w:val="0"/>
      <w:marTop w:val="0"/>
      <w:marBottom w:val="0"/>
      <w:divBdr>
        <w:top w:val="none" w:sz="0" w:space="0" w:color="auto"/>
        <w:left w:val="none" w:sz="0" w:space="0" w:color="auto"/>
        <w:bottom w:val="none" w:sz="0" w:space="0" w:color="auto"/>
        <w:right w:val="none" w:sz="0" w:space="0" w:color="auto"/>
      </w:divBdr>
    </w:div>
    <w:div w:id="384373054">
      <w:bodyDiv w:val="1"/>
      <w:marLeft w:val="0"/>
      <w:marRight w:val="0"/>
      <w:marTop w:val="0"/>
      <w:marBottom w:val="0"/>
      <w:divBdr>
        <w:top w:val="none" w:sz="0" w:space="0" w:color="auto"/>
        <w:left w:val="none" w:sz="0" w:space="0" w:color="auto"/>
        <w:bottom w:val="none" w:sz="0" w:space="0" w:color="auto"/>
        <w:right w:val="none" w:sz="0" w:space="0" w:color="auto"/>
      </w:divBdr>
      <w:divsChild>
        <w:div w:id="610015167">
          <w:marLeft w:val="0"/>
          <w:marRight w:val="0"/>
          <w:marTop w:val="0"/>
          <w:marBottom w:val="0"/>
          <w:divBdr>
            <w:top w:val="none" w:sz="0" w:space="0" w:color="auto"/>
            <w:left w:val="none" w:sz="0" w:space="0" w:color="auto"/>
            <w:bottom w:val="none" w:sz="0" w:space="0" w:color="auto"/>
            <w:right w:val="none" w:sz="0" w:space="0" w:color="auto"/>
          </w:divBdr>
          <w:divsChild>
            <w:div w:id="147794761">
              <w:marLeft w:val="0"/>
              <w:marRight w:val="0"/>
              <w:marTop w:val="0"/>
              <w:marBottom w:val="0"/>
              <w:divBdr>
                <w:top w:val="none" w:sz="0" w:space="0" w:color="auto"/>
                <w:left w:val="none" w:sz="0" w:space="0" w:color="auto"/>
                <w:bottom w:val="none" w:sz="0" w:space="0" w:color="auto"/>
                <w:right w:val="none" w:sz="0" w:space="0" w:color="auto"/>
              </w:divBdr>
              <w:divsChild>
                <w:div w:id="1137139205">
                  <w:marLeft w:val="0"/>
                  <w:marRight w:val="0"/>
                  <w:marTop w:val="0"/>
                  <w:marBottom w:val="0"/>
                  <w:divBdr>
                    <w:top w:val="none" w:sz="0" w:space="0" w:color="auto"/>
                    <w:left w:val="none" w:sz="0" w:space="0" w:color="auto"/>
                    <w:bottom w:val="none" w:sz="0" w:space="0" w:color="auto"/>
                    <w:right w:val="none" w:sz="0" w:space="0" w:color="auto"/>
                  </w:divBdr>
                  <w:divsChild>
                    <w:div w:id="2105807768">
                      <w:marLeft w:val="0"/>
                      <w:marRight w:val="0"/>
                      <w:marTop w:val="0"/>
                      <w:marBottom w:val="0"/>
                      <w:divBdr>
                        <w:top w:val="none" w:sz="0" w:space="0" w:color="auto"/>
                        <w:left w:val="none" w:sz="0" w:space="0" w:color="auto"/>
                        <w:bottom w:val="none" w:sz="0" w:space="0" w:color="auto"/>
                        <w:right w:val="none" w:sz="0" w:space="0" w:color="auto"/>
                      </w:divBdr>
                      <w:divsChild>
                        <w:div w:id="120005167">
                          <w:marLeft w:val="0"/>
                          <w:marRight w:val="0"/>
                          <w:marTop w:val="0"/>
                          <w:marBottom w:val="0"/>
                          <w:divBdr>
                            <w:top w:val="none" w:sz="0" w:space="0" w:color="auto"/>
                            <w:left w:val="none" w:sz="0" w:space="0" w:color="auto"/>
                            <w:bottom w:val="none" w:sz="0" w:space="0" w:color="auto"/>
                            <w:right w:val="none" w:sz="0" w:space="0" w:color="auto"/>
                          </w:divBdr>
                          <w:divsChild>
                            <w:div w:id="1344747898">
                              <w:marLeft w:val="0"/>
                              <w:marRight w:val="0"/>
                              <w:marTop w:val="0"/>
                              <w:marBottom w:val="0"/>
                              <w:divBdr>
                                <w:top w:val="none" w:sz="0" w:space="0" w:color="auto"/>
                                <w:left w:val="none" w:sz="0" w:space="0" w:color="auto"/>
                                <w:bottom w:val="none" w:sz="0" w:space="0" w:color="auto"/>
                                <w:right w:val="none" w:sz="0" w:space="0" w:color="auto"/>
                              </w:divBdr>
                              <w:divsChild>
                                <w:div w:id="1679231742">
                                  <w:marLeft w:val="0"/>
                                  <w:marRight w:val="0"/>
                                  <w:marTop w:val="0"/>
                                  <w:marBottom w:val="0"/>
                                  <w:divBdr>
                                    <w:top w:val="none" w:sz="0" w:space="0" w:color="auto"/>
                                    <w:left w:val="none" w:sz="0" w:space="0" w:color="auto"/>
                                    <w:bottom w:val="none" w:sz="0" w:space="0" w:color="auto"/>
                                    <w:right w:val="none" w:sz="0" w:space="0" w:color="auto"/>
                                  </w:divBdr>
                                  <w:divsChild>
                                    <w:div w:id="107913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849900">
      <w:bodyDiv w:val="1"/>
      <w:marLeft w:val="0"/>
      <w:marRight w:val="0"/>
      <w:marTop w:val="0"/>
      <w:marBottom w:val="0"/>
      <w:divBdr>
        <w:top w:val="none" w:sz="0" w:space="0" w:color="auto"/>
        <w:left w:val="none" w:sz="0" w:space="0" w:color="auto"/>
        <w:bottom w:val="none" w:sz="0" w:space="0" w:color="auto"/>
        <w:right w:val="none" w:sz="0" w:space="0" w:color="auto"/>
      </w:divBdr>
    </w:div>
    <w:div w:id="555286870">
      <w:bodyDiv w:val="1"/>
      <w:marLeft w:val="0"/>
      <w:marRight w:val="0"/>
      <w:marTop w:val="0"/>
      <w:marBottom w:val="0"/>
      <w:divBdr>
        <w:top w:val="none" w:sz="0" w:space="0" w:color="auto"/>
        <w:left w:val="none" w:sz="0" w:space="0" w:color="auto"/>
        <w:bottom w:val="none" w:sz="0" w:space="0" w:color="auto"/>
        <w:right w:val="none" w:sz="0" w:space="0" w:color="auto"/>
      </w:divBdr>
    </w:div>
    <w:div w:id="570385200">
      <w:bodyDiv w:val="1"/>
      <w:marLeft w:val="0"/>
      <w:marRight w:val="0"/>
      <w:marTop w:val="0"/>
      <w:marBottom w:val="0"/>
      <w:divBdr>
        <w:top w:val="none" w:sz="0" w:space="0" w:color="auto"/>
        <w:left w:val="none" w:sz="0" w:space="0" w:color="auto"/>
        <w:bottom w:val="none" w:sz="0" w:space="0" w:color="auto"/>
        <w:right w:val="none" w:sz="0" w:space="0" w:color="auto"/>
      </w:divBdr>
      <w:divsChild>
        <w:div w:id="913391995">
          <w:marLeft w:val="0"/>
          <w:marRight w:val="0"/>
          <w:marTop w:val="0"/>
          <w:marBottom w:val="0"/>
          <w:divBdr>
            <w:top w:val="none" w:sz="0" w:space="0" w:color="auto"/>
            <w:left w:val="none" w:sz="0" w:space="0" w:color="auto"/>
            <w:bottom w:val="none" w:sz="0" w:space="0" w:color="auto"/>
            <w:right w:val="none" w:sz="0" w:space="0" w:color="auto"/>
          </w:divBdr>
          <w:divsChild>
            <w:div w:id="15854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33226">
      <w:bodyDiv w:val="1"/>
      <w:marLeft w:val="0"/>
      <w:marRight w:val="0"/>
      <w:marTop w:val="0"/>
      <w:marBottom w:val="0"/>
      <w:divBdr>
        <w:top w:val="none" w:sz="0" w:space="0" w:color="auto"/>
        <w:left w:val="none" w:sz="0" w:space="0" w:color="auto"/>
        <w:bottom w:val="none" w:sz="0" w:space="0" w:color="auto"/>
        <w:right w:val="none" w:sz="0" w:space="0" w:color="auto"/>
      </w:divBdr>
      <w:divsChild>
        <w:div w:id="1675567247">
          <w:marLeft w:val="0"/>
          <w:marRight w:val="0"/>
          <w:marTop w:val="0"/>
          <w:marBottom w:val="0"/>
          <w:divBdr>
            <w:top w:val="none" w:sz="0" w:space="0" w:color="auto"/>
            <w:left w:val="none" w:sz="0" w:space="0" w:color="auto"/>
            <w:bottom w:val="none" w:sz="0" w:space="0" w:color="auto"/>
            <w:right w:val="none" w:sz="0" w:space="0" w:color="auto"/>
          </w:divBdr>
          <w:divsChild>
            <w:div w:id="1612322964">
              <w:marLeft w:val="0"/>
              <w:marRight w:val="0"/>
              <w:marTop w:val="0"/>
              <w:marBottom w:val="0"/>
              <w:divBdr>
                <w:top w:val="none" w:sz="0" w:space="0" w:color="auto"/>
                <w:left w:val="none" w:sz="0" w:space="0" w:color="auto"/>
                <w:bottom w:val="none" w:sz="0" w:space="0" w:color="auto"/>
                <w:right w:val="none" w:sz="0" w:space="0" w:color="auto"/>
              </w:divBdr>
              <w:divsChild>
                <w:div w:id="1871718899">
                  <w:marLeft w:val="0"/>
                  <w:marRight w:val="0"/>
                  <w:marTop w:val="0"/>
                  <w:marBottom w:val="0"/>
                  <w:divBdr>
                    <w:top w:val="none" w:sz="0" w:space="0" w:color="auto"/>
                    <w:left w:val="none" w:sz="0" w:space="0" w:color="auto"/>
                    <w:bottom w:val="none" w:sz="0" w:space="0" w:color="auto"/>
                    <w:right w:val="none" w:sz="0" w:space="0" w:color="auto"/>
                  </w:divBdr>
                  <w:divsChild>
                    <w:div w:id="1656837573">
                      <w:marLeft w:val="0"/>
                      <w:marRight w:val="0"/>
                      <w:marTop w:val="0"/>
                      <w:marBottom w:val="0"/>
                      <w:divBdr>
                        <w:top w:val="none" w:sz="0" w:space="0" w:color="auto"/>
                        <w:left w:val="none" w:sz="0" w:space="0" w:color="auto"/>
                        <w:bottom w:val="none" w:sz="0" w:space="0" w:color="auto"/>
                        <w:right w:val="none" w:sz="0" w:space="0" w:color="auto"/>
                      </w:divBdr>
                      <w:divsChild>
                        <w:div w:id="521092186">
                          <w:marLeft w:val="0"/>
                          <w:marRight w:val="0"/>
                          <w:marTop w:val="0"/>
                          <w:marBottom w:val="0"/>
                          <w:divBdr>
                            <w:top w:val="none" w:sz="0" w:space="0" w:color="auto"/>
                            <w:left w:val="none" w:sz="0" w:space="0" w:color="auto"/>
                            <w:bottom w:val="none" w:sz="0" w:space="0" w:color="auto"/>
                            <w:right w:val="none" w:sz="0" w:space="0" w:color="auto"/>
                          </w:divBdr>
                          <w:divsChild>
                            <w:div w:id="289481377">
                              <w:marLeft w:val="0"/>
                              <w:marRight w:val="0"/>
                              <w:marTop w:val="0"/>
                              <w:marBottom w:val="0"/>
                              <w:divBdr>
                                <w:top w:val="none" w:sz="0" w:space="0" w:color="auto"/>
                                <w:left w:val="none" w:sz="0" w:space="0" w:color="auto"/>
                                <w:bottom w:val="none" w:sz="0" w:space="0" w:color="auto"/>
                                <w:right w:val="none" w:sz="0" w:space="0" w:color="auto"/>
                              </w:divBdr>
                              <w:divsChild>
                                <w:div w:id="445928017">
                                  <w:marLeft w:val="0"/>
                                  <w:marRight w:val="0"/>
                                  <w:marTop w:val="0"/>
                                  <w:marBottom w:val="0"/>
                                  <w:divBdr>
                                    <w:top w:val="none" w:sz="0" w:space="0" w:color="auto"/>
                                    <w:left w:val="none" w:sz="0" w:space="0" w:color="auto"/>
                                    <w:bottom w:val="none" w:sz="0" w:space="0" w:color="auto"/>
                                    <w:right w:val="none" w:sz="0" w:space="0" w:color="auto"/>
                                  </w:divBdr>
                                  <w:divsChild>
                                    <w:div w:id="18816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311819">
                      <w:marLeft w:val="0"/>
                      <w:marRight w:val="0"/>
                      <w:marTop w:val="0"/>
                      <w:marBottom w:val="0"/>
                      <w:divBdr>
                        <w:top w:val="none" w:sz="0" w:space="0" w:color="auto"/>
                        <w:left w:val="none" w:sz="0" w:space="0" w:color="auto"/>
                        <w:bottom w:val="none" w:sz="0" w:space="0" w:color="auto"/>
                        <w:right w:val="none" w:sz="0" w:space="0" w:color="auto"/>
                      </w:divBdr>
                      <w:divsChild>
                        <w:div w:id="28384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914496">
      <w:bodyDiv w:val="1"/>
      <w:marLeft w:val="0"/>
      <w:marRight w:val="0"/>
      <w:marTop w:val="0"/>
      <w:marBottom w:val="0"/>
      <w:divBdr>
        <w:top w:val="none" w:sz="0" w:space="0" w:color="auto"/>
        <w:left w:val="none" w:sz="0" w:space="0" w:color="auto"/>
        <w:bottom w:val="none" w:sz="0" w:space="0" w:color="auto"/>
        <w:right w:val="none" w:sz="0" w:space="0" w:color="auto"/>
      </w:divBdr>
    </w:div>
    <w:div w:id="669603409">
      <w:bodyDiv w:val="1"/>
      <w:marLeft w:val="0"/>
      <w:marRight w:val="0"/>
      <w:marTop w:val="0"/>
      <w:marBottom w:val="0"/>
      <w:divBdr>
        <w:top w:val="none" w:sz="0" w:space="0" w:color="auto"/>
        <w:left w:val="none" w:sz="0" w:space="0" w:color="auto"/>
        <w:bottom w:val="none" w:sz="0" w:space="0" w:color="auto"/>
        <w:right w:val="none" w:sz="0" w:space="0" w:color="auto"/>
      </w:divBdr>
      <w:divsChild>
        <w:div w:id="1318606114">
          <w:marLeft w:val="0"/>
          <w:marRight w:val="0"/>
          <w:marTop w:val="0"/>
          <w:marBottom w:val="0"/>
          <w:divBdr>
            <w:top w:val="none" w:sz="0" w:space="0" w:color="auto"/>
            <w:left w:val="none" w:sz="0" w:space="0" w:color="auto"/>
            <w:bottom w:val="none" w:sz="0" w:space="0" w:color="auto"/>
            <w:right w:val="none" w:sz="0" w:space="0" w:color="auto"/>
          </w:divBdr>
          <w:divsChild>
            <w:div w:id="638388176">
              <w:marLeft w:val="0"/>
              <w:marRight w:val="0"/>
              <w:marTop w:val="0"/>
              <w:marBottom w:val="0"/>
              <w:divBdr>
                <w:top w:val="none" w:sz="0" w:space="0" w:color="auto"/>
                <w:left w:val="none" w:sz="0" w:space="0" w:color="auto"/>
                <w:bottom w:val="none" w:sz="0" w:space="0" w:color="auto"/>
                <w:right w:val="none" w:sz="0" w:space="0" w:color="auto"/>
              </w:divBdr>
              <w:divsChild>
                <w:div w:id="1003557860">
                  <w:marLeft w:val="0"/>
                  <w:marRight w:val="0"/>
                  <w:marTop w:val="0"/>
                  <w:marBottom w:val="0"/>
                  <w:divBdr>
                    <w:top w:val="none" w:sz="0" w:space="0" w:color="auto"/>
                    <w:left w:val="none" w:sz="0" w:space="0" w:color="auto"/>
                    <w:bottom w:val="none" w:sz="0" w:space="0" w:color="auto"/>
                    <w:right w:val="none" w:sz="0" w:space="0" w:color="auto"/>
                  </w:divBdr>
                  <w:divsChild>
                    <w:div w:id="1925912713">
                      <w:marLeft w:val="0"/>
                      <w:marRight w:val="0"/>
                      <w:marTop w:val="0"/>
                      <w:marBottom w:val="0"/>
                      <w:divBdr>
                        <w:top w:val="none" w:sz="0" w:space="0" w:color="auto"/>
                        <w:left w:val="none" w:sz="0" w:space="0" w:color="auto"/>
                        <w:bottom w:val="none" w:sz="0" w:space="0" w:color="auto"/>
                        <w:right w:val="none" w:sz="0" w:space="0" w:color="auto"/>
                      </w:divBdr>
                      <w:divsChild>
                        <w:div w:id="1506482975">
                          <w:marLeft w:val="0"/>
                          <w:marRight w:val="0"/>
                          <w:marTop w:val="0"/>
                          <w:marBottom w:val="0"/>
                          <w:divBdr>
                            <w:top w:val="none" w:sz="0" w:space="0" w:color="auto"/>
                            <w:left w:val="none" w:sz="0" w:space="0" w:color="auto"/>
                            <w:bottom w:val="none" w:sz="0" w:space="0" w:color="auto"/>
                            <w:right w:val="none" w:sz="0" w:space="0" w:color="auto"/>
                          </w:divBdr>
                          <w:divsChild>
                            <w:div w:id="480973324">
                              <w:marLeft w:val="0"/>
                              <w:marRight w:val="0"/>
                              <w:marTop w:val="0"/>
                              <w:marBottom w:val="0"/>
                              <w:divBdr>
                                <w:top w:val="none" w:sz="0" w:space="0" w:color="auto"/>
                                <w:left w:val="none" w:sz="0" w:space="0" w:color="auto"/>
                                <w:bottom w:val="none" w:sz="0" w:space="0" w:color="auto"/>
                                <w:right w:val="none" w:sz="0" w:space="0" w:color="auto"/>
                              </w:divBdr>
                              <w:divsChild>
                                <w:div w:id="1426994677">
                                  <w:marLeft w:val="0"/>
                                  <w:marRight w:val="0"/>
                                  <w:marTop w:val="0"/>
                                  <w:marBottom w:val="0"/>
                                  <w:divBdr>
                                    <w:top w:val="none" w:sz="0" w:space="0" w:color="auto"/>
                                    <w:left w:val="none" w:sz="0" w:space="0" w:color="auto"/>
                                    <w:bottom w:val="none" w:sz="0" w:space="0" w:color="auto"/>
                                    <w:right w:val="none" w:sz="0" w:space="0" w:color="auto"/>
                                  </w:divBdr>
                                  <w:divsChild>
                                    <w:div w:id="113641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0208145">
      <w:bodyDiv w:val="1"/>
      <w:marLeft w:val="0"/>
      <w:marRight w:val="0"/>
      <w:marTop w:val="0"/>
      <w:marBottom w:val="0"/>
      <w:divBdr>
        <w:top w:val="none" w:sz="0" w:space="0" w:color="auto"/>
        <w:left w:val="none" w:sz="0" w:space="0" w:color="auto"/>
        <w:bottom w:val="none" w:sz="0" w:space="0" w:color="auto"/>
        <w:right w:val="none" w:sz="0" w:space="0" w:color="auto"/>
      </w:divBdr>
      <w:divsChild>
        <w:div w:id="1539977244">
          <w:marLeft w:val="0"/>
          <w:marRight w:val="0"/>
          <w:marTop w:val="0"/>
          <w:marBottom w:val="0"/>
          <w:divBdr>
            <w:top w:val="none" w:sz="0" w:space="0" w:color="auto"/>
            <w:left w:val="none" w:sz="0" w:space="0" w:color="auto"/>
            <w:bottom w:val="none" w:sz="0" w:space="0" w:color="auto"/>
            <w:right w:val="none" w:sz="0" w:space="0" w:color="auto"/>
          </w:divBdr>
          <w:divsChild>
            <w:div w:id="1586841644">
              <w:marLeft w:val="0"/>
              <w:marRight w:val="0"/>
              <w:marTop w:val="0"/>
              <w:marBottom w:val="0"/>
              <w:divBdr>
                <w:top w:val="none" w:sz="0" w:space="0" w:color="auto"/>
                <w:left w:val="none" w:sz="0" w:space="0" w:color="auto"/>
                <w:bottom w:val="none" w:sz="0" w:space="0" w:color="auto"/>
                <w:right w:val="none" w:sz="0" w:space="0" w:color="auto"/>
              </w:divBdr>
              <w:divsChild>
                <w:div w:id="1057556506">
                  <w:marLeft w:val="0"/>
                  <w:marRight w:val="0"/>
                  <w:marTop w:val="0"/>
                  <w:marBottom w:val="0"/>
                  <w:divBdr>
                    <w:top w:val="none" w:sz="0" w:space="0" w:color="auto"/>
                    <w:left w:val="none" w:sz="0" w:space="0" w:color="auto"/>
                    <w:bottom w:val="none" w:sz="0" w:space="0" w:color="auto"/>
                    <w:right w:val="none" w:sz="0" w:space="0" w:color="auto"/>
                  </w:divBdr>
                  <w:divsChild>
                    <w:div w:id="2022049700">
                      <w:marLeft w:val="0"/>
                      <w:marRight w:val="0"/>
                      <w:marTop w:val="0"/>
                      <w:marBottom w:val="0"/>
                      <w:divBdr>
                        <w:top w:val="none" w:sz="0" w:space="0" w:color="auto"/>
                        <w:left w:val="none" w:sz="0" w:space="0" w:color="auto"/>
                        <w:bottom w:val="none" w:sz="0" w:space="0" w:color="auto"/>
                        <w:right w:val="none" w:sz="0" w:space="0" w:color="auto"/>
                      </w:divBdr>
                      <w:divsChild>
                        <w:div w:id="1549605786">
                          <w:marLeft w:val="0"/>
                          <w:marRight w:val="0"/>
                          <w:marTop w:val="0"/>
                          <w:marBottom w:val="0"/>
                          <w:divBdr>
                            <w:top w:val="none" w:sz="0" w:space="0" w:color="auto"/>
                            <w:left w:val="none" w:sz="0" w:space="0" w:color="auto"/>
                            <w:bottom w:val="none" w:sz="0" w:space="0" w:color="auto"/>
                            <w:right w:val="none" w:sz="0" w:space="0" w:color="auto"/>
                          </w:divBdr>
                          <w:divsChild>
                            <w:div w:id="1314214713">
                              <w:marLeft w:val="0"/>
                              <w:marRight w:val="0"/>
                              <w:marTop w:val="0"/>
                              <w:marBottom w:val="0"/>
                              <w:divBdr>
                                <w:top w:val="none" w:sz="0" w:space="0" w:color="auto"/>
                                <w:left w:val="none" w:sz="0" w:space="0" w:color="auto"/>
                                <w:bottom w:val="none" w:sz="0" w:space="0" w:color="auto"/>
                                <w:right w:val="none" w:sz="0" w:space="0" w:color="auto"/>
                              </w:divBdr>
                              <w:divsChild>
                                <w:div w:id="480201061">
                                  <w:marLeft w:val="0"/>
                                  <w:marRight w:val="0"/>
                                  <w:marTop w:val="0"/>
                                  <w:marBottom w:val="0"/>
                                  <w:divBdr>
                                    <w:top w:val="none" w:sz="0" w:space="0" w:color="auto"/>
                                    <w:left w:val="none" w:sz="0" w:space="0" w:color="auto"/>
                                    <w:bottom w:val="none" w:sz="0" w:space="0" w:color="auto"/>
                                    <w:right w:val="none" w:sz="0" w:space="0" w:color="auto"/>
                                  </w:divBdr>
                                  <w:divsChild>
                                    <w:div w:id="175046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250020">
                      <w:marLeft w:val="0"/>
                      <w:marRight w:val="0"/>
                      <w:marTop w:val="0"/>
                      <w:marBottom w:val="0"/>
                      <w:divBdr>
                        <w:top w:val="none" w:sz="0" w:space="0" w:color="auto"/>
                        <w:left w:val="none" w:sz="0" w:space="0" w:color="auto"/>
                        <w:bottom w:val="none" w:sz="0" w:space="0" w:color="auto"/>
                        <w:right w:val="none" w:sz="0" w:space="0" w:color="auto"/>
                      </w:divBdr>
                      <w:divsChild>
                        <w:div w:id="8748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897713">
      <w:bodyDiv w:val="1"/>
      <w:marLeft w:val="0"/>
      <w:marRight w:val="0"/>
      <w:marTop w:val="0"/>
      <w:marBottom w:val="0"/>
      <w:divBdr>
        <w:top w:val="none" w:sz="0" w:space="0" w:color="auto"/>
        <w:left w:val="none" w:sz="0" w:space="0" w:color="auto"/>
        <w:bottom w:val="none" w:sz="0" w:space="0" w:color="auto"/>
        <w:right w:val="none" w:sz="0" w:space="0" w:color="auto"/>
      </w:divBdr>
      <w:divsChild>
        <w:div w:id="385027888">
          <w:marLeft w:val="0"/>
          <w:marRight w:val="0"/>
          <w:marTop w:val="0"/>
          <w:marBottom w:val="0"/>
          <w:divBdr>
            <w:top w:val="none" w:sz="0" w:space="0" w:color="auto"/>
            <w:left w:val="none" w:sz="0" w:space="0" w:color="auto"/>
            <w:bottom w:val="none" w:sz="0" w:space="0" w:color="auto"/>
            <w:right w:val="none" w:sz="0" w:space="0" w:color="auto"/>
          </w:divBdr>
          <w:divsChild>
            <w:div w:id="857423386">
              <w:marLeft w:val="0"/>
              <w:marRight w:val="0"/>
              <w:marTop w:val="0"/>
              <w:marBottom w:val="0"/>
              <w:divBdr>
                <w:top w:val="none" w:sz="0" w:space="0" w:color="auto"/>
                <w:left w:val="none" w:sz="0" w:space="0" w:color="auto"/>
                <w:bottom w:val="none" w:sz="0" w:space="0" w:color="auto"/>
                <w:right w:val="none" w:sz="0" w:space="0" w:color="auto"/>
              </w:divBdr>
              <w:divsChild>
                <w:div w:id="64230813">
                  <w:marLeft w:val="0"/>
                  <w:marRight w:val="0"/>
                  <w:marTop w:val="0"/>
                  <w:marBottom w:val="0"/>
                  <w:divBdr>
                    <w:top w:val="none" w:sz="0" w:space="0" w:color="auto"/>
                    <w:left w:val="none" w:sz="0" w:space="0" w:color="auto"/>
                    <w:bottom w:val="none" w:sz="0" w:space="0" w:color="auto"/>
                    <w:right w:val="none" w:sz="0" w:space="0" w:color="auto"/>
                  </w:divBdr>
                  <w:divsChild>
                    <w:div w:id="1700616929">
                      <w:marLeft w:val="0"/>
                      <w:marRight w:val="0"/>
                      <w:marTop w:val="0"/>
                      <w:marBottom w:val="0"/>
                      <w:divBdr>
                        <w:top w:val="none" w:sz="0" w:space="0" w:color="auto"/>
                        <w:left w:val="none" w:sz="0" w:space="0" w:color="auto"/>
                        <w:bottom w:val="none" w:sz="0" w:space="0" w:color="auto"/>
                        <w:right w:val="none" w:sz="0" w:space="0" w:color="auto"/>
                      </w:divBdr>
                      <w:divsChild>
                        <w:div w:id="1147555194">
                          <w:marLeft w:val="0"/>
                          <w:marRight w:val="0"/>
                          <w:marTop w:val="0"/>
                          <w:marBottom w:val="0"/>
                          <w:divBdr>
                            <w:top w:val="none" w:sz="0" w:space="0" w:color="auto"/>
                            <w:left w:val="none" w:sz="0" w:space="0" w:color="auto"/>
                            <w:bottom w:val="none" w:sz="0" w:space="0" w:color="auto"/>
                            <w:right w:val="none" w:sz="0" w:space="0" w:color="auto"/>
                          </w:divBdr>
                          <w:divsChild>
                            <w:div w:id="616185689">
                              <w:marLeft w:val="0"/>
                              <w:marRight w:val="0"/>
                              <w:marTop w:val="0"/>
                              <w:marBottom w:val="0"/>
                              <w:divBdr>
                                <w:top w:val="none" w:sz="0" w:space="0" w:color="auto"/>
                                <w:left w:val="none" w:sz="0" w:space="0" w:color="auto"/>
                                <w:bottom w:val="none" w:sz="0" w:space="0" w:color="auto"/>
                                <w:right w:val="none" w:sz="0" w:space="0" w:color="auto"/>
                              </w:divBdr>
                              <w:divsChild>
                                <w:div w:id="613902838">
                                  <w:marLeft w:val="0"/>
                                  <w:marRight w:val="0"/>
                                  <w:marTop w:val="0"/>
                                  <w:marBottom w:val="0"/>
                                  <w:divBdr>
                                    <w:top w:val="none" w:sz="0" w:space="0" w:color="auto"/>
                                    <w:left w:val="none" w:sz="0" w:space="0" w:color="auto"/>
                                    <w:bottom w:val="none" w:sz="0" w:space="0" w:color="auto"/>
                                    <w:right w:val="none" w:sz="0" w:space="0" w:color="auto"/>
                                  </w:divBdr>
                                  <w:divsChild>
                                    <w:div w:id="23836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917652">
      <w:bodyDiv w:val="1"/>
      <w:marLeft w:val="0"/>
      <w:marRight w:val="0"/>
      <w:marTop w:val="0"/>
      <w:marBottom w:val="0"/>
      <w:divBdr>
        <w:top w:val="none" w:sz="0" w:space="0" w:color="auto"/>
        <w:left w:val="none" w:sz="0" w:space="0" w:color="auto"/>
        <w:bottom w:val="none" w:sz="0" w:space="0" w:color="auto"/>
        <w:right w:val="none" w:sz="0" w:space="0" w:color="auto"/>
      </w:divBdr>
      <w:divsChild>
        <w:div w:id="854802197">
          <w:marLeft w:val="0"/>
          <w:marRight w:val="0"/>
          <w:marTop w:val="0"/>
          <w:marBottom w:val="0"/>
          <w:divBdr>
            <w:top w:val="none" w:sz="0" w:space="0" w:color="auto"/>
            <w:left w:val="none" w:sz="0" w:space="0" w:color="auto"/>
            <w:bottom w:val="none" w:sz="0" w:space="0" w:color="auto"/>
            <w:right w:val="none" w:sz="0" w:space="0" w:color="auto"/>
          </w:divBdr>
          <w:divsChild>
            <w:div w:id="600180925">
              <w:marLeft w:val="0"/>
              <w:marRight w:val="0"/>
              <w:marTop w:val="0"/>
              <w:marBottom w:val="0"/>
              <w:divBdr>
                <w:top w:val="none" w:sz="0" w:space="0" w:color="auto"/>
                <w:left w:val="none" w:sz="0" w:space="0" w:color="auto"/>
                <w:bottom w:val="none" w:sz="0" w:space="0" w:color="auto"/>
                <w:right w:val="none" w:sz="0" w:space="0" w:color="auto"/>
              </w:divBdr>
              <w:divsChild>
                <w:div w:id="449709891">
                  <w:marLeft w:val="0"/>
                  <w:marRight w:val="0"/>
                  <w:marTop w:val="0"/>
                  <w:marBottom w:val="0"/>
                  <w:divBdr>
                    <w:top w:val="none" w:sz="0" w:space="0" w:color="auto"/>
                    <w:left w:val="none" w:sz="0" w:space="0" w:color="auto"/>
                    <w:bottom w:val="none" w:sz="0" w:space="0" w:color="auto"/>
                    <w:right w:val="none" w:sz="0" w:space="0" w:color="auto"/>
                  </w:divBdr>
                  <w:divsChild>
                    <w:div w:id="747460864">
                      <w:marLeft w:val="0"/>
                      <w:marRight w:val="0"/>
                      <w:marTop w:val="0"/>
                      <w:marBottom w:val="0"/>
                      <w:divBdr>
                        <w:top w:val="none" w:sz="0" w:space="0" w:color="auto"/>
                        <w:left w:val="none" w:sz="0" w:space="0" w:color="auto"/>
                        <w:bottom w:val="none" w:sz="0" w:space="0" w:color="auto"/>
                        <w:right w:val="none" w:sz="0" w:space="0" w:color="auto"/>
                      </w:divBdr>
                      <w:divsChild>
                        <w:div w:id="1527669835">
                          <w:marLeft w:val="0"/>
                          <w:marRight w:val="0"/>
                          <w:marTop w:val="0"/>
                          <w:marBottom w:val="0"/>
                          <w:divBdr>
                            <w:top w:val="none" w:sz="0" w:space="0" w:color="auto"/>
                            <w:left w:val="none" w:sz="0" w:space="0" w:color="auto"/>
                            <w:bottom w:val="none" w:sz="0" w:space="0" w:color="auto"/>
                            <w:right w:val="none" w:sz="0" w:space="0" w:color="auto"/>
                          </w:divBdr>
                          <w:divsChild>
                            <w:div w:id="1550996131">
                              <w:marLeft w:val="0"/>
                              <w:marRight w:val="0"/>
                              <w:marTop w:val="0"/>
                              <w:marBottom w:val="0"/>
                              <w:divBdr>
                                <w:top w:val="none" w:sz="0" w:space="0" w:color="auto"/>
                                <w:left w:val="none" w:sz="0" w:space="0" w:color="auto"/>
                                <w:bottom w:val="none" w:sz="0" w:space="0" w:color="auto"/>
                                <w:right w:val="none" w:sz="0" w:space="0" w:color="auto"/>
                              </w:divBdr>
                              <w:divsChild>
                                <w:div w:id="372775867">
                                  <w:marLeft w:val="0"/>
                                  <w:marRight w:val="0"/>
                                  <w:marTop w:val="0"/>
                                  <w:marBottom w:val="0"/>
                                  <w:divBdr>
                                    <w:top w:val="none" w:sz="0" w:space="0" w:color="auto"/>
                                    <w:left w:val="none" w:sz="0" w:space="0" w:color="auto"/>
                                    <w:bottom w:val="none" w:sz="0" w:space="0" w:color="auto"/>
                                    <w:right w:val="none" w:sz="0" w:space="0" w:color="auto"/>
                                  </w:divBdr>
                                  <w:divsChild>
                                    <w:div w:id="135981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130821">
                      <w:marLeft w:val="0"/>
                      <w:marRight w:val="0"/>
                      <w:marTop w:val="0"/>
                      <w:marBottom w:val="0"/>
                      <w:divBdr>
                        <w:top w:val="none" w:sz="0" w:space="0" w:color="auto"/>
                        <w:left w:val="none" w:sz="0" w:space="0" w:color="auto"/>
                        <w:bottom w:val="none" w:sz="0" w:space="0" w:color="auto"/>
                        <w:right w:val="none" w:sz="0" w:space="0" w:color="auto"/>
                      </w:divBdr>
                      <w:divsChild>
                        <w:div w:id="192861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3670200">
      <w:bodyDiv w:val="1"/>
      <w:marLeft w:val="0"/>
      <w:marRight w:val="0"/>
      <w:marTop w:val="0"/>
      <w:marBottom w:val="0"/>
      <w:divBdr>
        <w:top w:val="none" w:sz="0" w:space="0" w:color="auto"/>
        <w:left w:val="none" w:sz="0" w:space="0" w:color="auto"/>
        <w:bottom w:val="none" w:sz="0" w:space="0" w:color="auto"/>
        <w:right w:val="none" w:sz="0" w:space="0" w:color="auto"/>
      </w:divBdr>
      <w:divsChild>
        <w:div w:id="489179249">
          <w:marLeft w:val="0"/>
          <w:marRight w:val="0"/>
          <w:marTop w:val="0"/>
          <w:marBottom w:val="0"/>
          <w:divBdr>
            <w:top w:val="none" w:sz="0" w:space="0" w:color="auto"/>
            <w:left w:val="none" w:sz="0" w:space="0" w:color="auto"/>
            <w:bottom w:val="none" w:sz="0" w:space="0" w:color="auto"/>
            <w:right w:val="none" w:sz="0" w:space="0" w:color="auto"/>
          </w:divBdr>
          <w:divsChild>
            <w:div w:id="1798256544">
              <w:marLeft w:val="0"/>
              <w:marRight w:val="0"/>
              <w:marTop w:val="0"/>
              <w:marBottom w:val="0"/>
              <w:divBdr>
                <w:top w:val="none" w:sz="0" w:space="0" w:color="auto"/>
                <w:left w:val="none" w:sz="0" w:space="0" w:color="auto"/>
                <w:bottom w:val="none" w:sz="0" w:space="0" w:color="auto"/>
                <w:right w:val="none" w:sz="0" w:space="0" w:color="auto"/>
              </w:divBdr>
              <w:divsChild>
                <w:div w:id="1522551366">
                  <w:marLeft w:val="0"/>
                  <w:marRight w:val="0"/>
                  <w:marTop w:val="0"/>
                  <w:marBottom w:val="0"/>
                  <w:divBdr>
                    <w:top w:val="none" w:sz="0" w:space="0" w:color="auto"/>
                    <w:left w:val="none" w:sz="0" w:space="0" w:color="auto"/>
                    <w:bottom w:val="none" w:sz="0" w:space="0" w:color="auto"/>
                    <w:right w:val="none" w:sz="0" w:space="0" w:color="auto"/>
                  </w:divBdr>
                  <w:divsChild>
                    <w:div w:id="2046513644">
                      <w:marLeft w:val="0"/>
                      <w:marRight w:val="0"/>
                      <w:marTop w:val="0"/>
                      <w:marBottom w:val="0"/>
                      <w:divBdr>
                        <w:top w:val="none" w:sz="0" w:space="0" w:color="auto"/>
                        <w:left w:val="none" w:sz="0" w:space="0" w:color="auto"/>
                        <w:bottom w:val="none" w:sz="0" w:space="0" w:color="auto"/>
                        <w:right w:val="none" w:sz="0" w:space="0" w:color="auto"/>
                      </w:divBdr>
                      <w:divsChild>
                        <w:div w:id="1436367893">
                          <w:marLeft w:val="0"/>
                          <w:marRight w:val="0"/>
                          <w:marTop w:val="0"/>
                          <w:marBottom w:val="0"/>
                          <w:divBdr>
                            <w:top w:val="none" w:sz="0" w:space="0" w:color="auto"/>
                            <w:left w:val="none" w:sz="0" w:space="0" w:color="auto"/>
                            <w:bottom w:val="none" w:sz="0" w:space="0" w:color="auto"/>
                            <w:right w:val="none" w:sz="0" w:space="0" w:color="auto"/>
                          </w:divBdr>
                          <w:divsChild>
                            <w:div w:id="352729458">
                              <w:marLeft w:val="0"/>
                              <w:marRight w:val="0"/>
                              <w:marTop w:val="0"/>
                              <w:marBottom w:val="0"/>
                              <w:divBdr>
                                <w:top w:val="none" w:sz="0" w:space="0" w:color="auto"/>
                                <w:left w:val="none" w:sz="0" w:space="0" w:color="auto"/>
                                <w:bottom w:val="none" w:sz="0" w:space="0" w:color="auto"/>
                                <w:right w:val="none" w:sz="0" w:space="0" w:color="auto"/>
                              </w:divBdr>
                              <w:divsChild>
                                <w:div w:id="1016153837">
                                  <w:marLeft w:val="0"/>
                                  <w:marRight w:val="0"/>
                                  <w:marTop w:val="0"/>
                                  <w:marBottom w:val="0"/>
                                  <w:divBdr>
                                    <w:top w:val="none" w:sz="0" w:space="0" w:color="auto"/>
                                    <w:left w:val="none" w:sz="0" w:space="0" w:color="auto"/>
                                    <w:bottom w:val="none" w:sz="0" w:space="0" w:color="auto"/>
                                    <w:right w:val="none" w:sz="0" w:space="0" w:color="auto"/>
                                  </w:divBdr>
                                  <w:divsChild>
                                    <w:div w:id="6522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769958">
                      <w:marLeft w:val="0"/>
                      <w:marRight w:val="0"/>
                      <w:marTop w:val="0"/>
                      <w:marBottom w:val="0"/>
                      <w:divBdr>
                        <w:top w:val="none" w:sz="0" w:space="0" w:color="auto"/>
                        <w:left w:val="none" w:sz="0" w:space="0" w:color="auto"/>
                        <w:bottom w:val="none" w:sz="0" w:space="0" w:color="auto"/>
                        <w:right w:val="none" w:sz="0" w:space="0" w:color="auto"/>
                      </w:divBdr>
                      <w:divsChild>
                        <w:div w:id="198227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174076">
      <w:bodyDiv w:val="1"/>
      <w:marLeft w:val="0"/>
      <w:marRight w:val="0"/>
      <w:marTop w:val="0"/>
      <w:marBottom w:val="0"/>
      <w:divBdr>
        <w:top w:val="none" w:sz="0" w:space="0" w:color="auto"/>
        <w:left w:val="none" w:sz="0" w:space="0" w:color="auto"/>
        <w:bottom w:val="none" w:sz="0" w:space="0" w:color="auto"/>
        <w:right w:val="none" w:sz="0" w:space="0" w:color="auto"/>
      </w:divBdr>
      <w:divsChild>
        <w:div w:id="1442533630">
          <w:marLeft w:val="0"/>
          <w:marRight w:val="0"/>
          <w:marTop w:val="0"/>
          <w:marBottom w:val="0"/>
          <w:divBdr>
            <w:top w:val="none" w:sz="0" w:space="0" w:color="auto"/>
            <w:left w:val="none" w:sz="0" w:space="0" w:color="auto"/>
            <w:bottom w:val="none" w:sz="0" w:space="0" w:color="auto"/>
            <w:right w:val="none" w:sz="0" w:space="0" w:color="auto"/>
          </w:divBdr>
          <w:divsChild>
            <w:div w:id="2069378164">
              <w:marLeft w:val="0"/>
              <w:marRight w:val="0"/>
              <w:marTop w:val="0"/>
              <w:marBottom w:val="0"/>
              <w:divBdr>
                <w:top w:val="none" w:sz="0" w:space="0" w:color="auto"/>
                <w:left w:val="none" w:sz="0" w:space="0" w:color="auto"/>
                <w:bottom w:val="none" w:sz="0" w:space="0" w:color="auto"/>
                <w:right w:val="none" w:sz="0" w:space="0" w:color="auto"/>
              </w:divBdr>
              <w:divsChild>
                <w:div w:id="1273853840">
                  <w:marLeft w:val="0"/>
                  <w:marRight w:val="0"/>
                  <w:marTop w:val="0"/>
                  <w:marBottom w:val="0"/>
                  <w:divBdr>
                    <w:top w:val="none" w:sz="0" w:space="0" w:color="auto"/>
                    <w:left w:val="none" w:sz="0" w:space="0" w:color="auto"/>
                    <w:bottom w:val="none" w:sz="0" w:space="0" w:color="auto"/>
                    <w:right w:val="none" w:sz="0" w:space="0" w:color="auto"/>
                  </w:divBdr>
                  <w:divsChild>
                    <w:div w:id="472723865">
                      <w:marLeft w:val="0"/>
                      <w:marRight w:val="0"/>
                      <w:marTop w:val="0"/>
                      <w:marBottom w:val="0"/>
                      <w:divBdr>
                        <w:top w:val="none" w:sz="0" w:space="0" w:color="auto"/>
                        <w:left w:val="none" w:sz="0" w:space="0" w:color="auto"/>
                        <w:bottom w:val="none" w:sz="0" w:space="0" w:color="auto"/>
                        <w:right w:val="none" w:sz="0" w:space="0" w:color="auto"/>
                      </w:divBdr>
                      <w:divsChild>
                        <w:div w:id="729693109">
                          <w:marLeft w:val="0"/>
                          <w:marRight w:val="0"/>
                          <w:marTop w:val="0"/>
                          <w:marBottom w:val="0"/>
                          <w:divBdr>
                            <w:top w:val="none" w:sz="0" w:space="0" w:color="auto"/>
                            <w:left w:val="none" w:sz="0" w:space="0" w:color="auto"/>
                            <w:bottom w:val="none" w:sz="0" w:space="0" w:color="auto"/>
                            <w:right w:val="none" w:sz="0" w:space="0" w:color="auto"/>
                          </w:divBdr>
                          <w:divsChild>
                            <w:div w:id="277638299">
                              <w:marLeft w:val="0"/>
                              <w:marRight w:val="0"/>
                              <w:marTop w:val="0"/>
                              <w:marBottom w:val="0"/>
                              <w:divBdr>
                                <w:top w:val="none" w:sz="0" w:space="0" w:color="auto"/>
                                <w:left w:val="none" w:sz="0" w:space="0" w:color="auto"/>
                                <w:bottom w:val="none" w:sz="0" w:space="0" w:color="auto"/>
                                <w:right w:val="none" w:sz="0" w:space="0" w:color="auto"/>
                              </w:divBdr>
                              <w:divsChild>
                                <w:div w:id="429664186">
                                  <w:marLeft w:val="0"/>
                                  <w:marRight w:val="0"/>
                                  <w:marTop w:val="0"/>
                                  <w:marBottom w:val="0"/>
                                  <w:divBdr>
                                    <w:top w:val="none" w:sz="0" w:space="0" w:color="auto"/>
                                    <w:left w:val="none" w:sz="0" w:space="0" w:color="auto"/>
                                    <w:bottom w:val="none" w:sz="0" w:space="0" w:color="auto"/>
                                    <w:right w:val="none" w:sz="0" w:space="0" w:color="auto"/>
                                  </w:divBdr>
                                  <w:divsChild>
                                    <w:div w:id="13330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084921">
      <w:bodyDiv w:val="1"/>
      <w:marLeft w:val="0"/>
      <w:marRight w:val="0"/>
      <w:marTop w:val="0"/>
      <w:marBottom w:val="0"/>
      <w:divBdr>
        <w:top w:val="none" w:sz="0" w:space="0" w:color="auto"/>
        <w:left w:val="none" w:sz="0" w:space="0" w:color="auto"/>
        <w:bottom w:val="none" w:sz="0" w:space="0" w:color="auto"/>
        <w:right w:val="none" w:sz="0" w:space="0" w:color="auto"/>
      </w:divBdr>
    </w:div>
    <w:div w:id="926234582">
      <w:bodyDiv w:val="1"/>
      <w:marLeft w:val="0"/>
      <w:marRight w:val="0"/>
      <w:marTop w:val="0"/>
      <w:marBottom w:val="0"/>
      <w:divBdr>
        <w:top w:val="none" w:sz="0" w:space="0" w:color="auto"/>
        <w:left w:val="none" w:sz="0" w:space="0" w:color="auto"/>
        <w:bottom w:val="none" w:sz="0" w:space="0" w:color="auto"/>
        <w:right w:val="none" w:sz="0" w:space="0" w:color="auto"/>
      </w:divBdr>
    </w:div>
    <w:div w:id="951478794">
      <w:bodyDiv w:val="1"/>
      <w:marLeft w:val="0"/>
      <w:marRight w:val="0"/>
      <w:marTop w:val="0"/>
      <w:marBottom w:val="0"/>
      <w:divBdr>
        <w:top w:val="none" w:sz="0" w:space="0" w:color="auto"/>
        <w:left w:val="none" w:sz="0" w:space="0" w:color="auto"/>
        <w:bottom w:val="none" w:sz="0" w:space="0" w:color="auto"/>
        <w:right w:val="none" w:sz="0" w:space="0" w:color="auto"/>
      </w:divBdr>
      <w:divsChild>
        <w:div w:id="544680077">
          <w:marLeft w:val="0"/>
          <w:marRight w:val="0"/>
          <w:marTop w:val="0"/>
          <w:marBottom w:val="0"/>
          <w:divBdr>
            <w:top w:val="none" w:sz="0" w:space="0" w:color="auto"/>
            <w:left w:val="none" w:sz="0" w:space="0" w:color="auto"/>
            <w:bottom w:val="none" w:sz="0" w:space="0" w:color="auto"/>
            <w:right w:val="none" w:sz="0" w:space="0" w:color="auto"/>
          </w:divBdr>
          <w:divsChild>
            <w:div w:id="83592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9919">
      <w:bodyDiv w:val="1"/>
      <w:marLeft w:val="0"/>
      <w:marRight w:val="0"/>
      <w:marTop w:val="0"/>
      <w:marBottom w:val="0"/>
      <w:divBdr>
        <w:top w:val="none" w:sz="0" w:space="0" w:color="auto"/>
        <w:left w:val="none" w:sz="0" w:space="0" w:color="auto"/>
        <w:bottom w:val="none" w:sz="0" w:space="0" w:color="auto"/>
        <w:right w:val="none" w:sz="0" w:space="0" w:color="auto"/>
      </w:divBdr>
    </w:div>
    <w:div w:id="1058363441">
      <w:bodyDiv w:val="1"/>
      <w:marLeft w:val="0"/>
      <w:marRight w:val="0"/>
      <w:marTop w:val="0"/>
      <w:marBottom w:val="0"/>
      <w:divBdr>
        <w:top w:val="none" w:sz="0" w:space="0" w:color="auto"/>
        <w:left w:val="none" w:sz="0" w:space="0" w:color="auto"/>
        <w:bottom w:val="none" w:sz="0" w:space="0" w:color="auto"/>
        <w:right w:val="none" w:sz="0" w:space="0" w:color="auto"/>
      </w:divBdr>
      <w:divsChild>
        <w:div w:id="1872568284">
          <w:marLeft w:val="0"/>
          <w:marRight w:val="0"/>
          <w:marTop w:val="0"/>
          <w:marBottom w:val="0"/>
          <w:divBdr>
            <w:top w:val="none" w:sz="0" w:space="0" w:color="auto"/>
            <w:left w:val="none" w:sz="0" w:space="0" w:color="auto"/>
            <w:bottom w:val="none" w:sz="0" w:space="0" w:color="auto"/>
            <w:right w:val="none" w:sz="0" w:space="0" w:color="auto"/>
          </w:divBdr>
          <w:divsChild>
            <w:div w:id="1643582882">
              <w:marLeft w:val="0"/>
              <w:marRight w:val="0"/>
              <w:marTop w:val="0"/>
              <w:marBottom w:val="0"/>
              <w:divBdr>
                <w:top w:val="none" w:sz="0" w:space="0" w:color="auto"/>
                <w:left w:val="none" w:sz="0" w:space="0" w:color="auto"/>
                <w:bottom w:val="none" w:sz="0" w:space="0" w:color="auto"/>
                <w:right w:val="none" w:sz="0" w:space="0" w:color="auto"/>
              </w:divBdr>
              <w:divsChild>
                <w:div w:id="317731673">
                  <w:marLeft w:val="0"/>
                  <w:marRight w:val="0"/>
                  <w:marTop w:val="0"/>
                  <w:marBottom w:val="0"/>
                  <w:divBdr>
                    <w:top w:val="none" w:sz="0" w:space="0" w:color="auto"/>
                    <w:left w:val="none" w:sz="0" w:space="0" w:color="auto"/>
                    <w:bottom w:val="none" w:sz="0" w:space="0" w:color="auto"/>
                    <w:right w:val="none" w:sz="0" w:space="0" w:color="auto"/>
                  </w:divBdr>
                  <w:divsChild>
                    <w:div w:id="864250220">
                      <w:marLeft w:val="0"/>
                      <w:marRight w:val="0"/>
                      <w:marTop w:val="0"/>
                      <w:marBottom w:val="0"/>
                      <w:divBdr>
                        <w:top w:val="none" w:sz="0" w:space="0" w:color="auto"/>
                        <w:left w:val="none" w:sz="0" w:space="0" w:color="auto"/>
                        <w:bottom w:val="none" w:sz="0" w:space="0" w:color="auto"/>
                        <w:right w:val="none" w:sz="0" w:space="0" w:color="auto"/>
                      </w:divBdr>
                      <w:divsChild>
                        <w:div w:id="568275165">
                          <w:marLeft w:val="0"/>
                          <w:marRight w:val="0"/>
                          <w:marTop w:val="0"/>
                          <w:marBottom w:val="0"/>
                          <w:divBdr>
                            <w:top w:val="none" w:sz="0" w:space="0" w:color="auto"/>
                            <w:left w:val="none" w:sz="0" w:space="0" w:color="auto"/>
                            <w:bottom w:val="none" w:sz="0" w:space="0" w:color="auto"/>
                            <w:right w:val="none" w:sz="0" w:space="0" w:color="auto"/>
                          </w:divBdr>
                          <w:divsChild>
                            <w:div w:id="586614759">
                              <w:marLeft w:val="0"/>
                              <w:marRight w:val="0"/>
                              <w:marTop w:val="0"/>
                              <w:marBottom w:val="0"/>
                              <w:divBdr>
                                <w:top w:val="none" w:sz="0" w:space="0" w:color="auto"/>
                                <w:left w:val="none" w:sz="0" w:space="0" w:color="auto"/>
                                <w:bottom w:val="none" w:sz="0" w:space="0" w:color="auto"/>
                                <w:right w:val="none" w:sz="0" w:space="0" w:color="auto"/>
                              </w:divBdr>
                              <w:divsChild>
                                <w:div w:id="1694771003">
                                  <w:marLeft w:val="0"/>
                                  <w:marRight w:val="0"/>
                                  <w:marTop w:val="0"/>
                                  <w:marBottom w:val="0"/>
                                  <w:divBdr>
                                    <w:top w:val="none" w:sz="0" w:space="0" w:color="auto"/>
                                    <w:left w:val="none" w:sz="0" w:space="0" w:color="auto"/>
                                    <w:bottom w:val="none" w:sz="0" w:space="0" w:color="auto"/>
                                    <w:right w:val="none" w:sz="0" w:space="0" w:color="auto"/>
                                  </w:divBdr>
                                  <w:divsChild>
                                    <w:div w:id="54672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32493">
                      <w:marLeft w:val="0"/>
                      <w:marRight w:val="0"/>
                      <w:marTop w:val="0"/>
                      <w:marBottom w:val="0"/>
                      <w:divBdr>
                        <w:top w:val="none" w:sz="0" w:space="0" w:color="auto"/>
                        <w:left w:val="none" w:sz="0" w:space="0" w:color="auto"/>
                        <w:bottom w:val="none" w:sz="0" w:space="0" w:color="auto"/>
                        <w:right w:val="none" w:sz="0" w:space="0" w:color="auto"/>
                      </w:divBdr>
                      <w:divsChild>
                        <w:div w:id="183175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543325">
      <w:bodyDiv w:val="1"/>
      <w:marLeft w:val="0"/>
      <w:marRight w:val="0"/>
      <w:marTop w:val="0"/>
      <w:marBottom w:val="0"/>
      <w:divBdr>
        <w:top w:val="none" w:sz="0" w:space="0" w:color="auto"/>
        <w:left w:val="none" w:sz="0" w:space="0" w:color="auto"/>
        <w:bottom w:val="none" w:sz="0" w:space="0" w:color="auto"/>
        <w:right w:val="none" w:sz="0" w:space="0" w:color="auto"/>
      </w:divBdr>
      <w:divsChild>
        <w:div w:id="2055763614">
          <w:marLeft w:val="0"/>
          <w:marRight w:val="0"/>
          <w:marTop w:val="0"/>
          <w:marBottom w:val="0"/>
          <w:divBdr>
            <w:top w:val="none" w:sz="0" w:space="0" w:color="auto"/>
            <w:left w:val="none" w:sz="0" w:space="0" w:color="auto"/>
            <w:bottom w:val="none" w:sz="0" w:space="0" w:color="auto"/>
            <w:right w:val="none" w:sz="0" w:space="0" w:color="auto"/>
          </w:divBdr>
          <w:divsChild>
            <w:div w:id="34737960">
              <w:marLeft w:val="0"/>
              <w:marRight w:val="0"/>
              <w:marTop w:val="0"/>
              <w:marBottom w:val="0"/>
              <w:divBdr>
                <w:top w:val="none" w:sz="0" w:space="0" w:color="auto"/>
                <w:left w:val="none" w:sz="0" w:space="0" w:color="auto"/>
                <w:bottom w:val="none" w:sz="0" w:space="0" w:color="auto"/>
                <w:right w:val="none" w:sz="0" w:space="0" w:color="auto"/>
              </w:divBdr>
              <w:divsChild>
                <w:div w:id="1928223660">
                  <w:marLeft w:val="0"/>
                  <w:marRight w:val="0"/>
                  <w:marTop w:val="0"/>
                  <w:marBottom w:val="0"/>
                  <w:divBdr>
                    <w:top w:val="none" w:sz="0" w:space="0" w:color="auto"/>
                    <w:left w:val="none" w:sz="0" w:space="0" w:color="auto"/>
                    <w:bottom w:val="none" w:sz="0" w:space="0" w:color="auto"/>
                    <w:right w:val="none" w:sz="0" w:space="0" w:color="auto"/>
                  </w:divBdr>
                  <w:divsChild>
                    <w:div w:id="931738076">
                      <w:marLeft w:val="0"/>
                      <w:marRight w:val="0"/>
                      <w:marTop w:val="0"/>
                      <w:marBottom w:val="0"/>
                      <w:divBdr>
                        <w:top w:val="none" w:sz="0" w:space="0" w:color="auto"/>
                        <w:left w:val="none" w:sz="0" w:space="0" w:color="auto"/>
                        <w:bottom w:val="none" w:sz="0" w:space="0" w:color="auto"/>
                        <w:right w:val="none" w:sz="0" w:space="0" w:color="auto"/>
                      </w:divBdr>
                      <w:divsChild>
                        <w:div w:id="839152082">
                          <w:marLeft w:val="0"/>
                          <w:marRight w:val="0"/>
                          <w:marTop w:val="0"/>
                          <w:marBottom w:val="0"/>
                          <w:divBdr>
                            <w:top w:val="none" w:sz="0" w:space="0" w:color="auto"/>
                            <w:left w:val="none" w:sz="0" w:space="0" w:color="auto"/>
                            <w:bottom w:val="none" w:sz="0" w:space="0" w:color="auto"/>
                            <w:right w:val="none" w:sz="0" w:space="0" w:color="auto"/>
                          </w:divBdr>
                          <w:divsChild>
                            <w:div w:id="332343463">
                              <w:marLeft w:val="0"/>
                              <w:marRight w:val="0"/>
                              <w:marTop w:val="0"/>
                              <w:marBottom w:val="0"/>
                              <w:divBdr>
                                <w:top w:val="none" w:sz="0" w:space="0" w:color="auto"/>
                                <w:left w:val="none" w:sz="0" w:space="0" w:color="auto"/>
                                <w:bottom w:val="none" w:sz="0" w:space="0" w:color="auto"/>
                                <w:right w:val="none" w:sz="0" w:space="0" w:color="auto"/>
                              </w:divBdr>
                              <w:divsChild>
                                <w:div w:id="442696695">
                                  <w:marLeft w:val="0"/>
                                  <w:marRight w:val="0"/>
                                  <w:marTop w:val="0"/>
                                  <w:marBottom w:val="0"/>
                                  <w:divBdr>
                                    <w:top w:val="none" w:sz="0" w:space="0" w:color="auto"/>
                                    <w:left w:val="none" w:sz="0" w:space="0" w:color="auto"/>
                                    <w:bottom w:val="none" w:sz="0" w:space="0" w:color="auto"/>
                                    <w:right w:val="none" w:sz="0" w:space="0" w:color="auto"/>
                                  </w:divBdr>
                                  <w:divsChild>
                                    <w:div w:id="113498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43505">
                      <w:marLeft w:val="0"/>
                      <w:marRight w:val="0"/>
                      <w:marTop w:val="0"/>
                      <w:marBottom w:val="0"/>
                      <w:divBdr>
                        <w:top w:val="none" w:sz="0" w:space="0" w:color="auto"/>
                        <w:left w:val="none" w:sz="0" w:space="0" w:color="auto"/>
                        <w:bottom w:val="none" w:sz="0" w:space="0" w:color="auto"/>
                        <w:right w:val="none" w:sz="0" w:space="0" w:color="auto"/>
                      </w:divBdr>
                      <w:divsChild>
                        <w:div w:id="185252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559425">
      <w:bodyDiv w:val="1"/>
      <w:marLeft w:val="0"/>
      <w:marRight w:val="0"/>
      <w:marTop w:val="0"/>
      <w:marBottom w:val="0"/>
      <w:divBdr>
        <w:top w:val="none" w:sz="0" w:space="0" w:color="auto"/>
        <w:left w:val="none" w:sz="0" w:space="0" w:color="auto"/>
        <w:bottom w:val="none" w:sz="0" w:space="0" w:color="auto"/>
        <w:right w:val="none" w:sz="0" w:space="0" w:color="auto"/>
      </w:divBdr>
    </w:div>
    <w:div w:id="1270284366">
      <w:bodyDiv w:val="1"/>
      <w:marLeft w:val="0"/>
      <w:marRight w:val="0"/>
      <w:marTop w:val="0"/>
      <w:marBottom w:val="0"/>
      <w:divBdr>
        <w:top w:val="none" w:sz="0" w:space="0" w:color="auto"/>
        <w:left w:val="none" w:sz="0" w:space="0" w:color="auto"/>
        <w:bottom w:val="none" w:sz="0" w:space="0" w:color="auto"/>
        <w:right w:val="none" w:sz="0" w:space="0" w:color="auto"/>
      </w:divBdr>
      <w:divsChild>
        <w:div w:id="1099783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16116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6005649">
      <w:bodyDiv w:val="1"/>
      <w:marLeft w:val="0"/>
      <w:marRight w:val="0"/>
      <w:marTop w:val="0"/>
      <w:marBottom w:val="0"/>
      <w:divBdr>
        <w:top w:val="none" w:sz="0" w:space="0" w:color="auto"/>
        <w:left w:val="none" w:sz="0" w:space="0" w:color="auto"/>
        <w:bottom w:val="none" w:sz="0" w:space="0" w:color="auto"/>
        <w:right w:val="none" w:sz="0" w:space="0" w:color="auto"/>
      </w:divBdr>
    </w:div>
    <w:div w:id="1317371887">
      <w:bodyDiv w:val="1"/>
      <w:marLeft w:val="0"/>
      <w:marRight w:val="0"/>
      <w:marTop w:val="0"/>
      <w:marBottom w:val="0"/>
      <w:divBdr>
        <w:top w:val="none" w:sz="0" w:space="0" w:color="auto"/>
        <w:left w:val="none" w:sz="0" w:space="0" w:color="auto"/>
        <w:bottom w:val="none" w:sz="0" w:space="0" w:color="auto"/>
        <w:right w:val="none" w:sz="0" w:space="0" w:color="auto"/>
      </w:divBdr>
      <w:divsChild>
        <w:div w:id="475804884">
          <w:marLeft w:val="0"/>
          <w:marRight w:val="0"/>
          <w:marTop w:val="0"/>
          <w:marBottom w:val="0"/>
          <w:divBdr>
            <w:top w:val="none" w:sz="0" w:space="0" w:color="auto"/>
            <w:left w:val="none" w:sz="0" w:space="0" w:color="auto"/>
            <w:bottom w:val="none" w:sz="0" w:space="0" w:color="auto"/>
            <w:right w:val="none" w:sz="0" w:space="0" w:color="auto"/>
          </w:divBdr>
          <w:divsChild>
            <w:div w:id="508100809">
              <w:marLeft w:val="0"/>
              <w:marRight w:val="0"/>
              <w:marTop w:val="0"/>
              <w:marBottom w:val="0"/>
              <w:divBdr>
                <w:top w:val="none" w:sz="0" w:space="0" w:color="auto"/>
                <w:left w:val="none" w:sz="0" w:space="0" w:color="auto"/>
                <w:bottom w:val="none" w:sz="0" w:space="0" w:color="auto"/>
                <w:right w:val="none" w:sz="0" w:space="0" w:color="auto"/>
              </w:divBdr>
              <w:divsChild>
                <w:div w:id="1711034294">
                  <w:marLeft w:val="0"/>
                  <w:marRight w:val="0"/>
                  <w:marTop w:val="0"/>
                  <w:marBottom w:val="0"/>
                  <w:divBdr>
                    <w:top w:val="none" w:sz="0" w:space="0" w:color="auto"/>
                    <w:left w:val="none" w:sz="0" w:space="0" w:color="auto"/>
                    <w:bottom w:val="none" w:sz="0" w:space="0" w:color="auto"/>
                    <w:right w:val="none" w:sz="0" w:space="0" w:color="auto"/>
                  </w:divBdr>
                  <w:divsChild>
                    <w:div w:id="101459861">
                      <w:marLeft w:val="0"/>
                      <w:marRight w:val="0"/>
                      <w:marTop w:val="0"/>
                      <w:marBottom w:val="0"/>
                      <w:divBdr>
                        <w:top w:val="none" w:sz="0" w:space="0" w:color="auto"/>
                        <w:left w:val="none" w:sz="0" w:space="0" w:color="auto"/>
                        <w:bottom w:val="none" w:sz="0" w:space="0" w:color="auto"/>
                        <w:right w:val="none" w:sz="0" w:space="0" w:color="auto"/>
                      </w:divBdr>
                      <w:divsChild>
                        <w:div w:id="1427537192">
                          <w:marLeft w:val="0"/>
                          <w:marRight w:val="0"/>
                          <w:marTop w:val="0"/>
                          <w:marBottom w:val="0"/>
                          <w:divBdr>
                            <w:top w:val="none" w:sz="0" w:space="0" w:color="auto"/>
                            <w:left w:val="none" w:sz="0" w:space="0" w:color="auto"/>
                            <w:bottom w:val="none" w:sz="0" w:space="0" w:color="auto"/>
                            <w:right w:val="none" w:sz="0" w:space="0" w:color="auto"/>
                          </w:divBdr>
                          <w:divsChild>
                            <w:div w:id="2066103189">
                              <w:marLeft w:val="0"/>
                              <w:marRight w:val="0"/>
                              <w:marTop w:val="0"/>
                              <w:marBottom w:val="0"/>
                              <w:divBdr>
                                <w:top w:val="none" w:sz="0" w:space="0" w:color="auto"/>
                                <w:left w:val="none" w:sz="0" w:space="0" w:color="auto"/>
                                <w:bottom w:val="none" w:sz="0" w:space="0" w:color="auto"/>
                                <w:right w:val="none" w:sz="0" w:space="0" w:color="auto"/>
                              </w:divBdr>
                              <w:divsChild>
                                <w:div w:id="2075161531">
                                  <w:marLeft w:val="0"/>
                                  <w:marRight w:val="0"/>
                                  <w:marTop w:val="0"/>
                                  <w:marBottom w:val="0"/>
                                  <w:divBdr>
                                    <w:top w:val="none" w:sz="0" w:space="0" w:color="auto"/>
                                    <w:left w:val="none" w:sz="0" w:space="0" w:color="auto"/>
                                    <w:bottom w:val="none" w:sz="0" w:space="0" w:color="auto"/>
                                    <w:right w:val="none" w:sz="0" w:space="0" w:color="auto"/>
                                  </w:divBdr>
                                  <w:divsChild>
                                    <w:div w:id="173966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220608">
                      <w:marLeft w:val="0"/>
                      <w:marRight w:val="0"/>
                      <w:marTop w:val="0"/>
                      <w:marBottom w:val="0"/>
                      <w:divBdr>
                        <w:top w:val="none" w:sz="0" w:space="0" w:color="auto"/>
                        <w:left w:val="none" w:sz="0" w:space="0" w:color="auto"/>
                        <w:bottom w:val="none" w:sz="0" w:space="0" w:color="auto"/>
                        <w:right w:val="none" w:sz="0" w:space="0" w:color="auto"/>
                      </w:divBdr>
                      <w:divsChild>
                        <w:div w:id="1307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207855">
      <w:bodyDiv w:val="1"/>
      <w:marLeft w:val="0"/>
      <w:marRight w:val="0"/>
      <w:marTop w:val="0"/>
      <w:marBottom w:val="0"/>
      <w:divBdr>
        <w:top w:val="none" w:sz="0" w:space="0" w:color="auto"/>
        <w:left w:val="none" w:sz="0" w:space="0" w:color="auto"/>
        <w:bottom w:val="none" w:sz="0" w:space="0" w:color="auto"/>
        <w:right w:val="none" w:sz="0" w:space="0" w:color="auto"/>
      </w:divBdr>
    </w:div>
    <w:div w:id="1351566115">
      <w:bodyDiv w:val="1"/>
      <w:marLeft w:val="0"/>
      <w:marRight w:val="0"/>
      <w:marTop w:val="0"/>
      <w:marBottom w:val="0"/>
      <w:divBdr>
        <w:top w:val="none" w:sz="0" w:space="0" w:color="auto"/>
        <w:left w:val="none" w:sz="0" w:space="0" w:color="auto"/>
        <w:bottom w:val="none" w:sz="0" w:space="0" w:color="auto"/>
        <w:right w:val="none" w:sz="0" w:space="0" w:color="auto"/>
      </w:divBdr>
    </w:div>
    <w:div w:id="1420445910">
      <w:bodyDiv w:val="1"/>
      <w:marLeft w:val="0"/>
      <w:marRight w:val="0"/>
      <w:marTop w:val="0"/>
      <w:marBottom w:val="0"/>
      <w:divBdr>
        <w:top w:val="none" w:sz="0" w:space="0" w:color="auto"/>
        <w:left w:val="none" w:sz="0" w:space="0" w:color="auto"/>
        <w:bottom w:val="none" w:sz="0" w:space="0" w:color="auto"/>
        <w:right w:val="none" w:sz="0" w:space="0" w:color="auto"/>
      </w:divBdr>
    </w:div>
    <w:div w:id="1531844070">
      <w:bodyDiv w:val="1"/>
      <w:marLeft w:val="0"/>
      <w:marRight w:val="0"/>
      <w:marTop w:val="0"/>
      <w:marBottom w:val="0"/>
      <w:divBdr>
        <w:top w:val="none" w:sz="0" w:space="0" w:color="auto"/>
        <w:left w:val="none" w:sz="0" w:space="0" w:color="auto"/>
        <w:bottom w:val="none" w:sz="0" w:space="0" w:color="auto"/>
        <w:right w:val="none" w:sz="0" w:space="0" w:color="auto"/>
      </w:divBdr>
    </w:div>
    <w:div w:id="1558084203">
      <w:bodyDiv w:val="1"/>
      <w:marLeft w:val="0"/>
      <w:marRight w:val="0"/>
      <w:marTop w:val="0"/>
      <w:marBottom w:val="0"/>
      <w:divBdr>
        <w:top w:val="none" w:sz="0" w:space="0" w:color="auto"/>
        <w:left w:val="none" w:sz="0" w:space="0" w:color="auto"/>
        <w:bottom w:val="none" w:sz="0" w:space="0" w:color="auto"/>
        <w:right w:val="none" w:sz="0" w:space="0" w:color="auto"/>
      </w:divBdr>
      <w:divsChild>
        <w:div w:id="2105418296">
          <w:marLeft w:val="0"/>
          <w:marRight w:val="0"/>
          <w:marTop w:val="0"/>
          <w:marBottom w:val="0"/>
          <w:divBdr>
            <w:top w:val="none" w:sz="0" w:space="0" w:color="auto"/>
            <w:left w:val="none" w:sz="0" w:space="0" w:color="auto"/>
            <w:bottom w:val="none" w:sz="0" w:space="0" w:color="auto"/>
            <w:right w:val="none" w:sz="0" w:space="0" w:color="auto"/>
          </w:divBdr>
          <w:divsChild>
            <w:div w:id="1033190978">
              <w:marLeft w:val="0"/>
              <w:marRight w:val="0"/>
              <w:marTop w:val="0"/>
              <w:marBottom w:val="0"/>
              <w:divBdr>
                <w:top w:val="none" w:sz="0" w:space="0" w:color="auto"/>
                <w:left w:val="none" w:sz="0" w:space="0" w:color="auto"/>
                <w:bottom w:val="none" w:sz="0" w:space="0" w:color="auto"/>
                <w:right w:val="none" w:sz="0" w:space="0" w:color="auto"/>
              </w:divBdr>
              <w:divsChild>
                <w:div w:id="2108111334">
                  <w:marLeft w:val="0"/>
                  <w:marRight w:val="0"/>
                  <w:marTop w:val="0"/>
                  <w:marBottom w:val="0"/>
                  <w:divBdr>
                    <w:top w:val="none" w:sz="0" w:space="0" w:color="auto"/>
                    <w:left w:val="none" w:sz="0" w:space="0" w:color="auto"/>
                    <w:bottom w:val="none" w:sz="0" w:space="0" w:color="auto"/>
                    <w:right w:val="none" w:sz="0" w:space="0" w:color="auto"/>
                  </w:divBdr>
                  <w:divsChild>
                    <w:div w:id="1285304000">
                      <w:marLeft w:val="0"/>
                      <w:marRight w:val="0"/>
                      <w:marTop w:val="0"/>
                      <w:marBottom w:val="0"/>
                      <w:divBdr>
                        <w:top w:val="none" w:sz="0" w:space="0" w:color="auto"/>
                        <w:left w:val="none" w:sz="0" w:space="0" w:color="auto"/>
                        <w:bottom w:val="none" w:sz="0" w:space="0" w:color="auto"/>
                        <w:right w:val="none" w:sz="0" w:space="0" w:color="auto"/>
                      </w:divBdr>
                      <w:divsChild>
                        <w:div w:id="1141574929">
                          <w:marLeft w:val="0"/>
                          <w:marRight w:val="0"/>
                          <w:marTop w:val="0"/>
                          <w:marBottom w:val="0"/>
                          <w:divBdr>
                            <w:top w:val="none" w:sz="0" w:space="0" w:color="auto"/>
                            <w:left w:val="none" w:sz="0" w:space="0" w:color="auto"/>
                            <w:bottom w:val="none" w:sz="0" w:space="0" w:color="auto"/>
                            <w:right w:val="none" w:sz="0" w:space="0" w:color="auto"/>
                          </w:divBdr>
                          <w:divsChild>
                            <w:div w:id="1390494036">
                              <w:marLeft w:val="0"/>
                              <w:marRight w:val="0"/>
                              <w:marTop w:val="0"/>
                              <w:marBottom w:val="0"/>
                              <w:divBdr>
                                <w:top w:val="none" w:sz="0" w:space="0" w:color="auto"/>
                                <w:left w:val="none" w:sz="0" w:space="0" w:color="auto"/>
                                <w:bottom w:val="none" w:sz="0" w:space="0" w:color="auto"/>
                                <w:right w:val="none" w:sz="0" w:space="0" w:color="auto"/>
                              </w:divBdr>
                              <w:divsChild>
                                <w:div w:id="1453553988">
                                  <w:marLeft w:val="0"/>
                                  <w:marRight w:val="0"/>
                                  <w:marTop w:val="0"/>
                                  <w:marBottom w:val="0"/>
                                  <w:divBdr>
                                    <w:top w:val="none" w:sz="0" w:space="0" w:color="auto"/>
                                    <w:left w:val="none" w:sz="0" w:space="0" w:color="auto"/>
                                    <w:bottom w:val="none" w:sz="0" w:space="0" w:color="auto"/>
                                    <w:right w:val="none" w:sz="0" w:space="0" w:color="auto"/>
                                  </w:divBdr>
                                  <w:divsChild>
                                    <w:div w:id="67210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007621">
                      <w:marLeft w:val="0"/>
                      <w:marRight w:val="0"/>
                      <w:marTop w:val="0"/>
                      <w:marBottom w:val="0"/>
                      <w:divBdr>
                        <w:top w:val="none" w:sz="0" w:space="0" w:color="auto"/>
                        <w:left w:val="none" w:sz="0" w:space="0" w:color="auto"/>
                        <w:bottom w:val="none" w:sz="0" w:space="0" w:color="auto"/>
                        <w:right w:val="none" w:sz="0" w:space="0" w:color="auto"/>
                      </w:divBdr>
                      <w:divsChild>
                        <w:div w:id="21440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918213">
      <w:bodyDiv w:val="1"/>
      <w:marLeft w:val="0"/>
      <w:marRight w:val="0"/>
      <w:marTop w:val="0"/>
      <w:marBottom w:val="0"/>
      <w:divBdr>
        <w:top w:val="none" w:sz="0" w:space="0" w:color="auto"/>
        <w:left w:val="none" w:sz="0" w:space="0" w:color="auto"/>
        <w:bottom w:val="none" w:sz="0" w:space="0" w:color="auto"/>
        <w:right w:val="none" w:sz="0" w:space="0" w:color="auto"/>
      </w:divBdr>
    </w:div>
    <w:div w:id="1629780159">
      <w:bodyDiv w:val="1"/>
      <w:marLeft w:val="0"/>
      <w:marRight w:val="0"/>
      <w:marTop w:val="0"/>
      <w:marBottom w:val="0"/>
      <w:divBdr>
        <w:top w:val="none" w:sz="0" w:space="0" w:color="auto"/>
        <w:left w:val="none" w:sz="0" w:space="0" w:color="auto"/>
        <w:bottom w:val="none" w:sz="0" w:space="0" w:color="auto"/>
        <w:right w:val="none" w:sz="0" w:space="0" w:color="auto"/>
      </w:divBdr>
    </w:div>
    <w:div w:id="1701976949">
      <w:bodyDiv w:val="1"/>
      <w:marLeft w:val="0"/>
      <w:marRight w:val="0"/>
      <w:marTop w:val="0"/>
      <w:marBottom w:val="0"/>
      <w:divBdr>
        <w:top w:val="none" w:sz="0" w:space="0" w:color="auto"/>
        <w:left w:val="none" w:sz="0" w:space="0" w:color="auto"/>
        <w:bottom w:val="none" w:sz="0" w:space="0" w:color="auto"/>
        <w:right w:val="none" w:sz="0" w:space="0" w:color="auto"/>
      </w:divBdr>
      <w:divsChild>
        <w:div w:id="646521494">
          <w:marLeft w:val="0"/>
          <w:marRight w:val="0"/>
          <w:marTop w:val="0"/>
          <w:marBottom w:val="0"/>
          <w:divBdr>
            <w:top w:val="none" w:sz="0" w:space="0" w:color="auto"/>
            <w:left w:val="none" w:sz="0" w:space="0" w:color="auto"/>
            <w:bottom w:val="none" w:sz="0" w:space="0" w:color="auto"/>
            <w:right w:val="none" w:sz="0" w:space="0" w:color="auto"/>
          </w:divBdr>
          <w:divsChild>
            <w:div w:id="1226448796">
              <w:marLeft w:val="0"/>
              <w:marRight w:val="0"/>
              <w:marTop w:val="0"/>
              <w:marBottom w:val="0"/>
              <w:divBdr>
                <w:top w:val="none" w:sz="0" w:space="0" w:color="auto"/>
                <w:left w:val="none" w:sz="0" w:space="0" w:color="auto"/>
                <w:bottom w:val="none" w:sz="0" w:space="0" w:color="auto"/>
                <w:right w:val="none" w:sz="0" w:space="0" w:color="auto"/>
              </w:divBdr>
              <w:divsChild>
                <w:div w:id="1256481874">
                  <w:marLeft w:val="0"/>
                  <w:marRight w:val="0"/>
                  <w:marTop w:val="0"/>
                  <w:marBottom w:val="0"/>
                  <w:divBdr>
                    <w:top w:val="none" w:sz="0" w:space="0" w:color="auto"/>
                    <w:left w:val="none" w:sz="0" w:space="0" w:color="auto"/>
                    <w:bottom w:val="none" w:sz="0" w:space="0" w:color="auto"/>
                    <w:right w:val="none" w:sz="0" w:space="0" w:color="auto"/>
                  </w:divBdr>
                  <w:divsChild>
                    <w:div w:id="904487294">
                      <w:marLeft w:val="0"/>
                      <w:marRight w:val="0"/>
                      <w:marTop w:val="0"/>
                      <w:marBottom w:val="0"/>
                      <w:divBdr>
                        <w:top w:val="none" w:sz="0" w:space="0" w:color="auto"/>
                        <w:left w:val="none" w:sz="0" w:space="0" w:color="auto"/>
                        <w:bottom w:val="none" w:sz="0" w:space="0" w:color="auto"/>
                        <w:right w:val="none" w:sz="0" w:space="0" w:color="auto"/>
                      </w:divBdr>
                      <w:divsChild>
                        <w:div w:id="1207453175">
                          <w:marLeft w:val="0"/>
                          <w:marRight w:val="0"/>
                          <w:marTop w:val="0"/>
                          <w:marBottom w:val="0"/>
                          <w:divBdr>
                            <w:top w:val="none" w:sz="0" w:space="0" w:color="auto"/>
                            <w:left w:val="none" w:sz="0" w:space="0" w:color="auto"/>
                            <w:bottom w:val="none" w:sz="0" w:space="0" w:color="auto"/>
                            <w:right w:val="none" w:sz="0" w:space="0" w:color="auto"/>
                          </w:divBdr>
                          <w:divsChild>
                            <w:div w:id="1822500762">
                              <w:marLeft w:val="0"/>
                              <w:marRight w:val="0"/>
                              <w:marTop w:val="0"/>
                              <w:marBottom w:val="0"/>
                              <w:divBdr>
                                <w:top w:val="none" w:sz="0" w:space="0" w:color="auto"/>
                                <w:left w:val="none" w:sz="0" w:space="0" w:color="auto"/>
                                <w:bottom w:val="none" w:sz="0" w:space="0" w:color="auto"/>
                                <w:right w:val="none" w:sz="0" w:space="0" w:color="auto"/>
                              </w:divBdr>
                              <w:divsChild>
                                <w:div w:id="1635986851">
                                  <w:marLeft w:val="0"/>
                                  <w:marRight w:val="0"/>
                                  <w:marTop w:val="0"/>
                                  <w:marBottom w:val="0"/>
                                  <w:divBdr>
                                    <w:top w:val="none" w:sz="0" w:space="0" w:color="auto"/>
                                    <w:left w:val="none" w:sz="0" w:space="0" w:color="auto"/>
                                    <w:bottom w:val="none" w:sz="0" w:space="0" w:color="auto"/>
                                    <w:right w:val="none" w:sz="0" w:space="0" w:color="auto"/>
                                  </w:divBdr>
                                  <w:divsChild>
                                    <w:div w:id="19088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983156">
                      <w:marLeft w:val="0"/>
                      <w:marRight w:val="0"/>
                      <w:marTop w:val="0"/>
                      <w:marBottom w:val="0"/>
                      <w:divBdr>
                        <w:top w:val="none" w:sz="0" w:space="0" w:color="auto"/>
                        <w:left w:val="none" w:sz="0" w:space="0" w:color="auto"/>
                        <w:bottom w:val="none" w:sz="0" w:space="0" w:color="auto"/>
                        <w:right w:val="none" w:sz="0" w:space="0" w:color="auto"/>
                      </w:divBdr>
                      <w:divsChild>
                        <w:div w:id="133726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144514">
      <w:bodyDiv w:val="1"/>
      <w:marLeft w:val="0"/>
      <w:marRight w:val="0"/>
      <w:marTop w:val="0"/>
      <w:marBottom w:val="0"/>
      <w:divBdr>
        <w:top w:val="none" w:sz="0" w:space="0" w:color="auto"/>
        <w:left w:val="none" w:sz="0" w:space="0" w:color="auto"/>
        <w:bottom w:val="none" w:sz="0" w:space="0" w:color="auto"/>
        <w:right w:val="none" w:sz="0" w:space="0" w:color="auto"/>
      </w:divBdr>
    </w:div>
    <w:div w:id="1771119794">
      <w:bodyDiv w:val="1"/>
      <w:marLeft w:val="0"/>
      <w:marRight w:val="0"/>
      <w:marTop w:val="0"/>
      <w:marBottom w:val="0"/>
      <w:divBdr>
        <w:top w:val="none" w:sz="0" w:space="0" w:color="auto"/>
        <w:left w:val="none" w:sz="0" w:space="0" w:color="auto"/>
        <w:bottom w:val="none" w:sz="0" w:space="0" w:color="auto"/>
        <w:right w:val="none" w:sz="0" w:space="0" w:color="auto"/>
      </w:divBdr>
      <w:divsChild>
        <w:div w:id="956326999">
          <w:blockQuote w:val="1"/>
          <w:marLeft w:val="720"/>
          <w:marRight w:val="720"/>
          <w:marTop w:val="100"/>
          <w:marBottom w:val="100"/>
          <w:divBdr>
            <w:top w:val="none" w:sz="0" w:space="0" w:color="auto"/>
            <w:left w:val="none" w:sz="0" w:space="0" w:color="auto"/>
            <w:bottom w:val="none" w:sz="0" w:space="0" w:color="auto"/>
            <w:right w:val="none" w:sz="0" w:space="0" w:color="auto"/>
          </w:divBdr>
        </w:div>
        <w:div w:id="713626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937107">
      <w:bodyDiv w:val="1"/>
      <w:marLeft w:val="0"/>
      <w:marRight w:val="0"/>
      <w:marTop w:val="0"/>
      <w:marBottom w:val="0"/>
      <w:divBdr>
        <w:top w:val="none" w:sz="0" w:space="0" w:color="auto"/>
        <w:left w:val="none" w:sz="0" w:space="0" w:color="auto"/>
        <w:bottom w:val="none" w:sz="0" w:space="0" w:color="auto"/>
        <w:right w:val="none" w:sz="0" w:space="0" w:color="auto"/>
      </w:divBdr>
    </w:div>
    <w:div w:id="1932081760">
      <w:bodyDiv w:val="1"/>
      <w:marLeft w:val="0"/>
      <w:marRight w:val="0"/>
      <w:marTop w:val="0"/>
      <w:marBottom w:val="0"/>
      <w:divBdr>
        <w:top w:val="none" w:sz="0" w:space="0" w:color="auto"/>
        <w:left w:val="none" w:sz="0" w:space="0" w:color="auto"/>
        <w:bottom w:val="none" w:sz="0" w:space="0" w:color="auto"/>
        <w:right w:val="none" w:sz="0" w:space="0" w:color="auto"/>
      </w:divBdr>
      <w:divsChild>
        <w:div w:id="534268012">
          <w:marLeft w:val="0"/>
          <w:marRight w:val="0"/>
          <w:marTop w:val="0"/>
          <w:marBottom w:val="0"/>
          <w:divBdr>
            <w:top w:val="none" w:sz="0" w:space="0" w:color="auto"/>
            <w:left w:val="none" w:sz="0" w:space="0" w:color="auto"/>
            <w:bottom w:val="none" w:sz="0" w:space="0" w:color="auto"/>
            <w:right w:val="none" w:sz="0" w:space="0" w:color="auto"/>
          </w:divBdr>
          <w:divsChild>
            <w:div w:id="615065450">
              <w:marLeft w:val="0"/>
              <w:marRight w:val="0"/>
              <w:marTop w:val="0"/>
              <w:marBottom w:val="0"/>
              <w:divBdr>
                <w:top w:val="none" w:sz="0" w:space="0" w:color="auto"/>
                <w:left w:val="none" w:sz="0" w:space="0" w:color="auto"/>
                <w:bottom w:val="none" w:sz="0" w:space="0" w:color="auto"/>
                <w:right w:val="none" w:sz="0" w:space="0" w:color="auto"/>
              </w:divBdr>
              <w:divsChild>
                <w:div w:id="5250598">
                  <w:marLeft w:val="0"/>
                  <w:marRight w:val="0"/>
                  <w:marTop w:val="0"/>
                  <w:marBottom w:val="0"/>
                  <w:divBdr>
                    <w:top w:val="none" w:sz="0" w:space="0" w:color="auto"/>
                    <w:left w:val="none" w:sz="0" w:space="0" w:color="auto"/>
                    <w:bottom w:val="none" w:sz="0" w:space="0" w:color="auto"/>
                    <w:right w:val="none" w:sz="0" w:space="0" w:color="auto"/>
                  </w:divBdr>
                  <w:divsChild>
                    <w:div w:id="347492621">
                      <w:marLeft w:val="0"/>
                      <w:marRight w:val="0"/>
                      <w:marTop w:val="0"/>
                      <w:marBottom w:val="0"/>
                      <w:divBdr>
                        <w:top w:val="none" w:sz="0" w:space="0" w:color="auto"/>
                        <w:left w:val="none" w:sz="0" w:space="0" w:color="auto"/>
                        <w:bottom w:val="none" w:sz="0" w:space="0" w:color="auto"/>
                        <w:right w:val="none" w:sz="0" w:space="0" w:color="auto"/>
                      </w:divBdr>
                      <w:divsChild>
                        <w:div w:id="343870836">
                          <w:marLeft w:val="0"/>
                          <w:marRight w:val="0"/>
                          <w:marTop w:val="0"/>
                          <w:marBottom w:val="0"/>
                          <w:divBdr>
                            <w:top w:val="none" w:sz="0" w:space="0" w:color="auto"/>
                            <w:left w:val="none" w:sz="0" w:space="0" w:color="auto"/>
                            <w:bottom w:val="none" w:sz="0" w:space="0" w:color="auto"/>
                            <w:right w:val="none" w:sz="0" w:space="0" w:color="auto"/>
                          </w:divBdr>
                          <w:divsChild>
                            <w:div w:id="426730824">
                              <w:marLeft w:val="0"/>
                              <w:marRight w:val="0"/>
                              <w:marTop w:val="0"/>
                              <w:marBottom w:val="0"/>
                              <w:divBdr>
                                <w:top w:val="none" w:sz="0" w:space="0" w:color="auto"/>
                                <w:left w:val="none" w:sz="0" w:space="0" w:color="auto"/>
                                <w:bottom w:val="none" w:sz="0" w:space="0" w:color="auto"/>
                                <w:right w:val="none" w:sz="0" w:space="0" w:color="auto"/>
                              </w:divBdr>
                              <w:divsChild>
                                <w:div w:id="802774240">
                                  <w:marLeft w:val="0"/>
                                  <w:marRight w:val="0"/>
                                  <w:marTop w:val="0"/>
                                  <w:marBottom w:val="0"/>
                                  <w:divBdr>
                                    <w:top w:val="none" w:sz="0" w:space="0" w:color="auto"/>
                                    <w:left w:val="none" w:sz="0" w:space="0" w:color="auto"/>
                                    <w:bottom w:val="none" w:sz="0" w:space="0" w:color="auto"/>
                                    <w:right w:val="none" w:sz="0" w:space="0" w:color="auto"/>
                                  </w:divBdr>
                                  <w:divsChild>
                                    <w:div w:id="17165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5819014">
      <w:bodyDiv w:val="1"/>
      <w:marLeft w:val="0"/>
      <w:marRight w:val="0"/>
      <w:marTop w:val="0"/>
      <w:marBottom w:val="0"/>
      <w:divBdr>
        <w:top w:val="none" w:sz="0" w:space="0" w:color="auto"/>
        <w:left w:val="none" w:sz="0" w:space="0" w:color="auto"/>
        <w:bottom w:val="none" w:sz="0" w:space="0" w:color="auto"/>
        <w:right w:val="none" w:sz="0" w:space="0" w:color="auto"/>
      </w:divBdr>
      <w:divsChild>
        <w:div w:id="2046756804">
          <w:marLeft w:val="0"/>
          <w:marRight w:val="0"/>
          <w:marTop w:val="0"/>
          <w:marBottom w:val="0"/>
          <w:divBdr>
            <w:top w:val="none" w:sz="0" w:space="0" w:color="auto"/>
            <w:left w:val="none" w:sz="0" w:space="0" w:color="auto"/>
            <w:bottom w:val="none" w:sz="0" w:space="0" w:color="auto"/>
            <w:right w:val="none" w:sz="0" w:space="0" w:color="auto"/>
          </w:divBdr>
          <w:divsChild>
            <w:div w:id="232931469">
              <w:marLeft w:val="0"/>
              <w:marRight w:val="0"/>
              <w:marTop w:val="0"/>
              <w:marBottom w:val="0"/>
              <w:divBdr>
                <w:top w:val="none" w:sz="0" w:space="0" w:color="auto"/>
                <w:left w:val="none" w:sz="0" w:space="0" w:color="auto"/>
                <w:bottom w:val="none" w:sz="0" w:space="0" w:color="auto"/>
                <w:right w:val="none" w:sz="0" w:space="0" w:color="auto"/>
              </w:divBdr>
              <w:divsChild>
                <w:div w:id="45841741">
                  <w:marLeft w:val="0"/>
                  <w:marRight w:val="0"/>
                  <w:marTop w:val="0"/>
                  <w:marBottom w:val="0"/>
                  <w:divBdr>
                    <w:top w:val="none" w:sz="0" w:space="0" w:color="auto"/>
                    <w:left w:val="none" w:sz="0" w:space="0" w:color="auto"/>
                    <w:bottom w:val="none" w:sz="0" w:space="0" w:color="auto"/>
                    <w:right w:val="none" w:sz="0" w:space="0" w:color="auto"/>
                  </w:divBdr>
                  <w:divsChild>
                    <w:div w:id="2112117076">
                      <w:marLeft w:val="0"/>
                      <w:marRight w:val="0"/>
                      <w:marTop w:val="0"/>
                      <w:marBottom w:val="0"/>
                      <w:divBdr>
                        <w:top w:val="none" w:sz="0" w:space="0" w:color="auto"/>
                        <w:left w:val="none" w:sz="0" w:space="0" w:color="auto"/>
                        <w:bottom w:val="none" w:sz="0" w:space="0" w:color="auto"/>
                        <w:right w:val="none" w:sz="0" w:space="0" w:color="auto"/>
                      </w:divBdr>
                      <w:divsChild>
                        <w:div w:id="1537307636">
                          <w:marLeft w:val="0"/>
                          <w:marRight w:val="0"/>
                          <w:marTop w:val="0"/>
                          <w:marBottom w:val="0"/>
                          <w:divBdr>
                            <w:top w:val="none" w:sz="0" w:space="0" w:color="auto"/>
                            <w:left w:val="none" w:sz="0" w:space="0" w:color="auto"/>
                            <w:bottom w:val="none" w:sz="0" w:space="0" w:color="auto"/>
                            <w:right w:val="none" w:sz="0" w:space="0" w:color="auto"/>
                          </w:divBdr>
                          <w:divsChild>
                            <w:div w:id="1791586174">
                              <w:marLeft w:val="0"/>
                              <w:marRight w:val="0"/>
                              <w:marTop w:val="0"/>
                              <w:marBottom w:val="0"/>
                              <w:divBdr>
                                <w:top w:val="none" w:sz="0" w:space="0" w:color="auto"/>
                                <w:left w:val="none" w:sz="0" w:space="0" w:color="auto"/>
                                <w:bottom w:val="none" w:sz="0" w:space="0" w:color="auto"/>
                                <w:right w:val="none" w:sz="0" w:space="0" w:color="auto"/>
                              </w:divBdr>
                              <w:divsChild>
                                <w:div w:id="397440845">
                                  <w:marLeft w:val="0"/>
                                  <w:marRight w:val="0"/>
                                  <w:marTop w:val="0"/>
                                  <w:marBottom w:val="0"/>
                                  <w:divBdr>
                                    <w:top w:val="none" w:sz="0" w:space="0" w:color="auto"/>
                                    <w:left w:val="none" w:sz="0" w:space="0" w:color="auto"/>
                                    <w:bottom w:val="none" w:sz="0" w:space="0" w:color="auto"/>
                                    <w:right w:val="none" w:sz="0" w:space="0" w:color="auto"/>
                                  </w:divBdr>
                                  <w:divsChild>
                                    <w:div w:id="165309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137508">
      <w:bodyDiv w:val="1"/>
      <w:marLeft w:val="0"/>
      <w:marRight w:val="0"/>
      <w:marTop w:val="0"/>
      <w:marBottom w:val="0"/>
      <w:divBdr>
        <w:top w:val="none" w:sz="0" w:space="0" w:color="auto"/>
        <w:left w:val="none" w:sz="0" w:space="0" w:color="auto"/>
        <w:bottom w:val="none" w:sz="0" w:space="0" w:color="auto"/>
        <w:right w:val="none" w:sz="0" w:space="0" w:color="auto"/>
      </w:divBdr>
    </w:div>
    <w:div w:id="208039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about/news/guidance-workforce-planning/" TargetMode="External"/><Relationship Id="rId21" Type="http://schemas.openxmlformats.org/officeDocument/2006/relationships/hyperlink" Target="https://doi.org/10.1108/IntR-07-2013-0142" TargetMode="External"/><Relationship Id="rId42" Type="http://schemas.openxmlformats.org/officeDocument/2006/relationships/hyperlink" Target="https://www.cipd.org/uk/knowledge/reports/labour-market-outlook/" TargetMode="External"/><Relationship Id="rId47" Type="http://schemas.openxmlformats.org/officeDocument/2006/relationships/hyperlink" Target="https://doi.org/10.1016/j.ejor.2014.10.038" TargetMode="External"/><Relationship Id="rId63" Type="http://schemas.openxmlformats.org/officeDocument/2006/relationships/hyperlink" Target="https://doi.org/10.1108/01437720510615116" TargetMode="External"/><Relationship Id="rId68" Type="http://schemas.openxmlformats.org/officeDocument/2006/relationships/hyperlink" Target="https://doi.org/10.1108/JWAM-04-2021-0036" TargetMode="External"/><Relationship Id="rId84" Type="http://schemas.openxmlformats.org/officeDocument/2006/relationships/hyperlink" Target="https://doi.org/10.3917/mana.193.0177" TargetMode="External"/><Relationship Id="rId89" Type="http://schemas.openxmlformats.org/officeDocument/2006/relationships/hyperlink" Target="https://doi.org/10.1108/JEA-10-2018-0190" TargetMode="External"/><Relationship Id="rId112" Type="http://schemas.openxmlformats.org/officeDocument/2006/relationships/theme" Target="theme/theme1.xml"/><Relationship Id="rId16" Type="http://schemas.openxmlformats.org/officeDocument/2006/relationships/hyperlink" Target="https://doi.org/10.1002/bse.2870" TargetMode="External"/><Relationship Id="rId107" Type="http://schemas.openxmlformats.org/officeDocument/2006/relationships/hyperlink" Target="https://doi.org/10.1108/shr.2010.37209aab.005" TargetMode="External"/><Relationship Id="rId11" Type="http://schemas.openxmlformats.org/officeDocument/2006/relationships/hyperlink" Target="https://doi.org/10.7238/idp.v0i28.3176" TargetMode="External"/><Relationship Id="rId32" Type="http://schemas.openxmlformats.org/officeDocument/2006/relationships/hyperlink" Target="https://www.cipd.org/uk/about/press-releases/new-focus-on-upskilling-needed-as-staff-turnover-and-vacancies-set-to-decline/" TargetMode="External"/><Relationship Id="rId37" Type="http://schemas.openxmlformats.org/officeDocument/2006/relationships/hyperlink" Target="https://www.cipd.org/uk/knowledge/factsheets/economy-labour-market-factsheet/" TargetMode="External"/><Relationship Id="rId53" Type="http://schemas.openxmlformats.org/officeDocument/2006/relationships/hyperlink" Target="https://doi.org/10.1108/19348830810944675" TargetMode="External"/><Relationship Id="rId58" Type="http://schemas.openxmlformats.org/officeDocument/2006/relationships/hyperlink" Target="https://doi.org/10.1108/BPMJ-05-2015-0065" TargetMode="External"/><Relationship Id="rId74" Type="http://schemas.openxmlformats.org/officeDocument/2006/relationships/hyperlink" Target="https://doi.org/10.1287/orsc.2020.1393" TargetMode="External"/><Relationship Id="rId79" Type="http://schemas.openxmlformats.org/officeDocument/2006/relationships/hyperlink" Target="https://doi.org/10.1007/s11846-025-00864-3" TargetMode="External"/><Relationship Id="rId102" Type="http://schemas.openxmlformats.org/officeDocument/2006/relationships/hyperlink" Target="https://doi.org/10.1186/s12913-018-2989-x" TargetMode="External"/><Relationship Id="rId5" Type="http://schemas.openxmlformats.org/officeDocument/2006/relationships/hyperlink" Target="https://www.cipd.org/uk/knowledge/factsheets/terms-conditions-contracts-factsheet/" TargetMode="External"/><Relationship Id="rId90" Type="http://schemas.openxmlformats.org/officeDocument/2006/relationships/hyperlink" Target="https://doi.org/10.1093/geront/gnr025" TargetMode="External"/><Relationship Id="rId95" Type="http://schemas.openxmlformats.org/officeDocument/2006/relationships/hyperlink" Target="https://doi.org/10.1080/09585192.2016.1165275" TargetMode="External"/><Relationship Id="rId22" Type="http://schemas.openxmlformats.org/officeDocument/2006/relationships/hyperlink" Target="https://www.peoplemanagement.co.uk/article/1795419/high-employee-turnover-damaging-company-culture-research-suggests" TargetMode="External"/><Relationship Id="rId27" Type="http://schemas.openxmlformats.org/officeDocument/2006/relationships/hyperlink" Target="https://www.cipd.org/uk/knowledge/reports/people-profession-survey-2023/" TargetMode="External"/><Relationship Id="rId43" Type="http://schemas.openxmlformats.org/officeDocument/2006/relationships/hyperlink" Target="https://www.cipd.org/uk/knowledge/factsheets/pestle-analysis-factsheet/" TargetMode="External"/><Relationship Id="rId48" Type="http://schemas.openxmlformats.org/officeDocument/2006/relationships/hyperlink" Target="https://doi.org/10.1108/ER-05-2022-0232" TargetMode="External"/><Relationship Id="rId64" Type="http://schemas.openxmlformats.org/officeDocument/2006/relationships/hyperlink" Target="https://doi.org/10.1111/jan.14281" TargetMode="External"/><Relationship Id="rId69" Type="http://schemas.openxmlformats.org/officeDocument/2006/relationships/hyperlink" Target="https://www.forbes.com/councils/forbeshumanresourcescouncil/2022/11/09/how-business-leaders-can-navigate-a-tight-labor-market/" TargetMode="External"/><Relationship Id="rId80" Type="http://schemas.openxmlformats.org/officeDocument/2006/relationships/hyperlink" Target="https://doi.org/10.1037/apl0000898" TargetMode="External"/><Relationship Id="rId85" Type="http://schemas.openxmlformats.org/officeDocument/2006/relationships/hyperlink" Target="https://doi.org/10.1177/216499872201000402" TargetMode="External"/><Relationship Id="rId12" Type="http://schemas.openxmlformats.org/officeDocument/2006/relationships/hyperlink" Target="https://doi.org/10.1108/14754390580000819" TargetMode="External"/><Relationship Id="rId17" Type="http://schemas.openxmlformats.org/officeDocument/2006/relationships/hyperlink" Target="https://doi.org/10.1017/jmo.2017.68" TargetMode="External"/><Relationship Id="rId33" Type="http://schemas.openxmlformats.org/officeDocument/2006/relationships/hyperlink" Target="https://www.cipd.org/uk/knowledge/factsheets/induction-factsheet/" TargetMode="External"/><Relationship Id="rId38" Type="http://schemas.openxmlformats.org/officeDocument/2006/relationships/hyperlink" Target="https://www.cipd.org/uk/knowledge/factsheets/economy-labour-market-factsheet/" TargetMode="External"/><Relationship Id="rId59" Type="http://schemas.openxmlformats.org/officeDocument/2006/relationships/hyperlink" Target="https://doi.org/10.20469/ijbas.4.10002-2" TargetMode="External"/><Relationship Id="rId103" Type="http://schemas.openxmlformats.org/officeDocument/2006/relationships/hyperlink" Target="https://doi.org/10.1108/ER-08-2023-0447" TargetMode="External"/><Relationship Id="rId108" Type="http://schemas.openxmlformats.org/officeDocument/2006/relationships/hyperlink" Target="https://doi.org/10.1002/pits.22465" TargetMode="External"/><Relationship Id="rId54" Type="http://schemas.openxmlformats.org/officeDocument/2006/relationships/hyperlink" Target="https://doi.org/10.1017/S0047279417000216" TargetMode="External"/><Relationship Id="rId70" Type="http://schemas.openxmlformats.org/officeDocument/2006/relationships/hyperlink" Target="https://doi.org/10.1093/bjsw/bcy022" TargetMode="External"/><Relationship Id="rId75" Type="http://schemas.openxmlformats.org/officeDocument/2006/relationships/hyperlink" Target="https://doi.org/10.1108/IJCHM-05-2014-0218" TargetMode="External"/><Relationship Id="rId91" Type="http://schemas.openxmlformats.org/officeDocument/2006/relationships/hyperlink" Target="https://doi.org/10.1002/job.2335" TargetMode="External"/><Relationship Id="rId96" Type="http://schemas.openxmlformats.org/officeDocument/2006/relationships/hyperlink" Target="https://doi.org/10.5465/256939" TargetMode="External"/><Relationship Id="rId1" Type="http://schemas.openxmlformats.org/officeDocument/2006/relationships/numbering" Target="numbering.xml"/><Relationship Id="rId6" Type="http://schemas.openxmlformats.org/officeDocument/2006/relationships/hyperlink" Target="https://doi.org/10.1007/BF01020810" TargetMode="External"/><Relationship Id="rId15" Type="http://schemas.openxmlformats.org/officeDocument/2006/relationships/hyperlink" Target="https://doi.org/10.1111/poms.3_12637" TargetMode="External"/><Relationship Id="rId23" Type="http://schemas.openxmlformats.org/officeDocument/2006/relationships/hyperlink" Target="https://www.youtube.com/watch?v=2lwjI6iED9A" TargetMode="External"/><Relationship Id="rId28" Type="http://schemas.openxmlformats.org/officeDocument/2006/relationships/hyperlink" Target="https://www.cipd.org/uk/topics/recruitment/" TargetMode="External"/><Relationship Id="rId36" Type="http://schemas.openxmlformats.org/officeDocument/2006/relationships/hyperlink" Target="https://www.cipd.org/globalassets/media/comms/the-people-profession/profession-map-pdfs/profession-map-nov-2024.pdf" TargetMode="External"/><Relationship Id="rId49" Type="http://schemas.openxmlformats.org/officeDocument/2006/relationships/hyperlink" Target="https://doi.org/10.4018/978-1-4666-6481-4" TargetMode="External"/><Relationship Id="rId57" Type="http://schemas.openxmlformats.org/officeDocument/2006/relationships/hyperlink" Target="https://doi.org/10.4324/9780367854683" TargetMode="External"/><Relationship Id="rId106" Type="http://schemas.openxmlformats.org/officeDocument/2006/relationships/hyperlink" Target="https://www.peoplehr.com/en-gb/resources/blog/staff-turnover/" TargetMode="External"/><Relationship Id="rId10" Type="http://schemas.openxmlformats.org/officeDocument/2006/relationships/hyperlink" Target="https://doi.org/10.1080/10967494.2018.1549629" TargetMode="External"/><Relationship Id="rId31" Type="http://schemas.openxmlformats.org/officeDocument/2006/relationships/hyperlink" Target="https://www.cipd.org/uk/knowledge/factsheets/recruitment-brand-factsheet/" TargetMode="External"/><Relationship Id="rId44" Type="http://schemas.openxmlformats.org/officeDocument/2006/relationships/hyperlink" Target="https://doi.org/10.1006/jvbe.2001.1857" TargetMode="External"/><Relationship Id="rId52" Type="http://schemas.openxmlformats.org/officeDocument/2006/relationships/hyperlink" Target="https://www.peoplehr.com/en-gb/resources/blog/the-most-important-hr-metrics-you-should-be-measuring/" TargetMode="External"/><Relationship Id="rId60" Type="http://schemas.openxmlformats.org/officeDocument/2006/relationships/hyperlink" Target="https://www.forbes.com/sites/johnhall/2019/05/09/the-cost-of-turnover-can-kill-your-business-and-make-things-less-fun/" TargetMode="External"/><Relationship Id="rId65" Type="http://schemas.openxmlformats.org/officeDocument/2006/relationships/hyperlink" Target="https://doi.org/10.1108/IJM-09-2020-0419" TargetMode="External"/><Relationship Id="rId73" Type="http://schemas.openxmlformats.org/officeDocument/2006/relationships/hyperlink" Target="https://doi.org/10.1111/irj.12233" TargetMode="External"/><Relationship Id="rId78" Type="http://schemas.openxmlformats.org/officeDocument/2006/relationships/hyperlink" Target="https://doi.org/10.5465/amj.2011.0008" TargetMode="External"/><Relationship Id="rId81" Type="http://schemas.openxmlformats.org/officeDocument/2006/relationships/hyperlink" Target="https://doi.org/10.1108/DLO-12-2020-0246" TargetMode="External"/><Relationship Id="rId86" Type="http://schemas.openxmlformats.org/officeDocument/2006/relationships/hyperlink" Target="https://doi.org/10.46223/HCMCOUJS.econ.en.1.1.120.2011" TargetMode="External"/><Relationship Id="rId94" Type="http://schemas.openxmlformats.org/officeDocument/2006/relationships/hyperlink" Target="https://www.peoplemanagement.co.uk/article/1746142/virtual-candidate-assessments-good-face-to-face" TargetMode="External"/><Relationship Id="rId99" Type="http://schemas.openxmlformats.org/officeDocument/2006/relationships/hyperlink" Target="https://www.peoplemanagement.co.uk/article/1741070/workforce-planning-force-for-good" TargetMode="External"/><Relationship Id="rId101" Type="http://schemas.openxmlformats.org/officeDocument/2006/relationships/hyperlink" Target="https://doi.org/10.1186/s12874-018-0586-7" TargetMode="External"/><Relationship Id="rId4" Type="http://schemas.openxmlformats.org/officeDocument/2006/relationships/webSettings" Target="webSettings.xml"/><Relationship Id="rId9" Type="http://schemas.openxmlformats.org/officeDocument/2006/relationships/hyperlink" Target="https://doi.org/10.4128/9781606493410" TargetMode="External"/><Relationship Id="rId13" Type="http://schemas.openxmlformats.org/officeDocument/2006/relationships/hyperlink" Target="https://doi.org/10.1080/00207543.2021.2005268" TargetMode="External"/><Relationship Id="rId18" Type="http://schemas.openxmlformats.org/officeDocument/2006/relationships/hyperlink" Target="https://doi.org/10.1177/0725513619898286" TargetMode="External"/><Relationship Id="rId39" Type="http://schemas.openxmlformats.org/officeDocument/2006/relationships/hyperlink" Target="https://www.cipd.org/uk/knowledge/factsheets/workforce-planning-factsheet/" TargetMode="External"/><Relationship Id="rId109" Type="http://schemas.openxmlformats.org/officeDocument/2006/relationships/hyperlink" Target="https://doi.org/10.1177/1096348020963640" TargetMode="External"/><Relationship Id="rId34" Type="http://schemas.openxmlformats.org/officeDocument/2006/relationships/hyperlink" Target="https://www.cipd.org/uk/knowledge/factsheets/selection-factsheet/" TargetMode="External"/><Relationship Id="rId50" Type="http://schemas.openxmlformats.org/officeDocument/2006/relationships/hyperlink" Target="https://doi.org/10.1108/JMH-06-2012-0046" TargetMode="External"/><Relationship Id="rId55" Type="http://schemas.openxmlformats.org/officeDocument/2006/relationships/hyperlink" Target="https://doi.org/10.1108/ER-03-2016-0059" TargetMode="External"/><Relationship Id="rId76" Type="http://schemas.openxmlformats.org/officeDocument/2006/relationships/hyperlink" Target="https://doi.org/10.1111/1467-8462.12444" TargetMode="External"/><Relationship Id="rId97" Type="http://schemas.openxmlformats.org/officeDocument/2006/relationships/hyperlink" Target="https://www.cipd.org/uk/knowledge/guides/agency-workers-guide/" TargetMode="External"/><Relationship Id="rId104" Type="http://schemas.openxmlformats.org/officeDocument/2006/relationships/hyperlink" Target="https://doi.org/10.1108/JFBM-05-2023-0063" TargetMode="External"/><Relationship Id="rId7" Type="http://schemas.openxmlformats.org/officeDocument/2006/relationships/hyperlink" Target="https://www.forbes.com/councils/forbesbusinesscouncil/2022/10/24/meaningful-work-why-your-people-are-quiet-quitting-and-what-to-do-about-it/" TargetMode="External"/><Relationship Id="rId71" Type="http://schemas.openxmlformats.org/officeDocument/2006/relationships/hyperlink" Target="https://doi.org/10.1109/TITS.2018.2882861" TargetMode="External"/><Relationship Id="rId92" Type="http://schemas.openxmlformats.org/officeDocument/2006/relationships/hyperlink" Target="https://doi.org/10.1108/PR-12-2019-0676" TargetMode="External"/><Relationship Id="rId2" Type="http://schemas.openxmlformats.org/officeDocument/2006/relationships/styles" Target="styles.xml"/><Relationship Id="rId29" Type="http://schemas.openxmlformats.org/officeDocument/2006/relationships/hyperlink" Target="https://www.cipd.org/globalassets/media/knowledge/knowledge-hub/reports/2023-pdfs/2023-people-profession-report-uk-ireland-2.pdf" TargetMode="External"/><Relationship Id="rId24" Type="http://schemas.openxmlformats.org/officeDocument/2006/relationships/hyperlink" Target="https://www.cipd.org/uk/views-and-insights/thought-leadership/insight/using-technology-to-improve-hiring-and-onboarding/" TargetMode="External"/><Relationship Id="rId40" Type="http://schemas.openxmlformats.org/officeDocument/2006/relationships/hyperlink" Target="https://www.cipd.org/uk/knowledge/factsheets/workforce-planning-factsheet/" TargetMode="External"/><Relationship Id="rId45" Type="http://schemas.openxmlformats.org/officeDocument/2006/relationships/hyperlink" Target="https://www.forbes.com/uk/advisor/business/employee-retention-strategies/" TargetMode="External"/><Relationship Id="rId66" Type="http://schemas.openxmlformats.org/officeDocument/2006/relationships/hyperlink" Target="https://doi.org/10.1002/hrm.20037" TargetMode="External"/><Relationship Id="rId87" Type="http://schemas.openxmlformats.org/officeDocument/2006/relationships/hyperlink" Target="https://doi.org/10.47535/1991AUOES33(1)065" TargetMode="External"/><Relationship Id="rId110" Type="http://schemas.openxmlformats.org/officeDocument/2006/relationships/hyperlink" Target="https://doi.org/10.1080/22243534.2024.2406333" TargetMode="External"/><Relationship Id="rId61" Type="http://schemas.openxmlformats.org/officeDocument/2006/relationships/hyperlink" Target="https://doi.org/10.1108/17410391311289569" TargetMode="External"/><Relationship Id="rId82" Type="http://schemas.openxmlformats.org/officeDocument/2006/relationships/hyperlink" Target="https://doi.org/10.1108/HESWBL-04-2023-0084" TargetMode="External"/><Relationship Id="rId19" Type="http://schemas.openxmlformats.org/officeDocument/2006/relationships/hyperlink" Target="https://doi.org/10.3233/WOR-2012-1370" TargetMode="External"/><Relationship Id="rId14" Type="http://schemas.openxmlformats.org/officeDocument/2006/relationships/hyperlink" Target="https://doi.org/10.1057/9781137411754" TargetMode="External"/><Relationship Id="rId30" Type="http://schemas.openxmlformats.org/officeDocument/2006/relationships/hyperlink" Target="https://www.cipd.org/uk/views-and-insights/thought-leadership/cipd-voice/benchmarking-employee-turnover/" TargetMode="External"/><Relationship Id="rId35" Type="http://schemas.openxmlformats.org/officeDocument/2006/relationships/hyperlink" Target="https://www.cipd.org/uk/knowledge/factsheets/talent-factsheet/" TargetMode="External"/><Relationship Id="rId56" Type="http://schemas.openxmlformats.org/officeDocument/2006/relationships/hyperlink" Target="https://www.bankofengland.co.uk/speech/2024/may/megan-greene-speech-at-make-uk-the-current-state-of-britains-labour-market" TargetMode="External"/><Relationship Id="rId77" Type="http://schemas.openxmlformats.org/officeDocument/2006/relationships/hyperlink" Target="https://doi.org/10.1177/0019793914564964" TargetMode="External"/><Relationship Id="rId100" Type="http://schemas.openxmlformats.org/officeDocument/2006/relationships/hyperlink" Target="https://www.peoplemanagement.co.uk/article/1823900/employee-turnover-much" TargetMode="External"/><Relationship Id="rId105" Type="http://schemas.openxmlformats.org/officeDocument/2006/relationships/hyperlink" Target="https://doi.org/10.30924/mjcmi.29.2.5" TargetMode="External"/><Relationship Id="rId8" Type="http://schemas.openxmlformats.org/officeDocument/2006/relationships/hyperlink" Target="https://doi.org/10.1016/j.ijhm.2015.04.013" TargetMode="External"/><Relationship Id="rId51" Type="http://schemas.openxmlformats.org/officeDocument/2006/relationships/hyperlink" Target="https://doi.org/10.1111/j.1744-6570.2011.01230.x" TargetMode="External"/><Relationship Id="rId72" Type="http://schemas.openxmlformats.org/officeDocument/2006/relationships/hyperlink" Target="https://doi.org/10.1037/a0038087" TargetMode="External"/><Relationship Id="rId93" Type="http://schemas.openxmlformats.org/officeDocument/2006/relationships/hyperlink" Target="https://doi.org/10.1109/TPWRS.2011.2166090" TargetMode="External"/><Relationship Id="rId98" Type="http://schemas.openxmlformats.org/officeDocument/2006/relationships/hyperlink" Target="https://doi.org/10.5465/255830" TargetMode="External"/><Relationship Id="rId3" Type="http://schemas.openxmlformats.org/officeDocument/2006/relationships/settings" Target="settings.xml"/><Relationship Id="rId25" Type="http://schemas.openxmlformats.org/officeDocument/2006/relationships/hyperlink" Target="https://www.cipd.org/globalassets/media/knowledge/knowledge-hub/guides/zero-hours-contracts-guide-web-2021_tcm18-10706.pdf" TargetMode="External"/><Relationship Id="rId46" Type="http://schemas.openxmlformats.org/officeDocument/2006/relationships/hyperlink" Target="https://doi.org/10.1111/ijmr.12337" TargetMode="External"/><Relationship Id="rId67" Type="http://schemas.openxmlformats.org/officeDocument/2006/relationships/hyperlink" Target="https://doi.org/10.1108/JWAM-04-2021-0036" TargetMode="External"/><Relationship Id="rId20" Type="http://schemas.openxmlformats.org/officeDocument/2006/relationships/hyperlink" Target="https://doi.org/10.1016/j.ejor.2006.12.004" TargetMode="External"/><Relationship Id="rId41" Type="http://schemas.openxmlformats.org/officeDocument/2006/relationships/hyperlink" Target="https://www.cipd.org/uk/knowledge/factsheets/turnover-retention-factsheet/" TargetMode="External"/><Relationship Id="rId62" Type="http://schemas.openxmlformats.org/officeDocument/2006/relationships/hyperlink" Target="https://doi.org/10.2478/mdke-2024-0005" TargetMode="External"/><Relationship Id="rId83" Type="http://schemas.openxmlformats.org/officeDocument/2006/relationships/hyperlink" Target="https://doi.org/10.1108/GM-02-2014-0014" TargetMode="External"/><Relationship Id="rId88" Type="http://schemas.openxmlformats.org/officeDocument/2006/relationships/hyperlink" Target="https://doi.org/10.1080/09585192.2022.2117563"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638</TotalTime>
  <Pages>20</Pages>
  <Words>10588</Words>
  <Characters>60353</Characters>
  <Application>Microsoft Office Word</Application>
  <DocSecurity>0</DocSecurity>
  <Lines>502</Lines>
  <Paragraphs>141</Paragraphs>
  <ScaleCrop>false</ScaleCrop>
  <Company/>
  <LinksUpToDate>false</LinksUpToDate>
  <CharactersWithSpaces>70800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Test</dc:creator>
  <cp:keywords/>
  <dc:description/>
  <cp:lastModifiedBy>Kamil Test</cp:lastModifiedBy>
  <cp:revision>396</cp:revision>
  <dcterms:created xsi:type="dcterms:W3CDTF">2025-06-23T18:00:00Z</dcterms:created>
  <dcterms:modified xsi:type="dcterms:W3CDTF">2025-06-28T14:58:00Z</dcterms:modified>
</cp:coreProperties>
</file>