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4B680" w14:textId="77777777" w:rsidR="009D4A24" w:rsidRDefault="009D4A24" w:rsidP="009D4A24">
      <w:pPr>
        <w:jc w:val="center"/>
      </w:pPr>
    </w:p>
    <w:p w14:paraId="71C64E1F" w14:textId="77777777" w:rsidR="00EF0C12" w:rsidRDefault="00EF0C12" w:rsidP="009D4A24">
      <w:pPr>
        <w:jc w:val="center"/>
      </w:pPr>
    </w:p>
    <w:p w14:paraId="792FE55D" w14:textId="77777777" w:rsidR="00EF0C12" w:rsidRDefault="00EF0C12" w:rsidP="009D4A24">
      <w:pPr>
        <w:jc w:val="center"/>
      </w:pPr>
    </w:p>
    <w:p w14:paraId="38EAF7D0" w14:textId="77777777" w:rsidR="00770B24" w:rsidRDefault="00770B24" w:rsidP="009D4A24">
      <w:pPr>
        <w:jc w:val="center"/>
      </w:pPr>
    </w:p>
    <w:p w14:paraId="726D3B15" w14:textId="77777777" w:rsidR="00770B24" w:rsidRDefault="00770B24" w:rsidP="009D4A24">
      <w:pPr>
        <w:jc w:val="center"/>
      </w:pPr>
    </w:p>
    <w:p w14:paraId="49297334" w14:textId="77777777" w:rsidR="009D4A24" w:rsidRDefault="009D4A24" w:rsidP="009D4A24">
      <w:pPr>
        <w:jc w:val="center"/>
      </w:pPr>
    </w:p>
    <w:p w14:paraId="439A4AC8" w14:textId="77777777" w:rsidR="009D4A24" w:rsidRDefault="009D4A24" w:rsidP="009D4A24">
      <w:pPr>
        <w:jc w:val="center"/>
        <w:rPr>
          <w:rFonts w:ascii="Arial" w:hAnsi="Arial" w:cs="Arial"/>
          <w:sz w:val="52"/>
          <w:szCs w:val="52"/>
        </w:rPr>
      </w:pPr>
    </w:p>
    <w:p w14:paraId="58C38A01" w14:textId="62AA8AC3" w:rsidR="009D4A24" w:rsidRPr="009D4A24" w:rsidRDefault="009D4A24" w:rsidP="009D4A24">
      <w:pPr>
        <w:jc w:val="center"/>
        <w:rPr>
          <w:rFonts w:ascii="Arial" w:hAnsi="Arial" w:cs="Arial"/>
          <w:sz w:val="52"/>
          <w:szCs w:val="52"/>
        </w:rPr>
      </w:pPr>
      <w:r w:rsidRPr="009D4A24">
        <w:rPr>
          <w:rFonts w:ascii="Arial" w:hAnsi="Arial" w:cs="Arial"/>
          <w:sz w:val="52"/>
          <w:szCs w:val="52"/>
        </w:rPr>
        <w:t>Student Name: Saira Arif</w:t>
      </w:r>
    </w:p>
    <w:p w14:paraId="75AFB7D3" w14:textId="58DBDBA7" w:rsidR="009D4A24" w:rsidRPr="009D4A24" w:rsidRDefault="009D4A24" w:rsidP="009D4A24">
      <w:pPr>
        <w:jc w:val="center"/>
        <w:rPr>
          <w:rFonts w:ascii="Arial" w:hAnsi="Arial" w:cs="Arial"/>
          <w:sz w:val="52"/>
          <w:szCs w:val="52"/>
        </w:rPr>
      </w:pPr>
      <w:r w:rsidRPr="009D4A24">
        <w:rPr>
          <w:rFonts w:ascii="Arial" w:hAnsi="Arial" w:cs="Arial"/>
          <w:sz w:val="52"/>
          <w:szCs w:val="52"/>
        </w:rPr>
        <w:t>Student ID: 2220569</w:t>
      </w:r>
    </w:p>
    <w:p w14:paraId="1428409B" w14:textId="16CA01B4" w:rsidR="009D4A24" w:rsidRPr="009D4A24" w:rsidRDefault="009D4A24" w:rsidP="009D4A24">
      <w:pPr>
        <w:jc w:val="center"/>
        <w:rPr>
          <w:rFonts w:ascii="Arial" w:hAnsi="Arial" w:cs="Arial"/>
          <w:sz w:val="52"/>
          <w:szCs w:val="52"/>
        </w:rPr>
      </w:pPr>
      <w:r w:rsidRPr="009D4A24">
        <w:rPr>
          <w:rFonts w:ascii="Arial" w:hAnsi="Arial" w:cs="Arial"/>
          <w:sz w:val="52"/>
          <w:szCs w:val="52"/>
        </w:rPr>
        <w:t>Module code: BMHP6027</w:t>
      </w:r>
    </w:p>
    <w:p w14:paraId="26798D27" w14:textId="5270F2D2" w:rsidR="009D4A24" w:rsidRPr="009D4A24" w:rsidRDefault="009D4A24" w:rsidP="009D4A24">
      <w:pPr>
        <w:jc w:val="center"/>
        <w:rPr>
          <w:rFonts w:ascii="Arial" w:hAnsi="Arial" w:cs="Arial"/>
          <w:sz w:val="52"/>
          <w:szCs w:val="52"/>
        </w:rPr>
      </w:pPr>
      <w:r w:rsidRPr="009D4A24">
        <w:rPr>
          <w:rFonts w:ascii="Arial" w:hAnsi="Arial" w:cs="Arial"/>
          <w:sz w:val="52"/>
          <w:szCs w:val="52"/>
        </w:rPr>
        <w:t>Module Title: Empowering the Older Person</w:t>
      </w:r>
    </w:p>
    <w:p w14:paraId="4D262CCC" w14:textId="0313C577" w:rsidR="009D4A24" w:rsidRPr="009D4A24" w:rsidRDefault="009D4A24" w:rsidP="009D4A24">
      <w:pPr>
        <w:jc w:val="center"/>
        <w:rPr>
          <w:rFonts w:ascii="Arial" w:hAnsi="Arial" w:cs="Arial"/>
          <w:sz w:val="52"/>
          <w:szCs w:val="52"/>
        </w:rPr>
      </w:pPr>
      <w:r w:rsidRPr="009D4A24">
        <w:rPr>
          <w:rFonts w:ascii="Arial" w:hAnsi="Arial" w:cs="Arial"/>
          <w:sz w:val="52"/>
          <w:szCs w:val="52"/>
        </w:rPr>
        <w:t xml:space="preserve">Component </w:t>
      </w:r>
      <w:r w:rsidR="008D4DF0">
        <w:rPr>
          <w:rFonts w:ascii="Arial" w:hAnsi="Arial" w:cs="Arial"/>
          <w:sz w:val="52"/>
          <w:szCs w:val="52"/>
        </w:rPr>
        <w:t>2</w:t>
      </w:r>
    </w:p>
    <w:p w14:paraId="73104CEE" w14:textId="335AEE4B" w:rsidR="009D4A24" w:rsidRDefault="009D4A24" w:rsidP="009D4A24">
      <w:pPr>
        <w:jc w:val="center"/>
      </w:pPr>
    </w:p>
    <w:p w14:paraId="427480CC" w14:textId="77777777" w:rsidR="009D4A24" w:rsidRDefault="009D4A24">
      <w:r>
        <w:br w:type="page"/>
      </w:r>
    </w:p>
    <w:p w14:paraId="6BFF11CE" w14:textId="1B88273E" w:rsidR="009D4A24" w:rsidRPr="00EF0C12" w:rsidRDefault="009D4A24" w:rsidP="008D4DF0">
      <w:pPr>
        <w:spacing w:line="360" w:lineRule="auto"/>
        <w:rPr>
          <w:rFonts w:ascii="Arial" w:hAnsi="Arial" w:cs="Arial"/>
          <w:b/>
          <w:bCs/>
          <w:sz w:val="22"/>
          <w:szCs w:val="22"/>
        </w:rPr>
      </w:pPr>
      <w:r w:rsidRPr="00EF0C12">
        <w:rPr>
          <w:rFonts w:ascii="Arial" w:hAnsi="Arial" w:cs="Arial"/>
          <w:b/>
          <w:bCs/>
          <w:sz w:val="22"/>
          <w:szCs w:val="22"/>
        </w:rPr>
        <w:lastRenderedPageBreak/>
        <w:t xml:space="preserve">Introduction </w:t>
      </w:r>
    </w:p>
    <w:p w14:paraId="7197F4DC" w14:textId="32DD2587" w:rsidR="009D4A24" w:rsidRPr="00EF0C12" w:rsidRDefault="009D4A24" w:rsidP="008D4DF0">
      <w:pPr>
        <w:spacing w:line="360" w:lineRule="auto"/>
        <w:rPr>
          <w:rFonts w:ascii="Arial" w:hAnsi="Arial" w:cs="Arial"/>
          <w:sz w:val="22"/>
          <w:szCs w:val="22"/>
        </w:rPr>
      </w:pPr>
      <w:r w:rsidRPr="00EF0C12">
        <w:rPr>
          <w:rFonts w:ascii="Arial" w:hAnsi="Arial" w:cs="Arial"/>
          <w:sz w:val="22"/>
          <w:szCs w:val="22"/>
        </w:rPr>
        <w:t xml:space="preserve">In this </w:t>
      </w:r>
      <w:r w:rsidR="008D4DF0" w:rsidRPr="00EF0C12">
        <w:rPr>
          <w:rFonts w:ascii="Arial" w:hAnsi="Arial" w:cs="Arial"/>
          <w:sz w:val="22"/>
          <w:szCs w:val="22"/>
        </w:rPr>
        <w:t>assignment</w:t>
      </w:r>
      <w:r w:rsidRPr="00EF0C12">
        <w:rPr>
          <w:rFonts w:ascii="Arial" w:hAnsi="Arial" w:cs="Arial"/>
          <w:sz w:val="22"/>
          <w:szCs w:val="22"/>
        </w:rPr>
        <w:t xml:space="preserve">, </w:t>
      </w:r>
      <w:r w:rsidR="00EF0C12">
        <w:rPr>
          <w:rFonts w:ascii="Arial" w:hAnsi="Arial" w:cs="Arial"/>
          <w:sz w:val="22"/>
          <w:szCs w:val="22"/>
        </w:rPr>
        <w:t>I</w:t>
      </w:r>
      <w:r w:rsidR="00770B24" w:rsidRPr="00EF0C12">
        <w:rPr>
          <w:rFonts w:ascii="Arial" w:hAnsi="Arial" w:cs="Arial"/>
          <w:sz w:val="22"/>
          <w:szCs w:val="22"/>
        </w:rPr>
        <w:t xml:space="preserve"> will be working with my </w:t>
      </w:r>
      <w:r w:rsidR="00BB1523" w:rsidRPr="00EF0C12">
        <w:rPr>
          <w:rFonts w:ascii="Arial" w:hAnsi="Arial" w:cs="Arial"/>
          <w:sz w:val="22"/>
          <w:szCs w:val="22"/>
        </w:rPr>
        <w:t>colleague</w:t>
      </w:r>
      <w:r w:rsidR="00770B24" w:rsidRPr="00EF0C12">
        <w:rPr>
          <w:rFonts w:ascii="Arial" w:hAnsi="Arial" w:cs="Arial"/>
          <w:sz w:val="22"/>
          <w:szCs w:val="22"/>
        </w:rPr>
        <w:t>, looking into the positive and negative aspects of which care setting</w:t>
      </w:r>
      <w:r w:rsidR="00BB1523" w:rsidRPr="00EF0C12">
        <w:rPr>
          <w:rFonts w:ascii="Arial" w:hAnsi="Arial" w:cs="Arial"/>
          <w:sz w:val="22"/>
          <w:szCs w:val="22"/>
        </w:rPr>
        <w:t>,</w:t>
      </w:r>
      <w:r w:rsidR="00770B24" w:rsidRPr="00EF0C12">
        <w:rPr>
          <w:rFonts w:ascii="Arial" w:hAnsi="Arial" w:cs="Arial"/>
          <w:sz w:val="22"/>
          <w:szCs w:val="22"/>
        </w:rPr>
        <w:t xml:space="preserve"> </w:t>
      </w:r>
      <w:r w:rsidR="00BB1523" w:rsidRPr="00EF0C12">
        <w:rPr>
          <w:rFonts w:ascii="Arial" w:hAnsi="Arial" w:cs="Arial"/>
          <w:sz w:val="22"/>
          <w:szCs w:val="22"/>
        </w:rPr>
        <w:t>domiciliary</w:t>
      </w:r>
      <w:r w:rsidR="00770B24" w:rsidRPr="00EF0C12">
        <w:rPr>
          <w:rFonts w:ascii="Arial" w:hAnsi="Arial" w:cs="Arial"/>
          <w:sz w:val="22"/>
          <w:szCs w:val="22"/>
        </w:rPr>
        <w:t xml:space="preserve"> care or residential care</w:t>
      </w:r>
      <w:r w:rsidR="00BB1523" w:rsidRPr="00EF0C12">
        <w:rPr>
          <w:rFonts w:ascii="Arial" w:hAnsi="Arial" w:cs="Arial"/>
          <w:sz w:val="22"/>
          <w:szCs w:val="22"/>
        </w:rPr>
        <w:t>,</w:t>
      </w:r>
      <w:r w:rsidR="00770B24" w:rsidRPr="00EF0C12">
        <w:rPr>
          <w:rFonts w:ascii="Arial" w:hAnsi="Arial" w:cs="Arial"/>
          <w:sz w:val="22"/>
          <w:szCs w:val="22"/>
        </w:rPr>
        <w:t xml:space="preserve"> better promotes </w:t>
      </w:r>
      <w:r w:rsidR="00BB1523" w:rsidRPr="00EF0C12">
        <w:rPr>
          <w:rFonts w:ascii="Arial" w:hAnsi="Arial" w:cs="Arial"/>
          <w:sz w:val="22"/>
          <w:szCs w:val="22"/>
        </w:rPr>
        <w:t>empowerment</w:t>
      </w:r>
      <w:r w:rsidR="00770B24" w:rsidRPr="00EF0C12">
        <w:rPr>
          <w:rFonts w:ascii="Arial" w:hAnsi="Arial" w:cs="Arial"/>
          <w:sz w:val="22"/>
          <w:szCs w:val="22"/>
        </w:rPr>
        <w:t xml:space="preserve"> in older people. </w:t>
      </w:r>
      <w:r w:rsidR="00BB1523" w:rsidRPr="00EF0C12">
        <w:rPr>
          <w:rFonts w:ascii="Arial" w:hAnsi="Arial" w:cs="Arial"/>
          <w:sz w:val="22"/>
          <w:szCs w:val="22"/>
        </w:rPr>
        <w:t>Empowerment</w:t>
      </w:r>
      <w:r w:rsidR="00770B24" w:rsidRPr="00EF0C12">
        <w:rPr>
          <w:rFonts w:ascii="Arial" w:hAnsi="Arial" w:cs="Arial"/>
          <w:sz w:val="22"/>
          <w:szCs w:val="22"/>
        </w:rPr>
        <w:t xml:space="preserve"> means supporting older people to make their own choices</w:t>
      </w:r>
      <w:r w:rsidR="00BB1523" w:rsidRPr="00EF0C12">
        <w:rPr>
          <w:rFonts w:ascii="Arial" w:hAnsi="Arial" w:cs="Arial"/>
          <w:sz w:val="22"/>
          <w:szCs w:val="22"/>
        </w:rPr>
        <w:t>,</w:t>
      </w:r>
      <w:r w:rsidR="00770B24" w:rsidRPr="00EF0C12">
        <w:rPr>
          <w:rFonts w:ascii="Arial" w:hAnsi="Arial" w:cs="Arial"/>
          <w:sz w:val="22"/>
          <w:szCs w:val="22"/>
        </w:rPr>
        <w:t xml:space="preserve"> stay independent and have control over their daily </w:t>
      </w:r>
      <w:r w:rsidR="00BB1523" w:rsidRPr="00EF0C12">
        <w:rPr>
          <w:rFonts w:ascii="Arial" w:hAnsi="Arial" w:cs="Arial"/>
          <w:sz w:val="22"/>
          <w:szCs w:val="22"/>
        </w:rPr>
        <w:t>lives</w:t>
      </w:r>
      <w:r w:rsidR="00770B24" w:rsidRPr="00EF0C12">
        <w:rPr>
          <w:rFonts w:ascii="Arial" w:hAnsi="Arial" w:cs="Arial"/>
          <w:sz w:val="22"/>
          <w:szCs w:val="22"/>
        </w:rPr>
        <w:t xml:space="preserve">. This topic </w:t>
      </w:r>
      <w:r w:rsidR="00EF0C12">
        <w:rPr>
          <w:rFonts w:ascii="Arial" w:hAnsi="Arial" w:cs="Arial"/>
          <w:sz w:val="22"/>
          <w:szCs w:val="22"/>
        </w:rPr>
        <w:t>is closely linked to important laws and policies, such as the Care Act 2014, which focuses on personal choice, control,</w:t>
      </w:r>
      <w:r w:rsidR="00770B24" w:rsidRPr="00EF0C12">
        <w:rPr>
          <w:rFonts w:ascii="Arial" w:hAnsi="Arial" w:cs="Arial"/>
          <w:sz w:val="22"/>
          <w:szCs w:val="22"/>
        </w:rPr>
        <w:t xml:space="preserve"> and wellbeing for those receiving care</w:t>
      </w:r>
      <w:r w:rsidR="00BB1523" w:rsidRPr="00EF0C12">
        <w:rPr>
          <w:rFonts w:ascii="Arial" w:hAnsi="Arial" w:cs="Arial"/>
          <w:sz w:val="22"/>
          <w:szCs w:val="22"/>
        </w:rPr>
        <w:t xml:space="preserve"> (Department of Health and Social Care, 2014). The Health and Social Care Act 2008 also sets out standards to </w:t>
      </w:r>
      <w:r w:rsidR="00EF0C12">
        <w:rPr>
          <w:rFonts w:ascii="Arial" w:hAnsi="Arial" w:cs="Arial"/>
          <w:sz w:val="22"/>
          <w:szCs w:val="22"/>
        </w:rPr>
        <w:t>ensure that care providers respect the dignity, safety,</w:t>
      </w:r>
      <w:r w:rsidR="00BB1523" w:rsidRPr="00EF0C12">
        <w:rPr>
          <w:rFonts w:ascii="Arial" w:hAnsi="Arial" w:cs="Arial"/>
          <w:sz w:val="22"/>
          <w:szCs w:val="22"/>
        </w:rPr>
        <w:t xml:space="preserve"> and rights of older adults (Care Quality Commission, 2022). In this discussion, we will explore both care settings and examine how legislation supports empowerment and independence for older people in different environments. </w:t>
      </w:r>
    </w:p>
    <w:p w14:paraId="3B0C9546" w14:textId="43584E69" w:rsidR="00BB1523" w:rsidRPr="00EF0C12" w:rsidRDefault="008D4DF0" w:rsidP="008D4DF0">
      <w:pPr>
        <w:spacing w:line="360" w:lineRule="auto"/>
        <w:rPr>
          <w:rFonts w:ascii="Arial" w:hAnsi="Arial" w:cs="Arial"/>
          <w:b/>
          <w:bCs/>
          <w:sz w:val="22"/>
          <w:szCs w:val="22"/>
        </w:rPr>
      </w:pPr>
      <w:r w:rsidRPr="00EF0C12">
        <w:rPr>
          <w:rFonts w:ascii="Arial" w:hAnsi="Arial" w:cs="Arial"/>
          <w:b/>
          <w:bCs/>
          <w:sz w:val="22"/>
          <w:szCs w:val="22"/>
        </w:rPr>
        <w:t xml:space="preserve">Conclusion </w:t>
      </w:r>
    </w:p>
    <w:p w14:paraId="3512E99B" w14:textId="5638D9F3" w:rsidR="00BB1523" w:rsidRPr="00EF0C12" w:rsidRDefault="00C4082D" w:rsidP="008D4DF0">
      <w:pPr>
        <w:spacing w:line="360" w:lineRule="auto"/>
        <w:rPr>
          <w:rFonts w:ascii="Arial" w:hAnsi="Arial" w:cs="Arial"/>
          <w:sz w:val="22"/>
          <w:szCs w:val="22"/>
        </w:rPr>
      </w:pPr>
      <w:r w:rsidRPr="00EF0C12">
        <w:rPr>
          <w:rFonts w:ascii="Arial" w:hAnsi="Arial" w:cs="Arial"/>
          <w:sz w:val="22"/>
          <w:szCs w:val="22"/>
        </w:rPr>
        <w:t xml:space="preserve">In this conclusion, both domiciliary care and residential care have positive and negative aspects when it comes to promoting empowerment in older adults. Domiciliary care helps people stay independent in their own homes and remain part of their community, while residential care provides support, safety, and social interaction. The best setting depends on each person’s needs, preferences and health. Laws such as the Care Act 2014 and the Health and </w:t>
      </w:r>
      <w:r w:rsidR="00EF0C12" w:rsidRPr="00EF0C12">
        <w:rPr>
          <w:rFonts w:ascii="Arial" w:hAnsi="Arial" w:cs="Arial"/>
          <w:sz w:val="22"/>
          <w:szCs w:val="22"/>
        </w:rPr>
        <w:t>Social Care Act</w:t>
      </w:r>
      <w:r w:rsidRPr="00EF0C12">
        <w:rPr>
          <w:rFonts w:ascii="Arial" w:hAnsi="Arial" w:cs="Arial"/>
          <w:sz w:val="22"/>
          <w:szCs w:val="22"/>
        </w:rPr>
        <w:t xml:space="preserve"> 2008 aim to make sure that older adults are treated with dignity and have control over their own care. Overall empowerment is best </w:t>
      </w:r>
      <w:r w:rsidR="00EF0C12" w:rsidRPr="00EF0C12">
        <w:rPr>
          <w:rFonts w:ascii="Arial" w:hAnsi="Arial" w:cs="Arial"/>
          <w:sz w:val="22"/>
          <w:szCs w:val="22"/>
        </w:rPr>
        <w:t>achieved</w:t>
      </w:r>
      <w:r w:rsidRPr="00EF0C12">
        <w:rPr>
          <w:rFonts w:ascii="Arial" w:hAnsi="Arial" w:cs="Arial"/>
          <w:sz w:val="22"/>
          <w:szCs w:val="22"/>
        </w:rPr>
        <w:t xml:space="preserve"> when older people are given real choices, respect</w:t>
      </w:r>
      <w:r w:rsidR="00EF0C12" w:rsidRPr="00EF0C12">
        <w:rPr>
          <w:rFonts w:ascii="Arial" w:hAnsi="Arial" w:cs="Arial"/>
          <w:sz w:val="22"/>
          <w:szCs w:val="22"/>
        </w:rPr>
        <w:t>,</w:t>
      </w:r>
      <w:r w:rsidRPr="00EF0C12">
        <w:rPr>
          <w:rFonts w:ascii="Arial" w:hAnsi="Arial" w:cs="Arial"/>
          <w:sz w:val="22"/>
          <w:szCs w:val="22"/>
        </w:rPr>
        <w:t xml:space="preserve"> and support no matter which setting they are in.</w:t>
      </w:r>
    </w:p>
    <w:p w14:paraId="7A484478" w14:textId="77777777" w:rsidR="00C4082D" w:rsidRPr="00EF0C12" w:rsidRDefault="00C4082D" w:rsidP="009D4A24">
      <w:pPr>
        <w:rPr>
          <w:rFonts w:ascii="Arial" w:hAnsi="Arial" w:cs="Arial"/>
          <w:sz w:val="22"/>
          <w:szCs w:val="22"/>
        </w:rPr>
      </w:pPr>
    </w:p>
    <w:p w14:paraId="13027EB8" w14:textId="6E8B836D" w:rsidR="00BB1523" w:rsidRPr="00EF0C12" w:rsidRDefault="008D4DF0" w:rsidP="009D4A24">
      <w:pPr>
        <w:rPr>
          <w:rFonts w:ascii="Arial" w:hAnsi="Arial" w:cs="Arial"/>
          <w:b/>
          <w:bCs/>
          <w:sz w:val="22"/>
          <w:szCs w:val="22"/>
        </w:rPr>
      </w:pPr>
      <w:r w:rsidRPr="00EF0C12">
        <w:rPr>
          <w:rFonts w:ascii="Arial" w:hAnsi="Arial" w:cs="Arial"/>
          <w:b/>
          <w:bCs/>
          <w:sz w:val="22"/>
          <w:szCs w:val="22"/>
        </w:rPr>
        <w:t>References</w:t>
      </w:r>
      <w:r w:rsidR="00BB1523" w:rsidRPr="00EF0C12">
        <w:rPr>
          <w:rFonts w:ascii="Arial" w:hAnsi="Arial" w:cs="Arial"/>
          <w:b/>
          <w:bCs/>
          <w:sz w:val="22"/>
          <w:szCs w:val="22"/>
        </w:rPr>
        <w:t xml:space="preserve"> </w:t>
      </w:r>
    </w:p>
    <w:p w14:paraId="5E38526C" w14:textId="2E4A7F8E" w:rsidR="00BB1523" w:rsidRPr="00EF0C12" w:rsidRDefault="00BB1523" w:rsidP="008D4DF0">
      <w:pPr>
        <w:pStyle w:val="ListParagraph"/>
        <w:numPr>
          <w:ilvl w:val="0"/>
          <w:numId w:val="1"/>
        </w:numPr>
        <w:rPr>
          <w:rFonts w:ascii="Arial" w:hAnsi="Arial" w:cs="Arial"/>
          <w:sz w:val="22"/>
          <w:szCs w:val="22"/>
        </w:rPr>
      </w:pPr>
      <w:r w:rsidRPr="00EF0C12">
        <w:rPr>
          <w:rFonts w:ascii="Arial" w:hAnsi="Arial" w:cs="Arial"/>
          <w:sz w:val="22"/>
          <w:szCs w:val="22"/>
        </w:rPr>
        <w:t>Care Quality Commission (CQC). (2022). The state of health care and adult social care in England 2021/22. Available at: http://www.cqc.org.uk (Accessed: 7 November 2025).</w:t>
      </w:r>
    </w:p>
    <w:p w14:paraId="206A9E1E" w14:textId="77777777" w:rsidR="00BB1523" w:rsidRPr="00EF0C12" w:rsidRDefault="00BB1523" w:rsidP="009D4A24">
      <w:pPr>
        <w:rPr>
          <w:rFonts w:ascii="Arial" w:hAnsi="Arial" w:cs="Arial"/>
          <w:sz w:val="22"/>
          <w:szCs w:val="22"/>
        </w:rPr>
      </w:pPr>
    </w:p>
    <w:p w14:paraId="0C27D546" w14:textId="3E493F33" w:rsidR="00BB1523" w:rsidRPr="00EF0C12" w:rsidRDefault="00BB1523" w:rsidP="008D4DF0">
      <w:pPr>
        <w:pStyle w:val="ListParagraph"/>
        <w:numPr>
          <w:ilvl w:val="0"/>
          <w:numId w:val="1"/>
        </w:numPr>
        <w:rPr>
          <w:rFonts w:ascii="Arial" w:hAnsi="Arial" w:cs="Arial"/>
          <w:sz w:val="22"/>
          <w:szCs w:val="22"/>
        </w:rPr>
      </w:pPr>
      <w:r w:rsidRPr="00EF0C12">
        <w:rPr>
          <w:rFonts w:ascii="Arial" w:hAnsi="Arial" w:cs="Arial"/>
          <w:sz w:val="22"/>
          <w:szCs w:val="22"/>
        </w:rPr>
        <w:t xml:space="preserve">Department of Health and Social Care (2014) Care Act 2014. Available at: </w:t>
      </w:r>
      <w:hyperlink r:id="rId5" w:history="1">
        <w:r w:rsidRPr="00EF0C12">
          <w:rPr>
            <w:rStyle w:val="Hyperlink"/>
            <w:rFonts w:ascii="Arial" w:hAnsi="Arial" w:cs="Arial"/>
            <w:sz w:val="22"/>
            <w:szCs w:val="22"/>
          </w:rPr>
          <w:t>http://www.legislations.gov.uk/ukpga/2014/23/contents/enacted</w:t>
        </w:r>
      </w:hyperlink>
      <w:r w:rsidRPr="00EF0C12">
        <w:rPr>
          <w:rFonts w:ascii="Arial" w:hAnsi="Arial" w:cs="Arial"/>
          <w:sz w:val="22"/>
          <w:szCs w:val="22"/>
        </w:rPr>
        <w:t xml:space="preserve"> (Accessed: 7 November 2025).</w:t>
      </w:r>
    </w:p>
    <w:p w14:paraId="7A6E0BFD" w14:textId="77777777" w:rsidR="00BB1523" w:rsidRPr="00EF0C12" w:rsidRDefault="00BB1523" w:rsidP="009D4A24">
      <w:pPr>
        <w:rPr>
          <w:rFonts w:ascii="Arial" w:hAnsi="Arial" w:cs="Arial"/>
          <w:sz w:val="22"/>
          <w:szCs w:val="22"/>
        </w:rPr>
      </w:pPr>
    </w:p>
    <w:p w14:paraId="1B28B972" w14:textId="6A4681E2" w:rsidR="00BB1523" w:rsidRPr="00EF0C12" w:rsidRDefault="00BB1523" w:rsidP="008D4DF0">
      <w:pPr>
        <w:pStyle w:val="ListParagraph"/>
        <w:numPr>
          <w:ilvl w:val="0"/>
          <w:numId w:val="1"/>
        </w:numPr>
        <w:rPr>
          <w:rFonts w:ascii="Arial" w:hAnsi="Arial" w:cs="Arial"/>
          <w:sz w:val="22"/>
          <w:szCs w:val="22"/>
        </w:rPr>
      </w:pPr>
      <w:r w:rsidRPr="00EF0C12">
        <w:rPr>
          <w:rFonts w:ascii="Arial" w:hAnsi="Arial" w:cs="Arial"/>
          <w:sz w:val="22"/>
          <w:szCs w:val="22"/>
        </w:rPr>
        <w:t xml:space="preserve">HM Government (2008) Health and Social Care Act 2008. Available at: </w:t>
      </w:r>
      <w:hyperlink r:id="rId6" w:history="1">
        <w:r w:rsidRPr="00EF0C12">
          <w:rPr>
            <w:rStyle w:val="Hyperlink"/>
            <w:rFonts w:ascii="Arial" w:hAnsi="Arial" w:cs="Arial"/>
            <w:sz w:val="22"/>
            <w:szCs w:val="22"/>
          </w:rPr>
          <w:t>http://www.legislations.gov.uk/ukpga/2008/14contents</w:t>
        </w:r>
      </w:hyperlink>
      <w:r w:rsidRPr="00EF0C12">
        <w:rPr>
          <w:rFonts w:ascii="Arial" w:hAnsi="Arial" w:cs="Arial"/>
          <w:sz w:val="22"/>
          <w:szCs w:val="22"/>
        </w:rPr>
        <w:t xml:space="preserve"> (Accessed: 7 November 2025).</w:t>
      </w:r>
    </w:p>
    <w:p w14:paraId="7E7BAAD7" w14:textId="77777777" w:rsidR="00BB1523" w:rsidRPr="00EF0C12" w:rsidRDefault="00BB1523" w:rsidP="009D4A24">
      <w:pPr>
        <w:rPr>
          <w:rFonts w:ascii="Arial" w:hAnsi="Arial" w:cs="Arial"/>
          <w:sz w:val="22"/>
          <w:szCs w:val="22"/>
        </w:rPr>
      </w:pPr>
    </w:p>
    <w:p w14:paraId="23D4EA69" w14:textId="28EFDC35" w:rsidR="00BB1523" w:rsidRPr="00EF0C12" w:rsidRDefault="00BB1523" w:rsidP="008D4DF0">
      <w:pPr>
        <w:pStyle w:val="ListParagraph"/>
        <w:numPr>
          <w:ilvl w:val="0"/>
          <w:numId w:val="1"/>
        </w:numPr>
        <w:rPr>
          <w:rFonts w:ascii="Arial" w:hAnsi="Arial" w:cs="Arial"/>
          <w:sz w:val="22"/>
          <w:szCs w:val="22"/>
        </w:rPr>
      </w:pPr>
      <w:r w:rsidRPr="00EF0C12">
        <w:rPr>
          <w:rFonts w:ascii="Arial" w:hAnsi="Arial" w:cs="Arial"/>
          <w:sz w:val="22"/>
          <w:szCs w:val="22"/>
        </w:rPr>
        <w:lastRenderedPageBreak/>
        <w:t xml:space="preserve">NHS. (2022). Care homes: What people </w:t>
      </w:r>
      <w:r w:rsidR="00C4082D" w:rsidRPr="00EF0C12">
        <w:rPr>
          <w:rFonts w:ascii="Arial" w:hAnsi="Arial" w:cs="Arial"/>
          <w:sz w:val="22"/>
          <w:szCs w:val="22"/>
        </w:rPr>
        <w:t>want</w:t>
      </w:r>
      <w:r w:rsidRPr="00EF0C12">
        <w:rPr>
          <w:rFonts w:ascii="Arial" w:hAnsi="Arial" w:cs="Arial"/>
          <w:sz w:val="22"/>
          <w:szCs w:val="22"/>
        </w:rPr>
        <w:t xml:space="preserve"> from social care.</w:t>
      </w:r>
      <w:r w:rsidR="00C4082D" w:rsidRPr="00EF0C12">
        <w:rPr>
          <w:rFonts w:ascii="Arial" w:hAnsi="Arial" w:cs="Arial"/>
          <w:sz w:val="22"/>
          <w:szCs w:val="22"/>
        </w:rPr>
        <w:t xml:space="preserve"> Available at: </w:t>
      </w:r>
      <w:hyperlink r:id="rId7" w:history="1">
        <w:r w:rsidR="00C4082D" w:rsidRPr="00EF0C12">
          <w:rPr>
            <w:rStyle w:val="Hyperlink"/>
            <w:rFonts w:ascii="Arial" w:hAnsi="Arial" w:cs="Arial"/>
            <w:sz w:val="22"/>
            <w:szCs w:val="22"/>
          </w:rPr>
          <w:t>http://www.nhs.uk</w:t>
        </w:r>
      </w:hyperlink>
      <w:r w:rsidR="00C4082D" w:rsidRPr="00EF0C12">
        <w:rPr>
          <w:rFonts w:ascii="Arial" w:hAnsi="Arial" w:cs="Arial"/>
          <w:sz w:val="22"/>
          <w:szCs w:val="22"/>
        </w:rPr>
        <w:t xml:space="preserve"> (Accessed: 6 November 2025).</w:t>
      </w:r>
    </w:p>
    <w:p w14:paraId="757D640A" w14:textId="77777777" w:rsidR="008D4DF0" w:rsidRPr="00EF0C12" w:rsidRDefault="008D4DF0" w:rsidP="008D4DF0">
      <w:pPr>
        <w:pStyle w:val="ListParagraph"/>
        <w:rPr>
          <w:rFonts w:ascii="Arial" w:hAnsi="Arial" w:cs="Arial"/>
          <w:sz w:val="22"/>
          <w:szCs w:val="22"/>
        </w:rPr>
      </w:pPr>
    </w:p>
    <w:p w14:paraId="0E3E3C7C" w14:textId="5EFE7B2B" w:rsidR="008D4DF0" w:rsidRPr="00EF0C12" w:rsidRDefault="008D4DF0" w:rsidP="008D4DF0">
      <w:pPr>
        <w:pStyle w:val="ListParagraph"/>
        <w:numPr>
          <w:ilvl w:val="0"/>
          <w:numId w:val="1"/>
        </w:numPr>
        <w:rPr>
          <w:rFonts w:ascii="Arial" w:hAnsi="Arial" w:cs="Arial"/>
          <w:sz w:val="22"/>
          <w:szCs w:val="22"/>
        </w:rPr>
      </w:pPr>
      <w:r w:rsidRPr="00EF0C12">
        <w:rPr>
          <w:rFonts w:ascii="Arial" w:hAnsi="Arial" w:cs="Arial"/>
          <w:sz w:val="22"/>
          <w:szCs w:val="22"/>
        </w:rPr>
        <w:t>H</w:t>
      </w:r>
      <w:r w:rsidR="00EF0C12" w:rsidRPr="00EF0C12">
        <w:rPr>
          <w:rFonts w:ascii="Arial" w:hAnsi="Arial" w:cs="Arial"/>
          <w:sz w:val="22"/>
          <w:szCs w:val="22"/>
        </w:rPr>
        <w:t>o</w:t>
      </w:r>
      <w:r w:rsidRPr="00EF0C12">
        <w:rPr>
          <w:rFonts w:ascii="Arial" w:hAnsi="Arial" w:cs="Arial"/>
          <w:sz w:val="22"/>
          <w:szCs w:val="22"/>
        </w:rPr>
        <w:t>rdam, B., Petersen, K., Næsted Stuhaug, H., Volmer Brandsen, R. &amp; Watt Boolsen, M. (2019) ‘Empowerment improves older adults’ rehabilitation in homecare settings’, American Journal of Nursing Science, 7(6), pp. 296-303. Available</w:t>
      </w:r>
      <w:r w:rsidRPr="00EF0C12">
        <w:rPr>
          <w:rFonts w:ascii="Arial" w:hAnsi="Arial" w:cs="Arial"/>
          <w:sz w:val="22"/>
          <w:szCs w:val="22"/>
        </w:rPr>
        <w:t xml:space="preserve"> at</w:t>
      </w:r>
      <w:r w:rsidRPr="00EF0C12">
        <w:rPr>
          <w:rFonts w:ascii="Arial" w:hAnsi="Arial" w:cs="Arial"/>
          <w:sz w:val="22"/>
          <w:szCs w:val="22"/>
        </w:rPr>
        <w:t>:https://www.sciencepublishinggroup.com/article</w:t>
      </w:r>
      <w:r w:rsidRPr="00EF0C12">
        <w:rPr>
          <w:rFonts w:ascii="Arial" w:hAnsi="Arial" w:cs="Arial"/>
          <w:sz w:val="22"/>
          <w:szCs w:val="22"/>
        </w:rPr>
        <w:t xml:space="preserve"> </w:t>
      </w:r>
      <w:r w:rsidRPr="00EF0C12">
        <w:rPr>
          <w:rFonts w:ascii="Arial" w:hAnsi="Arial" w:cs="Arial"/>
          <w:sz w:val="22"/>
          <w:szCs w:val="22"/>
        </w:rPr>
        <w:t xml:space="preserve">/10.11648/j.ajns.20180706.23 (Accessed: </w:t>
      </w:r>
      <w:r w:rsidRPr="00EF0C12">
        <w:rPr>
          <w:rFonts w:ascii="Arial" w:hAnsi="Arial" w:cs="Arial"/>
          <w:sz w:val="22"/>
          <w:szCs w:val="22"/>
        </w:rPr>
        <w:t>6</w:t>
      </w:r>
      <w:r w:rsidRPr="00EF0C12">
        <w:rPr>
          <w:rFonts w:ascii="Arial" w:hAnsi="Arial" w:cs="Arial"/>
          <w:sz w:val="22"/>
          <w:szCs w:val="22"/>
        </w:rPr>
        <w:t xml:space="preserve"> November 2025). </w:t>
      </w:r>
    </w:p>
    <w:p w14:paraId="1F8A9668" w14:textId="77777777" w:rsidR="008D4DF0" w:rsidRPr="00EF0C12" w:rsidRDefault="008D4DF0" w:rsidP="008D4DF0">
      <w:pPr>
        <w:pStyle w:val="ListParagraph"/>
        <w:rPr>
          <w:rFonts w:ascii="Arial" w:hAnsi="Arial" w:cs="Arial"/>
          <w:sz w:val="22"/>
          <w:szCs w:val="22"/>
        </w:rPr>
      </w:pPr>
    </w:p>
    <w:p w14:paraId="56863529" w14:textId="724BB6B1" w:rsidR="008D4DF0" w:rsidRPr="00EF0C12" w:rsidRDefault="008D4DF0" w:rsidP="008D4DF0">
      <w:pPr>
        <w:pStyle w:val="ListParagraph"/>
        <w:numPr>
          <w:ilvl w:val="0"/>
          <w:numId w:val="1"/>
        </w:numPr>
        <w:rPr>
          <w:rFonts w:ascii="Arial" w:hAnsi="Arial" w:cs="Arial"/>
          <w:sz w:val="22"/>
          <w:szCs w:val="22"/>
        </w:rPr>
      </w:pPr>
      <w:r w:rsidRPr="00EF0C12">
        <w:rPr>
          <w:rFonts w:ascii="Arial" w:hAnsi="Arial" w:cs="Arial"/>
          <w:sz w:val="22"/>
          <w:szCs w:val="22"/>
        </w:rPr>
        <w:t xml:space="preserve">Dobarrio-Sanz, I., Chica-Pérez, A., López-Entrambasaguas, O.M., Martínez-Linares, J.M., Granero-Molina, J. &amp; Hernández-Padilla, J.M. (2024) ‘Promoting the empowerment and emancipation of community-dwelling older adults with chronic multimorbidity through a home visiting programme: a hermeneutical study’, BMC Nursing, 23:444. Available at: </w:t>
      </w:r>
      <w:hyperlink r:id="rId8" w:history="1">
        <w:r w:rsidRPr="00EF0C12">
          <w:rPr>
            <w:rStyle w:val="Hyperlink"/>
            <w:rFonts w:ascii="Arial" w:hAnsi="Arial" w:cs="Arial"/>
            <w:sz w:val="22"/>
            <w:szCs w:val="22"/>
          </w:rPr>
          <w:t>https://doi.org/10.1186/s12912-024-02117-2</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 xml:space="preserve">4 </w:t>
      </w:r>
      <w:r w:rsidRPr="00EF0C12">
        <w:rPr>
          <w:rFonts w:ascii="Arial" w:hAnsi="Arial" w:cs="Arial"/>
          <w:sz w:val="22"/>
          <w:szCs w:val="22"/>
        </w:rPr>
        <w:t xml:space="preserve">November 2025). </w:t>
      </w:r>
    </w:p>
    <w:p w14:paraId="3AE15566" w14:textId="77777777" w:rsidR="008D4DF0" w:rsidRPr="00EF0C12" w:rsidRDefault="008D4DF0" w:rsidP="008D4DF0">
      <w:pPr>
        <w:pStyle w:val="ListParagraph"/>
        <w:rPr>
          <w:rFonts w:ascii="Arial" w:hAnsi="Arial" w:cs="Arial"/>
          <w:sz w:val="22"/>
          <w:szCs w:val="22"/>
        </w:rPr>
      </w:pPr>
    </w:p>
    <w:p w14:paraId="414CD056" w14:textId="77777777" w:rsidR="008D4DF0" w:rsidRPr="00EF0C12" w:rsidRDefault="008D4DF0" w:rsidP="008D4DF0">
      <w:pPr>
        <w:pStyle w:val="ListParagraph"/>
        <w:rPr>
          <w:rFonts w:ascii="Arial" w:hAnsi="Arial" w:cs="Arial"/>
          <w:sz w:val="22"/>
          <w:szCs w:val="22"/>
        </w:rPr>
      </w:pPr>
    </w:p>
    <w:p w14:paraId="7E2D93BE" w14:textId="63A7EBB5" w:rsidR="008D4DF0" w:rsidRPr="00EF0C12" w:rsidRDefault="008D4DF0" w:rsidP="008D4DF0">
      <w:pPr>
        <w:pStyle w:val="ListParagraph"/>
        <w:numPr>
          <w:ilvl w:val="0"/>
          <w:numId w:val="1"/>
        </w:numPr>
        <w:rPr>
          <w:rFonts w:ascii="Arial" w:hAnsi="Arial" w:cs="Arial"/>
          <w:sz w:val="22"/>
          <w:szCs w:val="22"/>
        </w:rPr>
      </w:pPr>
      <w:r w:rsidRPr="00EF0C12">
        <w:rPr>
          <w:rFonts w:ascii="Arial" w:hAnsi="Arial" w:cs="Arial"/>
          <w:sz w:val="22"/>
          <w:szCs w:val="22"/>
        </w:rPr>
        <w:t xml:space="preserve">Older adults’ experiences of self-determination when needing </w:t>
      </w:r>
      <w:r w:rsidR="00EF0C12" w:rsidRPr="00EF0C12">
        <w:rPr>
          <w:rFonts w:ascii="Arial" w:hAnsi="Arial" w:cs="Arial"/>
          <w:sz w:val="22"/>
          <w:szCs w:val="22"/>
        </w:rPr>
        <w:t>home care</w:t>
      </w:r>
      <w:r w:rsidRPr="00EF0C12">
        <w:rPr>
          <w:rFonts w:ascii="Arial" w:hAnsi="Arial" w:cs="Arial"/>
          <w:sz w:val="22"/>
          <w:szCs w:val="22"/>
        </w:rPr>
        <w:t xml:space="preserve"> services – an interview study (2023) BMC Geriatrics, 23:824. Available at: https://bmcgeriatr.biomedcentral.com/articles/10.1186/s12877-023-04533-6</w:t>
      </w:r>
    </w:p>
    <w:p w14:paraId="2008501C" w14:textId="77777777" w:rsidR="008D4DF0" w:rsidRPr="00EF0C12" w:rsidRDefault="008D4DF0" w:rsidP="008D4DF0">
      <w:pPr>
        <w:pStyle w:val="ListParagraph"/>
        <w:rPr>
          <w:rFonts w:ascii="Arial" w:hAnsi="Arial" w:cs="Arial"/>
          <w:sz w:val="22"/>
          <w:szCs w:val="22"/>
        </w:rPr>
      </w:pPr>
      <w:r w:rsidRPr="00EF0C12">
        <w:rPr>
          <w:rFonts w:ascii="Arial" w:hAnsi="Arial" w:cs="Arial"/>
          <w:sz w:val="22"/>
          <w:szCs w:val="22"/>
        </w:rPr>
        <w:t xml:space="preserve">(Accessed: </w:t>
      </w:r>
      <w:r w:rsidRPr="00EF0C12">
        <w:rPr>
          <w:rFonts w:ascii="Arial" w:hAnsi="Arial" w:cs="Arial"/>
          <w:sz w:val="22"/>
          <w:szCs w:val="22"/>
        </w:rPr>
        <w:t xml:space="preserve">2 </w:t>
      </w:r>
      <w:r w:rsidRPr="00EF0C12">
        <w:rPr>
          <w:rFonts w:ascii="Arial" w:hAnsi="Arial" w:cs="Arial"/>
          <w:sz w:val="22"/>
          <w:szCs w:val="22"/>
        </w:rPr>
        <w:t xml:space="preserve">November 2025). </w:t>
      </w:r>
    </w:p>
    <w:p w14:paraId="70D82481" w14:textId="77777777" w:rsidR="008D4DF0" w:rsidRPr="00EF0C12" w:rsidRDefault="008D4DF0" w:rsidP="008D4DF0">
      <w:pPr>
        <w:pStyle w:val="ListParagraph"/>
        <w:rPr>
          <w:rFonts w:ascii="Arial" w:hAnsi="Arial" w:cs="Arial"/>
          <w:sz w:val="22"/>
          <w:szCs w:val="22"/>
        </w:rPr>
      </w:pPr>
    </w:p>
    <w:p w14:paraId="540A0152" w14:textId="09D147A7" w:rsidR="008D4DF0" w:rsidRPr="00EF0C12" w:rsidRDefault="008D4DF0" w:rsidP="008D4DF0">
      <w:pPr>
        <w:pStyle w:val="ListParagraph"/>
        <w:numPr>
          <w:ilvl w:val="0"/>
          <w:numId w:val="1"/>
        </w:numPr>
        <w:rPr>
          <w:rFonts w:ascii="Arial" w:hAnsi="Arial" w:cs="Arial"/>
          <w:sz w:val="22"/>
          <w:szCs w:val="22"/>
        </w:rPr>
      </w:pPr>
      <w:r w:rsidRPr="00EF0C12">
        <w:rPr>
          <w:rFonts w:ascii="Arial" w:hAnsi="Arial" w:cs="Arial"/>
          <w:sz w:val="22"/>
          <w:szCs w:val="22"/>
        </w:rPr>
        <w:t>Boyle, G. (2004) ‘Facilitating choice and control for older people in long</w:t>
      </w:r>
      <w:r w:rsidRPr="00EF0C12">
        <w:rPr>
          <w:rFonts w:ascii="Cambria Math" w:hAnsi="Cambria Math" w:cs="Cambria Math"/>
          <w:sz w:val="22"/>
          <w:szCs w:val="22"/>
        </w:rPr>
        <w:t>‐</w:t>
      </w:r>
      <w:r w:rsidRPr="00EF0C12">
        <w:rPr>
          <w:rFonts w:ascii="Arial" w:hAnsi="Arial" w:cs="Arial"/>
          <w:sz w:val="22"/>
          <w:szCs w:val="22"/>
        </w:rPr>
        <w:t xml:space="preserve">term care’, Health and Social Care in the Community, 12(3), pp. 212-220. Available at: </w:t>
      </w:r>
      <w:hyperlink r:id="rId9" w:history="1">
        <w:r w:rsidRPr="00EF0C12">
          <w:rPr>
            <w:rStyle w:val="Hyperlink"/>
            <w:rFonts w:ascii="Arial" w:hAnsi="Arial" w:cs="Arial"/>
            <w:sz w:val="22"/>
            <w:szCs w:val="22"/>
          </w:rPr>
          <w:t>https://oro.open.ac.uk/40999/</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 xml:space="preserve">4 </w:t>
      </w:r>
      <w:r w:rsidRPr="00EF0C12">
        <w:rPr>
          <w:rFonts w:ascii="Arial" w:hAnsi="Arial" w:cs="Arial"/>
          <w:sz w:val="22"/>
          <w:szCs w:val="22"/>
        </w:rPr>
        <w:t xml:space="preserve">November 2025). </w:t>
      </w:r>
    </w:p>
    <w:p w14:paraId="49A64F14" w14:textId="77777777" w:rsidR="008D4DF0" w:rsidRPr="00EF0C12" w:rsidRDefault="008D4DF0" w:rsidP="008D4DF0">
      <w:pPr>
        <w:pStyle w:val="ListParagraph"/>
        <w:rPr>
          <w:rFonts w:ascii="Arial" w:hAnsi="Arial" w:cs="Arial"/>
          <w:sz w:val="22"/>
          <w:szCs w:val="22"/>
        </w:rPr>
      </w:pPr>
    </w:p>
    <w:p w14:paraId="0746FB78" w14:textId="78BAEF69" w:rsidR="008D4DF0" w:rsidRPr="00EF0C12" w:rsidRDefault="008D4DF0" w:rsidP="008D4DF0">
      <w:pPr>
        <w:pStyle w:val="ListParagraph"/>
        <w:numPr>
          <w:ilvl w:val="0"/>
          <w:numId w:val="1"/>
        </w:numPr>
        <w:rPr>
          <w:rFonts w:ascii="Arial" w:hAnsi="Arial" w:cs="Arial"/>
          <w:sz w:val="22"/>
          <w:szCs w:val="22"/>
        </w:rPr>
      </w:pPr>
      <w:r w:rsidRPr="00EF0C12">
        <w:rPr>
          <w:rFonts w:ascii="Arial" w:hAnsi="Arial" w:cs="Arial"/>
          <w:sz w:val="22"/>
          <w:szCs w:val="22"/>
        </w:rPr>
        <w:t xml:space="preserve">The meaning of ‘quality’ of </w:t>
      </w:r>
      <w:r w:rsidR="00EF0C12" w:rsidRPr="00EF0C12">
        <w:rPr>
          <w:rFonts w:ascii="Arial" w:hAnsi="Arial" w:cs="Arial"/>
          <w:sz w:val="22"/>
          <w:szCs w:val="22"/>
        </w:rPr>
        <w:t>home care</w:t>
      </w:r>
      <w:r w:rsidRPr="00EF0C12">
        <w:rPr>
          <w:rFonts w:ascii="Arial" w:hAnsi="Arial" w:cs="Arial"/>
          <w:sz w:val="22"/>
          <w:szCs w:val="22"/>
        </w:rPr>
        <w:t xml:space="preserve"> for older people: a scoping review (2023) Health &amp; Social Care in the Community. Available at: </w:t>
      </w:r>
      <w:hyperlink r:id="rId10" w:history="1">
        <w:r w:rsidRPr="00EF0C12">
          <w:rPr>
            <w:rStyle w:val="Hyperlink"/>
            <w:rFonts w:ascii="Arial" w:hAnsi="Arial" w:cs="Arial"/>
            <w:sz w:val="22"/>
            <w:szCs w:val="22"/>
          </w:rPr>
          <w:t>https://pubmed.ncbi.nlm.nih.gov/40745541/</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2</w:t>
      </w:r>
      <w:r w:rsidRPr="00EF0C12">
        <w:rPr>
          <w:rFonts w:ascii="Arial" w:hAnsi="Arial" w:cs="Arial"/>
          <w:sz w:val="22"/>
          <w:szCs w:val="22"/>
        </w:rPr>
        <w:t xml:space="preserve"> November 2025). </w:t>
      </w:r>
    </w:p>
    <w:p w14:paraId="19FF77E4" w14:textId="77777777" w:rsidR="00EF0C12" w:rsidRPr="00EF0C12" w:rsidRDefault="00EF0C12" w:rsidP="00EF0C12">
      <w:pPr>
        <w:pStyle w:val="ListParagraph"/>
        <w:rPr>
          <w:rFonts w:ascii="Arial" w:hAnsi="Arial" w:cs="Arial"/>
          <w:sz w:val="22"/>
          <w:szCs w:val="22"/>
        </w:rPr>
      </w:pPr>
    </w:p>
    <w:p w14:paraId="01F7C9A5" w14:textId="77777777" w:rsidR="00EF0C12" w:rsidRPr="00EF0C12" w:rsidRDefault="00EF0C12" w:rsidP="00EF0C12">
      <w:pPr>
        <w:pStyle w:val="ListParagraph"/>
        <w:rPr>
          <w:rFonts w:ascii="Arial" w:hAnsi="Arial" w:cs="Arial"/>
          <w:sz w:val="22"/>
          <w:szCs w:val="22"/>
        </w:rPr>
      </w:pPr>
    </w:p>
    <w:p w14:paraId="1411553F" w14:textId="7C1620E5" w:rsidR="00EF0C12"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The Care Act 2014 (c. 23). London: The Stationery Office. Available at: </w:t>
      </w:r>
      <w:hyperlink r:id="rId11" w:history="1">
        <w:r w:rsidRPr="00EF0C12">
          <w:rPr>
            <w:rStyle w:val="Hyperlink"/>
            <w:rFonts w:ascii="Arial" w:hAnsi="Arial" w:cs="Arial"/>
            <w:sz w:val="22"/>
            <w:szCs w:val="22"/>
          </w:rPr>
          <w:t>https://www.legislation.gov.uk/ukpga/2014/23/contents</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2</w:t>
      </w:r>
      <w:r w:rsidRPr="00EF0C12">
        <w:rPr>
          <w:rFonts w:ascii="Arial" w:hAnsi="Arial" w:cs="Arial"/>
          <w:sz w:val="22"/>
          <w:szCs w:val="22"/>
        </w:rPr>
        <w:t xml:space="preserve"> November 2025).</w:t>
      </w:r>
    </w:p>
    <w:p w14:paraId="06C3B54C" w14:textId="37923409" w:rsidR="00EF0C12"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Human Rights Act 1998 (c. 42). London: The Stationery Office. Available at: </w:t>
      </w:r>
      <w:hyperlink r:id="rId12" w:history="1">
        <w:r w:rsidRPr="00EF0C12">
          <w:rPr>
            <w:rStyle w:val="Hyperlink"/>
            <w:rFonts w:ascii="Arial" w:hAnsi="Arial" w:cs="Arial"/>
            <w:sz w:val="22"/>
            <w:szCs w:val="22"/>
          </w:rPr>
          <w:t>https://www.legislation.gov.uk/ukpga/1998/42/contents</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 xml:space="preserve">28 </w:t>
      </w:r>
      <w:r w:rsidRPr="00EF0C12">
        <w:rPr>
          <w:rFonts w:ascii="Arial" w:hAnsi="Arial" w:cs="Arial"/>
          <w:sz w:val="22"/>
          <w:szCs w:val="22"/>
        </w:rPr>
        <w:t xml:space="preserve"> </w:t>
      </w:r>
      <w:r w:rsidRPr="00EF0C12">
        <w:rPr>
          <w:rFonts w:ascii="Arial" w:hAnsi="Arial" w:cs="Arial"/>
          <w:sz w:val="22"/>
          <w:szCs w:val="22"/>
        </w:rPr>
        <w:t>October</w:t>
      </w:r>
      <w:r w:rsidRPr="00EF0C12">
        <w:rPr>
          <w:rFonts w:ascii="Arial" w:hAnsi="Arial" w:cs="Arial"/>
          <w:sz w:val="22"/>
          <w:szCs w:val="22"/>
        </w:rPr>
        <w:t xml:space="preserve"> 2025).</w:t>
      </w:r>
    </w:p>
    <w:p w14:paraId="29DEE0FE" w14:textId="77777777" w:rsidR="00EF0C12" w:rsidRPr="00EF0C12" w:rsidRDefault="00EF0C12" w:rsidP="00EF0C12">
      <w:pPr>
        <w:pStyle w:val="ListParagraph"/>
        <w:rPr>
          <w:rFonts w:ascii="Arial" w:hAnsi="Arial" w:cs="Arial"/>
          <w:sz w:val="22"/>
          <w:szCs w:val="22"/>
        </w:rPr>
      </w:pPr>
    </w:p>
    <w:p w14:paraId="64E039BA" w14:textId="7C3FEB70" w:rsidR="008D4DF0"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Fothergill, L. (2024)</w:t>
      </w:r>
      <w:r w:rsidRPr="00EF0C12">
        <w:rPr>
          <w:rFonts w:ascii="Arial" w:hAnsi="Arial" w:cs="Arial"/>
          <w:sz w:val="22"/>
          <w:szCs w:val="22"/>
        </w:rPr>
        <w:t>.</w:t>
      </w:r>
      <w:r w:rsidRPr="00EF0C12">
        <w:rPr>
          <w:rFonts w:ascii="Arial" w:hAnsi="Arial" w:cs="Arial"/>
          <w:sz w:val="22"/>
          <w:szCs w:val="22"/>
        </w:rPr>
        <w:t xml:space="preserve"> At home it’s just so much easier to be yourself: Older adults’ perceptions of ageing in place. Lancaster University. Available at: </w:t>
      </w:r>
      <w:hyperlink r:id="rId13" w:history="1">
        <w:r w:rsidRPr="00EF0C12">
          <w:rPr>
            <w:rStyle w:val="Hyperlink"/>
            <w:rFonts w:ascii="Arial" w:hAnsi="Arial" w:cs="Arial"/>
            <w:sz w:val="22"/>
            <w:szCs w:val="22"/>
          </w:rPr>
          <w:t>https://eprints.lancs.ac.uk/225180/</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2</w:t>
      </w:r>
      <w:r w:rsidRPr="00EF0C12">
        <w:rPr>
          <w:rFonts w:ascii="Arial" w:hAnsi="Arial" w:cs="Arial"/>
          <w:sz w:val="22"/>
          <w:szCs w:val="22"/>
        </w:rPr>
        <w:t xml:space="preserve">8 </w:t>
      </w:r>
      <w:r w:rsidRPr="00EF0C12">
        <w:rPr>
          <w:rFonts w:ascii="Arial" w:hAnsi="Arial" w:cs="Arial"/>
          <w:sz w:val="22"/>
          <w:szCs w:val="22"/>
        </w:rPr>
        <w:t>October</w:t>
      </w:r>
      <w:r w:rsidRPr="00EF0C12">
        <w:rPr>
          <w:rFonts w:ascii="Arial" w:hAnsi="Arial" w:cs="Arial"/>
          <w:sz w:val="22"/>
          <w:szCs w:val="22"/>
        </w:rPr>
        <w:t xml:space="preserve"> 2025).</w:t>
      </w:r>
    </w:p>
    <w:p w14:paraId="753F5D7C" w14:textId="77777777" w:rsidR="00EF0C12" w:rsidRPr="00EF0C12" w:rsidRDefault="00EF0C12" w:rsidP="00EF0C12">
      <w:pPr>
        <w:rPr>
          <w:rFonts w:ascii="Arial" w:hAnsi="Arial" w:cs="Arial"/>
          <w:sz w:val="22"/>
          <w:szCs w:val="22"/>
        </w:rPr>
      </w:pPr>
    </w:p>
    <w:p w14:paraId="4E8D099F" w14:textId="08EC16D0" w:rsidR="008D4DF0" w:rsidRPr="00EF0C12" w:rsidRDefault="008D4DF0" w:rsidP="00EF0C12">
      <w:pPr>
        <w:pStyle w:val="ListParagraph"/>
        <w:numPr>
          <w:ilvl w:val="0"/>
          <w:numId w:val="1"/>
        </w:numPr>
        <w:rPr>
          <w:rFonts w:ascii="Arial" w:hAnsi="Arial" w:cs="Arial"/>
          <w:sz w:val="22"/>
          <w:szCs w:val="22"/>
        </w:rPr>
      </w:pPr>
      <w:r w:rsidRPr="00EF0C12">
        <w:rPr>
          <w:rFonts w:ascii="Arial" w:hAnsi="Arial" w:cs="Arial"/>
          <w:sz w:val="22"/>
          <w:szCs w:val="22"/>
        </w:rPr>
        <w:t>‘At home it’s just so much easier to be yourself’: older adults' perceptions of ageing in place (2012) Ageing &amp; Society. Available at: https://www.cambridge.org/core/journals/ageing-and-society/article/at-home-its-just-</w:t>
      </w:r>
      <w:r w:rsidRPr="00EF0C12">
        <w:rPr>
          <w:rFonts w:ascii="Arial" w:hAnsi="Arial" w:cs="Arial"/>
          <w:sz w:val="22"/>
          <w:szCs w:val="22"/>
        </w:rPr>
        <w:lastRenderedPageBreak/>
        <w:t xml:space="preserve">so-much-easier-to-be-yourself-older-adults-perceptions-of-ageing-in-place/C3F12714A566D71CA8F85A6313820D01 (Accessed: </w:t>
      </w:r>
      <w:r w:rsidR="00EF0C12" w:rsidRPr="00EF0C12">
        <w:rPr>
          <w:rFonts w:ascii="Arial" w:hAnsi="Arial" w:cs="Arial"/>
          <w:sz w:val="22"/>
          <w:szCs w:val="22"/>
        </w:rPr>
        <w:t>2</w:t>
      </w:r>
      <w:r w:rsidRPr="00EF0C12">
        <w:rPr>
          <w:rFonts w:ascii="Arial" w:hAnsi="Arial" w:cs="Arial"/>
          <w:sz w:val="22"/>
          <w:szCs w:val="22"/>
        </w:rPr>
        <w:t xml:space="preserve">8 </w:t>
      </w:r>
      <w:r w:rsidR="00EF0C12" w:rsidRPr="00EF0C12">
        <w:rPr>
          <w:rFonts w:ascii="Arial" w:hAnsi="Arial" w:cs="Arial"/>
          <w:sz w:val="22"/>
          <w:szCs w:val="22"/>
        </w:rPr>
        <w:t>October</w:t>
      </w:r>
      <w:r w:rsidRPr="00EF0C12">
        <w:rPr>
          <w:rFonts w:ascii="Arial" w:hAnsi="Arial" w:cs="Arial"/>
          <w:sz w:val="22"/>
          <w:szCs w:val="22"/>
        </w:rPr>
        <w:t xml:space="preserve"> 2025). </w:t>
      </w:r>
    </w:p>
    <w:p w14:paraId="2431EF2D" w14:textId="77777777" w:rsidR="00EF0C12" w:rsidRPr="00EF0C12" w:rsidRDefault="00EF0C12" w:rsidP="00EF0C12">
      <w:pPr>
        <w:pStyle w:val="ListParagraph"/>
        <w:rPr>
          <w:rFonts w:ascii="Arial" w:hAnsi="Arial" w:cs="Arial"/>
          <w:sz w:val="22"/>
          <w:szCs w:val="22"/>
        </w:rPr>
      </w:pPr>
    </w:p>
    <w:p w14:paraId="13B6E51E" w14:textId="614160F8" w:rsidR="008D4DF0" w:rsidRPr="00EF0C12" w:rsidRDefault="008D4DF0" w:rsidP="00EF0C12">
      <w:pPr>
        <w:pStyle w:val="ListParagraph"/>
        <w:numPr>
          <w:ilvl w:val="0"/>
          <w:numId w:val="1"/>
        </w:numPr>
        <w:rPr>
          <w:rFonts w:ascii="Arial" w:hAnsi="Arial" w:cs="Arial"/>
          <w:sz w:val="22"/>
          <w:szCs w:val="22"/>
        </w:rPr>
      </w:pPr>
      <w:r w:rsidRPr="00EF0C12">
        <w:rPr>
          <w:rFonts w:ascii="Arial" w:hAnsi="Arial" w:cs="Arial"/>
          <w:sz w:val="22"/>
          <w:szCs w:val="22"/>
        </w:rPr>
        <w:t>Cambridge University Press &amp; Assessment</w:t>
      </w:r>
    </w:p>
    <w:p w14:paraId="018DE41D" w14:textId="629D7548" w:rsidR="008D4DF0" w:rsidRPr="00EF0C12" w:rsidRDefault="008D4DF0" w:rsidP="00EF0C12">
      <w:pPr>
        <w:pStyle w:val="ListParagraph"/>
        <w:rPr>
          <w:rFonts w:ascii="Arial" w:hAnsi="Arial" w:cs="Arial"/>
          <w:sz w:val="22"/>
          <w:szCs w:val="22"/>
        </w:rPr>
      </w:pPr>
      <w:r w:rsidRPr="00EF0C12">
        <w:rPr>
          <w:rFonts w:ascii="Arial" w:hAnsi="Arial" w:cs="Arial"/>
          <w:sz w:val="22"/>
          <w:szCs w:val="22"/>
        </w:rPr>
        <w:t xml:space="preserve">A systematic review of different models of home and community care services for older persons (2011) BMC Health Services Research, 11:93. Available at: </w:t>
      </w:r>
      <w:hyperlink r:id="rId14" w:history="1">
        <w:r w:rsidR="00EF0C12" w:rsidRPr="00EF0C12">
          <w:rPr>
            <w:rStyle w:val="Hyperlink"/>
            <w:rFonts w:ascii="Arial" w:hAnsi="Arial" w:cs="Arial"/>
            <w:sz w:val="22"/>
            <w:szCs w:val="22"/>
          </w:rPr>
          <w:t>https://bmchealthservres.biomedcentral.c</w:t>
        </w:r>
        <w:r w:rsidR="00EF0C12" w:rsidRPr="00EF0C12">
          <w:rPr>
            <w:rStyle w:val="Hyperlink"/>
            <w:rFonts w:ascii="Arial" w:hAnsi="Arial" w:cs="Arial"/>
            <w:sz w:val="22"/>
            <w:szCs w:val="22"/>
          </w:rPr>
          <w:t>om/articles/10.1186/1472-6963-11-93</w:t>
        </w:r>
      </w:hyperlink>
      <w:r w:rsidR="00EF0C12" w:rsidRPr="00EF0C12">
        <w:rPr>
          <w:rFonts w:ascii="Arial" w:hAnsi="Arial" w:cs="Arial"/>
          <w:sz w:val="22"/>
          <w:szCs w:val="22"/>
        </w:rPr>
        <w:t xml:space="preserve"> </w:t>
      </w:r>
      <w:r w:rsidRPr="00EF0C12">
        <w:rPr>
          <w:rFonts w:ascii="Arial" w:hAnsi="Arial" w:cs="Arial"/>
          <w:sz w:val="22"/>
          <w:szCs w:val="22"/>
        </w:rPr>
        <w:t xml:space="preserve">(Accessed: </w:t>
      </w:r>
      <w:r w:rsidR="00EF0C12" w:rsidRPr="00EF0C12">
        <w:rPr>
          <w:rFonts w:ascii="Arial" w:hAnsi="Arial" w:cs="Arial"/>
          <w:sz w:val="22"/>
          <w:szCs w:val="22"/>
        </w:rPr>
        <w:t>2</w:t>
      </w:r>
      <w:r w:rsidRPr="00EF0C12">
        <w:rPr>
          <w:rFonts w:ascii="Arial" w:hAnsi="Arial" w:cs="Arial"/>
          <w:sz w:val="22"/>
          <w:szCs w:val="22"/>
        </w:rPr>
        <w:t xml:space="preserve">8 </w:t>
      </w:r>
      <w:r w:rsidR="00EF0C12" w:rsidRPr="00EF0C12">
        <w:rPr>
          <w:rFonts w:ascii="Arial" w:hAnsi="Arial" w:cs="Arial"/>
          <w:sz w:val="22"/>
          <w:szCs w:val="22"/>
        </w:rPr>
        <w:t>October</w:t>
      </w:r>
      <w:r w:rsidRPr="00EF0C12">
        <w:rPr>
          <w:rFonts w:ascii="Arial" w:hAnsi="Arial" w:cs="Arial"/>
          <w:sz w:val="22"/>
          <w:szCs w:val="22"/>
        </w:rPr>
        <w:t xml:space="preserve"> 2025). </w:t>
      </w:r>
    </w:p>
    <w:p w14:paraId="2E16347D" w14:textId="77777777" w:rsidR="00EF0C12" w:rsidRPr="00EF0C12" w:rsidRDefault="00EF0C12" w:rsidP="00EF0C12">
      <w:pPr>
        <w:pStyle w:val="ListParagraph"/>
        <w:rPr>
          <w:rFonts w:ascii="Arial" w:hAnsi="Arial" w:cs="Arial"/>
          <w:sz w:val="22"/>
          <w:szCs w:val="22"/>
        </w:rPr>
      </w:pPr>
    </w:p>
    <w:p w14:paraId="1E81D018" w14:textId="1C9B9F07" w:rsidR="008D4DF0" w:rsidRPr="00EF0C12" w:rsidRDefault="008D4DF0"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The fundamental role of the home-care worker in the lives of community dwelling older people (2022) International Journal of Integrated Care, 22:40. Available at: https://ijic.org/articles/10.5334/ijic.ICIC22013/ (Accessed: </w:t>
      </w:r>
      <w:r w:rsidR="00EF0C12" w:rsidRPr="00EF0C12">
        <w:rPr>
          <w:rFonts w:ascii="Arial" w:hAnsi="Arial" w:cs="Arial"/>
          <w:sz w:val="22"/>
          <w:szCs w:val="22"/>
        </w:rPr>
        <w:t>27</w:t>
      </w:r>
      <w:r w:rsidRPr="00EF0C12">
        <w:rPr>
          <w:rFonts w:ascii="Arial" w:hAnsi="Arial" w:cs="Arial"/>
          <w:sz w:val="22"/>
          <w:szCs w:val="22"/>
        </w:rPr>
        <w:t xml:space="preserve"> </w:t>
      </w:r>
      <w:r w:rsidR="00EF0C12" w:rsidRPr="00EF0C12">
        <w:rPr>
          <w:rFonts w:ascii="Arial" w:hAnsi="Arial" w:cs="Arial"/>
          <w:sz w:val="22"/>
          <w:szCs w:val="22"/>
        </w:rPr>
        <w:t>October</w:t>
      </w:r>
      <w:r w:rsidRPr="00EF0C12">
        <w:rPr>
          <w:rFonts w:ascii="Arial" w:hAnsi="Arial" w:cs="Arial"/>
          <w:sz w:val="22"/>
          <w:szCs w:val="22"/>
        </w:rPr>
        <w:t xml:space="preserve"> 2025). </w:t>
      </w:r>
    </w:p>
    <w:p w14:paraId="6F3CB09A" w14:textId="77777777" w:rsidR="00EF0C12" w:rsidRPr="00EF0C12" w:rsidRDefault="00EF0C12" w:rsidP="00EF0C12">
      <w:pPr>
        <w:pStyle w:val="ListParagraph"/>
        <w:rPr>
          <w:rFonts w:ascii="Arial" w:hAnsi="Arial" w:cs="Arial"/>
          <w:sz w:val="22"/>
          <w:szCs w:val="22"/>
        </w:rPr>
      </w:pPr>
    </w:p>
    <w:p w14:paraId="0416E260" w14:textId="17251BC8" w:rsidR="00EF0C12"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Health and Social Care Act 2012 (c. 7). London: The Stationery Office. Available at: </w:t>
      </w:r>
      <w:hyperlink r:id="rId15" w:history="1">
        <w:r w:rsidRPr="00EF0C12">
          <w:rPr>
            <w:rStyle w:val="Hyperlink"/>
            <w:rFonts w:ascii="Arial" w:hAnsi="Arial" w:cs="Arial"/>
            <w:sz w:val="22"/>
            <w:szCs w:val="22"/>
          </w:rPr>
          <w:t>https://www.legislation.gov.uk/ukpga/2012/7/contents</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27</w:t>
      </w:r>
      <w:r w:rsidRPr="00EF0C12">
        <w:rPr>
          <w:rFonts w:ascii="Arial" w:hAnsi="Arial" w:cs="Arial"/>
          <w:sz w:val="22"/>
          <w:szCs w:val="22"/>
        </w:rPr>
        <w:t xml:space="preserve"> </w:t>
      </w:r>
      <w:r w:rsidRPr="00EF0C12">
        <w:rPr>
          <w:rFonts w:ascii="Arial" w:hAnsi="Arial" w:cs="Arial"/>
          <w:sz w:val="22"/>
          <w:szCs w:val="22"/>
        </w:rPr>
        <w:t>October</w:t>
      </w:r>
      <w:r w:rsidRPr="00EF0C12">
        <w:rPr>
          <w:rFonts w:ascii="Arial" w:hAnsi="Arial" w:cs="Arial"/>
          <w:sz w:val="22"/>
          <w:szCs w:val="22"/>
        </w:rPr>
        <w:t xml:space="preserve"> 2025).</w:t>
      </w:r>
    </w:p>
    <w:p w14:paraId="2FD91A69" w14:textId="77777777" w:rsidR="00EF0C12" w:rsidRPr="00EF0C12" w:rsidRDefault="00EF0C12" w:rsidP="00EF0C12">
      <w:pPr>
        <w:pStyle w:val="ListParagraph"/>
        <w:rPr>
          <w:rFonts w:ascii="Arial" w:hAnsi="Arial" w:cs="Arial"/>
          <w:sz w:val="22"/>
          <w:szCs w:val="22"/>
        </w:rPr>
      </w:pPr>
    </w:p>
    <w:p w14:paraId="0428E4AB" w14:textId="77777777" w:rsidR="00EF0C12" w:rsidRPr="00EF0C12" w:rsidRDefault="00EF0C12" w:rsidP="00EF0C12">
      <w:pPr>
        <w:pStyle w:val="ListParagraph"/>
        <w:rPr>
          <w:rFonts w:ascii="Arial" w:hAnsi="Arial" w:cs="Arial"/>
          <w:sz w:val="22"/>
          <w:szCs w:val="22"/>
        </w:rPr>
      </w:pPr>
    </w:p>
    <w:p w14:paraId="68776B46" w14:textId="0C083ED8" w:rsidR="00EF0C12"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National Institute for Health and Care Excellence (NICE) (2019) Older people: independence and mental wellbeing (NG142). Available at: https://www.nice.org.uk/guidance/ng142 (Accessed: </w:t>
      </w:r>
      <w:r w:rsidRPr="00EF0C12">
        <w:rPr>
          <w:rFonts w:ascii="Arial" w:hAnsi="Arial" w:cs="Arial"/>
          <w:sz w:val="22"/>
          <w:szCs w:val="22"/>
        </w:rPr>
        <w:t>26 October</w:t>
      </w:r>
      <w:r w:rsidRPr="00EF0C12">
        <w:rPr>
          <w:rFonts w:ascii="Arial" w:hAnsi="Arial" w:cs="Arial"/>
          <w:sz w:val="22"/>
          <w:szCs w:val="22"/>
        </w:rPr>
        <w:t xml:space="preserve"> 2025).</w:t>
      </w:r>
    </w:p>
    <w:p w14:paraId="732E8DD5" w14:textId="77777777" w:rsidR="00EF0C12" w:rsidRPr="00EF0C12" w:rsidRDefault="00EF0C12" w:rsidP="00EF0C12">
      <w:pPr>
        <w:pStyle w:val="ListParagraph"/>
        <w:rPr>
          <w:rFonts w:ascii="Arial" w:hAnsi="Arial" w:cs="Arial"/>
          <w:sz w:val="22"/>
          <w:szCs w:val="22"/>
        </w:rPr>
      </w:pPr>
    </w:p>
    <w:p w14:paraId="5BCA286A" w14:textId="254955A0" w:rsidR="008D4DF0"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Kwan, R. et al. (2019) Older people’s experiences of care at home: a qualitative systematic review. University College London. Available at: </w:t>
      </w:r>
      <w:hyperlink r:id="rId16" w:history="1">
        <w:r w:rsidRPr="00EF0C12">
          <w:rPr>
            <w:rStyle w:val="Hyperlink"/>
            <w:rFonts w:ascii="Arial" w:hAnsi="Arial" w:cs="Arial"/>
            <w:sz w:val="22"/>
            <w:szCs w:val="22"/>
          </w:rPr>
          <w:t>https://discovery.ucl.ac.uk/10074974/</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26 October</w:t>
      </w:r>
      <w:r w:rsidRPr="00EF0C12">
        <w:rPr>
          <w:rFonts w:ascii="Arial" w:hAnsi="Arial" w:cs="Arial"/>
          <w:sz w:val="22"/>
          <w:szCs w:val="22"/>
        </w:rPr>
        <w:t xml:space="preserve"> 2025).</w:t>
      </w:r>
    </w:p>
    <w:p w14:paraId="5AC06D8D" w14:textId="77777777" w:rsidR="00EF0C12" w:rsidRPr="00EF0C12" w:rsidRDefault="00EF0C12" w:rsidP="00EF0C12">
      <w:pPr>
        <w:pStyle w:val="ListParagraph"/>
        <w:rPr>
          <w:rFonts w:ascii="Arial" w:hAnsi="Arial" w:cs="Arial"/>
          <w:sz w:val="22"/>
          <w:szCs w:val="22"/>
        </w:rPr>
      </w:pPr>
    </w:p>
    <w:p w14:paraId="1430CD05" w14:textId="2D271233" w:rsidR="00EF0C12"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Mental Capacity Act 2005 (c. 9). London: The Stationery Office. Available at: https://www.legislation.gov.uk/ukpga/2005/9/contents (Accessed: </w:t>
      </w:r>
      <w:r w:rsidRPr="00EF0C12">
        <w:rPr>
          <w:rFonts w:ascii="Arial" w:hAnsi="Arial" w:cs="Arial"/>
          <w:sz w:val="22"/>
          <w:szCs w:val="22"/>
        </w:rPr>
        <w:t xml:space="preserve">26 October </w:t>
      </w:r>
      <w:r w:rsidRPr="00EF0C12">
        <w:rPr>
          <w:rFonts w:ascii="Arial" w:hAnsi="Arial" w:cs="Arial"/>
          <w:sz w:val="22"/>
          <w:szCs w:val="22"/>
        </w:rPr>
        <w:t>2025).</w:t>
      </w:r>
    </w:p>
    <w:p w14:paraId="429B4C07" w14:textId="47B402A0" w:rsidR="00EF0C12" w:rsidRPr="00EF0C12" w:rsidRDefault="00EF0C12" w:rsidP="00EF0C12">
      <w:pPr>
        <w:pStyle w:val="ListParagraph"/>
        <w:numPr>
          <w:ilvl w:val="0"/>
          <w:numId w:val="1"/>
        </w:numPr>
        <w:rPr>
          <w:rFonts w:ascii="Arial" w:hAnsi="Arial" w:cs="Arial"/>
          <w:sz w:val="22"/>
          <w:szCs w:val="22"/>
        </w:rPr>
      </w:pPr>
      <w:r w:rsidRPr="00EF0C12">
        <w:rPr>
          <w:rFonts w:ascii="Arial" w:hAnsi="Arial" w:cs="Arial"/>
          <w:sz w:val="22"/>
          <w:szCs w:val="22"/>
        </w:rPr>
        <w:t xml:space="preserve">Hageman, P. A. et al. (2016) ‘Educational interventions to empower nursing home residents: a systematic literature review’, Geriatric Nursing, 37(6), pp. 483–489. Available at: </w:t>
      </w:r>
      <w:hyperlink r:id="rId17" w:history="1">
        <w:r w:rsidRPr="00EF0C12">
          <w:rPr>
            <w:rStyle w:val="Hyperlink"/>
            <w:rFonts w:ascii="Arial" w:hAnsi="Arial" w:cs="Arial"/>
            <w:sz w:val="22"/>
            <w:szCs w:val="22"/>
          </w:rPr>
          <w:t>https://pubmed.ncbi.nlm.nih.gov/27729778/</w:t>
        </w:r>
      </w:hyperlink>
      <w:r w:rsidRPr="00EF0C12">
        <w:rPr>
          <w:rFonts w:ascii="Arial" w:hAnsi="Arial" w:cs="Arial"/>
          <w:sz w:val="22"/>
          <w:szCs w:val="22"/>
        </w:rPr>
        <w:t xml:space="preserve"> </w:t>
      </w:r>
      <w:r w:rsidRPr="00EF0C12">
        <w:rPr>
          <w:rFonts w:ascii="Arial" w:hAnsi="Arial" w:cs="Arial"/>
          <w:sz w:val="22"/>
          <w:szCs w:val="22"/>
        </w:rPr>
        <w:t xml:space="preserve">(Accessed: </w:t>
      </w:r>
      <w:r w:rsidRPr="00EF0C12">
        <w:rPr>
          <w:rFonts w:ascii="Arial" w:hAnsi="Arial" w:cs="Arial"/>
          <w:sz w:val="22"/>
          <w:szCs w:val="22"/>
        </w:rPr>
        <w:t>26</w:t>
      </w:r>
      <w:r w:rsidRPr="00EF0C12">
        <w:rPr>
          <w:rFonts w:ascii="Arial" w:hAnsi="Arial" w:cs="Arial"/>
          <w:sz w:val="22"/>
          <w:szCs w:val="22"/>
        </w:rPr>
        <w:t xml:space="preserve"> </w:t>
      </w:r>
      <w:r w:rsidRPr="00EF0C12">
        <w:rPr>
          <w:rFonts w:ascii="Arial" w:hAnsi="Arial" w:cs="Arial"/>
          <w:sz w:val="22"/>
          <w:szCs w:val="22"/>
        </w:rPr>
        <w:t>October</w:t>
      </w:r>
      <w:r w:rsidRPr="00EF0C12">
        <w:rPr>
          <w:rFonts w:ascii="Arial" w:hAnsi="Arial" w:cs="Arial"/>
          <w:sz w:val="22"/>
          <w:szCs w:val="22"/>
        </w:rPr>
        <w:t xml:space="preserve"> 2025).</w:t>
      </w:r>
    </w:p>
    <w:sectPr w:rsidR="00EF0C12" w:rsidRPr="00EF0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0AF8"/>
    <w:multiLevelType w:val="hybridMultilevel"/>
    <w:tmpl w:val="E0F21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1035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A24"/>
    <w:rsid w:val="002A0DE1"/>
    <w:rsid w:val="00770B24"/>
    <w:rsid w:val="008D4DF0"/>
    <w:rsid w:val="009D4A24"/>
    <w:rsid w:val="00BB1523"/>
    <w:rsid w:val="00C4082D"/>
    <w:rsid w:val="00EF0C12"/>
    <w:rsid w:val="00F36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B8F8E"/>
  <w15:chartTrackingRefBased/>
  <w15:docId w15:val="{4B30F8AB-DAFF-4136-BCFF-58808DCA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4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4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A24"/>
    <w:rPr>
      <w:rFonts w:eastAsiaTheme="majorEastAsia" w:cstheme="majorBidi"/>
      <w:color w:val="272727" w:themeColor="text1" w:themeTint="D8"/>
    </w:rPr>
  </w:style>
  <w:style w:type="paragraph" w:styleId="Title">
    <w:name w:val="Title"/>
    <w:basedOn w:val="Normal"/>
    <w:next w:val="Normal"/>
    <w:link w:val="TitleChar"/>
    <w:uiPriority w:val="10"/>
    <w:qFormat/>
    <w:rsid w:val="009D4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A24"/>
    <w:pPr>
      <w:spacing w:before="160"/>
      <w:jc w:val="center"/>
    </w:pPr>
    <w:rPr>
      <w:i/>
      <w:iCs/>
      <w:color w:val="404040" w:themeColor="text1" w:themeTint="BF"/>
    </w:rPr>
  </w:style>
  <w:style w:type="character" w:customStyle="1" w:styleId="QuoteChar">
    <w:name w:val="Quote Char"/>
    <w:basedOn w:val="DefaultParagraphFont"/>
    <w:link w:val="Quote"/>
    <w:uiPriority w:val="29"/>
    <w:rsid w:val="009D4A24"/>
    <w:rPr>
      <w:i/>
      <w:iCs/>
      <w:color w:val="404040" w:themeColor="text1" w:themeTint="BF"/>
    </w:rPr>
  </w:style>
  <w:style w:type="paragraph" w:styleId="ListParagraph">
    <w:name w:val="List Paragraph"/>
    <w:basedOn w:val="Normal"/>
    <w:uiPriority w:val="34"/>
    <w:qFormat/>
    <w:rsid w:val="009D4A24"/>
    <w:pPr>
      <w:ind w:left="720"/>
      <w:contextualSpacing/>
    </w:pPr>
  </w:style>
  <w:style w:type="character" w:styleId="IntenseEmphasis">
    <w:name w:val="Intense Emphasis"/>
    <w:basedOn w:val="DefaultParagraphFont"/>
    <w:uiPriority w:val="21"/>
    <w:qFormat/>
    <w:rsid w:val="009D4A24"/>
    <w:rPr>
      <w:i/>
      <w:iCs/>
      <w:color w:val="0F4761" w:themeColor="accent1" w:themeShade="BF"/>
    </w:rPr>
  </w:style>
  <w:style w:type="paragraph" w:styleId="IntenseQuote">
    <w:name w:val="Intense Quote"/>
    <w:basedOn w:val="Normal"/>
    <w:next w:val="Normal"/>
    <w:link w:val="IntenseQuoteChar"/>
    <w:uiPriority w:val="30"/>
    <w:qFormat/>
    <w:rsid w:val="009D4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A24"/>
    <w:rPr>
      <w:i/>
      <w:iCs/>
      <w:color w:val="0F4761" w:themeColor="accent1" w:themeShade="BF"/>
    </w:rPr>
  </w:style>
  <w:style w:type="character" w:styleId="IntenseReference">
    <w:name w:val="Intense Reference"/>
    <w:basedOn w:val="DefaultParagraphFont"/>
    <w:uiPriority w:val="32"/>
    <w:qFormat/>
    <w:rsid w:val="009D4A24"/>
    <w:rPr>
      <w:b/>
      <w:bCs/>
      <w:smallCaps/>
      <w:color w:val="0F4761" w:themeColor="accent1" w:themeShade="BF"/>
      <w:spacing w:val="5"/>
    </w:rPr>
  </w:style>
  <w:style w:type="character" w:styleId="Hyperlink">
    <w:name w:val="Hyperlink"/>
    <w:basedOn w:val="DefaultParagraphFont"/>
    <w:uiPriority w:val="99"/>
    <w:unhideWhenUsed/>
    <w:rsid w:val="00BB1523"/>
    <w:rPr>
      <w:color w:val="467886" w:themeColor="hyperlink"/>
      <w:u w:val="single"/>
    </w:rPr>
  </w:style>
  <w:style w:type="character" w:styleId="UnresolvedMention">
    <w:name w:val="Unresolved Mention"/>
    <w:basedOn w:val="DefaultParagraphFont"/>
    <w:uiPriority w:val="99"/>
    <w:semiHidden/>
    <w:unhideWhenUsed/>
    <w:rsid w:val="00BB1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2-024-02117-2" TargetMode="External"/><Relationship Id="rId13" Type="http://schemas.openxmlformats.org/officeDocument/2006/relationships/hyperlink" Target="https://eprints.lancs.ac.uk/22518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hs.uk" TargetMode="External"/><Relationship Id="rId12" Type="http://schemas.openxmlformats.org/officeDocument/2006/relationships/hyperlink" Target="https://www.legislation.gov.uk/ukpga/1998/42/contents" TargetMode="External"/><Relationship Id="rId17" Type="http://schemas.openxmlformats.org/officeDocument/2006/relationships/hyperlink" Target="https://pubmed.ncbi.nlm.nih.gov/27729778/" TargetMode="External"/><Relationship Id="rId2" Type="http://schemas.openxmlformats.org/officeDocument/2006/relationships/styles" Target="styles.xml"/><Relationship Id="rId16" Type="http://schemas.openxmlformats.org/officeDocument/2006/relationships/hyperlink" Target="https://discovery.ucl.ac.uk/10074974/" TargetMode="External"/><Relationship Id="rId1" Type="http://schemas.openxmlformats.org/officeDocument/2006/relationships/numbering" Target="numbering.xml"/><Relationship Id="rId6" Type="http://schemas.openxmlformats.org/officeDocument/2006/relationships/hyperlink" Target="http://www.legislations.gov.uk/ukpga/2008/14contents" TargetMode="External"/><Relationship Id="rId11" Type="http://schemas.openxmlformats.org/officeDocument/2006/relationships/hyperlink" Target="https://www.legislation.gov.uk/ukpga/2014/23/contents" TargetMode="External"/><Relationship Id="rId5" Type="http://schemas.openxmlformats.org/officeDocument/2006/relationships/hyperlink" Target="http://www.legislations.gov.uk/ukpga/2014/23/contents/enacted" TargetMode="External"/><Relationship Id="rId15" Type="http://schemas.openxmlformats.org/officeDocument/2006/relationships/hyperlink" Target="https://www.legislation.gov.uk/ukpga/2012/7/contents" TargetMode="External"/><Relationship Id="rId10" Type="http://schemas.openxmlformats.org/officeDocument/2006/relationships/hyperlink" Target="https://pubmed.ncbi.nlm.nih.gov/4074554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ro.open.ac.uk/40999/" TargetMode="External"/><Relationship Id="rId14" Type="http://schemas.openxmlformats.org/officeDocument/2006/relationships/hyperlink" Target="https://bmchealthservres.biomedcentral.com/articles/10.1186/1472-6963-11-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896</Words>
  <Characters>6140</Characters>
  <Application>Microsoft Office Word</Application>
  <DocSecurity>0</DocSecurity>
  <Lines>139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Arif (2220569)</dc:creator>
  <cp:keywords/>
  <dc:description/>
  <cp:lastModifiedBy>Saira Arif (2220569)</cp:lastModifiedBy>
  <cp:revision>2</cp:revision>
  <dcterms:created xsi:type="dcterms:W3CDTF">2025-11-07T12:43:00Z</dcterms:created>
  <dcterms:modified xsi:type="dcterms:W3CDTF">2025-11-08T13:51:00Z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3afa2fd6-71ac-4008-a2cd-f1a1433d92f3</vt:lpwstr>
  </property>
</Properties>
</file>