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42"/>
        <w:gridCol w:w="1613"/>
        <w:gridCol w:w="2350"/>
        <w:gridCol w:w="1561"/>
        <w:gridCol w:w="1755"/>
      </w:tblGrid>
      <w:tr w:rsidR="00DE6329" w:rsidRPr="008979F7" w14:paraId="2E6ECAF5" w14:textId="77777777" w:rsidTr="00760946">
        <w:tc>
          <w:tcPr>
            <w:tcW w:w="974" w:type="pct"/>
            <w:tcBorders>
              <w:top w:val="single" w:sz="4" w:space="0" w:color="auto"/>
              <w:left w:val="single" w:sz="4" w:space="0" w:color="auto"/>
              <w:bottom w:val="single" w:sz="4" w:space="0" w:color="auto"/>
              <w:right w:val="single" w:sz="4" w:space="0" w:color="auto"/>
            </w:tcBorders>
          </w:tcPr>
          <w:p w14:paraId="7609F67F"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t>Be more confident during presentations in person and online.</w:t>
            </w:r>
          </w:p>
          <w:p w14:paraId="774256E7"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470CC3F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be able to look up during presentations and not rely on and read my notes when delivering to an audience.</w:t>
            </w:r>
          </w:p>
          <w:p w14:paraId="4FC7CCA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Munz et al. (2024) recommends that presenters should alternate their gaze from eye contact to the computer screen for the most natural effect.</w:t>
            </w:r>
          </w:p>
          <w:p w14:paraId="3F02F34B" w14:textId="77777777" w:rsidR="00DE6329" w:rsidRPr="008979F7" w:rsidRDefault="00DE6329" w:rsidP="00760946">
            <w:pPr>
              <w:spacing w:before="80" w:after="80" w:line="300" w:lineRule="auto"/>
              <w:rPr>
                <w:rFonts w:ascii="Arial" w:hAnsi="Arial" w:cs="Arial"/>
                <w:lang w:bidi="yi-Hebr"/>
              </w:rPr>
            </w:pPr>
          </w:p>
          <w:p w14:paraId="6F3C48C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I will be able to speak more fluently, using natural tone and intonation to make my presentation sound more professional </w:t>
            </w:r>
            <w:r w:rsidRPr="008979F7">
              <w:rPr>
                <w:rFonts w:ascii="Arial" w:hAnsi="Arial" w:cs="Arial"/>
                <w:lang w:bidi="yi-Hebr"/>
              </w:rPr>
              <w:lastRenderedPageBreak/>
              <w:t>and interesting.</w:t>
            </w:r>
          </w:p>
          <w:p w14:paraId="76C1E86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Van Emden, Becker and Becker (2026) suggest that we can show meaning with the tone of our voices, and these can be used to control emotional responses.</w:t>
            </w:r>
          </w:p>
          <w:p w14:paraId="07FD315A" w14:textId="77777777" w:rsidR="00DE6329" w:rsidRPr="008979F7" w:rsidRDefault="00DE6329" w:rsidP="00760946">
            <w:pPr>
              <w:spacing w:before="80" w:after="80" w:line="300" w:lineRule="auto"/>
              <w:rPr>
                <w:rFonts w:ascii="Arial" w:hAnsi="Arial" w:cs="Arial"/>
                <w:lang w:bidi="yi-Hebr"/>
              </w:rPr>
            </w:pPr>
          </w:p>
          <w:p w14:paraId="175B0843"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be able to put my authentic personality into my delivery without feeling embarrassed or scared.</w:t>
            </w:r>
          </w:p>
        </w:tc>
        <w:tc>
          <w:tcPr>
            <w:tcW w:w="1130" w:type="pct"/>
            <w:tcBorders>
              <w:top w:val="single" w:sz="4" w:space="0" w:color="auto"/>
              <w:left w:val="single" w:sz="4" w:space="0" w:color="auto"/>
              <w:bottom w:val="single" w:sz="4" w:space="0" w:color="auto"/>
              <w:right w:val="single" w:sz="4" w:space="0" w:color="auto"/>
            </w:tcBorders>
          </w:tcPr>
          <w:p w14:paraId="1A58BF85"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lastRenderedPageBreak/>
              <w:t>Improve my confidence by taking opportunities to speak in public. For example, speaking in staff meetings, and professional discussions.</w:t>
            </w:r>
          </w:p>
          <w:p w14:paraId="59B8083D"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t>Record myself, so I can identify areas for improvement.</w:t>
            </w:r>
          </w:p>
          <w:p w14:paraId="0420EB79" w14:textId="77777777" w:rsidR="00DE6329" w:rsidRPr="008979F7" w:rsidRDefault="00DE6329" w:rsidP="00DE6329">
            <w:pPr>
              <w:pStyle w:val="ListParagraph"/>
              <w:numPr>
                <w:ilvl w:val="0"/>
                <w:numId w:val="3"/>
              </w:numPr>
              <w:spacing w:before="80" w:after="80" w:line="300" w:lineRule="auto"/>
              <w:rPr>
                <w:rFonts w:ascii="Arial" w:hAnsi="Arial" w:cs="Arial"/>
                <w:lang w:bidi="yi-Hebr"/>
              </w:rPr>
            </w:pPr>
            <w:r w:rsidRPr="008979F7">
              <w:rPr>
                <w:rFonts w:ascii="Arial" w:hAnsi="Arial" w:cs="Arial"/>
                <w:lang w:bidi="yi-Hebr"/>
              </w:rPr>
              <w:t>Ask for constructive feedback from colleagues and professionals.</w:t>
            </w:r>
          </w:p>
        </w:tc>
        <w:tc>
          <w:tcPr>
            <w:tcW w:w="412" w:type="pct"/>
            <w:tcBorders>
              <w:top w:val="single" w:sz="4" w:space="0" w:color="auto"/>
              <w:left w:val="single" w:sz="4" w:space="0" w:color="auto"/>
              <w:bottom w:val="single" w:sz="4" w:space="0" w:color="auto"/>
              <w:right w:val="single" w:sz="4" w:space="0" w:color="auto"/>
            </w:tcBorders>
          </w:tcPr>
          <w:p w14:paraId="7DF6363A"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Gradual improvement throughout my degree course.</w:t>
            </w:r>
          </w:p>
        </w:tc>
        <w:tc>
          <w:tcPr>
            <w:tcW w:w="514" w:type="pct"/>
            <w:tcBorders>
              <w:top w:val="single" w:sz="4" w:space="0" w:color="auto"/>
              <w:left w:val="single" w:sz="4" w:space="0" w:color="auto"/>
              <w:bottom w:val="single" w:sz="4" w:space="0" w:color="auto"/>
              <w:right w:val="single" w:sz="4" w:space="0" w:color="auto"/>
            </w:tcBorders>
            <w:hideMark/>
          </w:tcPr>
          <w:p w14:paraId="698B54E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help me communicate my ideas more clearly and effectively.</w:t>
            </w:r>
          </w:p>
          <w:p w14:paraId="2144988E"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also reduce anxiety when presenting both in person and online.</w:t>
            </w:r>
          </w:p>
          <w:p w14:paraId="5F9D3E60" w14:textId="77777777" w:rsidR="00DE6329" w:rsidRPr="008979F7" w:rsidRDefault="00DE6329" w:rsidP="00760946">
            <w:pPr>
              <w:spacing w:before="80" w:after="80" w:line="300" w:lineRule="auto"/>
              <w:rPr>
                <w:rFonts w:ascii="Arial" w:hAnsi="Arial" w:cs="Arial"/>
                <w:lang w:bidi="yi-Hebr"/>
              </w:rPr>
            </w:pPr>
          </w:p>
        </w:tc>
      </w:tr>
      <w:tr w:rsidR="00DE6329" w:rsidRPr="008979F7" w14:paraId="507FE965" w14:textId="77777777" w:rsidTr="00760946">
        <w:tc>
          <w:tcPr>
            <w:tcW w:w="974" w:type="pct"/>
            <w:tcBorders>
              <w:top w:val="single" w:sz="4" w:space="0" w:color="auto"/>
              <w:left w:val="single" w:sz="4" w:space="0" w:color="auto"/>
              <w:bottom w:val="single" w:sz="4" w:space="0" w:color="auto"/>
              <w:right w:val="single" w:sz="4" w:space="0" w:color="auto"/>
            </w:tcBorders>
          </w:tcPr>
          <w:p w14:paraId="6B6CE9ED"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t>To confidently use Harvard referencing in my university assignments.</w:t>
            </w:r>
          </w:p>
          <w:p w14:paraId="4C570988" w14:textId="77777777" w:rsidR="00DE6329" w:rsidRPr="008979F7" w:rsidRDefault="00DE6329" w:rsidP="00760946">
            <w:pPr>
              <w:spacing w:before="80" w:after="80" w:line="300" w:lineRule="auto"/>
              <w:rPr>
                <w:rFonts w:ascii="Arial" w:hAnsi="Arial" w:cs="Arial"/>
                <w:b/>
                <w:lang w:bidi="yi-Hebr"/>
              </w:rPr>
            </w:pPr>
          </w:p>
          <w:p w14:paraId="4215778E" w14:textId="77777777" w:rsidR="00DE6329" w:rsidRPr="008979F7" w:rsidRDefault="00DE6329" w:rsidP="00760946">
            <w:pPr>
              <w:spacing w:before="80" w:after="80" w:line="300" w:lineRule="auto"/>
              <w:rPr>
                <w:rFonts w:ascii="Arial" w:hAnsi="Arial" w:cs="Arial"/>
                <w:b/>
                <w:lang w:bidi="yi-Hebr"/>
              </w:rPr>
            </w:pPr>
          </w:p>
          <w:p w14:paraId="4C98518F"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0A7DC606"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 xml:space="preserve">I will know that I am successful in this when I no longer need to look at my notes when filling in my reference list </w:t>
            </w:r>
            <w:r w:rsidRPr="008979F7">
              <w:rPr>
                <w:rFonts w:ascii="Arial" w:hAnsi="Arial" w:cs="Arial"/>
                <w:lang w:bidi="yi-Hebr"/>
              </w:rPr>
              <w:lastRenderedPageBreak/>
              <w:t>for an assignment.</w:t>
            </w:r>
          </w:p>
          <w:p w14:paraId="16229D50" w14:textId="77777777" w:rsidR="00DE6329" w:rsidRPr="008979F7" w:rsidRDefault="00DE6329" w:rsidP="00760946">
            <w:pPr>
              <w:spacing w:before="80" w:after="80" w:line="300" w:lineRule="auto"/>
              <w:rPr>
                <w:rFonts w:ascii="Arial" w:hAnsi="Arial" w:cs="Arial"/>
                <w:lang w:bidi="yi-Hebr"/>
              </w:rPr>
            </w:pPr>
          </w:p>
        </w:tc>
        <w:tc>
          <w:tcPr>
            <w:tcW w:w="1130" w:type="pct"/>
            <w:tcBorders>
              <w:top w:val="single" w:sz="4" w:space="0" w:color="auto"/>
              <w:left w:val="single" w:sz="4" w:space="0" w:color="auto"/>
              <w:bottom w:val="single" w:sz="4" w:space="0" w:color="auto"/>
              <w:right w:val="single" w:sz="4" w:space="0" w:color="auto"/>
            </w:tcBorders>
          </w:tcPr>
          <w:p w14:paraId="48F9C454"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lastRenderedPageBreak/>
              <w:t>Familiarise myself with the University’s Harvard reference guidelines.</w:t>
            </w:r>
          </w:p>
          <w:p w14:paraId="30EDA22F"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t>Practicing how to cite different sources.</w:t>
            </w:r>
          </w:p>
          <w:p w14:paraId="2773AC7C" w14:textId="77777777" w:rsidR="00DE6329" w:rsidRPr="008979F7" w:rsidRDefault="00DE6329" w:rsidP="00DE6329">
            <w:pPr>
              <w:pStyle w:val="ListParagraph"/>
              <w:numPr>
                <w:ilvl w:val="0"/>
                <w:numId w:val="2"/>
              </w:numPr>
              <w:spacing w:before="80" w:after="80" w:line="300" w:lineRule="auto"/>
              <w:rPr>
                <w:rFonts w:ascii="Arial" w:hAnsi="Arial" w:cs="Arial"/>
                <w:lang w:bidi="yi-Hebr"/>
              </w:rPr>
            </w:pPr>
            <w:r w:rsidRPr="008979F7">
              <w:rPr>
                <w:rFonts w:ascii="Arial" w:hAnsi="Arial" w:cs="Arial"/>
                <w:lang w:bidi="yi-Hebr"/>
              </w:rPr>
              <w:lastRenderedPageBreak/>
              <w:t>Keep notes and examples to look over.</w:t>
            </w:r>
          </w:p>
          <w:p w14:paraId="1BACC87F" w14:textId="77777777" w:rsidR="00DE6329" w:rsidRPr="008979F7" w:rsidRDefault="00DE6329" w:rsidP="00760946">
            <w:pPr>
              <w:spacing w:before="80" w:after="80" w:line="300" w:lineRule="auto"/>
              <w:rPr>
                <w:rFonts w:ascii="Arial" w:hAnsi="Arial" w:cs="Arial"/>
                <w:lang w:bidi="yi-Hebr"/>
              </w:rPr>
            </w:pPr>
          </w:p>
          <w:p w14:paraId="4E94737F" w14:textId="77777777" w:rsidR="00DE6329" w:rsidRPr="008979F7" w:rsidRDefault="00DE6329" w:rsidP="00760946">
            <w:pPr>
              <w:spacing w:before="80" w:after="80" w:line="300" w:lineRule="auto"/>
              <w:rPr>
                <w:rFonts w:ascii="Arial" w:hAnsi="Arial" w:cs="Arial"/>
                <w:lang w:bidi="yi-Hebr"/>
              </w:rPr>
            </w:pPr>
          </w:p>
        </w:tc>
        <w:tc>
          <w:tcPr>
            <w:tcW w:w="412" w:type="pct"/>
            <w:tcBorders>
              <w:top w:val="single" w:sz="4" w:space="0" w:color="auto"/>
              <w:left w:val="single" w:sz="4" w:space="0" w:color="auto"/>
              <w:bottom w:val="single" w:sz="4" w:space="0" w:color="auto"/>
              <w:right w:val="single" w:sz="4" w:space="0" w:color="auto"/>
            </w:tcBorders>
          </w:tcPr>
          <w:p w14:paraId="301FB44B"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By module 7, as this is when my assignment grades count towards my final grade.</w:t>
            </w:r>
          </w:p>
        </w:tc>
        <w:tc>
          <w:tcPr>
            <w:tcW w:w="514" w:type="pct"/>
            <w:tcBorders>
              <w:top w:val="single" w:sz="4" w:space="0" w:color="auto"/>
              <w:left w:val="single" w:sz="4" w:space="0" w:color="auto"/>
              <w:bottom w:val="single" w:sz="4" w:space="0" w:color="auto"/>
              <w:right w:val="single" w:sz="4" w:space="0" w:color="auto"/>
            </w:tcBorders>
          </w:tcPr>
          <w:p w14:paraId="4B545CF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This will help me use quotations and citations correctly. It will also save me time when completing assignments.</w:t>
            </w:r>
          </w:p>
          <w:p w14:paraId="7E7F40A6" w14:textId="77777777" w:rsidR="00DE6329" w:rsidRPr="008979F7" w:rsidRDefault="00DE6329" w:rsidP="00760946">
            <w:pPr>
              <w:spacing w:before="80" w:after="80" w:line="300" w:lineRule="auto"/>
              <w:rPr>
                <w:rFonts w:ascii="Arial" w:hAnsi="Arial" w:cs="Arial"/>
                <w:lang w:bidi="yi-Hebr"/>
              </w:rPr>
            </w:pPr>
          </w:p>
          <w:p w14:paraId="72E02719"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It will help me avoid accidental plagiarism.</w:t>
            </w:r>
          </w:p>
          <w:p w14:paraId="1C48E198"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Dachis (2010, cited by </w:t>
            </w:r>
            <w:proofErr w:type="spellStart"/>
            <w:r w:rsidRPr="008979F7">
              <w:rPr>
                <w:rFonts w:ascii="Arial" w:hAnsi="Arial" w:cs="Arial"/>
                <w:lang w:bidi="yi-Hebr"/>
              </w:rPr>
              <w:t>Nevilie</w:t>
            </w:r>
            <w:proofErr w:type="spellEnd"/>
            <w:r w:rsidRPr="008979F7">
              <w:rPr>
                <w:rFonts w:ascii="Arial" w:hAnsi="Arial" w:cs="Arial"/>
                <w:lang w:bidi="yi-Hebr"/>
              </w:rPr>
              <w:t>, 2016) remembered a professor in university advising to use others’ work as inspiration, but to never pass it off as your own.</w:t>
            </w:r>
          </w:p>
          <w:p w14:paraId="33035345" w14:textId="77777777" w:rsidR="00DE6329" w:rsidRPr="008979F7" w:rsidRDefault="00DE6329" w:rsidP="00760946">
            <w:pPr>
              <w:spacing w:before="80" w:after="80" w:line="300" w:lineRule="auto"/>
              <w:rPr>
                <w:rFonts w:ascii="Arial" w:hAnsi="Arial" w:cs="Arial"/>
                <w:lang w:bidi="yi-Hebr"/>
              </w:rPr>
            </w:pPr>
          </w:p>
          <w:p w14:paraId="219E49BF"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Demonstrate academic integrity. </w:t>
            </w:r>
            <w:proofErr w:type="spellStart"/>
            <w:r w:rsidRPr="008979F7">
              <w:rPr>
                <w:rFonts w:ascii="Arial" w:hAnsi="Arial" w:cs="Arial"/>
                <w:lang w:bidi="yi-Hebr"/>
              </w:rPr>
              <w:t>Nevilie</w:t>
            </w:r>
            <w:proofErr w:type="spellEnd"/>
            <w:r w:rsidRPr="008979F7">
              <w:rPr>
                <w:rFonts w:ascii="Arial" w:hAnsi="Arial" w:cs="Arial"/>
                <w:lang w:bidi="yi-Hebr"/>
              </w:rPr>
              <w:t xml:space="preserve"> (2016) states that by referencing the origin of ideas are able to be traced.</w:t>
            </w:r>
          </w:p>
        </w:tc>
      </w:tr>
      <w:tr w:rsidR="00DE6329" w:rsidRPr="008979F7" w14:paraId="64E1E978" w14:textId="77777777" w:rsidTr="00760946">
        <w:tc>
          <w:tcPr>
            <w:tcW w:w="974" w:type="pct"/>
            <w:tcBorders>
              <w:top w:val="single" w:sz="4" w:space="0" w:color="auto"/>
              <w:left w:val="single" w:sz="4" w:space="0" w:color="auto"/>
              <w:bottom w:val="single" w:sz="4" w:space="0" w:color="auto"/>
              <w:right w:val="single" w:sz="4" w:space="0" w:color="auto"/>
            </w:tcBorders>
          </w:tcPr>
          <w:p w14:paraId="5629ACB2"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lastRenderedPageBreak/>
              <w:t>To complete BA Hons in Early Years Education and Care</w:t>
            </w:r>
          </w:p>
          <w:p w14:paraId="17D2FCD0" w14:textId="77777777" w:rsidR="00DE6329" w:rsidRPr="008979F7" w:rsidRDefault="00DE6329" w:rsidP="00760946">
            <w:pPr>
              <w:spacing w:before="80" w:after="80" w:line="300" w:lineRule="auto"/>
              <w:rPr>
                <w:rFonts w:ascii="Arial" w:hAnsi="Arial" w:cs="Arial"/>
                <w:b/>
                <w:lang w:bidi="yi-Hebr"/>
              </w:rPr>
            </w:pPr>
          </w:p>
          <w:p w14:paraId="14396A5E" w14:textId="77777777" w:rsidR="00DE6329" w:rsidRPr="008979F7" w:rsidRDefault="00DE6329" w:rsidP="00760946">
            <w:pPr>
              <w:spacing w:before="80" w:after="80" w:line="300" w:lineRule="auto"/>
              <w:rPr>
                <w:rFonts w:ascii="Arial" w:hAnsi="Arial" w:cs="Arial"/>
                <w:b/>
                <w:lang w:bidi="yi-Hebr"/>
              </w:rPr>
            </w:pPr>
          </w:p>
          <w:p w14:paraId="79B25177"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48EC40B6"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This will have several stages. Firstly, my grades for my assignments will give me a good indication that I am on track to pass </w:t>
            </w:r>
            <w:r w:rsidRPr="008979F7">
              <w:rPr>
                <w:rFonts w:ascii="Arial" w:hAnsi="Arial" w:cs="Arial"/>
                <w:lang w:bidi="yi-Hebr"/>
              </w:rPr>
              <w:lastRenderedPageBreak/>
              <w:t>the degree, followed by my final grade from the university.</w:t>
            </w:r>
          </w:p>
        </w:tc>
        <w:tc>
          <w:tcPr>
            <w:tcW w:w="1130" w:type="pct"/>
            <w:tcBorders>
              <w:top w:val="single" w:sz="4" w:space="0" w:color="auto"/>
              <w:left w:val="single" w:sz="4" w:space="0" w:color="auto"/>
              <w:bottom w:val="single" w:sz="4" w:space="0" w:color="auto"/>
              <w:right w:val="single" w:sz="4" w:space="0" w:color="auto"/>
            </w:tcBorders>
          </w:tcPr>
          <w:p w14:paraId="2A7B50F9"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lastRenderedPageBreak/>
              <w:t>Attending university regularly</w:t>
            </w:r>
          </w:p>
          <w:p w14:paraId="57DE258A"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Staying on top of workload and deadlines.</w:t>
            </w:r>
          </w:p>
          <w:p w14:paraId="00530B1C"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Act on feedback.</w:t>
            </w:r>
          </w:p>
          <w:p w14:paraId="0CDDDAD6"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Complete assignments</w:t>
            </w:r>
          </w:p>
          <w:p w14:paraId="3620F6EC"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lastRenderedPageBreak/>
              <w:t>Monitor my progress throughout the course.</w:t>
            </w:r>
          </w:p>
          <w:p w14:paraId="29AD7FE9"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Develop effective time management.</w:t>
            </w:r>
          </w:p>
          <w:p w14:paraId="0010E371" w14:textId="77777777" w:rsidR="00DE6329" w:rsidRPr="008979F7" w:rsidRDefault="00DE6329" w:rsidP="00760946">
            <w:pPr>
              <w:pStyle w:val="ListParagraph"/>
              <w:spacing w:before="80" w:after="80" w:line="300" w:lineRule="auto"/>
              <w:rPr>
                <w:rFonts w:ascii="Arial" w:hAnsi="Arial" w:cs="Arial"/>
                <w:lang w:bidi="yi-Hebr"/>
              </w:rPr>
            </w:pPr>
          </w:p>
          <w:p w14:paraId="22F218B4" w14:textId="77777777" w:rsidR="00DE6329" w:rsidRPr="008979F7" w:rsidRDefault="00DE6329" w:rsidP="00760946">
            <w:pPr>
              <w:pStyle w:val="ListParagraph"/>
              <w:spacing w:before="80" w:after="80" w:line="300" w:lineRule="auto"/>
              <w:rPr>
                <w:rFonts w:ascii="Arial" w:hAnsi="Arial" w:cs="Arial"/>
                <w:lang w:bidi="yi-Hebr"/>
              </w:rPr>
            </w:pPr>
            <w:r w:rsidRPr="008979F7">
              <w:rPr>
                <w:rFonts w:ascii="Arial" w:hAnsi="Arial" w:cs="Arial"/>
                <w:lang w:bidi="yi-Hebr"/>
              </w:rPr>
              <w:t>Co</w:t>
            </w:r>
            <w:r>
              <w:rPr>
                <w:rFonts w:ascii="Arial" w:hAnsi="Arial" w:cs="Arial"/>
                <w:lang w:bidi="yi-Hebr"/>
              </w:rPr>
              <w:t>t</w:t>
            </w:r>
            <w:r w:rsidRPr="008979F7">
              <w:rPr>
                <w:rFonts w:ascii="Arial" w:hAnsi="Arial" w:cs="Arial"/>
                <w:lang w:bidi="yi-Hebr"/>
              </w:rPr>
              <w:t>trell, (2024) recommends effective time management. They say personalizing your own learning is the key to doing this. Balancing, study, work and life.</w:t>
            </w:r>
          </w:p>
        </w:tc>
        <w:tc>
          <w:tcPr>
            <w:tcW w:w="412" w:type="pct"/>
            <w:tcBorders>
              <w:top w:val="single" w:sz="4" w:space="0" w:color="auto"/>
              <w:left w:val="single" w:sz="4" w:space="0" w:color="auto"/>
              <w:bottom w:val="single" w:sz="4" w:space="0" w:color="auto"/>
              <w:right w:val="single" w:sz="4" w:space="0" w:color="auto"/>
            </w:tcBorders>
          </w:tcPr>
          <w:p w14:paraId="3CAA8324"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lastRenderedPageBreak/>
              <w:t>Summer 2028</w:t>
            </w:r>
          </w:p>
        </w:tc>
        <w:tc>
          <w:tcPr>
            <w:tcW w:w="514" w:type="pct"/>
            <w:tcBorders>
              <w:top w:val="single" w:sz="4" w:space="0" w:color="auto"/>
              <w:left w:val="single" w:sz="4" w:space="0" w:color="auto"/>
              <w:bottom w:val="single" w:sz="4" w:space="0" w:color="auto"/>
              <w:right w:val="single" w:sz="4" w:space="0" w:color="auto"/>
            </w:tcBorders>
          </w:tcPr>
          <w:p w14:paraId="7475C3B5"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 xml:space="preserve">I hope that upon successfully completing the degree, I am able to apply and be accepted for the PGCE course, so that I can become a </w:t>
            </w:r>
            <w:r w:rsidRPr="008979F7">
              <w:rPr>
                <w:rFonts w:ascii="Arial" w:hAnsi="Arial" w:cs="Arial"/>
                <w:lang w:bidi="yi-Hebr"/>
              </w:rPr>
              <w:lastRenderedPageBreak/>
              <w:t>fully qualified teacher.</w:t>
            </w:r>
          </w:p>
        </w:tc>
      </w:tr>
      <w:tr w:rsidR="00DE6329" w:rsidRPr="008979F7" w14:paraId="2AD7E8B0" w14:textId="77777777" w:rsidTr="00760946">
        <w:tc>
          <w:tcPr>
            <w:tcW w:w="974" w:type="pct"/>
            <w:tcBorders>
              <w:top w:val="single" w:sz="4" w:space="0" w:color="auto"/>
              <w:left w:val="single" w:sz="4" w:space="0" w:color="auto"/>
              <w:bottom w:val="single" w:sz="4" w:space="0" w:color="auto"/>
              <w:right w:val="single" w:sz="4" w:space="0" w:color="auto"/>
            </w:tcBorders>
          </w:tcPr>
          <w:p w14:paraId="49C67E07" w14:textId="77777777" w:rsidR="00DE6329" w:rsidRPr="008979F7" w:rsidRDefault="00DE6329" w:rsidP="00760946">
            <w:pPr>
              <w:spacing w:before="80" w:after="80" w:line="300" w:lineRule="auto"/>
              <w:rPr>
                <w:rFonts w:ascii="Arial" w:hAnsi="Arial" w:cs="Arial"/>
                <w:b/>
                <w:lang w:bidi="yi-Hebr"/>
              </w:rPr>
            </w:pPr>
            <w:r w:rsidRPr="008979F7">
              <w:rPr>
                <w:rFonts w:ascii="Arial" w:hAnsi="Arial" w:cs="Arial"/>
                <w:b/>
                <w:lang w:bidi="yi-Hebr"/>
              </w:rPr>
              <w:lastRenderedPageBreak/>
              <w:t>To improve my academic writing.</w:t>
            </w:r>
          </w:p>
          <w:p w14:paraId="5EDDBFC9" w14:textId="77777777" w:rsidR="00DE6329" w:rsidRPr="008979F7" w:rsidRDefault="00DE6329" w:rsidP="00760946">
            <w:pPr>
              <w:spacing w:before="80" w:after="80" w:line="300" w:lineRule="auto"/>
              <w:rPr>
                <w:rFonts w:ascii="Arial" w:hAnsi="Arial" w:cs="Arial"/>
                <w:b/>
                <w:lang w:bidi="yi-Hebr"/>
              </w:rPr>
            </w:pPr>
          </w:p>
          <w:p w14:paraId="7C137BC6" w14:textId="77777777" w:rsidR="00DE6329" w:rsidRPr="008979F7" w:rsidRDefault="00DE6329" w:rsidP="00760946">
            <w:pPr>
              <w:spacing w:before="80" w:after="80" w:line="300" w:lineRule="auto"/>
              <w:rPr>
                <w:rFonts w:ascii="Arial" w:hAnsi="Arial" w:cs="Arial"/>
                <w:b/>
                <w:lang w:bidi="yi-Hebr"/>
              </w:rPr>
            </w:pPr>
          </w:p>
          <w:p w14:paraId="12806181" w14:textId="77777777" w:rsidR="00DE6329" w:rsidRPr="008979F7" w:rsidRDefault="00DE6329" w:rsidP="00760946">
            <w:pPr>
              <w:spacing w:before="80" w:after="80" w:line="300" w:lineRule="auto"/>
              <w:rPr>
                <w:rFonts w:ascii="Arial" w:hAnsi="Arial" w:cs="Arial"/>
                <w:b/>
                <w:lang w:bidi="yi-Hebr"/>
              </w:rPr>
            </w:pPr>
          </w:p>
        </w:tc>
        <w:tc>
          <w:tcPr>
            <w:tcW w:w="959" w:type="pct"/>
            <w:tcBorders>
              <w:top w:val="single" w:sz="4" w:space="0" w:color="auto"/>
              <w:left w:val="single" w:sz="4" w:space="0" w:color="auto"/>
              <w:bottom w:val="single" w:sz="4" w:space="0" w:color="auto"/>
              <w:right w:val="single" w:sz="4" w:space="0" w:color="auto"/>
            </w:tcBorders>
          </w:tcPr>
          <w:p w14:paraId="62294E07"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 will know that I am achieving this goal by improved tutor feedback and higher assignment grades.</w:t>
            </w:r>
          </w:p>
          <w:p w14:paraId="65A35D46" w14:textId="77777777" w:rsidR="00DE6329" w:rsidRPr="008979F7" w:rsidRDefault="00DE6329" w:rsidP="00760946">
            <w:pPr>
              <w:spacing w:before="80" w:after="80" w:line="300" w:lineRule="auto"/>
              <w:rPr>
                <w:rFonts w:ascii="Arial" w:hAnsi="Arial" w:cs="Arial"/>
                <w:lang w:bidi="yi-Hebr"/>
              </w:rPr>
            </w:pPr>
          </w:p>
        </w:tc>
        <w:tc>
          <w:tcPr>
            <w:tcW w:w="1130" w:type="pct"/>
            <w:tcBorders>
              <w:top w:val="single" w:sz="4" w:space="0" w:color="auto"/>
              <w:left w:val="single" w:sz="4" w:space="0" w:color="auto"/>
              <w:bottom w:val="single" w:sz="4" w:space="0" w:color="auto"/>
              <w:right w:val="single" w:sz="4" w:space="0" w:color="auto"/>
            </w:tcBorders>
          </w:tcPr>
          <w:p w14:paraId="473E3480"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Completing assignments</w:t>
            </w:r>
          </w:p>
          <w:p w14:paraId="3870E5D2"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Use tutor feedback to identify areas of improvement.</w:t>
            </w:r>
          </w:p>
          <w:p w14:paraId="5E2D8287" w14:textId="77777777" w:rsidR="00DE6329" w:rsidRPr="008979F7" w:rsidRDefault="00DE6329" w:rsidP="00DE6329">
            <w:pPr>
              <w:pStyle w:val="ListParagraph"/>
              <w:numPr>
                <w:ilvl w:val="0"/>
                <w:numId w:val="1"/>
              </w:numPr>
              <w:spacing w:before="80" w:after="80" w:line="300" w:lineRule="auto"/>
              <w:rPr>
                <w:rFonts w:ascii="Arial" w:hAnsi="Arial" w:cs="Arial"/>
                <w:lang w:bidi="yi-Hebr"/>
              </w:rPr>
            </w:pPr>
            <w:r w:rsidRPr="008979F7">
              <w:rPr>
                <w:rFonts w:ascii="Arial" w:hAnsi="Arial" w:cs="Arial"/>
                <w:lang w:bidi="yi-Hebr"/>
              </w:rPr>
              <w:t>Reading examples of academic writing.</w:t>
            </w:r>
          </w:p>
        </w:tc>
        <w:tc>
          <w:tcPr>
            <w:tcW w:w="412" w:type="pct"/>
            <w:tcBorders>
              <w:top w:val="single" w:sz="4" w:space="0" w:color="auto"/>
              <w:left w:val="single" w:sz="4" w:space="0" w:color="auto"/>
              <w:bottom w:val="single" w:sz="4" w:space="0" w:color="auto"/>
              <w:right w:val="single" w:sz="4" w:space="0" w:color="auto"/>
            </w:tcBorders>
          </w:tcPr>
          <w:p w14:paraId="12F55BB3"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By module 7, as this is when my assignment grades start to count towards my final degree.</w:t>
            </w:r>
          </w:p>
        </w:tc>
        <w:tc>
          <w:tcPr>
            <w:tcW w:w="514" w:type="pct"/>
            <w:tcBorders>
              <w:top w:val="single" w:sz="4" w:space="0" w:color="auto"/>
              <w:left w:val="single" w:sz="4" w:space="0" w:color="auto"/>
              <w:bottom w:val="single" w:sz="4" w:space="0" w:color="auto"/>
              <w:right w:val="single" w:sz="4" w:space="0" w:color="auto"/>
            </w:tcBorders>
          </w:tcPr>
          <w:p w14:paraId="69CB8FA8"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It will improve the quality of my assignments.</w:t>
            </w:r>
          </w:p>
          <w:p w14:paraId="4153119F" w14:textId="77777777" w:rsidR="00DE6329" w:rsidRPr="008979F7" w:rsidRDefault="00DE6329" w:rsidP="00760946">
            <w:pPr>
              <w:spacing w:before="80" w:after="80" w:line="300" w:lineRule="auto"/>
              <w:rPr>
                <w:rFonts w:ascii="Arial" w:hAnsi="Arial" w:cs="Arial"/>
                <w:lang w:bidi="yi-Hebr"/>
              </w:rPr>
            </w:pPr>
            <w:r w:rsidRPr="008979F7">
              <w:rPr>
                <w:rFonts w:ascii="Arial" w:hAnsi="Arial" w:cs="Arial"/>
                <w:lang w:bidi="yi-Hebr"/>
              </w:rPr>
              <w:t>Harris (2017) says the process of writing   promotes deeper understanding, enabling the person to clarify their ideas more effectively.</w:t>
            </w:r>
          </w:p>
        </w:tc>
      </w:tr>
    </w:tbl>
    <w:p w14:paraId="0271B31E" w14:textId="77777777" w:rsidR="00DE6329" w:rsidRDefault="00DE6329" w:rsidP="00DE6329"/>
    <w:p w14:paraId="352A646E" w14:textId="365BAFB8" w:rsidR="00DE6329" w:rsidRDefault="00DE6329" w:rsidP="00DE6329">
      <w:r>
        <w:t>2</w:t>
      </w:r>
    </w:p>
    <w:p w14:paraId="787FCA51" w14:textId="156DED04" w:rsidR="00DE6329" w:rsidRDefault="00DE6329" w:rsidP="00DE6329">
      <w:r>
        <w:t>What is reflection?</w:t>
      </w:r>
    </w:p>
    <w:p w14:paraId="5981755E" w14:textId="77777777" w:rsidR="00DE6329" w:rsidRDefault="00DE6329" w:rsidP="00DE6329">
      <w:r>
        <w:t>There is no clear definition of reflection. The Open University (2026) suggests that reflection is thinking with a clear purpose, evaluating our experiences and taking a critical approach.</w:t>
      </w:r>
    </w:p>
    <w:p w14:paraId="56807F5F" w14:textId="77777777" w:rsidR="00DE6329" w:rsidRDefault="00DE6329" w:rsidP="00DE6329">
      <w:r>
        <w:t>Reflective practice can be described in several ways with many theorists having their own thoughts on it.</w:t>
      </w:r>
    </w:p>
    <w:p w14:paraId="1AA352C1" w14:textId="77777777" w:rsidR="00DE6329" w:rsidRDefault="00DE6329" w:rsidP="00DE6329">
      <w:r>
        <w:t>Essentially, reflective practice is looking back at something to learn and grow.</w:t>
      </w:r>
    </w:p>
    <w:p w14:paraId="06AA7788" w14:textId="77777777" w:rsidR="00DE6329" w:rsidRDefault="00DE6329" w:rsidP="00DE6329">
      <w:r>
        <w:t xml:space="preserve">The concept of reflection was first introduced by Dewey, (1910). He said that reflective practice is </w:t>
      </w:r>
      <w:r w:rsidRPr="008A73E2">
        <w:t>‘the active, persistent and careful consideration of any belief or supposed form of knowledge in the light of the grounds that support it’. </w:t>
      </w:r>
      <w:r>
        <w:t xml:space="preserve"> In simple terms, it means to think carefully about our experiences and knowledge and consider why we think that they are correct.</w:t>
      </w:r>
    </w:p>
    <w:p w14:paraId="54B83F79" w14:textId="77777777" w:rsidR="00DE6329" w:rsidRDefault="00DE6329" w:rsidP="00DE6329">
      <w:r>
        <w:t>Since John Dewey created his reflective process, many other theorists have developed their own models.</w:t>
      </w:r>
    </w:p>
    <w:p w14:paraId="3B67DF19" w14:textId="77777777" w:rsidR="00DE6329" w:rsidRDefault="00DE6329" w:rsidP="00DE6329"/>
    <w:p w14:paraId="1AE68944" w14:textId="77777777" w:rsidR="00DE6329" w:rsidRDefault="00DE6329" w:rsidP="00DE6329">
      <w:r w:rsidRPr="007F654F">
        <w:t>Why do we reflect?</w:t>
      </w:r>
    </w:p>
    <w:p w14:paraId="192CBE9C" w14:textId="77777777" w:rsidR="00DE6329" w:rsidRDefault="00DE6329" w:rsidP="00DE6329">
      <w:r>
        <w:t>The University of Hull, (2026) states that reflection helps to develop self-awareness by developing a deeper understanding, while identifying strengths and areas for improvement. It helps individuals monitor progress and evaluate performance.</w:t>
      </w:r>
    </w:p>
    <w:p w14:paraId="64993665" w14:textId="77777777" w:rsidR="00DE6329" w:rsidRDefault="00DE6329" w:rsidP="00DE6329"/>
    <w:p w14:paraId="64C8A4B8" w14:textId="77777777" w:rsidR="00DE6329" w:rsidRDefault="00DE6329" w:rsidP="00DE6329"/>
    <w:p w14:paraId="0064137E" w14:textId="77777777" w:rsidR="00DE6329" w:rsidRDefault="00DE6329" w:rsidP="00DE6329">
      <w:r>
        <w:t>The importance of reflection in Early Years</w:t>
      </w:r>
    </w:p>
    <w:p w14:paraId="1A4C8ACA" w14:textId="77777777" w:rsidR="00DE6329" w:rsidRDefault="00DE6329" w:rsidP="00DE6329">
      <w:r>
        <w:t>Reflection is important in Early Years because it allows practitioners to improve their practice and this has a big impact on their interactions with children. The EWC (no date) says it allows practitioners to develop self-awareness, while supporting children’s development. It also promotes professional development and encourages continuous learning. This is backed up by the Education Endowment Foundation (2023) whose professional Development Conversational Cycle starts with reflection.</w:t>
      </w:r>
    </w:p>
    <w:p w14:paraId="05751BD7" w14:textId="77777777" w:rsidR="00DE6329" w:rsidRDefault="00DE6329" w:rsidP="00DE6329">
      <w:r>
        <w:t>Connect Childcare (2024) expresses that ‘r</w:t>
      </w:r>
      <w:r w:rsidRPr="00CC2EC2">
        <w:t>eflective practice is the foundation of quality early years education</w:t>
      </w:r>
      <w:r>
        <w:t xml:space="preserve">’. They continue to say that </w:t>
      </w:r>
      <w:r w:rsidRPr="00CC2EC2">
        <w:t>by taking time to reflect on our practice, we can build on effective approaches, identify areas for improvement, and ultimately support the best possible outcomes for every child.</w:t>
      </w:r>
    </w:p>
    <w:p w14:paraId="78B9A847" w14:textId="77777777" w:rsidR="00DE6329" w:rsidRDefault="00DE6329" w:rsidP="00DE6329"/>
    <w:p w14:paraId="05799F64" w14:textId="77777777" w:rsidR="00DE6329" w:rsidRDefault="00DE6329" w:rsidP="00DE6329">
      <w:r>
        <w:t>Kolb’s Cycle of Reflective Practice (1984) is a 4-stage cycle that was created to aid individuals with learning from their experiences.</w:t>
      </w:r>
    </w:p>
    <w:p w14:paraId="25E48517" w14:textId="77777777" w:rsidR="00DE6329" w:rsidRPr="00964DF4" w:rsidRDefault="00DE6329" w:rsidP="00DE6329">
      <w:r w:rsidRPr="00964DF4">
        <w:t>Kolb (1984, as cited by The University of Hull, 2026) identifies four stages: Concrete Experience, Reflective Observation, Abstract Conceptualisation and Active Experimentation. Together, these stages allow individuals to learn from experiences and apply this learning to future practice.</w:t>
      </w:r>
    </w:p>
    <w:p w14:paraId="4AD27AF4" w14:textId="77777777" w:rsidR="00DE6329" w:rsidRDefault="00DE6329" w:rsidP="00DE6329">
      <w:r>
        <w:t>The individual will need to analyse what they’ve learned to make plans and move forward. A SMART plan will help here to ensure any goals they make are Specific, measurable, achievable, relevant and time-bound.</w:t>
      </w:r>
    </w:p>
    <w:p w14:paraId="07C3B3F1" w14:textId="77777777" w:rsidR="00DE6329" w:rsidRPr="007F654F" w:rsidRDefault="00DE6329" w:rsidP="00DE6329"/>
    <w:p w14:paraId="79DADB18" w14:textId="77777777" w:rsidR="00DE6329" w:rsidRDefault="00DE6329" w:rsidP="00DE6329">
      <w:r>
        <w:t>Gibbs tried to follow on and expand on Kolb’s model with his framework, Gibbs’ Reflective Cycle (1988) gives a framework to look at experiences. The University of Edinburgh (2024) details the 6-stage cycle as covering description, feelings, evaluation, analysis, conclusion and action plan.</w:t>
      </w:r>
    </w:p>
    <w:p w14:paraId="5C1430E9" w14:textId="77777777" w:rsidR="00DE6329" w:rsidRDefault="00DE6329" w:rsidP="00DE6329">
      <w:r>
        <w:t>As it is a cycle it works well with repeated processes, which allows the individual to understand what went well and areas in need of improvement. The University of Edinburgh goes on to say that at each stage the practitioner should be questioning themselves to be completely reflective.</w:t>
      </w:r>
    </w:p>
    <w:p w14:paraId="0DA54AF7" w14:textId="77777777" w:rsidR="00DE6329" w:rsidRDefault="00DE6329" w:rsidP="00DE6329">
      <w:r>
        <w:t xml:space="preserve">Hayes </w:t>
      </w:r>
      <w:r w:rsidRPr="00D27D6A">
        <w:rPr>
          <w:i/>
          <w:iCs/>
        </w:rPr>
        <w:t>et al</w:t>
      </w:r>
      <w:r>
        <w:t>. (2017) explains that Gibbs attempted to bring in a human nature element into his model, however it was difficult to replicate or understand this variable. They continue to explain that the simplicity of this model compared with a more complex subject resulted in difficulties in the reflective process due to focusing on practical experiences rather than multilayered and different levels of reflection.</w:t>
      </w:r>
    </w:p>
    <w:p w14:paraId="1939A3EC" w14:textId="77777777" w:rsidR="00DE6329" w:rsidRDefault="00DE6329" w:rsidP="00DE6329"/>
    <w:p w14:paraId="5352656E" w14:textId="77777777" w:rsidR="00DE6329" w:rsidRDefault="00DE6329" w:rsidP="00DE6329">
      <w:r>
        <w:t xml:space="preserve">Hayes </w:t>
      </w:r>
      <w:r w:rsidRPr="00162000">
        <w:rPr>
          <w:i/>
          <w:iCs/>
        </w:rPr>
        <w:t>et al</w:t>
      </w:r>
      <w:r>
        <w:rPr>
          <w:i/>
          <w:iCs/>
        </w:rPr>
        <w:t>.</w:t>
      </w:r>
      <w:r>
        <w:t xml:space="preserve"> (2017) states that Schön (1983) built upon Dewey’s theory. He observed a confusion between theory and practice. He highlighted the importance of practitioners being able to apply their knowledge. He believed that professionals should be given more independence due to their specialist contribution to society. </w:t>
      </w:r>
    </w:p>
    <w:p w14:paraId="1B0A1EDB" w14:textId="77777777" w:rsidR="00DE6329" w:rsidRDefault="00DE6329" w:rsidP="00DE6329">
      <w:r>
        <w:t>Building on this, Schön (1991) is responsible for the reflection in action and reflection on action. The University of Hull (2026) highlights that in careers such as teaching this model is particularly useful as it helps practitioners be spontaneous when faced with something that is not going to plan. It allows practitioners to be able to improvise and adapt their practice in the moment and reflect afterwards, therefore supporting their professional development.</w:t>
      </w:r>
    </w:p>
    <w:p w14:paraId="6E4E6EA1" w14:textId="77777777" w:rsidR="00DE6329" w:rsidRDefault="00DE6329" w:rsidP="00DE6329">
      <w:r>
        <w:lastRenderedPageBreak/>
        <w:t>Early Childhood Ireland (2021) states that reflection in action happens all the time when you work with children, answering and responding spontaneously to children’s questions or experiences. Reflection on action usually happens during the planning process. It allows practitioners to consider more intentionally so we can challenge our professional practice.</w:t>
      </w:r>
    </w:p>
    <w:p w14:paraId="51F703BC" w14:textId="77777777" w:rsidR="00DE6329" w:rsidRDefault="00DE6329" w:rsidP="00DE6329">
      <w:pPr>
        <w:tabs>
          <w:tab w:val="left" w:pos="1977"/>
        </w:tabs>
      </w:pPr>
      <w:r>
        <w:tab/>
      </w:r>
    </w:p>
    <w:p w14:paraId="0C5716D8" w14:textId="77777777" w:rsidR="00DE6329" w:rsidRDefault="00DE6329" w:rsidP="00DE6329">
      <w:pPr>
        <w:tabs>
          <w:tab w:val="left" w:pos="1977"/>
        </w:tabs>
      </w:pPr>
      <w:r>
        <w:t>Links to practice</w:t>
      </w:r>
    </w:p>
    <w:p w14:paraId="04142441" w14:textId="77777777" w:rsidR="00DE6329" w:rsidRDefault="00DE6329" w:rsidP="00DE6329">
      <w:pPr>
        <w:tabs>
          <w:tab w:val="left" w:pos="1977"/>
        </w:tabs>
      </w:pPr>
    </w:p>
    <w:p w14:paraId="13BF858B" w14:textId="77777777" w:rsidR="00DE6329" w:rsidRDefault="00DE6329" w:rsidP="00DE6329">
      <w:pPr>
        <w:tabs>
          <w:tab w:val="left" w:pos="1977"/>
        </w:tabs>
      </w:pPr>
      <w:r>
        <w:t xml:space="preserve">Although Schön, Kolb and Gibbs all approach reflection in different ways, they all have their place in Early Years settings. </w:t>
      </w:r>
    </w:p>
    <w:p w14:paraId="3572D441" w14:textId="77777777" w:rsidR="00DE6329" w:rsidRDefault="00DE6329" w:rsidP="00DE6329">
      <w:pPr>
        <w:tabs>
          <w:tab w:val="left" w:pos="1977"/>
        </w:tabs>
      </w:pPr>
      <w:r>
        <w:t xml:space="preserve">Schön allows the practitioner to reflect in the moment and adapt. Hallet (2013) says this is particularly important in Early Years settings as when a practitioner reflects after the moment, it takes the reflection to a higher level and therefore elevates their professional development and practice. </w:t>
      </w:r>
    </w:p>
    <w:p w14:paraId="11458248" w14:textId="77777777" w:rsidR="00DE6329" w:rsidRDefault="00DE6329" w:rsidP="00DE6329">
      <w:pPr>
        <w:tabs>
          <w:tab w:val="left" w:pos="1977"/>
        </w:tabs>
      </w:pPr>
      <w:r>
        <w:t xml:space="preserve">Applying Kolb’s theory to real-life situations allows practitioners to apply theoretical knowledge. They can use their understanding of a child to support their development tailored to their individual needs. The practitioner can then reflect on their practice based on the child’s responses. This can inform future planning. </w:t>
      </w:r>
      <w:r w:rsidRPr="003C2F8A">
        <w:t>Therefore, linking theory with practice enables early years educators to continually develop their skills, knowledge and professional practice, leading to more positive outcomes for children</w:t>
      </w:r>
      <w:r>
        <w:t>. (Kolb, 2025)</w:t>
      </w:r>
    </w:p>
    <w:p w14:paraId="32A3AE44" w14:textId="77777777" w:rsidR="00DE6329" w:rsidRDefault="00DE6329" w:rsidP="00DE6329">
      <w:pPr>
        <w:tabs>
          <w:tab w:val="left" w:pos="1977"/>
        </w:tabs>
      </w:pPr>
      <w:r>
        <w:t>Following an activity, practitioners can link Gibbs’ reflective cycle to evaluate their experience in a structured way. The practitioner asks themselves questions to find out what went well and what didn’t, allowing the educator to adapt and plan for the next activity. Gibbs may be more effective for the Early Years practitioner than Schön and Kolb as it provides a clear structure to identify areas for improvement to plan for future practice.</w:t>
      </w:r>
    </w:p>
    <w:p w14:paraId="4C6143B0" w14:textId="77777777" w:rsidR="00DE6329" w:rsidRDefault="00DE6329" w:rsidP="00DE6329">
      <w:pPr>
        <w:tabs>
          <w:tab w:val="left" w:pos="1977"/>
        </w:tabs>
      </w:pPr>
      <w:r>
        <w:t>The Welsh Government (2023, as cited by The Open University, 2026) agreed by saying “u</w:t>
      </w:r>
      <w:r w:rsidRPr="00701C7A">
        <w:t>sing a combination of reflections on the experiences we provide alongside reflections on our practice as a whole will help to ensure that the babies and toddlers we work with are receiving the highest quality care and education.</w:t>
      </w:r>
      <w:r>
        <w:t>”</w:t>
      </w:r>
    </w:p>
    <w:p w14:paraId="4A6EA0BC" w14:textId="77777777" w:rsidR="00DE6329" w:rsidRDefault="00DE6329" w:rsidP="00DE6329"/>
    <w:p w14:paraId="1119386C" w14:textId="77777777" w:rsidR="00DE6329" w:rsidRDefault="00DE6329" w:rsidP="00DE6329">
      <w:r>
        <w:t>Summary</w:t>
      </w:r>
    </w:p>
    <w:p w14:paraId="0F963ED6" w14:textId="77777777" w:rsidR="00DE6329" w:rsidRDefault="00DE6329" w:rsidP="00DE6329">
      <w:r>
        <w:t xml:space="preserve">The three models could be used together for a more well-rounded and thorough approach. Sow, Rasiah and Er (2024) suggest that they can complement each other and work well. The reflective processes together provide a balance between a deep </w:t>
      </w:r>
      <w:r>
        <w:lastRenderedPageBreak/>
        <w:t>reflection and simplicity. However, with the caveat that more research needs to be done on the process to assess the effectiveness and limitations.</w:t>
      </w:r>
    </w:p>
    <w:p w14:paraId="11F542AE" w14:textId="77777777" w:rsidR="00DE6329" w:rsidRDefault="00DE6329" w:rsidP="00DE6329">
      <w:r>
        <w:t>The models provide educators with structured frameworks for reflective practice which enable them to critically evaluate their experiences. This allows them to understand and develop on a deeper level. (Orsini, Soto-Faundez, Taha, 2026)</w:t>
      </w:r>
    </w:p>
    <w:p w14:paraId="00DAF15B" w14:textId="090BC3C3" w:rsidR="00DE6329" w:rsidRDefault="00DE6329" w:rsidP="00DE6329">
      <w:pPr>
        <w:spacing w:after="170" w:line="360" w:lineRule="auto"/>
        <w:rPr>
          <w:rFonts w:ascii="Arial" w:hAnsi="Arial" w:cs="Arial"/>
          <w:bCs/>
        </w:rPr>
      </w:pPr>
      <w:r>
        <w:t>The models support practitioners to continually evaluate their practice, improving it and therefore leading to a more positive learning environment</w:t>
      </w:r>
    </w:p>
    <w:p w14:paraId="30C5C123" w14:textId="77777777" w:rsidR="00DE6329" w:rsidRDefault="00DE6329" w:rsidP="00DE6329">
      <w:pPr>
        <w:spacing w:after="170" w:line="360" w:lineRule="auto"/>
        <w:rPr>
          <w:rFonts w:ascii="Arial" w:hAnsi="Arial" w:cs="Arial"/>
          <w:bCs/>
        </w:rPr>
      </w:pPr>
    </w:p>
    <w:p w14:paraId="69290437" w14:textId="77777777" w:rsidR="00DE6329" w:rsidRDefault="00DE6329" w:rsidP="00DE6329">
      <w:pPr>
        <w:spacing w:after="170" w:line="360" w:lineRule="auto"/>
        <w:rPr>
          <w:rFonts w:ascii="Arial" w:hAnsi="Arial" w:cs="Arial"/>
          <w:bCs/>
        </w:rPr>
      </w:pPr>
    </w:p>
    <w:p w14:paraId="61B2D5CE" w14:textId="24C1352D" w:rsidR="00DE6329" w:rsidRDefault="00DE6329" w:rsidP="00DE6329">
      <w:pPr>
        <w:spacing w:after="170" w:line="360" w:lineRule="auto"/>
        <w:rPr>
          <w:rFonts w:ascii="Arial" w:hAnsi="Arial" w:cs="Arial"/>
          <w:bCs/>
        </w:rPr>
      </w:pPr>
      <w:r>
        <w:rPr>
          <w:rFonts w:ascii="Arial" w:hAnsi="Arial" w:cs="Arial"/>
          <w:bCs/>
        </w:rPr>
        <w:t>3</w:t>
      </w:r>
    </w:p>
    <w:p w14:paraId="3EE52A25" w14:textId="77777777" w:rsidR="003179B1" w:rsidRDefault="003179B1" w:rsidP="003179B1">
      <w:pPr>
        <w:spacing w:after="170" w:line="360" w:lineRule="auto"/>
        <w:rPr>
          <w:rFonts w:ascii="Arial" w:hAnsi="Arial" w:cs="Arial"/>
          <w:bCs/>
        </w:rPr>
      </w:pPr>
      <w:r w:rsidRPr="00023DE3">
        <w:rPr>
          <w:rFonts w:ascii="Arial" w:hAnsi="Arial" w:cs="Arial"/>
          <w:bCs/>
        </w:rPr>
        <w:t xml:space="preserve">A professional </w:t>
      </w:r>
      <w:r>
        <w:rPr>
          <w:rFonts w:ascii="Arial" w:hAnsi="Arial" w:cs="Arial"/>
          <w:bCs/>
        </w:rPr>
        <w:t>as explained by Brookes (2010, cited in Farrelly, 2010) is generally attributed to the subject knowledge, expertise, qualifications and experience held by an individual. These attributes lead to high standards of practice which are gained by the continuous lifelong learning that the individual has undertaken. This knowledge is then disseminated to staff through leadership.</w:t>
      </w:r>
    </w:p>
    <w:p w14:paraId="788E93A5" w14:textId="77777777" w:rsidR="003179B1" w:rsidRDefault="003179B1" w:rsidP="003179B1">
      <w:pPr>
        <w:spacing w:after="170" w:line="360" w:lineRule="auto"/>
        <w:rPr>
          <w:rFonts w:ascii="Arial" w:hAnsi="Arial" w:cs="Arial"/>
          <w:bCs/>
        </w:rPr>
      </w:pPr>
      <w:r>
        <w:rPr>
          <w:rFonts w:ascii="Arial" w:hAnsi="Arial" w:cs="Arial"/>
          <w:bCs/>
        </w:rPr>
        <w:t>Professional Practice involves the qualities and values that an individual possesses that enable them to be successful, such as the ethical principles, accepted behaviours, and standards that guide them in the field. (Study Smart, 2024)</w:t>
      </w:r>
    </w:p>
    <w:p w14:paraId="10C328B7" w14:textId="77777777" w:rsidR="003179B1" w:rsidRDefault="003179B1" w:rsidP="003179B1">
      <w:pPr>
        <w:spacing w:after="170" w:line="360" w:lineRule="auto"/>
        <w:rPr>
          <w:rFonts w:ascii="Arial" w:hAnsi="Arial" w:cs="Arial"/>
          <w:bCs/>
        </w:rPr>
      </w:pPr>
      <w:r>
        <w:rPr>
          <w:rFonts w:ascii="Arial" w:hAnsi="Arial" w:cs="Arial"/>
          <w:bCs/>
        </w:rPr>
        <w:t>Bluefield University (2021) suggests that some of the qualities that early childhood educators should possess are patience, care, compassion and empathy.  Little Seeds Preschool (2024) agrees and emphasises that these qualities are invaluable in an Early Years setting. They believe that creating a caring environment encourages a safe and supportive space for children to be able to develop as individuals that are confident and secure. In this environment they can learn more effectively, developing cognitive skills and a positive attitude towards learning. These all impact on the well-being of young children.</w:t>
      </w:r>
    </w:p>
    <w:p w14:paraId="29FDAD0E" w14:textId="77777777" w:rsidR="003179B1" w:rsidRDefault="003179B1" w:rsidP="003179B1">
      <w:pPr>
        <w:spacing w:after="170" w:line="360" w:lineRule="auto"/>
        <w:rPr>
          <w:rFonts w:ascii="Arial" w:hAnsi="Arial" w:cs="Arial"/>
          <w:bCs/>
        </w:rPr>
      </w:pPr>
      <w:r>
        <w:rPr>
          <w:rFonts w:ascii="Arial" w:hAnsi="Arial" w:cs="Arial"/>
          <w:bCs/>
        </w:rPr>
        <w:t xml:space="preserve">Other qualities that Bluefield University (2021) state are important in Early Years settings are a passion for teaching and a genuine interest in supporting the development of young children. Without these, practitioners are unable to foster stable learning environments for children to thrive. </w:t>
      </w:r>
    </w:p>
    <w:p w14:paraId="03E4AAE3" w14:textId="77777777" w:rsidR="003179B1" w:rsidRDefault="003179B1" w:rsidP="003179B1">
      <w:pPr>
        <w:spacing w:after="170" w:line="360" w:lineRule="auto"/>
        <w:rPr>
          <w:rFonts w:ascii="Arial" w:hAnsi="Arial" w:cs="Arial"/>
          <w:bCs/>
        </w:rPr>
      </w:pPr>
      <w:r>
        <w:rPr>
          <w:rFonts w:ascii="Arial" w:hAnsi="Arial" w:cs="Arial"/>
          <w:bCs/>
        </w:rPr>
        <w:lastRenderedPageBreak/>
        <w:t>Professional practice is important because it helps practitioners to respond to children’s individual needs, this ensures that their learning experiences and support is tailored to promote inclusion and development (Welsh Government, 2015)</w:t>
      </w:r>
    </w:p>
    <w:p w14:paraId="767C6DCD" w14:textId="77777777" w:rsidR="003179B1" w:rsidRPr="000D5265" w:rsidRDefault="003179B1" w:rsidP="003179B1">
      <w:pPr>
        <w:spacing w:after="170" w:line="360" w:lineRule="auto"/>
        <w:rPr>
          <w:rFonts w:ascii="Arial" w:hAnsi="Arial" w:cs="Arial"/>
          <w:bCs/>
        </w:rPr>
      </w:pPr>
      <w:r>
        <w:rPr>
          <w:rFonts w:ascii="Arial" w:hAnsi="Arial" w:cs="Arial"/>
          <w:bCs/>
        </w:rPr>
        <w:t>Children learn in a variety of ways, this can be through play, adult modelling, through teaching both guided and enhanced activities and by watching each other. (The Department for Education, 2023). Effective pedagogy will encompass all these methods, including a well-planned environment which is integral to it.</w:t>
      </w:r>
    </w:p>
    <w:p w14:paraId="1E8D392D" w14:textId="77777777" w:rsidR="003179B1" w:rsidRDefault="003179B1" w:rsidP="003179B1">
      <w:pPr>
        <w:spacing w:line="360" w:lineRule="auto"/>
        <w:rPr>
          <w:rFonts w:ascii="Arial" w:hAnsi="Arial" w:cs="Arial"/>
        </w:rPr>
      </w:pPr>
      <w:r w:rsidRPr="000D5265">
        <w:rPr>
          <w:rFonts w:ascii="Arial" w:hAnsi="Arial" w:cs="Arial"/>
        </w:rPr>
        <w:t xml:space="preserve">Observation, assessment and planning (OAP) are essential components in an early years practitioner’s practice. (Birth to 5 Matters, 2026) OAP is a cycle in which the child is in the </w:t>
      </w:r>
    </w:p>
    <w:p w14:paraId="2AD735D0" w14:textId="77777777" w:rsidR="003179B1" w:rsidRDefault="003179B1" w:rsidP="003179B1">
      <w:pPr>
        <w:spacing w:line="360" w:lineRule="auto"/>
        <w:rPr>
          <w:rFonts w:ascii="Arial" w:hAnsi="Arial" w:cs="Arial"/>
        </w:rPr>
      </w:pPr>
    </w:p>
    <w:p w14:paraId="1D382476" w14:textId="77777777" w:rsidR="003179B1" w:rsidRDefault="003179B1" w:rsidP="003179B1">
      <w:pPr>
        <w:spacing w:line="360" w:lineRule="auto"/>
        <w:rPr>
          <w:rFonts w:ascii="Arial" w:hAnsi="Arial" w:cs="Arial"/>
        </w:rPr>
      </w:pPr>
      <w:proofErr w:type="spellStart"/>
      <w:r w:rsidRPr="000D5265">
        <w:rPr>
          <w:rFonts w:ascii="Arial" w:hAnsi="Arial" w:cs="Arial"/>
        </w:rPr>
        <w:t>center</w:t>
      </w:r>
      <w:proofErr w:type="spellEnd"/>
      <w:r w:rsidRPr="000D5265">
        <w:rPr>
          <w:rFonts w:ascii="Arial" w:hAnsi="Arial" w:cs="Arial"/>
        </w:rPr>
        <w:t xml:space="preserve">. The child should be observed, to establish how they act and interact in the setting, in their play, with others and in their everyday interactions and activities. This should </w:t>
      </w:r>
    </w:p>
    <w:p w14:paraId="0DDB89AE" w14:textId="77777777" w:rsidR="003179B1" w:rsidRDefault="003179B1" w:rsidP="003179B1">
      <w:pPr>
        <w:spacing w:line="360" w:lineRule="auto"/>
        <w:rPr>
          <w:rFonts w:ascii="Arial" w:hAnsi="Arial" w:cs="Arial"/>
        </w:rPr>
      </w:pPr>
      <w:r w:rsidRPr="000D5265">
        <w:rPr>
          <w:rFonts w:ascii="Arial" w:hAnsi="Arial" w:cs="Arial"/>
        </w:rPr>
        <w:t xml:space="preserve">inform the practitioner’s planning, the educator needs to choose how to deliver, challenge and support the child depending on their needs. Practitioners need to reflect on their practice and the child, to ensure that their practice is suitable for the child. At this point, the practitioner should be considering Schön’s theory (1991, cited </w:t>
      </w:r>
      <w:r>
        <w:rPr>
          <w:rFonts w:ascii="Arial" w:hAnsi="Arial" w:cs="Arial"/>
        </w:rPr>
        <w:t>in</w:t>
      </w:r>
      <w:r w:rsidRPr="000D5265">
        <w:rPr>
          <w:rFonts w:ascii="Arial" w:hAnsi="Arial" w:cs="Arial"/>
        </w:rPr>
        <w:t xml:space="preserve"> The University of Hull, 2026) of reflection in action and reflection on action, where they can reflect on their practice during and after an interaction or activity. Educators are most effect</w:t>
      </w:r>
      <w:r>
        <w:rPr>
          <w:rFonts w:ascii="Arial" w:hAnsi="Arial" w:cs="Arial"/>
        </w:rPr>
        <w:t>ive</w:t>
      </w:r>
      <w:r w:rsidRPr="000D5265">
        <w:rPr>
          <w:rFonts w:ascii="Arial" w:hAnsi="Arial" w:cs="Arial"/>
        </w:rPr>
        <w:t xml:space="preserve"> when they can adapt their practice for the benefit of the child. As this is a cycle, it is an ongoing process and it supports continuous quality improvement as practitioners can use the information gathered from the cycle to reflect, adapt and improve practice for the benefit of the child. OAP allows practitioners to recognise the difference in children’s abilities and target their individual needs in an effective way.</w:t>
      </w:r>
    </w:p>
    <w:p w14:paraId="3A3D7E46" w14:textId="77777777" w:rsidR="003179B1" w:rsidRDefault="003179B1" w:rsidP="003179B1">
      <w:pPr>
        <w:spacing w:line="360" w:lineRule="auto"/>
        <w:rPr>
          <w:rFonts w:ascii="Arial" w:hAnsi="Arial" w:cs="Arial"/>
        </w:rPr>
      </w:pPr>
      <w:r>
        <w:rPr>
          <w:rFonts w:ascii="Arial" w:hAnsi="Arial" w:cs="Arial"/>
        </w:rPr>
        <w:t>A single observation is not enough to form an informed and accurate understanding of the child, observations should be ongoing, especially if the child lacks confidence or is unfamiliar with the environment. The Welsh Government (2024) agrees and states that the child should be observed in a variety of situations, such as solitary and collaborative play, indoors and outdoors.</w:t>
      </w:r>
    </w:p>
    <w:p w14:paraId="642227C2" w14:textId="77777777" w:rsidR="003179B1" w:rsidRDefault="003179B1" w:rsidP="003179B1">
      <w:pPr>
        <w:spacing w:line="360" w:lineRule="auto"/>
        <w:rPr>
          <w:rFonts w:ascii="Arial" w:hAnsi="Arial" w:cs="Arial"/>
        </w:rPr>
      </w:pPr>
      <w:r>
        <w:rPr>
          <w:rFonts w:ascii="Arial" w:hAnsi="Arial" w:cs="Arial"/>
        </w:rPr>
        <w:lastRenderedPageBreak/>
        <w:t>Practitioners need to use their professional judgement and information from the child’s family to develop a holistic understanding of the child.</w:t>
      </w:r>
    </w:p>
    <w:p w14:paraId="0D5C1FA3" w14:textId="77777777" w:rsidR="003179B1" w:rsidRDefault="003179B1" w:rsidP="003179B1">
      <w:pPr>
        <w:spacing w:line="360" w:lineRule="auto"/>
        <w:rPr>
          <w:rFonts w:ascii="Arial" w:hAnsi="Arial" w:cs="Arial"/>
        </w:rPr>
      </w:pPr>
      <w:r>
        <w:rPr>
          <w:rFonts w:ascii="Arial" w:hAnsi="Arial" w:cs="Arial"/>
        </w:rPr>
        <w:t>The University of Melbourne, (2025) detail the concept of family-</w:t>
      </w:r>
      <w:proofErr w:type="spellStart"/>
      <w:r>
        <w:rPr>
          <w:rFonts w:ascii="Arial" w:hAnsi="Arial" w:cs="Arial"/>
        </w:rPr>
        <w:t>centered</w:t>
      </w:r>
      <w:proofErr w:type="spellEnd"/>
      <w:r>
        <w:rPr>
          <w:rFonts w:ascii="Arial" w:hAnsi="Arial" w:cs="Arial"/>
        </w:rPr>
        <w:t xml:space="preserve"> practice. This involves forming firm partnerships between families, carers and professionals for the benefit of the child. They say that the family should be recognised as the experts of the child and their views should be respected. The child’s well-being is paramount in this approach, as it’s been proven that there are better outcomes in social, emotional and developmental areas when the child feels supported and secure. Information should be shared with families in an unbiased way, their views should be respected, and they need to be seen as the child’s first and most important influence. This will all lead to positive outcomes for the child. For example, if the parents reveal that the child likes a specific topic, then the practitioner could plan with this in mind to create meaningful learning opportunities.</w:t>
      </w:r>
    </w:p>
    <w:p w14:paraId="223661BF" w14:textId="77777777" w:rsidR="003179B1" w:rsidRDefault="003179B1" w:rsidP="003179B1">
      <w:pPr>
        <w:spacing w:line="360" w:lineRule="auto"/>
        <w:rPr>
          <w:rFonts w:ascii="Arial" w:hAnsi="Arial" w:cs="Arial"/>
        </w:rPr>
      </w:pPr>
      <w:r>
        <w:rPr>
          <w:rFonts w:ascii="Arial" w:hAnsi="Arial" w:cs="Arial"/>
        </w:rPr>
        <w:t xml:space="preserve">Vygotsky (cited in Mooney, 2013) created the Zone of Proximal Development (ZPD), which he defined as the hardest task a child could do on his or her own compared to the hardest task they could do with help. He established the concept which would in later years be labelled as ‘scaffolding’ which is defined as the help given to the child by a practitioner. He argued the importance of observation of children, he believed that when educators watch </w:t>
      </w:r>
    </w:p>
    <w:p w14:paraId="1B509256" w14:textId="77777777" w:rsidR="003179B1" w:rsidRDefault="003179B1" w:rsidP="003179B1">
      <w:pPr>
        <w:spacing w:line="360" w:lineRule="auto"/>
        <w:rPr>
          <w:rFonts w:ascii="Arial" w:hAnsi="Arial" w:cs="Arial"/>
        </w:rPr>
      </w:pPr>
      <w:r>
        <w:rPr>
          <w:rFonts w:ascii="Arial" w:hAnsi="Arial" w:cs="Arial"/>
        </w:rPr>
        <w:t xml:space="preserve">and listen to a child, they can truly understand their development. Vygotsky argued that by doing that, a practitioner can accurately assess a child’s ZPD. The area that is probably the most affected by Vygotsky’s theory is planning. He stated that the child’s social interactions and their environment significantly impact their cognitive development. </w:t>
      </w:r>
    </w:p>
    <w:p w14:paraId="7D0ABEB0" w14:textId="77777777" w:rsidR="003179B1" w:rsidRPr="000D5265" w:rsidRDefault="003179B1" w:rsidP="003179B1">
      <w:pPr>
        <w:spacing w:line="360" w:lineRule="auto"/>
        <w:rPr>
          <w:rFonts w:ascii="Arial" w:hAnsi="Arial" w:cs="Arial"/>
        </w:rPr>
      </w:pPr>
      <w:r>
        <w:rPr>
          <w:rFonts w:ascii="Arial" w:hAnsi="Arial" w:cs="Arial"/>
        </w:rPr>
        <w:t>Mooney (2013) clarifies that scaffolding does not mean to force the child into doing something, but to actively encourage and support. A child’s views should always be listened to as well as their family’s approaches, if an attempt at scaffolding is too forceful, it doesn’t align with the child’s ZPD, then the learning support will fail.</w:t>
      </w:r>
    </w:p>
    <w:p w14:paraId="204250CA" w14:textId="77777777" w:rsidR="003179B1" w:rsidRDefault="003179B1" w:rsidP="003179B1">
      <w:pPr>
        <w:spacing w:line="360" w:lineRule="auto"/>
        <w:rPr>
          <w:rFonts w:ascii="Arial" w:hAnsi="Arial" w:cs="Arial"/>
        </w:rPr>
      </w:pPr>
      <w:r w:rsidRPr="000D5265">
        <w:rPr>
          <w:rFonts w:ascii="Arial" w:hAnsi="Arial" w:cs="Arial"/>
        </w:rPr>
        <w:t xml:space="preserve">As mentioned, the child should be at the </w:t>
      </w:r>
      <w:proofErr w:type="spellStart"/>
      <w:r w:rsidRPr="000D5265">
        <w:rPr>
          <w:rFonts w:ascii="Arial" w:hAnsi="Arial" w:cs="Arial"/>
        </w:rPr>
        <w:t>center</w:t>
      </w:r>
      <w:proofErr w:type="spellEnd"/>
      <w:r w:rsidRPr="000D5265">
        <w:rPr>
          <w:rFonts w:ascii="Arial" w:hAnsi="Arial" w:cs="Arial"/>
        </w:rPr>
        <w:t xml:space="preserve"> of this process, they should have their own individual learning journey with different aspects of development interwoven. OAP aids practitioners to understand and recognise the unique development of the child.  Article 12 in the United Nations Convention on the Rights </w:t>
      </w:r>
      <w:r w:rsidRPr="000D5265">
        <w:rPr>
          <w:rFonts w:ascii="Arial" w:hAnsi="Arial" w:cs="Arial"/>
        </w:rPr>
        <w:lastRenderedPageBreak/>
        <w:t>of the Child UNICEF, (1990</w:t>
      </w:r>
      <w:r>
        <w:rPr>
          <w:rFonts w:ascii="Arial" w:hAnsi="Arial" w:cs="Arial"/>
        </w:rPr>
        <w:t>, p.5</w:t>
      </w:r>
      <w:r w:rsidRPr="000D5265">
        <w:rPr>
          <w:rFonts w:ascii="Arial" w:hAnsi="Arial" w:cs="Arial"/>
        </w:rPr>
        <w:t>) agrees with this and states that “parties shall assure to the child who is capable of forming his or her own views the right to express those views freely in all matters affecting the child, the views of the child being given due weight in accordance with the age and maturity of the child”</w:t>
      </w:r>
    </w:p>
    <w:p w14:paraId="2B2209C2" w14:textId="77777777" w:rsidR="003179B1" w:rsidRPr="000D5265" w:rsidRDefault="003179B1" w:rsidP="003179B1">
      <w:pPr>
        <w:spacing w:line="360" w:lineRule="auto"/>
        <w:rPr>
          <w:rFonts w:ascii="Arial" w:hAnsi="Arial" w:cs="Arial"/>
        </w:rPr>
      </w:pPr>
      <w:r>
        <w:rPr>
          <w:rFonts w:ascii="Arial" w:hAnsi="Arial" w:cs="Arial"/>
        </w:rPr>
        <w:t xml:space="preserve">Hayes et al. (2017) also agree with this and say that children are part of your team and deserve to be listened to. </w:t>
      </w:r>
    </w:p>
    <w:p w14:paraId="53DD300A" w14:textId="77777777" w:rsidR="003179B1" w:rsidRDefault="003179B1" w:rsidP="003179B1">
      <w:pPr>
        <w:spacing w:line="360" w:lineRule="auto"/>
        <w:rPr>
          <w:rFonts w:ascii="Arial" w:hAnsi="Arial" w:cs="Arial"/>
        </w:rPr>
      </w:pPr>
      <w:r w:rsidRPr="000D5265">
        <w:rPr>
          <w:rFonts w:ascii="Arial" w:hAnsi="Arial" w:cs="Arial"/>
        </w:rPr>
        <w:t xml:space="preserve">This is confirmed by the Early Years Foundation Stage (EYFS) principles (2008, cited </w:t>
      </w:r>
      <w:r>
        <w:rPr>
          <w:rFonts w:ascii="Arial" w:hAnsi="Arial" w:cs="Arial"/>
        </w:rPr>
        <w:t>in</w:t>
      </w:r>
      <w:r w:rsidRPr="000D5265">
        <w:rPr>
          <w:rFonts w:ascii="Arial" w:hAnsi="Arial" w:cs="Arial"/>
        </w:rPr>
        <w:t xml:space="preserve"> Birth to 5 Matters, 2026) who state that “every child is a unique child who is constantly learning”.  Children learn in different ways and therefore the way they access their learning will need to be different as well. For example, if a practitioner’s observations show that the child is struggling with communication, the practitioner could adapt activities and introduce additional resources to support the child. This shows that OAP supports the individual child’s needs by promoting inclusion and inclusive practice rather than expecting every child to learn in the same way. This enables children to participate in activities that the</w:t>
      </w:r>
      <w:r>
        <w:rPr>
          <w:rFonts w:ascii="Arial" w:hAnsi="Arial" w:cs="Arial"/>
        </w:rPr>
        <w:t>y</w:t>
      </w:r>
      <w:r w:rsidRPr="000D5265">
        <w:rPr>
          <w:rFonts w:ascii="Arial" w:hAnsi="Arial" w:cs="Arial"/>
        </w:rPr>
        <w:t xml:space="preserve"> may otherwise find difficult to participate in.</w:t>
      </w:r>
    </w:p>
    <w:p w14:paraId="6788E44B" w14:textId="77777777" w:rsidR="003179B1" w:rsidRDefault="003179B1" w:rsidP="003179B1">
      <w:pPr>
        <w:spacing w:line="360" w:lineRule="auto"/>
        <w:rPr>
          <w:rFonts w:ascii="Arial" w:hAnsi="Arial" w:cs="Arial"/>
        </w:rPr>
      </w:pPr>
      <w:r>
        <w:rPr>
          <w:rFonts w:ascii="Arial" w:hAnsi="Arial" w:cs="Arial"/>
        </w:rPr>
        <w:t>Ensuring access to learning can be done through differentiation. TES (2025) describes differentiation as the changes that practitioners put in to support the different learning needs of their learners. They say that by differentiating effectively it will ensure that children can fulfil their true potential. They continue to argue that differentiating promotes a more inclusive learning environment by creating a sense of belonging, engaging learners to be more motivated, encouraging collaborative learning amongst their peers and promoting equity by giving them the tailored support they need to access the curriculum.</w:t>
      </w:r>
    </w:p>
    <w:p w14:paraId="09AB0A55" w14:textId="77777777" w:rsidR="003179B1" w:rsidRDefault="003179B1" w:rsidP="003179B1">
      <w:pPr>
        <w:spacing w:line="360" w:lineRule="auto"/>
        <w:rPr>
          <w:rFonts w:ascii="Arial" w:hAnsi="Arial" w:cs="Arial"/>
        </w:rPr>
      </w:pPr>
    </w:p>
    <w:p w14:paraId="01B826BD" w14:textId="77777777" w:rsidR="003179B1" w:rsidRDefault="003179B1" w:rsidP="003179B1">
      <w:pPr>
        <w:spacing w:line="360" w:lineRule="auto"/>
        <w:rPr>
          <w:rFonts w:ascii="Arial" w:hAnsi="Arial" w:cs="Arial"/>
        </w:rPr>
      </w:pPr>
      <w:r>
        <w:rPr>
          <w:rFonts w:ascii="Arial" w:hAnsi="Arial" w:cs="Arial"/>
        </w:rPr>
        <w:t xml:space="preserve">Some children have barriers to learning, which inhibit their ability to access learning, </w:t>
      </w:r>
      <w:proofErr w:type="spellStart"/>
      <w:r>
        <w:rPr>
          <w:rFonts w:ascii="Arial" w:hAnsi="Arial" w:cs="Arial"/>
        </w:rPr>
        <w:t>Parenta</w:t>
      </w:r>
      <w:proofErr w:type="spellEnd"/>
      <w:r>
        <w:rPr>
          <w:rFonts w:ascii="Arial" w:hAnsi="Arial" w:cs="Arial"/>
        </w:rPr>
        <w:t xml:space="preserve"> (2024) states that barriers can affect anyone but particularly affect those with </w:t>
      </w:r>
      <w:r w:rsidRPr="00B96CDB">
        <w:rPr>
          <w:rFonts w:ascii="Arial" w:hAnsi="Arial" w:cs="Arial"/>
        </w:rPr>
        <w:t xml:space="preserve">additional learning needs </w:t>
      </w:r>
      <w:r>
        <w:rPr>
          <w:rFonts w:ascii="Arial" w:hAnsi="Arial" w:cs="Arial"/>
        </w:rPr>
        <w:t xml:space="preserve">(ALN), children in care, children from other ethnicities, cultural backgrounds, having English as an additional language and children who have been exposed to adverse childhood experiences (ACEs). Identifying these barriers early means that interventions can be put in to limit their effects. Twinkl (no </w:t>
      </w:r>
      <w:r>
        <w:rPr>
          <w:rFonts w:ascii="Arial" w:hAnsi="Arial" w:cs="Arial"/>
        </w:rPr>
        <w:lastRenderedPageBreak/>
        <w:t xml:space="preserve">date) explains that many children do not reach their full potential due to these barriers. </w:t>
      </w:r>
    </w:p>
    <w:p w14:paraId="10B2DB8F" w14:textId="77777777" w:rsidR="003179B1" w:rsidRPr="00B96CDB" w:rsidRDefault="003179B1" w:rsidP="003179B1">
      <w:pPr>
        <w:spacing w:line="360" w:lineRule="auto"/>
        <w:rPr>
          <w:rFonts w:ascii="Arial" w:hAnsi="Arial" w:cs="Arial"/>
        </w:rPr>
      </w:pPr>
      <w:r w:rsidRPr="00B96CDB">
        <w:rPr>
          <w:rFonts w:ascii="Arial" w:hAnsi="Arial" w:cs="Arial"/>
        </w:rPr>
        <w:t>Assessment can provide practitioners with valuable information that leads into future</w:t>
      </w:r>
      <w:r>
        <w:rPr>
          <w:rFonts w:ascii="Arial" w:hAnsi="Arial" w:cs="Arial"/>
        </w:rPr>
        <w:t xml:space="preserve"> </w:t>
      </w:r>
      <w:r w:rsidRPr="00B96CDB">
        <w:rPr>
          <w:rFonts w:ascii="Arial" w:hAnsi="Arial" w:cs="Arial"/>
        </w:rPr>
        <w:t>plans. Knowing what stage the child is at helps plan appropriate learning environment and activities. The Department for Education (2023) note that assessment can also pinpoint any potential ALN allowing practitioners to decide if any learning support or adaptations need to be put in place, for the child to be able to access the provision at a suitable stage for their cognitive age. This supports inclusive practice by helping practitioners plan for the child’s individual needs.</w:t>
      </w:r>
      <w:r>
        <w:rPr>
          <w:rFonts w:ascii="Arial" w:hAnsi="Arial" w:cs="Arial"/>
        </w:rPr>
        <w:t xml:space="preserve"> Assessment is also key to gaining information about the child’s developmental stage.</w:t>
      </w:r>
    </w:p>
    <w:p w14:paraId="3A3B4A6F" w14:textId="77777777" w:rsidR="00DE6329" w:rsidRPr="00B96CDB" w:rsidRDefault="00DE6329" w:rsidP="00DE6329">
      <w:pPr>
        <w:spacing w:line="360" w:lineRule="auto"/>
        <w:rPr>
          <w:rFonts w:ascii="Arial" w:hAnsi="Arial" w:cs="Arial"/>
        </w:rPr>
      </w:pPr>
    </w:p>
    <w:p w14:paraId="7BAE6E14" w14:textId="77777777" w:rsidR="006A334A" w:rsidRDefault="006A334A" w:rsidP="006A334A">
      <w:pPr>
        <w:spacing w:line="360" w:lineRule="auto"/>
        <w:rPr>
          <w:rFonts w:ascii="Arial" w:hAnsi="Arial" w:cs="Arial"/>
        </w:rPr>
      </w:pPr>
      <w:r w:rsidRPr="00B96CDB">
        <w:rPr>
          <w:rFonts w:ascii="Arial" w:hAnsi="Arial" w:cs="Arial"/>
        </w:rPr>
        <w:t xml:space="preserve">In conclusion, </w:t>
      </w:r>
      <w:r>
        <w:rPr>
          <w:rFonts w:ascii="Arial" w:hAnsi="Arial" w:cs="Arial"/>
        </w:rPr>
        <w:t>observation, assessment and planning</w:t>
      </w:r>
      <w:r w:rsidRPr="00B96CDB">
        <w:rPr>
          <w:rFonts w:ascii="Arial" w:hAnsi="Arial" w:cs="Arial"/>
        </w:rPr>
        <w:t xml:space="preserve"> are an </w:t>
      </w:r>
      <w:r>
        <w:rPr>
          <w:rFonts w:ascii="Arial" w:hAnsi="Arial" w:cs="Arial"/>
        </w:rPr>
        <w:t>essential pa</w:t>
      </w:r>
      <w:r w:rsidRPr="00B96CDB">
        <w:rPr>
          <w:rFonts w:ascii="Arial" w:hAnsi="Arial" w:cs="Arial"/>
        </w:rPr>
        <w:t xml:space="preserve">rt of professional practice in an </w:t>
      </w:r>
      <w:r>
        <w:rPr>
          <w:rFonts w:ascii="Arial" w:hAnsi="Arial" w:cs="Arial"/>
        </w:rPr>
        <w:t>E</w:t>
      </w:r>
      <w:r w:rsidRPr="00B96CDB">
        <w:rPr>
          <w:rFonts w:ascii="Arial" w:hAnsi="Arial" w:cs="Arial"/>
        </w:rPr>
        <w:t xml:space="preserve">arly </w:t>
      </w:r>
      <w:r>
        <w:rPr>
          <w:rFonts w:ascii="Arial" w:hAnsi="Arial" w:cs="Arial"/>
        </w:rPr>
        <w:t>Y</w:t>
      </w:r>
      <w:r w:rsidRPr="00B96CDB">
        <w:rPr>
          <w:rFonts w:ascii="Arial" w:hAnsi="Arial" w:cs="Arial"/>
        </w:rPr>
        <w:t>ears setting</w:t>
      </w:r>
      <w:r>
        <w:rPr>
          <w:rFonts w:ascii="Arial" w:hAnsi="Arial" w:cs="Arial"/>
        </w:rPr>
        <w:t xml:space="preserve"> as the allows practitioners to understand and respond to the individual and inclusive needs of the child. Through ongoing observations, practitioners can identify interest, developmental stages and abilities of the children allowing them to plan meaningful learning experiences suited to each child’s starting point. Assessment allows practitioners to identify any potential ALN and helps them implement appropriate support to overcome barriers to learning. Vygotsky’s ZPD highlights the importance to providing suitable support to allow children to progress while Schön’s helps practitioners to reflect helping them to evaluate and adapt for children to progress. Furthermore, working with families provides valuable information about the child’s interests, providing a more holistic understanding of their development. Listening to children and respecting their views ensures that their individual needs are met. Overall, OAP promotes inclusive practice by recognizing that each child develops and learns differently. The continual approach of observing, assessing, planning and reflecting allows practitioners to adapt their practice to provide supportive learning environments where all children can participate, develop and make progress.</w:t>
      </w:r>
    </w:p>
    <w:p w14:paraId="21B715A0" w14:textId="77777777" w:rsidR="00A448AC" w:rsidRDefault="00A448AC"/>
    <w:sectPr w:rsidR="00A448AC" w:rsidSect="00DE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5E0955"/>
    <w:multiLevelType w:val="hybridMultilevel"/>
    <w:tmpl w:val="82FA3644"/>
    <w:lvl w:ilvl="0" w:tplc="8330264C">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2558F1"/>
    <w:multiLevelType w:val="hybridMultilevel"/>
    <w:tmpl w:val="06987748"/>
    <w:lvl w:ilvl="0" w:tplc="7668187E">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E726CC"/>
    <w:multiLevelType w:val="hybridMultilevel"/>
    <w:tmpl w:val="C6FEA2F8"/>
    <w:lvl w:ilvl="0" w:tplc="469893CE">
      <w:start w:val="3"/>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390977">
    <w:abstractNumId w:val="1"/>
  </w:num>
  <w:num w:numId="2" w16cid:durableId="1050225050">
    <w:abstractNumId w:val="2"/>
  </w:num>
  <w:num w:numId="3" w16cid:durableId="1933315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AC"/>
    <w:rsid w:val="003179B1"/>
    <w:rsid w:val="00490344"/>
    <w:rsid w:val="006A334A"/>
    <w:rsid w:val="0075321E"/>
    <w:rsid w:val="00A448AC"/>
    <w:rsid w:val="00DE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AE8BA"/>
  <w15:chartTrackingRefBased/>
  <w15:docId w15:val="{F0ACBBB9-2B0B-4DC0-9289-8C6285B2F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329"/>
  </w:style>
  <w:style w:type="paragraph" w:styleId="Heading1">
    <w:name w:val="heading 1"/>
    <w:basedOn w:val="Normal"/>
    <w:next w:val="Normal"/>
    <w:link w:val="Heading1Char"/>
    <w:uiPriority w:val="9"/>
    <w:qFormat/>
    <w:rsid w:val="00A44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4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8AC"/>
    <w:rPr>
      <w:rFonts w:eastAsiaTheme="majorEastAsia" w:cstheme="majorBidi"/>
      <w:color w:val="272727" w:themeColor="text1" w:themeTint="D8"/>
    </w:rPr>
  </w:style>
  <w:style w:type="paragraph" w:styleId="Title">
    <w:name w:val="Title"/>
    <w:basedOn w:val="Normal"/>
    <w:next w:val="Normal"/>
    <w:link w:val="TitleChar"/>
    <w:uiPriority w:val="10"/>
    <w:qFormat/>
    <w:rsid w:val="00A44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8AC"/>
    <w:pPr>
      <w:spacing w:before="160"/>
      <w:jc w:val="center"/>
    </w:pPr>
    <w:rPr>
      <w:i/>
      <w:iCs/>
      <w:color w:val="404040" w:themeColor="text1" w:themeTint="BF"/>
    </w:rPr>
  </w:style>
  <w:style w:type="character" w:customStyle="1" w:styleId="QuoteChar">
    <w:name w:val="Quote Char"/>
    <w:basedOn w:val="DefaultParagraphFont"/>
    <w:link w:val="Quote"/>
    <w:uiPriority w:val="29"/>
    <w:rsid w:val="00A448AC"/>
    <w:rPr>
      <w:i/>
      <w:iCs/>
      <w:color w:val="404040" w:themeColor="text1" w:themeTint="BF"/>
    </w:rPr>
  </w:style>
  <w:style w:type="paragraph" w:styleId="ListParagraph">
    <w:name w:val="List Paragraph"/>
    <w:basedOn w:val="Normal"/>
    <w:uiPriority w:val="34"/>
    <w:qFormat/>
    <w:rsid w:val="00A448AC"/>
    <w:pPr>
      <w:ind w:left="720"/>
      <w:contextualSpacing/>
    </w:pPr>
  </w:style>
  <w:style w:type="character" w:styleId="IntenseEmphasis">
    <w:name w:val="Intense Emphasis"/>
    <w:basedOn w:val="DefaultParagraphFont"/>
    <w:uiPriority w:val="21"/>
    <w:qFormat/>
    <w:rsid w:val="00A448AC"/>
    <w:rPr>
      <w:i/>
      <w:iCs/>
      <w:color w:val="0F4761" w:themeColor="accent1" w:themeShade="BF"/>
    </w:rPr>
  </w:style>
  <w:style w:type="paragraph" w:styleId="IntenseQuote">
    <w:name w:val="Intense Quote"/>
    <w:basedOn w:val="Normal"/>
    <w:next w:val="Normal"/>
    <w:link w:val="IntenseQuoteChar"/>
    <w:uiPriority w:val="30"/>
    <w:qFormat/>
    <w:rsid w:val="00A44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8AC"/>
    <w:rPr>
      <w:i/>
      <w:iCs/>
      <w:color w:val="0F4761" w:themeColor="accent1" w:themeShade="BF"/>
    </w:rPr>
  </w:style>
  <w:style w:type="character" w:styleId="IntenseReference">
    <w:name w:val="Intense Reference"/>
    <w:basedOn w:val="DefaultParagraphFont"/>
    <w:uiPriority w:val="32"/>
    <w:qFormat/>
    <w:rsid w:val="00A448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3193</Words>
  <Characters>18206</Characters>
  <Application>Microsoft Office Word</Application>
  <DocSecurity>0</DocSecurity>
  <Lines>151</Lines>
  <Paragraphs>42</Paragraphs>
  <ScaleCrop>false</ScaleCrop>
  <Company/>
  <LinksUpToDate>false</LinksUpToDate>
  <CharactersWithSpaces>21357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Jacka (2613788)</dc:creator>
  <cp:keywords/>
  <dc:description/>
  <cp:lastModifiedBy>Daniela Jacka (2613788)</cp:lastModifiedBy>
  <cp:revision>4</cp:revision>
  <dcterms:created xsi:type="dcterms:W3CDTF">2026-10-12T16:23:00Z</dcterms:created>
  <dcterms:modified xsi:type="dcterms:W3CDTF">2026-10-22T18:26:00Z</dcterms:modified>
</cp:coreProperties>
</file>