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2CDE2" w14:textId="6E61C5F3" w:rsidR="00A21C70" w:rsidRDefault="00621001" w:rsidP="00A21C70">
      <w:pPr>
        <w:pStyle w:val="Title"/>
        <w:rPr>
          <w:lang w:val="en-GB"/>
        </w:rPr>
      </w:pPr>
      <w:r>
        <w:rPr>
          <w:lang w:val="en-GB"/>
        </w:rPr>
        <w:t>Student Name: Mariya Ilieva Ilieva</w:t>
      </w:r>
    </w:p>
    <w:p w14:paraId="37F3DC76" w14:textId="3D07AAD8" w:rsidR="00621001" w:rsidRDefault="00621001" w:rsidP="00621001">
      <w:pPr>
        <w:pStyle w:val="Normal1"/>
        <w:rPr>
          <w:b/>
          <w:bCs/>
          <w:u w:val="single"/>
          <w:lang w:val="en-GB"/>
        </w:rPr>
      </w:pPr>
      <w:r>
        <w:rPr>
          <w:lang w:val="en-GB"/>
        </w:rPr>
        <w:t xml:space="preserve">                             </w:t>
      </w:r>
      <w:r w:rsidRPr="00621001">
        <w:rPr>
          <w:b/>
          <w:bCs/>
          <w:u w:val="single"/>
          <w:lang w:val="en-GB"/>
        </w:rPr>
        <w:t>Student ID: 2123768</w:t>
      </w:r>
    </w:p>
    <w:p w14:paraId="6A320206" w14:textId="77777777" w:rsidR="00621001" w:rsidRPr="00621001" w:rsidRDefault="00621001" w:rsidP="00621001">
      <w:pPr>
        <w:pStyle w:val="Normal1"/>
        <w:rPr>
          <w:b/>
          <w:bCs/>
          <w:u w:val="single"/>
          <w:lang w:val="en-GB"/>
        </w:rPr>
      </w:pPr>
    </w:p>
    <w:p w14:paraId="51D44BE5" w14:textId="5465D5B5" w:rsidR="00A21C70" w:rsidRDefault="00A21C70" w:rsidP="00A21C70">
      <w:pPr>
        <w:pStyle w:val="Title"/>
        <w:rPr>
          <w:lang w:val="en-GB"/>
        </w:rPr>
      </w:pPr>
      <w:r>
        <w:rPr>
          <w:lang w:val="en-GB"/>
        </w:rPr>
        <w:t xml:space="preserve">LCBB4002 Community Engagement </w:t>
      </w:r>
    </w:p>
    <w:p w14:paraId="58707498" w14:textId="77777777" w:rsidR="00A21C70" w:rsidRDefault="00A21C70" w:rsidP="00A21C70">
      <w:pPr>
        <w:pStyle w:val="Title"/>
        <w:rPr>
          <w:lang w:val="en-GB"/>
        </w:rPr>
      </w:pPr>
      <w:r>
        <w:rPr>
          <w:lang w:val="en-GB"/>
        </w:rPr>
        <w:t>Assessment 1</w:t>
      </w:r>
    </w:p>
    <w:p w14:paraId="6D35D457" w14:textId="77777777" w:rsidR="00A21C70" w:rsidRDefault="00A21C70" w:rsidP="00A21C70">
      <w:pPr>
        <w:pStyle w:val="Normal1"/>
        <w:rPr>
          <w:lang w:val="en-GB"/>
        </w:rPr>
      </w:pPr>
    </w:p>
    <w:p w14:paraId="452007BD"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r>
        <w:br w:type="page"/>
      </w:r>
    </w:p>
    <w:sdt>
      <w:sdtPr>
        <w:rPr>
          <w:rFonts w:ascii="Arial" w:eastAsia="Arial" w:hAnsi="Arial" w:cs="Arial"/>
          <w:b w:val="0"/>
          <w:bCs w:val="0"/>
          <w:color w:val="auto"/>
          <w:sz w:val="22"/>
          <w:szCs w:val="22"/>
          <w:lang w:val="en-GB"/>
        </w:rPr>
        <w:id w:val="6891221"/>
        <w:docPartObj>
          <w:docPartGallery w:val="Table of Contents"/>
          <w:docPartUnique/>
        </w:docPartObj>
      </w:sdtPr>
      <w:sdtContent>
        <w:p w14:paraId="78D5BA7E" w14:textId="77777777" w:rsidR="00A21C70" w:rsidRDefault="00A21C70" w:rsidP="00A21C70">
          <w:pPr>
            <w:pStyle w:val="TOCHeading"/>
            <w:spacing w:line="360" w:lineRule="auto"/>
            <w:jc w:val="center"/>
            <w:rPr>
              <w:rFonts w:ascii="Times New Roman" w:hAnsi="Times New Roman" w:cs="Times New Roman"/>
              <w:sz w:val="32"/>
              <w:szCs w:val="32"/>
              <w:lang w:val="en-GB"/>
            </w:rPr>
          </w:pPr>
          <w:r>
            <w:rPr>
              <w:rFonts w:ascii="Times New Roman" w:hAnsi="Times New Roman" w:cs="Times New Roman"/>
              <w:color w:val="auto"/>
              <w:sz w:val="32"/>
              <w:szCs w:val="32"/>
              <w:lang w:val="en-GB"/>
            </w:rPr>
            <w:t>Table of Contents</w:t>
          </w:r>
        </w:p>
        <w:p w14:paraId="3A607600" w14:textId="77777777" w:rsidR="00A21C70" w:rsidRDefault="00A21C70" w:rsidP="00A21C70">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r:id="rId4" w:anchor="_Toc109373526" w:history="1">
            <w:r>
              <w:rPr>
                <w:rStyle w:val="Hyperlink"/>
                <w:rFonts w:cs="Times New Roman"/>
                <w:noProof/>
                <w:sz w:val="24"/>
                <w:szCs w:val="24"/>
              </w:rPr>
              <w:t>Introduction</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_Toc109373526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3</w:t>
            </w:r>
            <w:r>
              <w:rPr>
                <w:rStyle w:val="Hyperlink"/>
                <w:rFonts w:cs="Times New Roman"/>
                <w:noProof/>
                <w:webHidden/>
                <w:sz w:val="24"/>
                <w:szCs w:val="24"/>
              </w:rPr>
              <w:fldChar w:fldCharType="end"/>
            </w:r>
          </w:hyperlink>
        </w:p>
        <w:p w14:paraId="219BAC27" w14:textId="77777777" w:rsidR="00A21C70" w:rsidRDefault="00A21C70" w:rsidP="00A21C70">
          <w:pPr>
            <w:pStyle w:val="TOC1"/>
            <w:tabs>
              <w:tab w:val="right" w:leader="dot" w:pos="9019"/>
            </w:tabs>
            <w:spacing w:line="360" w:lineRule="auto"/>
            <w:jc w:val="both"/>
            <w:rPr>
              <w:rFonts w:ascii="Times New Roman" w:hAnsi="Times New Roman" w:cs="Times New Roman"/>
              <w:noProof/>
              <w:sz w:val="24"/>
              <w:szCs w:val="24"/>
            </w:rPr>
          </w:pPr>
          <w:hyperlink r:id="rId5" w:anchor="_Toc109373527" w:history="1">
            <w:r>
              <w:rPr>
                <w:rStyle w:val="Hyperlink"/>
                <w:rFonts w:cs="Times New Roman"/>
                <w:noProof/>
                <w:sz w:val="24"/>
                <w:szCs w:val="24"/>
              </w:rPr>
              <w:t>Main body</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_Toc109373527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3</w:t>
            </w:r>
            <w:r>
              <w:rPr>
                <w:rStyle w:val="Hyperlink"/>
                <w:rFonts w:cs="Times New Roman"/>
                <w:noProof/>
                <w:webHidden/>
                <w:sz w:val="24"/>
                <w:szCs w:val="24"/>
              </w:rPr>
              <w:fldChar w:fldCharType="end"/>
            </w:r>
          </w:hyperlink>
        </w:p>
        <w:p w14:paraId="6C2818F3" w14:textId="77777777" w:rsidR="00A21C70" w:rsidRDefault="00A21C70" w:rsidP="00A21C70">
          <w:pPr>
            <w:pStyle w:val="TOC1"/>
            <w:tabs>
              <w:tab w:val="right" w:leader="dot" w:pos="9019"/>
            </w:tabs>
            <w:spacing w:line="360" w:lineRule="auto"/>
            <w:jc w:val="both"/>
            <w:rPr>
              <w:rFonts w:ascii="Times New Roman" w:hAnsi="Times New Roman" w:cs="Times New Roman"/>
              <w:noProof/>
              <w:sz w:val="24"/>
              <w:szCs w:val="24"/>
            </w:rPr>
          </w:pPr>
          <w:hyperlink r:id="rId6" w:anchor="_Toc109373528" w:history="1">
            <w:r>
              <w:rPr>
                <w:rStyle w:val="Hyperlink"/>
                <w:rFonts w:cs="Times New Roman"/>
                <w:noProof/>
                <w:sz w:val="24"/>
                <w:szCs w:val="24"/>
              </w:rPr>
              <w:t>Conclusion</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_Toc109373528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8</w:t>
            </w:r>
            <w:r>
              <w:rPr>
                <w:rStyle w:val="Hyperlink"/>
                <w:rFonts w:cs="Times New Roman"/>
                <w:noProof/>
                <w:webHidden/>
                <w:sz w:val="24"/>
                <w:szCs w:val="24"/>
              </w:rPr>
              <w:fldChar w:fldCharType="end"/>
            </w:r>
          </w:hyperlink>
        </w:p>
        <w:p w14:paraId="595218BD" w14:textId="77777777" w:rsidR="00A21C70" w:rsidRDefault="00A21C70" w:rsidP="00A21C70">
          <w:pPr>
            <w:pStyle w:val="TOC1"/>
            <w:tabs>
              <w:tab w:val="right" w:leader="dot" w:pos="9019"/>
            </w:tabs>
            <w:spacing w:line="360" w:lineRule="auto"/>
            <w:jc w:val="both"/>
            <w:rPr>
              <w:noProof/>
            </w:rPr>
          </w:pPr>
          <w:hyperlink r:id="rId7" w:anchor="_Toc109373529" w:history="1">
            <w:r>
              <w:rPr>
                <w:rStyle w:val="Hyperlink"/>
                <w:rFonts w:cs="Times New Roman"/>
                <w:noProof/>
                <w:sz w:val="24"/>
                <w:szCs w:val="24"/>
              </w:rPr>
              <w:t>References</w:t>
            </w:r>
            <w:r>
              <w:rPr>
                <w:rStyle w:val="Hyperlink"/>
                <w:rFonts w:cs="Times New Roman"/>
                <w:noProof/>
                <w:webHidden/>
                <w:sz w:val="24"/>
                <w:szCs w:val="24"/>
              </w:rPr>
              <w:tab/>
            </w:r>
            <w:r>
              <w:rPr>
                <w:rStyle w:val="Hyperlink"/>
                <w:rFonts w:cs="Times New Roman"/>
                <w:noProof/>
                <w:webHidden/>
                <w:sz w:val="24"/>
                <w:szCs w:val="24"/>
              </w:rPr>
              <w:fldChar w:fldCharType="begin"/>
            </w:r>
            <w:r>
              <w:rPr>
                <w:rStyle w:val="Hyperlink"/>
                <w:rFonts w:cs="Times New Roman"/>
                <w:noProof/>
                <w:webHidden/>
                <w:sz w:val="24"/>
                <w:szCs w:val="24"/>
              </w:rPr>
              <w:instrText xml:space="preserve"> PAGEREF _Toc109373529 \h </w:instrText>
            </w:r>
            <w:r>
              <w:rPr>
                <w:rStyle w:val="Hyperlink"/>
                <w:rFonts w:cs="Times New Roman"/>
                <w:noProof/>
                <w:webHidden/>
                <w:sz w:val="24"/>
                <w:szCs w:val="24"/>
              </w:rPr>
            </w:r>
            <w:r>
              <w:rPr>
                <w:rStyle w:val="Hyperlink"/>
                <w:rFonts w:cs="Times New Roman"/>
                <w:noProof/>
                <w:webHidden/>
                <w:sz w:val="24"/>
                <w:szCs w:val="24"/>
              </w:rPr>
              <w:fldChar w:fldCharType="separate"/>
            </w:r>
            <w:r>
              <w:rPr>
                <w:rStyle w:val="Hyperlink"/>
                <w:rFonts w:cs="Times New Roman"/>
                <w:noProof/>
                <w:webHidden/>
                <w:sz w:val="24"/>
                <w:szCs w:val="24"/>
              </w:rPr>
              <w:t>10</w:t>
            </w:r>
            <w:r>
              <w:rPr>
                <w:rStyle w:val="Hyperlink"/>
                <w:rFonts w:cs="Times New Roman"/>
                <w:noProof/>
                <w:webHidden/>
                <w:sz w:val="24"/>
                <w:szCs w:val="24"/>
              </w:rPr>
              <w:fldChar w:fldCharType="end"/>
            </w:r>
          </w:hyperlink>
        </w:p>
        <w:p w14:paraId="3D8BEB3E" w14:textId="77777777" w:rsidR="00A21C70" w:rsidRDefault="00A21C70" w:rsidP="00A21C70">
          <w:r>
            <w:fldChar w:fldCharType="end"/>
          </w:r>
        </w:p>
      </w:sdtContent>
    </w:sdt>
    <w:p w14:paraId="3BCC8888"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r>
        <w:rPr>
          <w:rFonts w:ascii="Times New Roman" w:hAnsi="Times New Roman" w:cs="Times New Roman"/>
          <w:sz w:val="24"/>
          <w:szCs w:val="24"/>
          <w:lang w:eastAsia="en-GB"/>
        </w:rPr>
        <w:br w:type="page"/>
      </w:r>
    </w:p>
    <w:p w14:paraId="309EAF89" w14:textId="77777777" w:rsidR="00A21C70" w:rsidRDefault="00A21C70" w:rsidP="00A21C70">
      <w:pPr>
        <w:pStyle w:val="Heading1"/>
        <w:rPr>
          <w:rFonts w:eastAsia="Arial"/>
          <w:b w:val="0"/>
          <w:lang w:val="en-GB"/>
        </w:rPr>
      </w:pPr>
      <w:bookmarkStart w:id="0" w:name="_Toc109373526"/>
      <w:r>
        <w:rPr>
          <w:rFonts w:eastAsia="Arial"/>
          <w:lang w:val="en-GB"/>
        </w:rPr>
        <w:lastRenderedPageBreak/>
        <w:t>Introduction</w:t>
      </w:r>
      <w:bookmarkEnd w:id="0"/>
      <w:r>
        <w:rPr>
          <w:rFonts w:eastAsia="Arial"/>
          <w:lang w:val="en-GB"/>
        </w:rPr>
        <w:t xml:space="preserve"> </w:t>
      </w:r>
    </w:p>
    <w:p w14:paraId="52C0E459"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essay here will include a discussion about community engagement. Community engagement is basically the individuals who work for the betterment of society and also spread awareness in society. Community engagement also helps the organisation in many areas which also could enhance their business and also increase the productivity of the profitable organisation as well. The essay here will also include information about the different perspectives of community engagement. The essay will also carry out the decision about the benefits and also the challenges of community engagement. The essay will also include a discussion about the engagement of the stakeholders through social media. The essay will also include the discussion about the engagement of the stakeholders through social media platforms such as finding the stakeholders on the social media who share the same interest and also this way the stakeholders are kept engaged in the activities of the community engagements through social media platforms. The essay here will also include or carry out information about the best and possible ways to engage with the community members effectively through the use of social media platforms.</w:t>
      </w:r>
    </w:p>
    <w:p w14:paraId="4D051268" w14:textId="77777777" w:rsidR="00A21C70" w:rsidRDefault="00A21C70" w:rsidP="00A21C70">
      <w:pPr>
        <w:pStyle w:val="Heading1"/>
        <w:rPr>
          <w:rFonts w:eastAsia="Arial"/>
          <w:lang w:val="en-GB"/>
        </w:rPr>
      </w:pPr>
      <w:bookmarkStart w:id="1" w:name="_Toc109373527"/>
      <w:r>
        <w:rPr>
          <w:rFonts w:eastAsia="Arial"/>
          <w:lang w:val="en-GB"/>
        </w:rPr>
        <w:t>Main body</w:t>
      </w:r>
      <w:bookmarkEnd w:id="1"/>
    </w:p>
    <w:p w14:paraId="56A00515"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Community engagement is basically known as the group of people working together to achieve a particular goal and also to bring a change for a cause that could benefit the whole of the community or the groups (</w:t>
      </w:r>
      <w:r>
        <w:rPr>
          <w:rFonts w:ascii="Times New Roman" w:eastAsia="Times New Roman" w:hAnsi="Times New Roman" w:cs="Times New Roman"/>
          <w:color w:val="222222"/>
          <w:sz w:val="24"/>
          <w:szCs w:val="24"/>
          <w:highlight w:val="white"/>
          <w:lang w:val="en-GB"/>
        </w:rPr>
        <w:t xml:space="preserve">Natarajarathinam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2021</w:t>
      </w:r>
      <w:r>
        <w:rPr>
          <w:rFonts w:ascii="Times New Roman" w:eastAsia="Times New Roman" w:hAnsi="Times New Roman" w:cs="Times New Roman"/>
          <w:sz w:val="24"/>
          <w:szCs w:val="24"/>
          <w:lang w:val="en-GB"/>
        </w:rPr>
        <w:t xml:space="preserve">). These groups of people of the community here work as a team to bring a suitable change for the betterment and the well-being of the society and the people in and around. Community engagement is also known as the strategic process which brings out the different individuals who share the same purpose and work together in a group to achieve their target or goal in a very effective manner. There are basically four different types of community perspectives which include community engagement with </w:t>
      </w:r>
      <w:r>
        <w:rPr>
          <w:rFonts w:ascii="Times New Roman" w:eastAsia="Times New Roman" w:hAnsi="Times New Roman" w:cs="Times New Roman"/>
          <w:b/>
          <w:sz w:val="24"/>
          <w:szCs w:val="24"/>
          <w:lang w:val="en-GB"/>
        </w:rPr>
        <w:t xml:space="preserve">a focus on community development or community building, </w:t>
      </w:r>
      <w:r>
        <w:rPr>
          <w:rFonts w:ascii="Times New Roman" w:eastAsia="Times New Roman" w:hAnsi="Times New Roman" w:cs="Times New Roman"/>
          <w:sz w:val="24"/>
          <w:szCs w:val="24"/>
          <w:lang w:val="en-GB"/>
        </w:rPr>
        <w:t xml:space="preserve">community participation in </w:t>
      </w:r>
      <w:r>
        <w:rPr>
          <w:rFonts w:ascii="Times New Roman" w:eastAsia="Times New Roman" w:hAnsi="Times New Roman" w:cs="Times New Roman"/>
          <w:b/>
          <w:sz w:val="24"/>
          <w:szCs w:val="24"/>
          <w:lang w:val="en-GB"/>
        </w:rPr>
        <w:t xml:space="preserve">consultation and decision making, </w:t>
      </w:r>
      <w:r>
        <w:rPr>
          <w:rFonts w:ascii="Times New Roman" w:eastAsia="Times New Roman" w:hAnsi="Times New Roman" w:cs="Times New Roman"/>
          <w:sz w:val="24"/>
          <w:szCs w:val="24"/>
          <w:lang w:val="en-GB"/>
        </w:rPr>
        <w:t>community engagement that helps</w:t>
      </w:r>
      <w:r>
        <w:rPr>
          <w:rFonts w:ascii="Times New Roman" w:eastAsia="Times New Roman" w:hAnsi="Times New Roman" w:cs="Times New Roman"/>
          <w:b/>
          <w:sz w:val="24"/>
          <w:szCs w:val="24"/>
          <w:lang w:val="en-GB"/>
        </w:rPr>
        <w:t xml:space="preserve"> organisations and business achieve their targets or goals, </w:t>
      </w:r>
      <w:r>
        <w:rPr>
          <w:rFonts w:ascii="Times New Roman" w:eastAsia="Times New Roman" w:hAnsi="Times New Roman" w:cs="Times New Roman"/>
          <w:sz w:val="24"/>
          <w:szCs w:val="24"/>
          <w:lang w:val="en-GB"/>
        </w:rPr>
        <w:t>and lastly</w:t>
      </w:r>
      <w:r>
        <w:rPr>
          <w:rFonts w:ascii="Times New Roman" w:eastAsia="Times New Roman" w:hAnsi="Times New Roman" w:cs="Times New Roman"/>
          <w:b/>
          <w:sz w:val="24"/>
          <w:szCs w:val="24"/>
          <w:lang w:val="en-GB"/>
        </w:rPr>
        <w:t xml:space="preserve"> social change movements </w:t>
      </w:r>
      <w:r>
        <w:rPr>
          <w:rFonts w:ascii="Times New Roman" w:eastAsia="Times New Roman" w:hAnsi="Times New Roman" w:cs="Times New Roman"/>
          <w:sz w:val="24"/>
          <w:szCs w:val="24"/>
          <w:lang w:val="en-GB"/>
        </w:rPr>
        <w:t xml:space="preserve">as a part of work of voluntary community organisation. </w:t>
      </w:r>
      <w:r>
        <w:rPr>
          <w:rFonts w:ascii="Times New Roman" w:eastAsia="Times New Roman" w:hAnsi="Times New Roman" w:cs="Times New Roman"/>
          <w:b/>
          <w:sz w:val="24"/>
          <w:szCs w:val="24"/>
          <w:lang w:val="en-GB"/>
        </w:rPr>
        <w:t xml:space="preserve">Community building, </w:t>
      </w:r>
      <w:r>
        <w:rPr>
          <w:rFonts w:ascii="Times New Roman" w:eastAsia="Times New Roman" w:hAnsi="Times New Roman" w:cs="Times New Roman"/>
          <w:sz w:val="24"/>
          <w:szCs w:val="24"/>
          <w:lang w:val="en-GB"/>
        </w:rPr>
        <w:t>the community engagement here mainly focuses on adding up the members of the community and also wants the members of the community to actively take part in the event of the community which focuses on evolving the community in general (</w:t>
      </w:r>
      <w:r>
        <w:rPr>
          <w:rFonts w:ascii="Times New Roman" w:eastAsia="Times New Roman" w:hAnsi="Times New Roman" w:cs="Times New Roman"/>
          <w:color w:val="222222"/>
          <w:sz w:val="24"/>
          <w:szCs w:val="24"/>
          <w:highlight w:val="white"/>
          <w:lang w:val="en-GB"/>
        </w:rPr>
        <w:t xml:space="preserve">Mughal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2022</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b/>
          <w:sz w:val="24"/>
          <w:szCs w:val="24"/>
          <w:lang w:val="en-GB"/>
        </w:rPr>
        <w:t xml:space="preserve">Consultation and </w:t>
      </w:r>
      <w:r>
        <w:rPr>
          <w:rFonts w:ascii="Times New Roman" w:eastAsia="Times New Roman" w:hAnsi="Times New Roman" w:cs="Times New Roman"/>
          <w:b/>
          <w:sz w:val="24"/>
          <w:szCs w:val="24"/>
          <w:lang w:val="en-GB"/>
        </w:rPr>
        <w:lastRenderedPageBreak/>
        <w:t xml:space="preserve">decision-making, </w:t>
      </w:r>
      <w:r>
        <w:rPr>
          <w:rFonts w:ascii="Times New Roman" w:eastAsia="Times New Roman" w:hAnsi="Times New Roman" w:cs="Times New Roman"/>
          <w:sz w:val="24"/>
          <w:szCs w:val="24"/>
          <w:lang w:val="en-GB"/>
        </w:rPr>
        <w:t xml:space="preserve">here basically provide a tool that helps in thinking about the involvement of the community and its level which also helps in making effective decisions for the community. </w:t>
      </w:r>
      <w:r>
        <w:rPr>
          <w:rFonts w:ascii="Times New Roman" w:eastAsia="Times New Roman" w:hAnsi="Times New Roman" w:cs="Times New Roman"/>
          <w:b/>
          <w:sz w:val="24"/>
          <w:szCs w:val="24"/>
          <w:lang w:val="en-GB"/>
        </w:rPr>
        <w:t xml:space="preserve">Achieving organisational goals </w:t>
      </w:r>
      <w:r>
        <w:rPr>
          <w:rFonts w:ascii="Times New Roman" w:eastAsia="Times New Roman" w:hAnsi="Times New Roman" w:cs="Times New Roman"/>
          <w:sz w:val="24"/>
          <w:szCs w:val="24"/>
          <w:lang w:val="en-GB"/>
        </w:rPr>
        <w:t>is another perspective of community engagement (</w:t>
      </w:r>
      <w:r>
        <w:rPr>
          <w:rFonts w:ascii="Times New Roman" w:eastAsia="Times New Roman" w:hAnsi="Times New Roman" w:cs="Times New Roman"/>
          <w:color w:val="222222"/>
          <w:sz w:val="24"/>
          <w:szCs w:val="24"/>
          <w:highlight w:val="white"/>
          <w:lang w:val="en-GB"/>
        </w:rPr>
        <w:t xml:space="preserve">Henderson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xml:space="preserve">). Community management is also known as one of the important parts of the organisation to achieve its goals or targets both for the profitable and non-profitable organisation as well. This engagement here helps the organisation to increase their brand and also their new product awareness within the market and it also allows the organisation to learn about the needs of the customers within the market. </w:t>
      </w:r>
      <w:r>
        <w:rPr>
          <w:rFonts w:ascii="Times New Roman" w:eastAsia="Times New Roman" w:hAnsi="Times New Roman" w:cs="Times New Roman"/>
          <w:b/>
          <w:sz w:val="24"/>
          <w:szCs w:val="24"/>
          <w:lang w:val="en-GB"/>
        </w:rPr>
        <w:t xml:space="preserve">Social change movements, </w:t>
      </w:r>
      <w:r>
        <w:rPr>
          <w:rFonts w:ascii="Times New Roman" w:eastAsia="Times New Roman" w:hAnsi="Times New Roman" w:cs="Times New Roman"/>
          <w:sz w:val="24"/>
          <w:szCs w:val="24"/>
          <w:lang w:val="en-GB"/>
        </w:rPr>
        <w:t>the community engagements also help society and also reduce violence in the society and the country. This also helps in the favour of the movements, which are for the good cause and the people or the individuals or groups who seek justice and are innocent.</w:t>
      </w:r>
    </w:p>
    <w:p w14:paraId="53EFE6A5"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There are many challenges of community management that include </w:t>
      </w:r>
      <w:r>
        <w:rPr>
          <w:rFonts w:ascii="Times New Roman" w:eastAsia="Times New Roman" w:hAnsi="Times New Roman" w:cs="Times New Roman"/>
          <w:b/>
          <w:sz w:val="24"/>
          <w:szCs w:val="24"/>
          <w:lang w:val="en-GB"/>
        </w:rPr>
        <w:t xml:space="preserve">attitudes and expectations. </w:t>
      </w:r>
      <w:r>
        <w:rPr>
          <w:rFonts w:ascii="Times New Roman" w:eastAsia="Times New Roman" w:hAnsi="Times New Roman" w:cs="Times New Roman"/>
          <w:sz w:val="24"/>
          <w:szCs w:val="24"/>
          <w:lang w:val="en-GB"/>
        </w:rPr>
        <w:t>There may be some negative points for the community management and individuals often expect more (</w:t>
      </w:r>
      <w:r>
        <w:rPr>
          <w:rFonts w:ascii="Times New Roman" w:eastAsia="Times New Roman" w:hAnsi="Times New Roman" w:cs="Times New Roman"/>
          <w:color w:val="222222"/>
          <w:sz w:val="24"/>
          <w:szCs w:val="24"/>
          <w:highlight w:val="white"/>
          <w:lang w:val="en-GB"/>
        </w:rPr>
        <w:t>Moon, 2013</w:t>
      </w:r>
      <w:r>
        <w:rPr>
          <w:rFonts w:ascii="Times New Roman" w:eastAsia="Times New Roman" w:hAnsi="Times New Roman" w:cs="Times New Roman"/>
          <w:sz w:val="24"/>
          <w:szCs w:val="24"/>
          <w:lang w:val="en-GB"/>
        </w:rPr>
        <w:t xml:space="preserve">). There can be difficulties that can also affect the decision-making process through geographic or cultural barriers as they might lack resources and also the skills which could enhance their performance in decision making and also negatively impact the expectations of the people. The other challenges here include the </w:t>
      </w:r>
      <w:r>
        <w:rPr>
          <w:rFonts w:ascii="Times New Roman" w:eastAsia="Times New Roman" w:hAnsi="Times New Roman" w:cs="Times New Roman"/>
          <w:b/>
          <w:sz w:val="24"/>
          <w:szCs w:val="24"/>
          <w:lang w:val="en-GB"/>
        </w:rPr>
        <w:t xml:space="preserve">characteristics of urban communities, </w:t>
      </w:r>
      <w:r>
        <w:rPr>
          <w:rFonts w:ascii="Times New Roman" w:eastAsia="Times New Roman" w:hAnsi="Times New Roman" w:cs="Times New Roman"/>
          <w:sz w:val="24"/>
          <w:szCs w:val="24"/>
          <w:lang w:val="en-GB"/>
        </w:rPr>
        <w:t>the communities in the rural areas have more of close communities where the members here know each other and also have friendly behaviour among themselves. However, the communities in the urban area would not even know the members of their own community as the people in the urban areas have a diverse background which the member here do not share the same interest and also have conflicting behaviour towards each other (</w:t>
      </w:r>
      <w:r>
        <w:rPr>
          <w:rFonts w:ascii="Times New Roman" w:eastAsia="Times New Roman" w:hAnsi="Times New Roman" w:cs="Times New Roman"/>
          <w:color w:val="222222"/>
          <w:sz w:val="24"/>
          <w:szCs w:val="24"/>
          <w:highlight w:val="white"/>
          <w:lang w:val="en-GB"/>
        </w:rPr>
        <w:t>Holzer and Kass, 2019</w:t>
      </w:r>
      <w:r>
        <w:rPr>
          <w:rFonts w:ascii="Times New Roman" w:eastAsia="Times New Roman" w:hAnsi="Times New Roman" w:cs="Times New Roman"/>
          <w:sz w:val="24"/>
          <w:szCs w:val="24"/>
          <w:lang w:val="en-GB"/>
        </w:rPr>
        <w:t xml:space="preserve">). It even makes it hard if the members of the urban community speak different languages as this could be a barrier to them where they could not share information and also communicate with each other. The other challenges that the community management here could face are </w:t>
      </w:r>
      <w:r>
        <w:rPr>
          <w:rFonts w:ascii="Times New Roman" w:eastAsia="Times New Roman" w:hAnsi="Times New Roman" w:cs="Times New Roman"/>
          <w:b/>
          <w:sz w:val="24"/>
          <w:szCs w:val="24"/>
          <w:lang w:val="en-GB"/>
        </w:rPr>
        <w:t xml:space="preserve">including the women, </w:t>
      </w:r>
      <w:r>
        <w:rPr>
          <w:rFonts w:ascii="Times New Roman" w:eastAsia="Times New Roman" w:hAnsi="Times New Roman" w:cs="Times New Roman"/>
          <w:sz w:val="24"/>
          <w:szCs w:val="24"/>
          <w:lang w:val="en-GB"/>
        </w:rPr>
        <w:t>the women here could also help the community management, as they are very good at influencing safety and hygiene. It could help them to spread awareness within the society but due to their working culture of the women, it is very hard to include women as they have no time and are engaged in their work (</w:t>
      </w:r>
      <w:r>
        <w:rPr>
          <w:rFonts w:ascii="Times New Roman" w:eastAsia="Times New Roman" w:hAnsi="Times New Roman" w:cs="Times New Roman"/>
          <w:color w:val="222222"/>
          <w:sz w:val="24"/>
          <w:szCs w:val="24"/>
          <w:highlight w:val="white"/>
          <w:lang w:val="en-GB"/>
        </w:rPr>
        <w:t xml:space="preserve">Surucu-Balci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xml:space="preserve">). The women who do not work also have their responsibilities such as taking care of the kids and many more, which is why the women are not involved in community management.  </w:t>
      </w:r>
    </w:p>
    <w:p w14:paraId="357036FC"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community engagement principles here include </w:t>
      </w:r>
      <w:r>
        <w:rPr>
          <w:rFonts w:ascii="Times New Roman" w:eastAsia="Times New Roman" w:hAnsi="Times New Roman" w:cs="Times New Roman"/>
          <w:b/>
          <w:sz w:val="24"/>
          <w:szCs w:val="24"/>
          <w:lang w:val="en-GB"/>
        </w:rPr>
        <w:t xml:space="preserve">understanding the community, </w:t>
      </w:r>
      <w:r>
        <w:rPr>
          <w:rFonts w:ascii="Times New Roman" w:eastAsia="Times New Roman" w:hAnsi="Times New Roman" w:cs="Times New Roman"/>
          <w:sz w:val="24"/>
          <w:szCs w:val="24"/>
          <w:lang w:val="en-GB"/>
        </w:rPr>
        <w:t xml:space="preserve">understanding the members of the community here can help more, and also the community </w:t>
      </w:r>
      <w:r>
        <w:rPr>
          <w:rFonts w:ascii="Times New Roman" w:eastAsia="Times New Roman" w:hAnsi="Times New Roman" w:cs="Times New Roman"/>
          <w:sz w:val="24"/>
          <w:szCs w:val="24"/>
          <w:lang w:val="en-GB"/>
        </w:rPr>
        <w:lastRenderedPageBreak/>
        <w:t>management here should understand in what ways they want to get involved in the community. This is the first and the most basic thing that needs to be understood when engaged in community management (</w:t>
      </w:r>
      <w:r>
        <w:rPr>
          <w:rFonts w:ascii="Times New Roman" w:eastAsia="Times New Roman" w:hAnsi="Times New Roman" w:cs="Times New Roman"/>
          <w:color w:val="222222"/>
          <w:sz w:val="24"/>
          <w:szCs w:val="24"/>
          <w:highlight w:val="white"/>
          <w:lang w:val="en-GB"/>
        </w:rPr>
        <w:t>Weerts and Sandmann, 2019</w:t>
      </w:r>
      <w:r>
        <w:rPr>
          <w:rFonts w:ascii="Times New Roman" w:eastAsia="Times New Roman" w:hAnsi="Times New Roman" w:cs="Times New Roman"/>
          <w:sz w:val="24"/>
          <w:szCs w:val="24"/>
          <w:lang w:val="en-GB"/>
        </w:rPr>
        <w:t>). Here they can learn one of the established personas that could help them to understand the members of the community as well as the customer’s needs, experience, and behaviours that would be really helpful for community management as well. The second principle of community engagement refers to making the</w:t>
      </w:r>
      <w:r>
        <w:rPr>
          <w:rFonts w:ascii="Times New Roman" w:eastAsia="Times New Roman" w:hAnsi="Times New Roman" w:cs="Times New Roman"/>
          <w:b/>
          <w:sz w:val="24"/>
          <w:szCs w:val="24"/>
          <w:lang w:val="en-GB"/>
        </w:rPr>
        <w:t xml:space="preserve"> members of the community the star,</w:t>
      </w:r>
      <w:r>
        <w:rPr>
          <w:rFonts w:ascii="Times New Roman" w:eastAsia="Times New Roman" w:hAnsi="Times New Roman" w:cs="Times New Roman"/>
          <w:sz w:val="24"/>
          <w:szCs w:val="24"/>
          <w:lang w:val="en-GB"/>
        </w:rPr>
        <w:t xml:space="preserve"> this is also an important principle that focuses on the importance of their people and the connections of their own which helps them to grow and expand. The community management here strongly believes in and gives chance to the member of the community engagement to be engaged in big commerce which could make the member of the community a star. This could encourage more people and attract more individuals to join the community management. The people of the same interest here join the community and giving each member a chance to take the spotlight can be very helpful in motivating them and keep going in the long run (</w:t>
      </w:r>
      <w:r>
        <w:rPr>
          <w:rFonts w:ascii="Times New Roman" w:eastAsia="Times New Roman" w:hAnsi="Times New Roman" w:cs="Times New Roman"/>
          <w:color w:val="222222"/>
          <w:sz w:val="24"/>
          <w:szCs w:val="24"/>
          <w:highlight w:val="white"/>
          <w:lang w:val="en-GB"/>
        </w:rPr>
        <w:t>Newman, 2020</w:t>
      </w:r>
      <w:r>
        <w:rPr>
          <w:rFonts w:ascii="Times New Roman" w:eastAsia="Times New Roman" w:hAnsi="Times New Roman" w:cs="Times New Roman"/>
          <w:sz w:val="24"/>
          <w:szCs w:val="24"/>
          <w:lang w:val="en-GB"/>
        </w:rPr>
        <w:t xml:space="preserve">). The third principle here includes </w:t>
      </w:r>
      <w:r>
        <w:rPr>
          <w:rFonts w:ascii="Times New Roman" w:eastAsia="Times New Roman" w:hAnsi="Times New Roman" w:cs="Times New Roman"/>
          <w:b/>
          <w:sz w:val="24"/>
          <w:szCs w:val="24"/>
          <w:lang w:val="en-GB"/>
        </w:rPr>
        <w:t xml:space="preserve">making it easier for the members to participate, </w:t>
      </w:r>
      <w:r>
        <w:rPr>
          <w:rFonts w:ascii="Times New Roman" w:eastAsia="Times New Roman" w:hAnsi="Times New Roman" w:cs="Times New Roman"/>
          <w:sz w:val="24"/>
          <w:szCs w:val="24"/>
          <w:lang w:val="en-GB"/>
        </w:rPr>
        <w:t xml:space="preserve">this refers to encouraging the members of their community to participate and start with small fun activities in which they can perform well and gain confidence which could enhance their performance and also encourage them more. These activities should be of a short time period that can be attended easily for the members who are busy and contribute their presence and performance in the task. The fourth principle of community management here includes that the </w:t>
      </w:r>
      <w:r>
        <w:rPr>
          <w:rFonts w:ascii="Times New Roman" w:eastAsia="Times New Roman" w:hAnsi="Times New Roman" w:cs="Times New Roman"/>
          <w:b/>
          <w:sz w:val="24"/>
          <w:szCs w:val="24"/>
          <w:lang w:val="en-GB"/>
        </w:rPr>
        <w:t>leader of the community also should work or participate</w:t>
      </w:r>
      <w:r>
        <w:rPr>
          <w:rFonts w:ascii="Times New Roman" w:eastAsia="Times New Roman" w:hAnsi="Times New Roman" w:cs="Times New Roman"/>
          <w:sz w:val="24"/>
          <w:szCs w:val="24"/>
          <w:lang w:val="en-GB"/>
        </w:rPr>
        <w:t xml:space="preserve"> with the members. Participating or engaging with the members of the community can help in building good relationships with the members and also will get to know the members more properly (</w:t>
      </w:r>
      <w:r>
        <w:rPr>
          <w:rFonts w:ascii="Times New Roman" w:eastAsia="Times New Roman" w:hAnsi="Times New Roman" w:cs="Times New Roman"/>
          <w:color w:val="222222"/>
          <w:sz w:val="24"/>
          <w:szCs w:val="24"/>
          <w:highlight w:val="white"/>
          <w:lang w:val="en-GB"/>
        </w:rPr>
        <w:t>Day, 2006</w:t>
      </w:r>
      <w:r>
        <w:rPr>
          <w:rFonts w:ascii="Times New Roman" w:eastAsia="Times New Roman" w:hAnsi="Times New Roman" w:cs="Times New Roman"/>
          <w:sz w:val="24"/>
          <w:szCs w:val="24"/>
          <w:lang w:val="en-GB"/>
        </w:rPr>
        <w:t xml:space="preserve">). This way they will build trust in the leaders that will also help the community to work with their full efficiency and also have fun with each other which will have a positive impact on the community management. The fifth principle here includes </w:t>
      </w:r>
      <w:r>
        <w:rPr>
          <w:rFonts w:ascii="Times New Roman" w:eastAsia="Times New Roman" w:hAnsi="Times New Roman" w:cs="Times New Roman"/>
          <w:b/>
          <w:sz w:val="24"/>
          <w:szCs w:val="24"/>
          <w:lang w:val="en-GB"/>
        </w:rPr>
        <w:t xml:space="preserve">being consistent. </w:t>
      </w:r>
      <w:r>
        <w:rPr>
          <w:rFonts w:ascii="Times New Roman" w:eastAsia="Times New Roman" w:hAnsi="Times New Roman" w:cs="Times New Roman"/>
          <w:sz w:val="24"/>
          <w:szCs w:val="24"/>
          <w:lang w:val="en-GB"/>
        </w:rPr>
        <w:t>To make every member engaged more in the activity is more important and also it takes a lot of time. Being consistent and working effectively with a plan can help them to get engaged on more of the task with the time and can have a positive result. Consistency is the key factor here as engagement of the members in every task or activity here will take time.</w:t>
      </w:r>
    </w:p>
    <w:p w14:paraId="2CFA42BB"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stakeholders are basically known as the group or the people who are interested in a project and also join the project through direct engagements and also support a particular project in which they are interested (</w:t>
      </w:r>
      <w:r>
        <w:rPr>
          <w:rFonts w:ascii="Times New Roman" w:eastAsia="Times New Roman" w:hAnsi="Times New Roman" w:cs="Times New Roman"/>
          <w:color w:val="222222"/>
          <w:sz w:val="24"/>
          <w:szCs w:val="24"/>
          <w:highlight w:val="white"/>
          <w:lang w:val="en-GB"/>
        </w:rPr>
        <w:t xml:space="preserve">Geekiyanage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xml:space="preserve">). The community-level stakeholders here are basically one who acts as a head of a particular group of the community. The stakeholders here help in making better decisions for the community that also helps in enhancing their </w:t>
      </w:r>
      <w:r>
        <w:rPr>
          <w:rFonts w:ascii="Times New Roman" w:eastAsia="Times New Roman" w:hAnsi="Times New Roman" w:cs="Times New Roman"/>
          <w:sz w:val="24"/>
          <w:szCs w:val="24"/>
          <w:lang w:val="en-GB"/>
        </w:rPr>
        <w:lastRenderedPageBreak/>
        <w:t>performance and also delivering more of the ideas to the well-being of the community (</w:t>
      </w:r>
      <w:r>
        <w:rPr>
          <w:rFonts w:ascii="Times New Roman" w:eastAsia="Times New Roman" w:hAnsi="Times New Roman" w:cs="Times New Roman"/>
          <w:color w:val="222222"/>
          <w:sz w:val="24"/>
          <w:szCs w:val="24"/>
          <w:highlight w:val="white"/>
          <w:lang w:val="en-GB"/>
        </w:rPr>
        <w:t>Benneworth, 2018</w:t>
      </w:r>
      <w:r>
        <w:rPr>
          <w:rFonts w:ascii="Times New Roman" w:eastAsia="Times New Roman" w:hAnsi="Times New Roman" w:cs="Times New Roman"/>
          <w:sz w:val="24"/>
          <w:szCs w:val="24"/>
          <w:lang w:val="en-GB"/>
        </w:rPr>
        <w:t>). The stakeholders also make and deliver the best ideas that could help in the well-being of the community management and also help in involving more of the groups or the individuals in the community management. Engaging with the community stakeholders here could really benefit the business or the society as it helps them to make perfect decisions for the benefit of the business or the society that could be very beneficial for the well-being and also increase the business profit. The community stakeholders also have the perfect knowledge about their surroundings and also know the needs of the members of the community or the individuals. They also help in resolving the conflict and also help in making the business organisation more active for the pole which would increase their sales as they deliver the understanding of the people to the business organisation as well. The stakeholders here also help the society or the business organisation by boosting recruitment and adding more of the work force towards the business or the community that could enhance their performance by adding more skilful individuals which could also boost their performance increasing their productivity.</w:t>
      </w:r>
    </w:p>
    <w:p w14:paraId="17DEC9F7"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Social media is one of the most effective ways to be connected to a large number of audiences and deliver the message to a large number of individuals in a short period of time. Social media these days are one of the mediums that provide the business with greater opportunities or areas to enhance their performance and also expand their business in the global or the international market (</w:t>
      </w:r>
      <w:r>
        <w:rPr>
          <w:rFonts w:ascii="Times New Roman" w:eastAsia="Times New Roman" w:hAnsi="Times New Roman" w:cs="Times New Roman"/>
          <w:color w:val="222222"/>
          <w:sz w:val="24"/>
          <w:szCs w:val="24"/>
          <w:highlight w:val="white"/>
          <w:lang w:val="en-GB"/>
        </w:rPr>
        <w:t xml:space="preserve">Kim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xml:space="preserve">). Social media helps the news to spread faster than any other medium these days. To make the stakeholders engage through the social media platform the first step here is to </w:t>
      </w:r>
      <w:r>
        <w:rPr>
          <w:rFonts w:ascii="Times New Roman" w:eastAsia="Times New Roman" w:hAnsi="Times New Roman" w:cs="Times New Roman"/>
          <w:b/>
          <w:sz w:val="24"/>
          <w:szCs w:val="24"/>
          <w:lang w:val="en-GB"/>
        </w:rPr>
        <w:t>maintain a social media presence</w:t>
      </w:r>
      <w:r>
        <w:rPr>
          <w:rFonts w:ascii="Times New Roman" w:eastAsia="Times New Roman" w:hAnsi="Times New Roman" w:cs="Times New Roman"/>
          <w:sz w:val="24"/>
          <w:szCs w:val="24"/>
          <w:lang w:val="en-GB"/>
        </w:rPr>
        <w:t xml:space="preserve"> in the community. This is the most basic step to making the stakeholders engage in the social media platforms. The social media presence is the key that will drive the stakeholders toward the organisation. The profile that the organisation here should create shares the same interest and the goal of the organisation which the stakeholders of the same interest will look at and then follow or get engaged with the profile of the organisation through the use of social media. This could help in engaging the stakeholders in community management through the use of social media. The second step or the strategy here has to search for the </w:t>
      </w:r>
      <w:r>
        <w:rPr>
          <w:rFonts w:ascii="Times New Roman" w:eastAsia="Times New Roman" w:hAnsi="Times New Roman" w:cs="Times New Roman"/>
          <w:b/>
          <w:sz w:val="24"/>
          <w:szCs w:val="24"/>
          <w:lang w:val="en-GB"/>
        </w:rPr>
        <w:t xml:space="preserve">conversion of the stakeholders </w:t>
      </w:r>
      <w:r>
        <w:rPr>
          <w:rFonts w:ascii="Times New Roman" w:eastAsia="Times New Roman" w:hAnsi="Times New Roman" w:cs="Times New Roman"/>
          <w:sz w:val="24"/>
          <w:szCs w:val="24"/>
          <w:lang w:val="en-GB"/>
        </w:rPr>
        <w:t>on the social media platforms. This way the community engagement here can find out the interest of the stakeholders and also can know if the stakeholders here are talking about the community engagement or not (</w:t>
      </w:r>
      <w:r>
        <w:rPr>
          <w:rFonts w:ascii="Times New Roman" w:eastAsia="Times New Roman" w:hAnsi="Times New Roman" w:cs="Times New Roman"/>
          <w:color w:val="222222"/>
          <w:sz w:val="24"/>
          <w:szCs w:val="24"/>
          <w:highlight w:val="white"/>
          <w:lang w:val="en-GB"/>
        </w:rPr>
        <w:t xml:space="preserve">Woodson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2019</w:t>
      </w:r>
      <w:r>
        <w:rPr>
          <w:rFonts w:ascii="Times New Roman" w:eastAsia="Times New Roman" w:hAnsi="Times New Roman" w:cs="Times New Roman"/>
          <w:sz w:val="24"/>
          <w:szCs w:val="24"/>
          <w:lang w:val="en-GB"/>
        </w:rPr>
        <w:t xml:space="preserve">). There will be some negative comments or conversations against the community engagement but here they should act polite and try to solve the problems which they face. This can also make the stakeholders engage in community </w:t>
      </w:r>
      <w:r>
        <w:rPr>
          <w:rFonts w:ascii="Times New Roman" w:eastAsia="Times New Roman" w:hAnsi="Times New Roman" w:cs="Times New Roman"/>
          <w:sz w:val="24"/>
          <w:szCs w:val="24"/>
          <w:lang w:val="en-GB"/>
        </w:rPr>
        <w:lastRenderedPageBreak/>
        <w:t>engagement through the social media platform (</w:t>
      </w:r>
      <w:r>
        <w:rPr>
          <w:rFonts w:ascii="Times New Roman" w:eastAsia="Times New Roman" w:hAnsi="Times New Roman" w:cs="Times New Roman"/>
          <w:color w:val="222222"/>
          <w:sz w:val="24"/>
          <w:szCs w:val="24"/>
          <w:highlight w:val="white"/>
          <w:lang w:val="en-GB"/>
        </w:rPr>
        <w:t>Bracic, 2018</w:t>
      </w:r>
      <w:r>
        <w:rPr>
          <w:rFonts w:ascii="Times New Roman" w:eastAsia="Times New Roman" w:hAnsi="Times New Roman" w:cs="Times New Roman"/>
          <w:sz w:val="24"/>
          <w:szCs w:val="24"/>
          <w:lang w:val="en-GB"/>
        </w:rPr>
        <w:t xml:space="preserve">). The next step or way to get stakeholder engagement in the community engagement through social media is to </w:t>
      </w:r>
      <w:r>
        <w:rPr>
          <w:rFonts w:ascii="Times New Roman" w:eastAsia="Times New Roman" w:hAnsi="Times New Roman" w:cs="Times New Roman"/>
          <w:b/>
          <w:sz w:val="24"/>
          <w:szCs w:val="24"/>
          <w:lang w:val="en-GB"/>
        </w:rPr>
        <w:t>target stakeholders by their interest</w:t>
      </w:r>
      <w:r>
        <w:rPr>
          <w:rFonts w:ascii="Times New Roman" w:eastAsia="Times New Roman" w:hAnsi="Times New Roman" w:cs="Times New Roman"/>
          <w:sz w:val="24"/>
          <w:szCs w:val="24"/>
          <w:lang w:val="en-GB"/>
        </w:rPr>
        <w:t xml:space="preserve">s. The social media platforms here share the public interest and also the community engagement here can find or identify the stakeholders who share their interest in the social media. By finding these stakeholders, the community here can interact with them. This way the stakeholders can be engaged in community engagement through social media. The last step or strategy here is to </w:t>
      </w:r>
      <w:r>
        <w:rPr>
          <w:rFonts w:ascii="Times New Roman" w:eastAsia="Times New Roman" w:hAnsi="Times New Roman" w:cs="Times New Roman"/>
          <w:b/>
          <w:sz w:val="24"/>
          <w:szCs w:val="24"/>
          <w:lang w:val="en-GB"/>
        </w:rPr>
        <w:t>share relevant content</w:t>
      </w:r>
      <w:r>
        <w:rPr>
          <w:rFonts w:ascii="Times New Roman" w:eastAsia="Times New Roman" w:hAnsi="Times New Roman" w:cs="Times New Roman"/>
          <w:sz w:val="24"/>
          <w:szCs w:val="24"/>
          <w:lang w:val="en-GB"/>
        </w:rPr>
        <w:t>. This is one of the best and most effective ways to make the stakeholders engaged in community engagement as it delivers the content to the stakeholders about their interest in the community. This step here mainly attracts the stakeholders by seeing the relevant content and also follows the social media profile of the community engagement sharing the same relevant interest of their own. These are the ways or the strategies that mainly make the stakeholders engage in community engagement through the use of social media platforms.</w:t>
      </w:r>
    </w:p>
    <w:p w14:paraId="58F6CDE3"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Social media platforms here are very useful for the business organisation and also for the community to reach out to their members and engage with them in very effective ways or manners (</w:t>
      </w:r>
      <w:r>
        <w:rPr>
          <w:rFonts w:ascii="Times New Roman" w:eastAsia="Times New Roman" w:hAnsi="Times New Roman" w:cs="Times New Roman"/>
          <w:color w:val="222222"/>
          <w:sz w:val="24"/>
          <w:szCs w:val="24"/>
          <w:highlight w:val="white"/>
          <w:lang w:val="en-GB"/>
        </w:rPr>
        <w:t xml:space="preserve">Aversano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 To make the members of the community engagement on social media the first step here is to find the members of the community on the different platforms of social media. Social media platforms are one of the most effective mediums to engage with the members of the community as it helps in connecting more than one person at a time and also can include activities that can be beneficial for the community as well. Finding the members here should be the first step to reaching out to the members of the community and engaging with them. The second step here includes making a group on social media where everyone can have access to and communicate with each other. This is also an effective way to engage the members of the community (</w:t>
      </w:r>
      <w:r>
        <w:rPr>
          <w:rFonts w:ascii="Times New Roman" w:eastAsia="Times New Roman" w:hAnsi="Times New Roman" w:cs="Times New Roman"/>
          <w:color w:val="222222"/>
          <w:sz w:val="24"/>
          <w:szCs w:val="24"/>
          <w:highlight w:val="white"/>
          <w:lang w:val="en-GB"/>
        </w:rPr>
        <w:t>Chang and Hsu, 2022</w:t>
      </w:r>
      <w:r>
        <w:rPr>
          <w:rFonts w:ascii="Times New Roman" w:eastAsia="Times New Roman" w:hAnsi="Times New Roman" w:cs="Times New Roman"/>
          <w:sz w:val="24"/>
          <w:szCs w:val="24"/>
          <w:lang w:val="en-GB"/>
        </w:rPr>
        <w:t>). It is also an effective way to make the members engage with the group of the community and also by maintaining a friendly environment this way every individual will come up with such friendly behaviour towards each other. The third step here includes the participation of each and every individual. The participation of every member here will increase the friendly bonding within the community and also will get a chance to each and every individual of the community and also the skills which they acquire. This way participating in more activities can be very beneficial and will also make the individuals active and more creative (</w:t>
      </w:r>
      <w:r>
        <w:rPr>
          <w:rFonts w:ascii="Times New Roman" w:eastAsia="Times New Roman" w:hAnsi="Times New Roman" w:cs="Times New Roman"/>
          <w:color w:val="222222"/>
          <w:sz w:val="24"/>
          <w:szCs w:val="24"/>
          <w:highlight w:val="white"/>
          <w:lang w:val="en-GB"/>
        </w:rPr>
        <w:t>Tregidga and Milne, 2020</w:t>
      </w:r>
      <w:r>
        <w:rPr>
          <w:rFonts w:ascii="Times New Roman" w:eastAsia="Times New Roman" w:hAnsi="Times New Roman" w:cs="Times New Roman"/>
          <w:sz w:val="24"/>
          <w:szCs w:val="24"/>
          <w:lang w:val="en-GB"/>
        </w:rPr>
        <w:t xml:space="preserve">). The fourth step here is to have fun with all the members and make them realize that being a member of the community is fun. That way more of the individuals or the members will get engaged more in the social media platform and will also make the community more creative and responsive. The </w:t>
      </w:r>
      <w:r>
        <w:rPr>
          <w:rFonts w:ascii="Times New Roman" w:eastAsia="Times New Roman" w:hAnsi="Times New Roman" w:cs="Times New Roman"/>
          <w:sz w:val="24"/>
          <w:szCs w:val="24"/>
          <w:lang w:val="en-GB"/>
        </w:rPr>
        <w:lastRenderedPageBreak/>
        <w:t>last step here is to thank every individual for their engagement with the community as showing kind gestures to the members of the community could help them to encourage or take part in more of the activities that will be a part of the community engagement through the use of the social media platforms (</w:t>
      </w:r>
      <w:r>
        <w:rPr>
          <w:rFonts w:ascii="Times New Roman" w:eastAsia="Times New Roman" w:hAnsi="Times New Roman" w:cs="Times New Roman"/>
          <w:color w:val="222222"/>
          <w:sz w:val="24"/>
          <w:szCs w:val="24"/>
          <w:highlight w:val="white"/>
          <w:lang w:val="en-GB"/>
        </w:rPr>
        <w:t>Rosa</w:t>
      </w:r>
      <w:r>
        <w:rPr>
          <w:rFonts w:ascii="Times New Roman" w:eastAsia="Times New Roman" w:hAnsi="Times New Roman" w:cs="Times New Roman"/>
          <w:i/>
          <w:color w:val="222222"/>
          <w:sz w:val="24"/>
          <w:szCs w:val="24"/>
          <w:highlight w:val="white"/>
          <w:lang w:val="en-GB"/>
        </w:rPr>
        <w:t xml:space="preserve"> et al</w:t>
      </w:r>
      <w:r>
        <w:rPr>
          <w:rFonts w:ascii="Times New Roman" w:eastAsia="Times New Roman" w:hAnsi="Times New Roman" w:cs="Times New Roman"/>
          <w:color w:val="222222"/>
          <w:sz w:val="24"/>
          <w:szCs w:val="24"/>
          <w:highlight w:val="white"/>
          <w:lang w:val="en-GB"/>
        </w:rPr>
        <w:t>., 2020</w:t>
      </w:r>
      <w:r>
        <w:rPr>
          <w:rFonts w:ascii="Times New Roman" w:eastAsia="Times New Roman" w:hAnsi="Times New Roman" w:cs="Times New Roman"/>
          <w:sz w:val="24"/>
          <w:szCs w:val="24"/>
          <w:lang w:val="en-GB"/>
        </w:rPr>
        <w:t>).</w:t>
      </w:r>
    </w:p>
    <w:p w14:paraId="0F457068"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Personal involvement is also important in the community as the individuals here are the ones who can help the community to achieve its goals or targets in a short period of time. The personal involvement of self-involvement also contributes to the very task or activities of the community that also improves their intrapersonal skills such as motivation skills which helps the individuals to be motivated all the time and proceed with the task making the activity a success. Joining these cavities or tasks can also help the individuals to develop skills such as creative thinking and time communication (</w:t>
      </w:r>
      <w:r>
        <w:rPr>
          <w:rFonts w:ascii="Times New Roman" w:eastAsia="Times New Roman" w:hAnsi="Times New Roman" w:cs="Times New Roman"/>
          <w:color w:val="222222"/>
          <w:sz w:val="24"/>
          <w:szCs w:val="24"/>
          <w:highlight w:val="white"/>
          <w:lang w:val="en-GB"/>
        </w:rPr>
        <w:t xml:space="preserve">Beattie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2019</w:t>
      </w:r>
      <w:r>
        <w:rPr>
          <w:rFonts w:ascii="Times New Roman" w:eastAsia="Times New Roman" w:hAnsi="Times New Roman" w:cs="Times New Roman"/>
          <w:sz w:val="24"/>
          <w:szCs w:val="24"/>
          <w:lang w:val="en-GB"/>
        </w:rPr>
        <w:t>). These skills will help in each and every activity of the community and the individuals who develop these skills will basically take the spotlight within every task and be the spotlight of the community. This skill also helps the individuals to understand the situations more properly and act accordingly to achieve the target or the goals within the community. Creative thinking allows individuals to think in a different way than the other which can also help in solving the problem, analysing the situation, and also being open-minded which allows the individuals to think positively about all the situations that arise (</w:t>
      </w:r>
      <w:r>
        <w:rPr>
          <w:rFonts w:ascii="Times New Roman" w:eastAsia="Times New Roman" w:hAnsi="Times New Roman" w:cs="Times New Roman"/>
          <w:color w:val="222222"/>
          <w:sz w:val="24"/>
          <w:szCs w:val="24"/>
          <w:highlight w:val="white"/>
          <w:lang w:val="en-GB"/>
        </w:rPr>
        <w:t xml:space="preserve">Miller </w:t>
      </w:r>
      <w:r>
        <w:rPr>
          <w:rFonts w:ascii="Times New Roman" w:eastAsia="Times New Roman" w:hAnsi="Times New Roman" w:cs="Times New Roman"/>
          <w:i/>
          <w:color w:val="222222"/>
          <w:sz w:val="24"/>
          <w:szCs w:val="24"/>
          <w:highlight w:val="white"/>
          <w:lang w:val="en-GB"/>
        </w:rPr>
        <w:t>et al</w:t>
      </w:r>
      <w:r>
        <w:rPr>
          <w:rFonts w:ascii="Times New Roman" w:eastAsia="Times New Roman" w:hAnsi="Times New Roman" w:cs="Times New Roman"/>
          <w:color w:val="222222"/>
          <w:sz w:val="24"/>
          <w:szCs w:val="24"/>
          <w:highlight w:val="white"/>
          <w:lang w:val="en-GB"/>
        </w:rPr>
        <w:t>., 2018</w:t>
      </w:r>
      <w:r>
        <w:rPr>
          <w:rFonts w:ascii="Times New Roman" w:eastAsia="Times New Roman" w:hAnsi="Times New Roman" w:cs="Times New Roman"/>
          <w:sz w:val="24"/>
          <w:szCs w:val="24"/>
          <w:lang w:val="en-GB"/>
        </w:rPr>
        <w:t>). The interpersonal and creative thinking skills here can also boost the efficiency of the community and also help the community to increase their performance through the involvement of the individuals who acquire these skills which also develops the skills and also helps the community at the same time.</w:t>
      </w:r>
    </w:p>
    <w:p w14:paraId="75F611AE" w14:textId="77777777" w:rsidR="00A21C70" w:rsidRDefault="00A21C70" w:rsidP="00A21C70">
      <w:pPr>
        <w:pStyle w:val="Heading1"/>
        <w:rPr>
          <w:rFonts w:eastAsia="Arial"/>
          <w:lang w:val="en-GB"/>
        </w:rPr>
      </w:pPr>
      <w:bookmarkStart w:id="2" w:name="_Toc109373528"/>
      <w:r>
        <w:rPr>
          <w:rFonts w:eastAsia="Arial"/>
          <w:lang w:val="en-GB"/>
        </w:rPr>
        <w:t>Conclusion</w:t>
      </w:r>
      <w:bookmarkEnd w:id="2"/>
    </w:p>
    <w:p w14:paraId="7C11407C" w14:textId="77777777" w:rsidR="00A21C70" w:rsidRDefault="00A21C70" w:rsidP="00A21C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above essay states that community engagement is a group of individuals who work together for achieving a particular goal. Working together in a group can help in solving problems and also help them to perform effectively with the group of individuals. The essay here also describes the four different perspectives of community engagement such as community building, decision making, helping business organisations to achieve their goals, and lastly social change movements. These are the four perspectives of community engagement and which contribute to the well-being of the society, organisation, and also the pole within the society or a community. The essay also describes the challenges of community engagement that include the attitudes and the high level of expectation of the people, the characteristics of the urban community, and lastly the engagement of the women. The essay here states that the </w:t>
      </w:r>
      <w:r>
        <w:rPr>
          <w:rFonts w:ascii="Times New Roman" w:eastAsia="Times New Roman" w:hAnsi="Times New Roman" w:cs="Times New Roman"/>
          <w:sz w:val="24"/>
          <w:szCs w:val="24"/>
          <w:lang w:val="en-GB"/>
        </w:rPr>
        <w:lastRenderedPageBreak/>
        <w:t>people have high expectations towards the community but sometimes they are really disappointed because the community sometimes lacks resources and skills due to some of the barriers which can affect the result and the high expectations of the people. The characteristics of the urban communities include diverse backgrounds of people within the community and also the urban communities or the individuals within the urban communities will not even know each other; this is the second barrier or challenge to community engagement. The third challenge is the engagement of the worm as women are busy with their work or have to look after their families and could not attend the activities of the community. Women are basically good at spreading awareness such as hygiene in society but due to their busy lives, they cannot take part in the events of the community. The essay also states the importance of stakeholders and also their management through social media platforms in community engagement. The essay also describes the ways or strategies through which they can actively engage with the members of the community through the use of social media.</w:t>
      </w:r>
    </w:p>
    <w:p w14:paraId="3CE3D40D"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p>
    <w:p w14:paraId="0B4ACC12"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p>
    <w:p w14:paraId="4F837DBE"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p>
    <w:p w14:paraId="027BCC80"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p>
    <w:p w14:paraId="6261023F" w14:textId="77777777" w:rsidR="00A21C70" w:rsidRDefault="00A21C70" w:rsidP="00A21C70">
      <w:pPr>
        <w:pStyle w:val="Normal1"/>
        <w:spacing w:line="360" w:lineRule="auto"/>
        <w:jc w:val="both"/>
        <w:rPr>
          <w:rFonts w:ascii="Times New Roman" w:eastAsia="Times New Roman" w:hAnsi="Times New Roman" w:cs="Times New Roman"/>
          <w:b/>
          <w:sz w:val="32"/>
          <w:szCs w:val="32"/>
          <w:lang w:val="en-GB"/>
        </w:rPr>
      </w:pPr>
      <w:r>
        <w:br w:type="page"/>
      </w:r>
    </w:p>
    <w:p w14:paraId="3EA00A20" w14:textId="77777777" w:rsidR="00A21C70" w:rsidRDefault="00A21C70" w:rsidP="00A21C70">
      <w:pPr>
        <w:pStyle w:val="Heading1"/>
        <w:rPr>
          <w:rFonts w:eastAsia="Arial"/>
          <w:lang w:val="en-GB"/>
        </w:rPr>
      </w:pPr>
      <w:bookmarkStart w:id="3" w:name="_Toc109373529"/>
      <w:r>
        <w:rPr>
          <w:rFonts w:eastAsia="Arial"/>
          <w:lang w:val="en-GB"/>
        </w:rPr>
        <w:lastRenderedPageBreak/>
        <w:t>References</w:t>
      </w:r>
      <w:bookmarkEnd w:id="3"/>
      <w:r>
        <w:rPr>
          <w:rFonts w:eastAsia="Arial"/>
          <w:lang w:val="en-GB"/>
        </w:rPr>
        <w:t xml:space="preserve"> </w:t>
      </w:r>
    </w:p>
    <w:p w14:paraId="1CB132F0"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Aversano, N., Di Carlo, F., Sannino, G., Tartaglia Polcini, P. and Lombardi, R., 2020. Corporate social responsibility, stakeholder engagement, and universities: New evidence from the scenario. </w:t>
      </w:r>
      <w:r>
        <w:rPr>
          <w:rFonts w:ascii="Times New Roman" w:eastAsia="Times New Roman" w:hAnsi="Times New Roman" w:cs="Times New Roman"/>
          <w:i/>
          <w:sz w:val="24"/>
          <w:szCs w:val="24"/>
          <w:highlight w:val="white"/>
          <w:lang w:val="en-GB"/>
        </w:rPr>
        <w:t>Corporate Social Responsibility and Environmental Management</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27</w:t>
      </w:r>
      <w:r>
        <w:rPr>
          <w:rFonts w:ascii="Times New Roman" w:eastAsia="Times New Roman" w:hAnsi="Times New Roman" w:cs="Times New Roman"/>
          <w:sz w:val="24"/>
          <w:szCs w:val="24"/>
          <w:highlight w:val="white"/>
          <w:lang w:val="en-GB"/>
        </w:rPr>
        <w:t>(4), pp.1892-1899.</w:t>
      </w:r>
    </w:p>
    <w:p w14:paraId="54FBD556"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Beattie, P.N., Lamm, A.J., Bunch, J.C. and Lundy, L.K., 2019. Communicating with 4-H Stakeholders: Examining Social Media Use in Rural and Urban Programs. </w:t>
      </w:r>
      <w:r>
        <w:rPr>
          <w:rFonts w:ascii="Times New Roman" w:eastAsia="Times New Roman" w:hAnsi="Times New Roman" w:cs="Times New Roman"/>
          <w:i/>
          <w:sz w:val="24"/>
          <w:szCs w:val="24"/>
          <w:highlight w:val="white"/>
          <w:lang w:val="en-GB"/>
        </w:rPr>
        <w:t>Journal of Agricultural Education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60</w:t>
      </w:r>
      <w:r>
        <w:rPr>
          <w:rFonts w:ascii="Times New Roman" w:eastAsia="Times New Roman" w:hAnsi="Times New Roman" w:cs="Times New Roman"/>
          <w:sz w:val="24"/>
          <w:szCs w:val="24"/>
          <w:highlight w:val="white"/>
          <w:lang w:val="en-GB"/>
        </w:rPr>
        <w:t>(1), pp.202-223.</w:t>
      </w:r>
    </w:p>
    <w:p w14:paraId="5C342E44"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Benneworth, P., 2018. Definitions, approaches and challenges to community engagement. </w:t>
      </w:r>
      <w:r>
        <w:rPr>
          <w:rFonts w:ascii="Times New Roman" w:eastAsia="Times New Roman" w:hAnsi="Times New Roman" w:cs="Times New Roman"/>
          <w:i/>
          <w:sz w:val="24"/>
          <w:szCs w:val="24"/>
          <w:highlight w:val="white"/>
          <w:lang w:val="en-GB"/>
        </w:rPr>
        <w:t>Mapping and Critical Synthesis of Current State-of-the-Art 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16</w:t>
      </w:r>
      <w:r>
        <w:rPr>
          <w:rFonts w:ascii="Times New Roman" w:eastAsia="Times New Roman" w:hAnsi="Times New Roman" w:cs="Times New Roman"/>
          <w:sz w:val="24"/>
          <w:szCs w:val="24"/>
          <w:highlight w:val="white"/>
          <w:lang w:val="en-GB"/>
        </w:rPr>
        <w:t>.</w:t>
      </w:r>
    </w:p>
    <w:p w14:paraId="58DFC15D"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Bracic, A., 2018. For better science: The benefits of community engagement in research. </w:t>
      </w:r>
      <w:r>
        <w:rPr>
          <w:rFonts w:ascii="Times New Roman" w:eastAsia="Times New Roman" w:hAnsi="Times New Roman" w:cs="Times New Roman"/>
          <w:i/>
          <w:sz w:val="24"/>
          <w:szCs w:val="24"/>
          <w:highlight w:val="white"/>
          <w:lang w:val="en-GB"/>
        </w:rPr>
        <w:t>PS: Political Science &amp; Politics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51</w:t>
      </w:r>
      <w:r>
        <w:rPr>
          <w:rFonts w:ascii="Times New Roman" w:eastAsia="Times New Roman" w:hAnsi="Times New Roman" w:cs="Times New Roman"/>
          <w:sz w:val="24"/>
          <w:szCs w:val="24"/>
          <w:highlight w:val="white"/>
          <w:lang w:val="en-GB"/>
        </w:rPr>
        <w:t>(3), pp.550-553.</w:t>
      </w:r>
    </w:p>
    <w:p w14:paraId="1B0A04BF"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Chang, C.W. and Hsu, C.P., 2022. How to generate customer and firm benefits through online game product and brand community engagement–online and offline perspectives. </w:t>
      </w:r>
      <w:r>
        <w:rPr>
          <w:rFonts w:ascii="Times New Roman" w:eastAsia="Times New Roman" w:hAnsi="Times New Roman" w:cs="Times New Roman"/>
          <w:i/>
          <w:sz w:val="24"/>
          <w:szCs w:val="24"/>
          <w:highlight w:val="white"/>
          <w:lang w:val="en-GB"/>
        </w:rPr>
        <w:t>Journal of Product &amp; Brand Management</w:t>
      </w:r>
      <w:r>
        <w:rPr>
          <w:rFonts w:ascii="Times New Roman" w:eastAsia="Times New Roman" w:hAnsi="Times New Roman" w:cs="Times New Roman"/>
          <w:sz w:val="24"/>
          <w:szCs w:val="24"/>
          <w:highlight w:val="white"/>
          <w:lang w:val="en-GB"/>
        </w:rPr>
        <w:t>, (ahead-of-print).</w:t>
      </w:r>
    </w:p>
    <w:p w14:paraId="6A64E5CE"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Day, G., 2006. </w:t>
      </w:r>
      <w:r>
        <w:rPr>
          <w:rFonts w:ascii="Times New Roman" w:eastAsia="Times New Roman" w:hAnsi="Times New Roman" w:cs="Times New Roman"/>
          <w:i/>
          <w:sz w:val="24"/>
          <w:szCs w:val="24"/>
          <w:highlight w:val="white"/>
          <w:lang w:val="en-GB"/>
        </w:rPr>
        <w:t>Community and everyday life</w:t>
      </w:r>
      <w:r>
        <w:rPr>
          <w:rFonts w:ascii="Times New Roman" w:eastAsia="Times New Roman" w:hAnsi="Times New Roman" w:cs="Times New Roman"/>
          <w:sz w:val="24"/>
          <w:szCs w:val="24"/>
          <w:highlight w:val="white"/>
          <w:lang w:val="en-GB"/>
        </w:rPr>
        <w:t>. Routledge.</w:t>
      </w:r>
    </w:p>
    <w:p w14:paraId="3BD1088C"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Geekiyanage, D., Fernando, T. and Keraminiyage, K., 2020. Assessing the state of the art in community engagement for participatory decision-making in disaster risk-sensitive urban development. </w:t>
      </w:r>
      <w:r>
        <w:rPr>
          <w:rFonts w:ascii="Times New Roman" w:eastAsia="Times New Roman" w:hAnsi="Times New Roman" w:cs="Times New Roman"/>
          <w:i/>
          <w:sz w:val="24"/>
          <w:szCs w:val="24"/>
          <w:highlight w:val="white"/>
          <w:lang w:val="en-GB"/>
        </w:rPr>
        <w:t>International journal of disaster risk reduction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51</w:t>
      </w:r>
      <w:r>
        <w:rPr>
          <w:rFonts w:ascii="Times New Roman" w:eastAsia="Times New Roman" w:hAnsi="Times New Roman" w:cs="Times New Roman"/>
          <w:sz w:val="24"/>
          <w:szCs w:val="24"/>
          <w:highlight w:val="white"/>
          <w:lang w:val="en-GB"/>
        </w:rPr>
        <w:t>, p.101847.</w:t>
      </w:r>
    </w:p>
    <w:p w14:paraId="5D41AE3C"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Henderson, F., Steiner, A., Farmer, J. and Whittam, G., 2020. Challenges of community engagement in a rural area: The impact of flood protection and policy. </w:t>
      </w:r>
      <w:r>
        <w:rPr>
          <w:rFonts w:ascii="Times New Roman" w:eastAsia="Times New Roman" w:hAnsi="Times New Roman" w:cs="Times New Roman"/>
          <w:i/>
          <w:sz w:val="24"/>
          <w:szCs w:val="24"/>
          <w:highlight w:val="white"/>
          <w:lang w:val="en-GB"/>
        </w:rPr>
        <w:t>Journal of Rural Studies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73</w:t>
      </w:r>
      <w:r>
        <w:rPr>
          <w:rFonts w:ascii="Times New Roman" w:eastAsia="Times New Roman" w:hAnsi="Times New Roman" w:cs="Times New Roman"/>
          <w:sz w:val="24"/>
          <w:szCs w:val="24"/>
          <w:highlight w:val="white"/>
          <w:lang w:val="en-GB"/>
        </w:rPr>
        <w:t>, pp.225-233.</w:t>
      </w:r>
    </w:p>
    <w:p w14:paraId="3BC629A9"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Holzer, J. and Kass, N., 2019. Understanding the supports of and challenges to community engagement in the CTSAs. </w:t>
      </w:r>
      <w:r>
        <w:rPr>
          <w:rFonts w:ascii="Times New Roman" w:eastAsia="Times New Roman" w:hAnsi="Times New Roman" w:cs="Times New Roman"/>
          <w:i/>
          <w:sz w:val="24"/>
          <w:szCs w:val="24"/>
          <w:highlight w:val="white"/>
          <w:lang w:val="en-GB"/>
        </w:rPr>
        <w:t>Clinical and Translational Science</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8</w:t>
      </w:r>
      <w:r>
        <w:rPr>
          <w:rFonts w:ascii="Times New Roman" w:eastAsia="Times New Roman" w:hAnsi="Times New Roman" w:cs="Times New Roman"/>
          <w:sz w:val="24"/>
          <w:szCs w:val="24"/>
          <w:highlight w:val="white"/>
          <w:lang w:val="en-GB"/>
        </w:rPr>
        <w:t>(2), pp.116-122.</w:t>
      </w:r>
    </w:p>
    <w:p w14:paraId="3C390785"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Kim, G., Newman, G. and Jiang, B., 2020. Urban regeneration: Community engagement process for vacant land in declining cities. </w:t>
      </w:r>
      <w:r>
        <w:rPr>
          <w:rFonts w:ascii="Times New Roman" w:eastAsia="Times New Roman" w:hAnsi="Times New Roman" w:cs="Times New Roman"/>
          <w:i/>
          <w:sz w:val="24"/>
          <w:szCs w:val="24"/>
          <w:highlight w:val="white"/>
          <w:lang w:val="en-GB"/>
        </w:rPr>
        <w:t>Cities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102</w:t>
      </w:r>
      <w:r>
        <w:rPr>
          <w:rFonts w:ascii="Times New Roman" w:eastAsia="Times New Roman" w:hAnsi="Times New Roman" w:cs="Times New Roman"/>
          <w:sz w:val="24"/>
          <w:szCs w:val="24"/>
          <w:highlight w:val="white"/>
          <w:lang w:val="en-GB"/>
        </w:rPr>
        <w:t>, p.102730.</w:t>
      </w:r>
    </w:p>
    <w:p w14:paraId="72E24BF6"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Miller, L., Mehta, S. and McCauley, D., 2018. The BACE scale: A new measure for assessing the benefits of community engagement. </w:t>
      </w:r>
      <w:r>
        <w:rPr>
          <w:rFonts w:ascii="Times New Roman" w:eastAsia="Times New Roman" w:hAnsi="Times New Roman" w:cs="Times New Roman"/>
          <w:i/>
          <w:sz w:val="24"/>
          <w:szCs w:val="24"/>
          <w:highlight w:val="white"/>
          <w:lang w:val="en-GB"/>
        </w:rPr>
        <w:t>International Journal of Research on Service-Learning and Community Engagement</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6</w:t>
      </w:r>
      <w:r>
        <w:rPr>
          <w:rFonts w:ascii="Times New Roman" w:eastAsia="Times New Roman" w:hAnsi="Times New Roman" w:cs="Times New Roman"/>
          <w:sz w:val="24"/>
          <w:szCs w:val="24"/>
          <w:highlight w:val="white"/>
          <w:lang w:val="en-GB"/>
        </w:rPr>
        <w:t>(1), pp.1-14.</w:t>
      </w:r>
    </w:p>
    <w:p w14:paraId="6E89039E"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Moon, J.A., 2013. </w:t>
      </w:r>
      <w:r>
        <w:rPr>
          <w:rFonts w:ascii="Times New Roman" w:eastAsia="Times New Roman" w:hAnsi="Times New Roman" w:cs="Times New Roman"/>
          <w:i/>
          <w:sz w:val="24"/>
          <w:szCs w:val="24"/>
          <w:highlight w:val="white"/>
          <w:lang w:val="en-GB"/>
        </w:rPr>
        <w:t>A handbook of reflective and experiential learning: Theory and practice</w:t>
      </w:r>
      <w:r>
        <w:rPr>
          <w:rFonts w:ascii="Times New Roman" w:eastAsia="Times New Roman" w:hAnsi="Times New Roman" w:cs="Times New Roman"/>
          <w:sz w:val="24"/>
          <w:szCs w:val="24"/>
          <w:highlight w:val="white"/>
          <w:lang w:val="en-GB"/>
        </w:rPr>
        <w:t>. Routledge.</w:t>
      </w:r>
    </w:p>
    <w:p w14:paraId="195CA9EE"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Mughal, R., Thomson, L.J., Daykin, N. and Chatterjee, H.J., 2022. Rapid Evidence Review of Community Engagement and Resources in the UK during the COVID-19 Pandemic: How Can </w:t>
      </w:r>
      <w:r>
        <w:rPr>
          <w:rFonts w:ascii="Times New Roman" w:eastAsia="Times New Roman" w:hAnsi="Times New Roman" w:cs="Times New Roman"/>
          <w:sz w:val="24"/>
          <w:szCs w:val="24"/>
          <w:highlight w:val="white"/>
          <w:lang w:val="en-GB"/>
        </w:rPr>
        <w:lastRenderedPageBreak/>
        <w:t xml:space="preserve">Community Assets Redress Health Inequities?. </w:t>
      </w:r>
      <w:r>
        <w:rPr>
          <w:rFonts w:ascii="Times New Roman" w:eastAsia="Times New Roman" w:hAnsi="Times New Roman" w:cs="Times New Roman"/>
          <w:i/>
          <w:sz w:val="24"/>
          <w:szCs w:val="24"/>
          <w:highlight w:val="white"/>
          <w:lang w:val="en-GB"/>
        </w:rPr>
        <w:t>International journal of environmental research and public health</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19</w:t>
      </w:r>
      <w:r>
        <w:rPr>
          <w:rFonts w:ascii="Times New Roman" w:eastAsia="Times New Roman" w:hAnsi="Times New Roman" w:cs="Times New Roman"/>
          <w:sz w:val="24"/>
          <w:szCs w:val="24"/>
          <w:highlight w:val="white"/>
          <w:lang w:val="en-GB"/>
        </w:rPr>
        <w:t>(7), p.4086.</w:t>
      </w:r>
    </w:p>
    <w:p w14:paraId="12EFC7BC"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Natarajarathinam, M., Qiu, S. and Lu, W., 2021. Community engagement in engineering education: A systematic literature review. </w:t>
      </w:r>
      <w:r>
        <w:rPr>
          <w:rFonts w:ascii="Times New Roman" w:eastAsia="Times New Roman" w:hAnsi="Times New Roman" w:cs="Times New Roman"/>
          <w:i/>
          <w:sz w:val="24"/>
          <w:szCs w:val="24"/>
          <w:highlight w:val="white"/>
          <w:lang w:val="en-GB"/>
        </w:rPr>
        <w:t>Journal of Engineering Education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110</w:t>
      </w:r>
      <w:r>
        <w:rPr>
          <w:rFonts w:ascii="Times New Roman" w:eastAsia="Times New Roman" w:hAnsi="Times New Roman" w:cs="Times New Roman"/>
          <w:sz w:val="24"/>
          <w:szCs w:val="24"/>
          <w:highlight w:val="white"/>
          <w:lang w:val="en-GB"/>
        </w:rPr>
        <w:t>(4), pp.1049-1077.</w:t>
      </w:r>
    </w:p>
    <w:p w14:paraId="13CE3A96"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Newman, P.A., 2020. Towards a science of community engagement. </w:t>
      </w:r>
      <w:r>
        <w:rPr>
          <w:rFonts w:ascii="Times New Roman" w:eastAsia="Times New Roman" w:hAnsi="Times New Roman" w:cs="Times New Roman"/>
          <w:i/>
          <w:sz w:val="24"/>
          <w:szCs w:val="24"/>
          <w:highlight w:val="white"/>
          <w:lang w:val="en-GB"/>
        </w:rPr>
        <w:t>The Lancet</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367</w:t>
      </w:r>
      <w:r>
        <w:rPr>
          <w:rFonts w:ascii="Times New Roman" w:eastAsia="Times New Roman" w:hAnsi="Times New Roman" w:cs="Times New Roman"/>
          <w:sz w:val="24"/>
          <w:szCs w:val="24"/>
          <w:highlight w:val="white"/>
          <w:lang w:val="en-GB"/>
        </w:rPr>
        <w:t>(9507), p.302.</w:t>
      </w:r>
    </w:p>
    <w:p w14:paraId="69AA4450"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Rosa, J.C., Morrison‐Saunders, A., Hughes, M. and Sánchez, L.E., 2020. Planning mine restoration through ecosystem services to enhance community engagement and deliver social benefits. </w:t>
      </w:r>
      <w:r>
        <w:rPr>
          <w:rFonts w:ascii="Times New Roman" w:eastAsia="Times New Roman" w:hAnsi="Times New Roman" w:cs="Times New Roman"/>
          <w:i/>
          <w:sz w:val="24"/>
          <w:szCs w:val="24"/>
          <w:highlight w:val="white"/>
          <w:lang w:val="en-GB"/>
        </w:rPr>
        <w:t>Restoration Ecology</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28</w:t>
      </w:r>
      <w:r>
        <w:rPr>
          <w:rFonts w:ascii="Times New Roman" w:eastAsia="Times New Roman" w:hAnsi="Times New Roman" w:cs="Times New Roman"/>
          <w:sz w:val="24"/>
          <w:szCs w:val="24"/>
          <w:highlight w:val="white"/>
          <w:lang w:val="en-GB"/>
        </w:rPr>
        <w:t>(4), pp.937-946.</w:t>
      </w:r>
    </w:p>
    <w:p w14:paraId="440B9744"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Surucu-Balci, E., Balci, G. and Yuen, K.F., 2020. Social media engagement of stakeholders: A decision tree approach in container shipping. </w:t>
      </w:r>
      <w:r>
        <w:rPr>
          <w:rFonts w:ascii="Times New Roman" w:eastAsia="Times New Roman" w:hAnsi="Times New Roman" w:cs="Times New Roman"/>
          <w:i/>
          <w:sz w:val="24"/>
          <w:szCs w:val="24"/>
          <w:highlight w:val="white"/>
          <w:lang w:val="en-GB"/>
        </w:rPr>
        <w:t>Computers in Industry</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115</w:t>
      </w:r>
      <w:r>
        <w:rPr>
          <w:rFonts w:ascii="Times New Roman" w:eastAsia="Times New Roman" w:hAnsi="Times New Roman" w:cs="Times New Roman"/>
          <w:sz w:val="24"/>
          <w:szCs w:val="24"/>
          <w:highlight w:val="white"/>
          <w:lang w:val="en-GB"/>
        </w:rPr>
        <w:t>, p.103152.</w:t>
      </w:r>
    </w:p>
    <w:p w14:paraId="0BB6DC41"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Tregidga, H. and Milne, M.J., 2020. Not at our table: Stakeholder exclusion and ant/agonistic engagements. </w:t>
      </w:r>
      <w:r>
        <w:rPr>
          <w:rFonts w:ascii="Times New Roman" w:eastAsia="Times New Roman" w:hAnsi="Times New Roman" w:cs="Times New Roman"/>
          <w:i/>
          <w:sz w:val="24"/>
          <w:szCs w:val="24"/>
          <w:highlight w:val="white"/>
          <w:lang w:val="en-GB"/>
        </w:rPr>
        <w:t>Critical Perspectives on Accounting</w:t>
      </w:r>
      <w:r>
        <w:rPr>
          <w:rFonts w:ascii="Times New Roman" w:eastAsia="Times New Roman" w:hAnsi="Times New Roman" w:cs="Times New Roman"/>
          <w:sz w:val="24"/>
          <w:szCs w:val="24"/>
          <w:highlight w:val="white"/>
          <w:lang w:val="en-GB"/>
        </w:rPr>
        <w:t>, p.102265.</w:t>
      </w:r>
    </w:p>
    <w:p w14:paraId="012C6735"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Weerts, D.J. and Sandmann, L.R., 2019. Building a two-way street: Challenges and opportunities for community engagement at research universities. </w:t>
      </w:r>
      <w:r>
        <w:rPr>
          <w:rFonts w:ascii="Times New Roman" w:eastAsia="Times New Roman" w:hAnsi="Times New Roman" w:cs="Times New Roman"/>
          <w:i/>
          <w:sz w:val="24"/>
          <w:szCs w:val="24"/>
          <w:highlight w:val="white"/>
          <w:lang w:val="en-GB"/>
        </w:rPr>
        <w:t>The review of higher education</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32</w:t>
      </w:r>
      <w:r>
        <w:rPr>
          <w:rFonts w:ascii="Times New Roman" w:eastAsia="Times New Roman" w:hAnsi="Times New Roman" w:cs="Times New Roman"/>
          <w:sz w:val="24"/>
          <w:szCs w:val="24"/>
          <w:highlight w:val="white"/>
          <w:lang w:val="en-GB"/>
        </w:rPr>
        <w:t>(1), pp.73-106.</w:t>
      </w:r>
    </w:p>
    <w:p w14:paraId="1F801B92" w14:textId="77777777" w:rsidR="00A21C70" w:rsidRDefault="00A21C70" w:rsidP="00A21C70">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Woodson, T.S., Harsh, M., Bernstein, M.J., Cozzens, S., Wetmore, J. and Castillo, R., 2019. Teaching community engagement to engineers via a workshop approach. </w:t>
      </w:r>
      <w:r>
        <w:rPr>
          <w:rFonts w:ascii="Times New Roman" w:eastAsia="Times New Roman" w:hAnsi="Times New Roman" w:cs="Times New Roman"/>
          <w:i/>
          <w:sz w:val="24"/>
          <w:szCs w:val="24"/>
          <w:highlight w:val="white"/>
          <w:lang w:val="en-GB"/>
        </w:rPr>
        <w:t>Journal of Professional Issues in Engineering Education and Practice</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i/>
          <w:sz w:val="24"/>
          <w:szCs w:val="24"/>
          <w:highlight w:val="white"/>
          <w:lang w:val="en-GB"/>
        </w:rPr>
        <w:t>145</w:t>
      </w:r>
      <w:r>
        <w:rPr>
          <w:rFonts w:ascii="Times New Roman" w:eastAsia="Times New Roman" w:hAnsi="Times New Roman" w:cs="Times New Roman"/>
          <w:sz w:val="24"/>
          <w:szCs w:val="24"/>
          <w:highlight w:val="white"/>
          <w:lang w:val="en-GB"/>
        </w:rPr>
        <w:t>(4), p.06019001.</w:t>
      </w:r>
    </w:p>
    <w:p w14:paraId="7D13C147" w14:textId="20C0E9F9" w:rsidR="0032301E" w:rsidRPr="00A21C70" w:rsidRDefault="0032301E"/>
    <w:sectPr w:rsidR="0032301E" w:rsidRPr="00A21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65"/>
    <w:rsid w:val="0032301E"/>
    <w:rsid w:val="00621001"/>
    <w:rsid w:val="00A21C70"/>
    <w:rsid w:val="00E9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B77A"/>
  <w15:chartTrackingRefBased/>
  <w15:docId w15:val="{9ED14F18-B6C1-4E6F-B892-310694FF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C70"/>
    <w:pPr>
      <w:spacing w:after="0" w:line="276" w:lineRule="auto"/>
    </w:pPr>
    <w:rPr>
      <w:rFonts w:ascii="Arial" w:eastAsia="Arial" w:hAnsi="Arial" w:cs="Arial"/>
    </w:rPr>
  </w:style>
  <w:style w:type="paragraph" w:styleId="Heading1">
    <w:name w:val="heading 1"/>
    <w:basedOn w:val="Normal1"/>
    <w:next w:val="Normal1"/>
    <w:link w:val="Heading1Char"/>
    <w:qFormat/>
    <w:rsid w:val="00A21C70"/>
    <w:pPr>
      <w:keepNext/>
      <w:keepLines/>
      <w:spacing w:before="400" w:after="120" w:line="360" w:lineRule="auto"/>
      <w:jc w:val="both"/>
      <w:outlineLvl w:val="0"/>
    </w:pPr>
    <w:rPr>
      <w:rFonts w:ascii="Times New Roman" w:eastAsia="Times New Roman" w:hAnsi="Times New Roman"/>
      <w:b/>
      <w:sz w:val="32"/>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1C70"/>
    <w:rPr>
      <w:rFonts w:ascii="Times New Roman" w:eastAsia="Times New Roman" w:hAnsi="Times New Roman" w:cs="Arial"/>
      <w:b/>
      <w:sz w:val="32"/>
      <w:szCs w:val="40"/>
      <w:lang w:val="en-US"/>
    </w:rPr>
  </w:style>
  <w:style w:type="character" w:styleId="Hyperlink">
    <w:name w:val="Hyperlink"/>
    <w:basedOn w:val="DefaultParagraphFont"/>
    <w:uiPriority w:val="99"/>
    <w:semiHidden/>
    <w:unhideWhenUsed/>
    <w:rsid w:val="00A21C70"/>
    <w:rPr>
      <w:color w:val="0563C1" w:themeColor="hyperlink"/>
      <w:u w:val="single"/>
    </w:rPr>
  </w:style>
  <w:style w:type="paragraph" w:styleId="TOC1">
    <w:name w:val="toc 1"/>
    <w:basedOn w:val="Normal"/>
    <w:next w:val="Normal"/>
    <w:autoRedefine/>
    <w:uiPriority w:val="39"/>
    <w:semiHidden/>
    <w:unhideWhenUsed/>
    <w:rsid w:val="00A21C70"/>
    <w:pPr>
      <w:spacing w:after="100"/>
    </w:pPr>
  </w:style>
  <w:style w:type="paragraph" w:styleId="TOCHeading">
    <w:name w:val="TOC Heading"/>
    <w:basedOn w:val="Heading1"/>
    <w:next w:val="Normal"/>
    <w:uiPriority w:val="39"/>
    <w:semiHidden/>
    <w:unhideWhenUsed/>
    <w:qFormat/>
    <w:rsid w:val="00A21C70"/>
    <w:pPr>
      <w:spacing w:before="480"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A21C70"/>
    <w:pPr>
      <w:spacing w:after="0" w:line="276" w:lineRule="auto"/>
    </w:pPr>
    <w:rPr>
      <w:rFonts w:ascii="Arial" w:eastAsia="Arial" w:hAnsi="Arial" w:cs="Arial"/>
      <w:lang w:val="en-US"/>
    </w:rPr>
  </w:style>
  <w:style w:type="paragraph" w:styleId="Title">
    <w:name w:val="Title"/>
    <w:basedOn w:val="Normal1"/>
    <w:next w:val="Normal1"/>
    <w:link w:val="TitleChar"/>
    <w:qFormat/>
    <w:rsid w:val="00A21C70"/>
    <w:pPr>
      <w:keepNext/>
      <w:keepLines/>
      <w:spacing w:after="60" w:line="360" w:lineRule="auto"/>
      <w:jc w:val="center"/>
    </w:pPr>
    <w:rPr>
      <w:rFonts w:ascii="Times New Roman" w:hAnsi="Times New Roman"/>
      <w:b/>
      <w:sz w:val="36"/>
      <w:szCs w:val="52"/>
      <w:u w:val="single"/>
    </w:rPr>
  </w:style>
  <w:style w:type="character" w:customStyle="1" w:styleId="TitleChar">
    <w:name w:val="Title Char"/>
    <w:basedOn w:val="DefaultParagraphFont"/>
    <w:link w:val="Title"/>
    <w:rsid w:val="00A21C70"/>
    <w:rPr>
      <w:rFonts w:ascii="Times New Roman" w:eastAsia="Arial" w:hAnsi="Times New Roman" w:cs="Arial"/>
      <w:b/>
      <w:sz w:val="36"/>
      <w:szCs w:val="52"/>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4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ariq\OneDrive\Desktop\LCBB4002_Community%20Engagement_Assessment%201%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ariq\OneDrive\Desktop\LCBB4002_Community%20Engagement_Assessment%201%20(1).docx" TargetMode="External"/><Relationship Id="rId5" Type="http://schemas.openxmlformats.org/officeDocument/2006/relationships/hyperlink" Target="file:///C:\Users\mariq\OneDrive\Desktop\LCBB4002_Community%20Engagement_Assessment%201%20(1).docx" TargetMode="External"/><Relationship Id="rId4" Type="http://schemas.openxmlformats.org/officeDocument/2006/relationships/hyperlink" Target="file:///C:\Users\mariq\OneDrive\Desktop\LCBB4002_Community%20Engagement_Assessment%201%20(1).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TotalTime>
  <Pages>11</Pages>
  <Words>3480</Words>
  <Characters>19840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Ilieva (2123768)</dc:creator>
  <cp:keywords/>
  <dc:description/>
  <cp:lastModifiedBy>Mariya Ilieva (2123768)</cp:lastModifiedBy>
  <cp:revision>2</cp:revision>
  <dcterms:created xsi:type="dcterms:W3CDTF">2022-09-03T22:51:00Z</dcterms:created>
  <dcterms:modified xsi:type="dcterms:W3CDTF">2022-09-04T10:53:00Z</dcterms:modified>
</cp:coreProperties>
</file>