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DA16455" w14:textId="4C9B022A" w:rsidR="004C1198" w:rsidRDefault="004C1198" w:rsidP="004C1198">
      <w:pPr>
        <w:pStyle w:val="NormalWeb"/>
        <w:spacing w:before="0" w:beforeAutospacing="0" w:after="0" w:afterAutospacing="0"/>
        <w:ind w:left="-180" w:right="-334"/>
      </w:pPr>
      <w:r>
        <w:rPr>
          <w:noProof/>
          <w:lang w:val="en-US" w:eastAsia="en-US"/>
        </w:rPr>
        <w:drawing>
          <wp:inline distT="0" distB="0" distL="0" distR="0" wp14:anchorId="365DF589" wp14:editId="216F79A9">
            <wp:extent cx="1905000" cy="635000"/>
            <wp:effectExtent l="25400" t="25400" r="25400" b="25400"/>
            <wp:docPr id="7" name="Picture 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4392E95F" w14:textId="77777777" w:rsidR="004C1198" w:rsidRDefault="004C1198" w:rsidP="004C1198">
      <w:pPr>
        <w:pStyle w:val="NormalWeb"/>
        <w:spacing w:before="0" w:beforeAutospacing="0" w:after="0" w:afterAutospacing="0"/>
        <w:ind w:left="-180" w:right="-334"/>
      </w:pPr>
    </w:p>
    <w:p w14:paraId="760FA8D7" w14:textId="77777777" w:rsidR="004C1198" w:rsidRDefault="004C1198" w:rsidP="004C1198">
      <w:pPr>
        <w:pStyle w:val="NormalWeb"/>
        <w:spacing w:before="0" w:beforeAutospacing="0" w:after="0" w:afterAutospacing="0"/>
        <w:ind w:left="-180" w:right="-334"/>
      </w:pPr>
    </w:p>
    <w:p w14:paraId="51CD3D4F" w14:textId="77777777" w:rsidR="004C1198" w:rsidRDefault="004C1198" w:rsidP="004C119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9B5ED9E" w14:textId="77777777" w:rsidR="004C1198" w:rsidRPr="00230F35" w:rsidRDefault="004C1198" w:rsidP="004C119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369B225" w14:textId="77777777" w:rsidR="004C1198" w:rsidRPr="00230F35" w:rsidRDefault="004C1198" w:rsidP="004C1198">
      <w:pPr>
        <w:rPr>
          <w:rFonts w:ascii="Arial" w:hAnsi="Arial" w:cs="Arial"/>
          <w:sz w:val="28"/>
          <w:szCs w:val="28"/>
          <w:lang w:val="cy-GB"/>
        </w:rPr>
      </w:pPr>
    </w:p>
    <w:p w14:paraId="68E416EC" w14:textId="77777777" w:rsidR="004C1198" w:rsidRDefault="004C1198" w:rsidP="004C1198">
      <w:pPr>
        <w:pStyle w:val="Heading3"/>
        <w:jc w:val="center"/>
        <w:rPr>
          <w:lang w:val="cy-GB"/>
        </w:rPr>
      </w:pPr>
      <w:r>
        <w:rPr>
          <w:lang w:val="cy-GB"/>
        </w:rPr>
        <w:t>THIS SHEET MUST BE THE FIRST PAGE OF THE ASSIGNMENT YOU ARE SUBMITTING  (DO NOT SEND AS A SEPARATE FILE)</w:t>
      </w:r>
    </w:p>
    <w:p w14:paraId="115041A4" w14:textId="77777777" w:rsidR="004C1198" w:rsidRDefault="004C1198" w:rsidP="004C119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57"/>
        <w:gridCol w:w="415"/>
        <w:gridCol w:w="1490"/>
        <w:gridCol w:w="276"/>
        <w:gridCol w:w="1778"/>
      </w:tblGrid>
      <w:tr w:rsidR="004C1198" w:rsidRPr="00230F35" w14:paraId="5751BCB0" w14:textId="77777777" w:rsidTr="004C1198">
        <w:trPr>
          <w:trHeight w:val="614"/>
        </w:trPr>
        <w:tc>
          <w:tcPr>
            <w:tcW w:w="8856" w:type="dxa"/>
            <w:gridSpan w:val="5"/>
          </w:tcPr>
          <w:p w14:paraId="4EF2E541" w14:textId="77777777" w:rsidR="004C1198" w:rsidRPr="00230F35" w:rsidRDefault="004C1198" w:rsidP="004C119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C1198" w:rsidRPr="00230F35" w14:paraId="699B8C8B" w14:textId="77777777" w:rsidTr="004C1198">
        <w:trPr>
          <w:trHeight w:val="718"/>
        </w:trPr>
        <w:tc>
          <w:tcPr>
            <w:tcW w:w="8856" w:type="dxa"/>
            <w:gridSpan w:val="5"/>
          </w:tcPr>
          <w:p w14:paraId="75C0901D" w14:textId="5CF3B0C7" w:rsidR="004C1198" w:rsidRDefault="004C1198" w:rsidP="004C11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Gabrielle Mooney</w:t>
            </w:r>
          </w:p>
          <w:p w14:paraId="7765A31D" w14:textId="77777777" w:rsidR="004C1198" w:rsidRPr="00230F35" w:rsidRDefault="004C1198" w:rsidP="004C1198">
            <w:pPr>
              <w:pStyle w:val="NormalWeb"/>
              <w:spacing w:before="0" w:beforeAutospacing="0" w:after="0" w:afterAutospacing="0"/>
              <w:ind w:right="34"/>
              <w:rPr>
                <w:rFonts w:ascii="Arial" w:hAnsi="Arial" w:cs="Arial"/>
                <w:sz w:val="22"/>
                <w:szCs w:val="22"/>
              </w:rPr>
            </w:pPr>
          </w:p>
          <w:p w14:paraId="112F9609" w14:textId="0BD1B011" w:rsidR="004C1198" w:rsidRPr="00230F35" w:rsidRDefault="004C1198" w:rsidP="004C11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1905543@student.uwtsd.ac.uk</w:t>
            </w:r>
          </w:p>
        </w:tc>
      </w:tr>
      <w:tr w:rsidR="004C1198" w:rsidRPr="00230F35" w14:paraId="70C9113C" w14:textId="77777777" w:rsidTr="004C1198">
        <w:trPr>
          <w:trHeight w:val="849"/>
        </w:trPr>
        <w:tc>
          <w:tcPr>
            <w:tcW w:w="4788" w:type="dxa"/>
          </w:tcPr>
          <w:p w14:paraId="0F6B8FF5" w14:textId="065C33A0" w:rsidR="004C1198" w:rsidRPr="00230F35" w:rsidRDefault="004C1198" w:rsidP="004C11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CLCL7003</w:t>
            </w:r>
          </w:p>
          <w:p w14:paraId="2C7E6D37" w14:textId="77777777" w:rsidR="004C1198" w:rsidRPr="00230F35" w:rsidRDefault="004C1198" w:rsidP="004C1198">
            <w:pPr>
              <w:pStyle w:val="NormalWeb"/>
              <w:spacing w:before="0" w:beforeAutospacing="0" w:after="0" w:afterAutospacing="0"/>
              <w:ind w:right="34"/>
              <w:rPr>
                <w:rFonts w:ascii="Arial" w:hAnsi="Arial" w:cs="Arial"/>
                <w:sz w:val="22"/>
                <w:szCs w:val="22"/>
              </w:rPr>
            </w:pPr>
          </w:p>
          <w:p w14:paraId="0930AE33" w14:textId="386FFD98" w:rsidR="004C1198" w:rsidRDefault="004C1198" w:rsidP="004C11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Theory and Methodology for the Study of Ancient Religions</w:t>
            </w:r>
          </w:p>
          <w:p w14:paraId="2B979E7D" w14:textId="77777777" w:rsidR="004C1198" w:rsidRDefault="004C1198" w:rsidP="004C1198">
            <w:pPr>
              <w:pStyle w:val="NormalWeb"/>
              <w:spacing w:before="0" w:beforeAutospacing="0" w:after="0" w:afterAutospacing="0"/>
              <w:ind w:right="34"/>
              <w:rPr>
                <w:rFonts w:ascii="Arial" w:hAnsi="Arial" w:cs="Arial"/>
                <w:sz w:val="22"/>
                <w:szCs w:val="22"/>
              </w:rPr>
            </w:pPr>
          </w:p>
          <w:p w14:paraId="72A7F195" w14:textId="77777777" w:rsidR="004C1198" w:rsidRPr="00230F35" w:rsidRDefault="004C1198" w:rsidP="004C1198">
            <w:pPr>
              <w:pStyle w:val="NormalWeb"/>
              <w:spacing w:before="0" w:beforeAutospacing="0" w:after="0" w:afterAutospacing="0"/>
              <w:ind w:right="34"/>
              <w:rPr>
                <w:rFonts w:ascii="Arial" w:hAnsi="Arial" w:cs="Arial"/>
                <w:sz w:val="22"/>
                <w:szCs w:val="22"/>
              </w:rPr>
            </w:pPr>
          </w:p>
        </w:tc>
        <w:tc>
          <w:tcPr>
            <w:tcW w:w="2266" w:type="dxa"/>
            <w:gridSpan w:val="3"/>
          </w:tcPr>
          <w:p w14:paraId="3B6090A7" w14:textId="77777777" w:rsidR="004C1198" w:rsidRDefault="004C1198" w:rsidP="004C11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FEBC89B" w14:textId="029A27BF" w:rsidR="004C1198" w:rsidRPr="00230F35" w:rsidRDefault="004C1198" w:rsidP="004C1198">
            <w:pPr>
              <w:pStyle w:val="NormalWeb"/>
              <w:spacing w:before="0" w:beforeAutospacing="0" w:after="0" w:afterAutospacing="0"/>
              <w:ind w:right="34"/>
              <w:rPr>
                <w:rFonts w:ascii="Arial" w:hAnsi="Arial" w:cs="Arial"/>
                <w:sz w:val="22"/>
                <w:szCs w:val="22"/>
              </w:rPr>
            </w:pPr>
            <w:r>
              <w:rPr>
                <w:rFonts w:ascii="Arial" w:hAnsi="Arial" w:cs="Arial"/>
                <w:sz w:val="22"/>
                <w:szCs w:val="22"/>
              </w:rPr>
              <w:t>1905543</w:t>
            </w:r>
          </w:p>
        </w:tc>
        <w:tc>
          <w:tcPr>
            <w:tcW w:w="1802" w:type="dxa"/>
          </w:tcPr>
          <w:p w14:paraId="037BB64F" w14:textId="77777777" w:rsidR="004C1198" w:rsidRPr="00230F35" w:rsidRDefault="004C1198" w:rsidP="004C11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C0D9991" w14:textId="77777777" w:rsidR="004C1198" w:rsidRPr="00230F35" w:rsidRDefault="004C1198" w:rsidP="004C1198">
            <w:pPr>
              <w:pStyle w:val="NormalWeb"/>
              <w:spacing w:before="0" w:beforeAutospacing="0" w:after="0" w:afterAutospacing="0"/>
              <w:ind w:right="34"/>
              <w:rPr>
                <w:rFonts w:ascii="Arial" w:hAnsi="Arial" w:cs="Arial"/>
                <w:sz w:val="22"/>
                <w:szCs w:val="22"/>
              </w:rPr>
            </w:pPr>
            <w:r w:rsidRPr="004C1198">
              <w:rPr>
                <w:rFonts w:ascii="Arial" w:hAnsi="Arial" w:cs="Arial"/>
                <w:b/>
                <w:sz w:val="22"/>
                <w:szCs w:val="22"/>
              </w:rPr>
              <w:t>Yes</w:t>
            </w:r>
            <w:r w:rsidRPr="00230F35">
              <w:rPr>
                <w:rFonts w:ascii="Arial" w:hAnsi="Arial" w:cs="Arial"/>
                <w:sz w:val="22"/>
                <w:szCs w:val="22"/>
              </w:rPr>
              <w:t>/</w:t>
            </w:r>
            <w:r w:rsidRPr="004C1198">
              <w:rPr>
                <w:rFonts w:ascii="Arial" w:hAnsi="Arial" w:cs="Arial"/>
                <w:dstrike/>
                <w:sz w:val="22"/>
                <w:szCs w:val="22"/>
              </w:rPr>
              <w:t>No</w:t>
            </w:r>
          </w:p>
        </w:tc>
      </w:tr>
      <w:tr w:rsidR="004C1198" w:rsidRPr="00230F35" w14:paraId="113EB0F8" w14:textId="77777777" w:rsidTr="004C1198">
        <w:trPr>
          <w:trHeight w:val="1139"/>
        </w:trPr>
        <w:tc>
          <w:tcPr>
            <w:tcW w:w="8856" w:type="dxa"/>
            <w:gridSpan w:val="5"/>
          </w:tcPr>
          <w:p w14:paraId="6CA72886" w14:textId="06D9D935" w:rsidR="004C1198" w:rsidRPr="00230F35" w:rsidRDefault="004C1198" w:rsidP="004C11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Encyclopaedia Article - </w:t>
            </w:r>
            <w:r w:rsidR="00D71785" w:rsidRPr="00D71785">
              <w:rPr>
                <w:rFonts w:ascii="Arial" w:hAnsi="Arial" w:cs="Arial"/>
                <w:sz w:val="22"/>
                <w:szCs w:val="22"/>
              </w:rPr>
              <w:t>Ritual performance at Mount Juktas (Crete)</w:t>
            </w:r>
          </w:p>
          <w:p w14:paraId="63CA9516" w14:textId="77777777" w:rsidR="004C1198" w:rsidRPr="00230F35" w:rsidRDefault="004C1198" w:rsidP="004C1198">
            <w:pPr>
              <w:pStyle w:val="NormalWeb"/>
              <w:spacing w:before="0" w:beforeAutospacing="0" w:after="0" w:afterAutospacing="0"/>
              <w:ind w:right="34"/>
              <w:rPr>
                <w:rFonts w:ascii="Arial" w:hAnsi="Arial" w:cs="Arial"/>
                <w:sz w:val="22"/>
                <w:szCs w:val="22"/>
              </w:rPr>
            </w:pPr>
          </w:p>
          <w:p w14:paraId="6DC6694C" w14:textId="77777777" w:rsidR="004C1198" w:rsidRDefault="004C1198" w:rsidP="004C1198">
            <w:pPr>
              <w:pStyle w:val="NormalWeb"/>
              <w:spacing w:before="0" w:beforeAutospacing="0" w:after="0" w:afterAutospacing="0"/>
              <w:ind w:right="34"/>
              <w:rPr>
                <w:rFonts w:ascii="Arial" w:hAnsi="Arial" w:cs="Arial"/>
                <w:sz w:val="22"/>
                <w:szCs w:val="22"/>
              </w:rPr>
            </w:pPr>
          </w:p>
          <w:p w14:paraId="6FC26F8F" w14:textId="21A3C38B" w:rsidR="004C1198" w:rsidRPr="00230F35" w:rsidRDefault="004C1198" w:rsidP="004C11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D71785">
              <w:rPr>
                <w:rFonts w:ascii="Arial" w:hAnsi="Arial" w:cs="Arial"/>
                <w:sz w:val="22"/>
                <w:szCs w:val="22"/>
              </w:rPr>
              <w:t xml:space="preserve">  31/01/20 with differentiated extension (original date 24/01/20</w:t>
            </w:r>
          </w:p>
        </w:tc>
      </w:tr>
      <w:tr w:rsidR="004C1198" w:rsidRPr="00230F35" w14:paraId="086686FC" w14:textId="77777777" w:rsidTr="004C1198">
        <w:trPr>
          <w:trHeight w:val="978"/>
        </w:trPr>
        <w:tc>
          <w:tcPr>
            <w:tcW w:w="8856" w:type="dxa"/>
            <w:gridSpan w:val="5"/>
            <w:tcBorders>
              <w:bottom w:val="single" w:sz="4" w:space="0" w:color="000000"/>
            </w:tcBorders>
          </w:tcPr>
          <w:p w14:paraId="2D17E2DA" w14:textId="770205A8" w:rsidR="004C1198" w:rsidRPr="00230F35" w:rsidRDefault="004C1198" w:rsidP="00D7178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D71785">
              <w:rPr>
                <w:rFonts w:ascii="Arial" w:hAnsi="Arial" w:cs="Arial"/>
                <w:sz w:val="22"/>
                <w:szCs w:val="22"/>
              </w:rPr>
              <w:fldChar w:fldCharType="begin">
                <w:ffData>
                  <w:name w:val="Check14"/>
                  <w:enabled/>
                  <w:calcOnExit w:val="0"/>
                  <w:checkBox>
                    <w:sizeAuto/>
                    <w:default w:val="1"/>
                  </w:checkBox>
                </w:ffData>
              </w:fldChar>
            </w:r>
            <w:bookmarkStart w:id="1" w:name="Check14"/>
            <w:r w:rsidR="00D71785">
              <w:rPr>
                <w:rFonts w:ascii="Arial" w:hAnsi="Arial" w:cs="Arial"/>
                <w:sz w:val="22"/>
                <w:szCs w:val="22"/>
              </w:rPr>
              <w:instrText xml:space="preserve"> FORMCHECKBOX </w:instrText>
            </w:r>
            <w:r w:rsidR="00D71785">
              <w:rPr>
                <w:rFonts w:ascii="Arial" w:hAnsi="Arial" w:cs="Arial"/>
                <w:sz w:val="22"/>
                <w:szCs w:val="22"/>
              </w:rPr>
            </w:r>
            <w:r w:rsidR="00D7178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4C1198" w:rsidRPr="00230F35" w14:paraId="1A0BE75F" w14:textId="77777777" w:rsidTr="004C1198">
        <w:trPr>
          <w:trHeight w:val="978"/>
        </w:trPr>
        <w:tc>
          <w:tcPr>
            <w:tcW w:w="8856" w:type="dxa"/>
            <w:gridSpan w:val="5"/>
            <w:shd w:val="clear" w:color="auto" w:fill="D9D9D9"/>
          </w:tcPr>
          <w:p w14:paraId="60553774" w14:textId="77777777" w:rsidR="004C1198" w:rsidRPr="00230F35" w:rsidRDefault="004C1198" w:rsidP="004C11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03D490A" w14:textId="3816C3F0" w:rsidR="004C1198" w:rsidRDefault="004C1198" w:rsidP="004C11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D71785">
              <w:rPr>
                <w:rFonts w:ascii="Arial" w:hAnsi="Arial" w:cs="Arial"/>
                <w:noProof/>
                <w:sz w:val="22"/>
                <w:szCs w:val="22"/>
                <w:lang w:val="en-US" w:eastAsia="en-US"/>
              </w:rPr>
              <w:drawing>
                <wp:inline distT="0" distB="0" distL="0" distR="0" wp14:anchorId="5C67AA46" wp14:editId="3689A590">
                  <wp:extent cx="2171700" cy="28733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bbysig2.png"/>
                          <pic:cNvPicPr/>
                        </pic:nvPicPr>
                        <pic:blipFill>
                          <a:blip r:embed="rId9">
                            <a:extLst>
                              <a:ext uri="{28A0092B-C50C-407E-A947-70E740481C1C}">
                                <a14:useLocalDpi xmlns:a14="http://schemas.microsoft.com/office/drawing/2010/main" val="0"/>
                              </a:ext>
                            </a:extLst>
                          </a:blip>
                          <a:stretch>
                            <a:fillRect/>
                          </a:stretch>
                        </pic:blipFill>
                        <pic:spPr>
                          <a:xfrm>
                            <a:off x="0" y="0"/>
                            <a:ext cx="2173279" cy="287542"/>
                          </a:xfrm>
                          <a:prstGeom prst="rect">
                            <a:avLst/>
                          </a:prstGeom>
                        </pic:spPr>
                      </pic:pic>
                    </a:graphicData>
                  </a:graphic>
                </wp:inline>
              </w:drawing>
            </w:r>
            <w:r w:rsidRPr="00230F35">
              <w:rPr>
                <w:rFonts w:ascii="Arial" w:hAnsi="Arial" w:cs="Arial"/>
                <w:sz w:val="22"/>
                <w:szCs w:val="22"/>
              </w:rPr>
              <w:t>…………</w:t>
            </w:r>
          </w:p>
          <w:p w14:paraId="0A27CDB1" w14:textId="77777777" w:rsidR="004C1198" w:rsidRDefault="004C1198" w:rsidP="004C1198">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340AB699" w14:textId="77777777" w:rsidR="004C1198" w:rsidRPr="00230F35" w:rsidRDefault="004C1198" w:rsidP="004C1198">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C1198" w:rsidRPr="00230F35" w14:paraId="47F73EE1" w14:textId="77777777" w:rsidTr="004C1198">
        <w:trPr>
          <w:trHeight w:val="3972"/>
        </w:trPr>
        <w:tc>
          <w:tcPr>
            <w:tcW w:w="8856" w:type="dxa"/>
            <w:gridSpan w:val="5"/>
          </w:tcPr>
          <w:p w14:paraId="55B7EE8B" w14:textId="77777777" w:rsidR="004C1198" w:rsidRDefault="004C1198" w:rsidP="004C1198">
            <w:pPr>
              <w:rPr>
                <w:rFonts w:ascii="Arial" w:hAnsi="Arial"/>
                <w:b/>
              </w:rPr>
            </w:pPr>
          </w:p>
          <w:p w14:paraId="0C472BD5" w14:textId="77777777" w:rsidR="004C1198" w:rsidRPr="00116CE6" w:rsidRDefault="004C1198" w:rsidP="004C1198">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07"/>
              <w:gridCol w:w="1583"/>
            </w:tblGrid>
            <w:tr w:rsidR="004C1198" w:rsidRPr="00116CE6" w14:paraId="229BB3CF" w14:textId="77777777" w:rsidTr="004C1198">
              <w:tc>
                <w:tcPr>
                  <w:tcW w:w="6970" w:type="dxa"/>
                </w:tcPr>
                <w:p w14:paraId="21693BFC" w14:textId="77777777" w:rsidR="004C1198" w:rsidRPr="00116CE6" w:rsidRDefault="004C1198" w:rsidP="004C1198">
                  <w:pPr>
                    <w:rPr>
                      <w:rFonts w:ascii="Arial" w:hAnsi="Arial"/>
                      <w:sz w:val="20"/>
                      <w:szCs w:val="20"/>
                    </w:rPr>
                  </w:pPr>
                </w:p>
                <w:p w14:paraId="5D2EEF76" w14:textId="77777777" w:rsidR="004C1198" w:rsidRPr="00116CE6" w:rsidRDefault="004C1198" w:rsidP="004C119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CA5758E" w14:textId="77777777" w:rsidR="004C1198" w:rsidRPr="00116CE6" w:rsidRDefault="004C1198" w:rsidP="004C1198">
                  <w:pPr>
                    <w:rPr>
                      <w:rFonts w:ascii="Arial" w:hAnsi="Arial"/>
                      <w:sz w:val="20"/>
                      <w:szCs w:val="20"/>
                    </w:rPr>
                  </w:pPr>
                </w:p>
              </w:tc>
            </w:tr>
            <w:tr w:rsidR="004C1198" w:rsidRPr="00116CE6" w14:paraId="40ED427F" w14:textId="77777777" w:rsidTr="004C1198">
              <w:tc>
                <w:tcPr>
                  <w:tcW w:w="6970" w:type="dxa"/>
                </w:tcPr>
                <w:p w14:paraId="4A4DE357" w14:textId="77777777" w:rsidR="004C1198" w:rsidRPr="00116CE6" w:rsidRDefault="004C1198" w:rsidP="004C1198">
                  <w:pPr>
                    <w:rPr>
                      <w:rFonts w:ascii="Arial" w:hAnsi="Arial"/>
                      <w:sz w:val="20"/>
                      <w:szCs w:val="20"/>
                    </w:rPr>
                  </w:pPr>
                </w:p>
                <w:p w14:paraId="291763F6" w14:textId="77777777" w:rsidR="004C1198" w:rsidRPr="00116CE6" w:rsidRDefault="004C1198" w:rsidP="004C119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162A8AA" w14:textId="77777777" w:rsidR="004C1198" w:rsidRPr="00116CE6" w:rsidRDefault="004C1198" w:rsidP="004C1198">
                  <w:pPr>
                    <w:rPr>
                      <w:rFonts w:ascii="Arial" w:hAnsi="Arial"/>
                      <w:sz w:val="20"/>
                      <w:szCs w:val="20"/>
                    </w:rPr>
                  </w:pPr>
                </w:p>
              </w:tc>
            </w:tr>
            <w:tr w:rsidR="004C1198" w:rsidRPr="00116CE6" w14:paraId="75321A43" w14:textId="77777777" w:rsidTr="004C1198">
              <w:tc>
                <w:tcPr>
                  <w:tcW w:w="6970" w:type="dxa"/>
                </w:tcPr>
                <w:p w14:paraId="691CD994" w14:textId="77777777" w:rsidR="004C1198" w:rsidRPr="00116CE6" w:rsidRDefault="004C1198" w:rsidP="004C1198">
                  <w:pPr>
                    <w:rPr>
                      <w:rFonts w:ascii="Arial" w:hAnsi="Arial"/>
                      <w:sz w:val="20"/>
                      <w:szCs w:val="20"/>
                    </w:rPr>
                  </w:pPr>
                </w:p>
                <w:p w14:paraId="12D3E719" w14:textId="77777777" w:rsidR="004C1198" w:rsidRPr="00116CE6" w:rsidRDefault="004C1198" w:rsidP="004C119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65565DF" w14:textId="77777777" w:rsidR="004C1198" w:rsidRPr="00116CE6" w:rsidRDefault="004C1198" w:rsidP="004C1198">
                  <w:pPr>
                    <w:rPr>
                      <w:rFonts w:ascii="Arial" w:hAnsi="Arial"/>
                      <w:sz w:val="20"/>
                      <w:szCs w:val="20"/>
                    </w:rPr>
                  </w:pPr>
                </w:p>
              </w:tc>
            </w:tr>
            <w:tr w:rsidR="004C1198" w:rsidRPr="00116CE6" w14:paraId="7377AC5A" w14:textId="77777777" w:rsidTr="004C1198">
              <w:tc>
                <w:tcPr>
                  <w:tcW w:w="6970" w:type="dxa"/>
                </w:tcPr>
                <w:p w14:paraId="1E267F04" w14:textId="77777777" w:rsidR="004C1198" w:rsidRDefault="004C1198" w:rsidP="004C1198">
                  <w:pPr>
                    <w:rPr>
                      <w:rFonts w:ascii="Arial" w:hAnsi="Arial"/>
                      <w:sz w:val="20"/>
                      <w:szCs w:val="20"/>
                    </w:rPr>
                  </w:pPr>
                </w:p>
                <w:p w14:paraId="45E38DE6" w14:textId="77777777" w:rsidR="004C1198" w:rsidRPr="00022345" w:rsidRDefault="004C1198" w:rsidP="004C1198">
                  <w:pPr>
                    <w:rPr>
                      <w:rFonts w:ascii="Arial" w:hAnsi="Arial"/>
                      <w:b/>
                      <w:sz w:val="20"/>
                      <w:szCs w:val="20"/>
                    </w:rPr>
                  </w:pPr>
                  <w:r w:rsidRPr="00022345">
                    <w:rPr>
                      <w:rFonts w:ascii="Arial" w:hAnsi="Arial"/>
                      <w:b/>
                      <w:sz w:val="20"/>
                      <w:szCs w:val="20"/>
                    </w:rPr>
                    <w:t>Final Mark</w:t>
                  </w:r>
                </w:p>
                <w:p w14:paraId="45C79B67" w14:textId="77777777" w:rsidR="004C1198" w:rsidRPr="00116CE6" w:rsidRDefault="004C1198" w:rsidP="004C1198">
                  <w:pPr>
                    <w:rPr>
                      <w:rFonts w:ascii="Arial" w:hAnsi="Arial"/>
                      <w:sz w:val="20"/>
                      <w:szCs w:val="20"/>
                    </w:rPr>
                  </w:pPr>
                </w:p>
              </w:tc>
              <w:tc>
                <w:tcPr>
                  <w:tcW w:w="1660" w:type="dxa"/>
                </w:tcPr>
                <w:p w14:paraId="15A19902" w14:textId="77777777" w:rsidR="004C1198" w:rsidRPr="00116CE6" w:rsidRDefault="004C1198" w:rsidP="004C1198">
                  <w:pPr>
                    <w:rPr>
                      <w:rFonts w:ascii="Arial" w:hAnsi="Arial"/>
                      <w:sz w:val="20"/>
                      <w:szCs w:val="20"/>
                    </w:rPr>
                  </w:pPr>
                </w:p>
              </w:tc>
            </w:tr>
          </w:tbl>
          <w:p w14:paraId="511BF59A" w14:textId="77777777" w:rsidR="004C1198" w:rsidRDefault="004C1198" w:rsidP="004C1198">
            <w:pPr>
              <w:pStyle w:val="NormalWeb"/>
              <w:spacing w:before="0" w:beforeAutospacing="0" w:after="0" w:afterAutospacing="0"/>
              <w:ind w:left="142" w:right="34"/>
              <w:rPr>
                <w:rFonts w:ascii="Arial" w:hAnsi="Arial" w:cs="Arial"/>
                <w:b/>
                <w:sz w:val="22"/>
                <w:szCs w:val="22"/>
              </w:rPr>
            </w:pPr>
          </w:p>
          <w:p w14:paraId="38A9E6FE" w14:textId="77777777" w:rsidR="004C1198" w:rsidRPr="00230F35" w:rsidRDefault="004C1198" w:rsidP="004C119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90F7424" w14:textId="77777777" w:rsidR="004C1198" w:rsidRDefault="004C1198" w:rsidP="004C1198">
            <w:pPr>
              <w:pStyle w:val="NormalWeb"/>
              <w:spacing w:before="0" w:beforeAutospacing="0" w:after="0" w:afterAutospacing="0"/>
              <w:rPr>
                <w:rFonts w:ascii="Arial" w:hAnsi="Arial" w:cs="Arial"/>
                <w:b/>
                <w:sz w:val="22"/>
                <w:szCs w:val="22"/>
              </w:rPr>
            </w:pPr>
          </w:p>
          <w:p w14:paraId="10E76911" w14:textId="77777777" w:rsidR="004C1198" w:rsidRDefault="004C1198" w:rsidP="004C1198">
            <w:pPr>
              <w:pStyle w:val="NormalWeb"/>
              <w:spacing w:before="0" w:beforeAutospacing="0" w:after="0" w:afterAutospacing="0"/>
              <w:rPr>
                <w:rFonts w:ascii="Arial" w:hAnsi="Arial" w:cs="Arial"/>
                <w:b/>
                <w:sz w:val="22"/>
                <w:szCs w:val="22"/>
              </w:rPr>
            </w:pPr>
          </w:p>
          <w:p w14:paraId="18B65871" w14:textId="77777777" w:rsidR="004C1198" w:rsidRDefault="004C1198" w:rsidP="004C1198">
            <w:pPr>
              <w:pStyle w:val="NormalWeb"/>
              <w:spacing w:before="0" w:beforeAutospacing="0" w:after="0" w:afterAutospacing="0"/>
              <w:rPr>
                <w:rFonts w:ascii="Arial" w:hAnsi="Arial" w:cs="Arial"/>
                <w:b/>
                <w:sz w:val="22"/>
                <w:szCs w:val="22"/>
              </w:rPr>
            </w:pPr>
          </w:p>
          <w:p w14:paraId="266BA16C" w14:textId="77777777" w:rsidR="004C1198" w:rsidRDefault="004C1198" w:rsidP="004C1198">
            <w:pPr>
              <w:pStyle w:val="NormalWeb"/>
              <w:spacing w:before="0" w:beforeAutospacing="0" w:after="0" w:afterAutospacing="0"/>
              <w:rPr>
                <w:rFonts w:ascii="Arial" w:hAnsi="Arial" w:cs="Arial"/>
                <w:b/>
                <w:sz w:val="22"/>
                <w:szCs w:val="22"/>
              </w:rPr>
            </w:pPr>
          </w:p>
          <w:p w14:paraId="0A1C72D2" w14:textId="77777777" w:rsidR="004C1198" w:rsidRDefault="004C1198" w:rsidP="004C1198">
            <w:pPr>
              <w:pStyle w:val="NormalWeb"/>
              <w:spacing w:before="0" w:beforeAutospacing="0" w:after="0" w:afterAutospacing="0"/>
              <w:rPr>
                <w:rFonts w:ascii="Arial" w:hAnsi="Arial" w:cs="Arial"/>
                <w:b/>
                <w:sz w:val="22"/>
                <w:szCs w:val="22"/>
              </w:rPr>
            </w:pPr>
          </w:p>
          <w:p w14:paraId="006D99D1" w14:textId="77777777" w:rsidR="004C1198" w:rsidRPr="00230F35" w:rsidRDefault="004C1198" w:rsidP="004C119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7B28AE5" w14:textId="77777777" w:rsidR="004C1198" w:rsidRDefault="004C1198" w:rsidP="004C119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7872DDC" w14:textId="77777777" w:rsidR="004C1198" w:rsidRPr="00001C3B" w:rsidRDefault="004C1198" w:rsidP="004C1198">
            <w:pPr>
              <w:pStyle w:val="NormalWeb"/>
              <w:rPr>
                <w:rFonts w:ascii="Arial" w:hAnsi="Arial" w:cs="Arial"/>
                <w:sz w:val="22"/>
                <w:szCs w:val="22"/>
              </w:rPr>
            </w:pPr>
          </w:p>
        </w:tc>
      </w:tr>
      <w:tr w:rsidR="004C1198" w:rsidRPr="00230F35" w14:paraId="388952FB" w14:textId="77777777" w:rsidTr="004C1198">
        <w:trPr>
          <w:trHeight w:val="492"/>
        </w:trPr>
        <w:tc>
          <w:tcPr>
            <w:tcW w:w="6768" w:type="dxa"/>
            <w:gridSpan w:val="3"/>
          </w:tcPr>
          <w:p w14:paraId="733419BF" w14:textId="77777777" w:rsidR="004C1198" w:rsidRPr="00230F35" w:rsidRDefault="004C1198" w:rsidP="004C119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0CCB6B0" w14:textId="77777777" w:rsidR="004C1198" w:rsidRPr="00230F35" w:rsidRDefault="004C1198" w:rsidP="004C1198">
            <w:pPr>
              <w:pStyle w:val="NormalWeb"/>
              <w:spacing w:after="0"/>
              <w:ind w:left="142" w:right="34"/>
              <w:rPr>
                <w:rFonts w:ascii="Arial" w:hAnsi="Arial" w:cs="Arial"/>
                <w:sz w:val="22"/>
                <w:szCs w:val="22"/>
              </w:rPr>
            </w:pPr>
            <w:r w:rsidRPr="00230F35">
              <w:rPr>
                <w:rFonts w:ascii="Arial" w:hAnsi="Arial" w:cs="Arial"/>
                <w:sz w:val="22"/>
                <w:szCs w:val="22"/>
              </w:rPr>
              <w:t>Date:</w:t>
            </w:r>
          </w:p>
        </w:tc>
      </w:tr>
      <w:tr w:rsidR="004C1198" w:rsidRPr="002F467C" w14:paraId="1B73891B" w14:textId="77777777" w:rsidTr="004C1198">
        <w:tc>
          <w:tcPr>
            <w:tcW w:w="8856" w:type="dxa"/>
            <w:gridSpan w:val="5"/>
          </w:tcPr>
          <w:p w14:paraId="0741473F" w14:textId="77777777" w:rsidR="004C1198" w:rsidRPr="00230F35" w:rsidRDefault="004C1198" w:rsidP="004C1198">
            <w:pPr>
              <w:pStyle w:val="NormalWeb"/>
              <w:spacing w:before="0" w:beforeAutospacing="0" w:after="0" w:afterAutospacing="0"/>
              <w:ind w:right="-334"/>
              <w:rPr>
                <w:rFonts w:ascii="Arial" w:hAnsi="Arial" w:cs="Arial"/>
                <w:bCs/>
                <w:i/>
                <w:sz w:val="22"/>
                <w:szCs w:val="22"/>
              </w:rPr>
            </w:pPr>
          </w:p>
          <w:p w14:paraId="6E56EA1D" w14:textId="77777777" w:rsidR="004C1198" w:rsidRPr="00230F35" w:rsidRDefault="004C1198" w:rsidP="004C119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7605D83" w14:textId="77777777" w:rsidR="004C1198" w:rsidRPr="00230F35" w:rsidRDefault="004C1198" w:rsidP="004C1198">
            <w:pPr>
              <w:pStyle w:val="NormalWeb"/>
              <w:spacing w:before="0" w:beforeAutospacing="0" w:after="0" w:afterAutospacing="0"/>
              <w:ind w:right="-334"/>
              <w:rPr>
                <w:rFonts w:ascii="Arial" w:hAnsi="Arial" w:cs="Arial"/>
                <w:b/>
                <w:bCs/>
                <w:sz w:val="22"/>
                <w:szCs w:val="22"/>
              </w:rPr>
            </w:pPr>
          </w:p>
          <w:p w14:paraId="66F0318B"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7A9A23A"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p w14:paraId="31C140CC"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p w14:paraId="5DDF8EA6"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p w14:paraId="64706D84"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p w14:paraId="48263A6B"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p w14:paraId="7D9BF010"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p w14:paraId="625583CE"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p w14:paraId="05AE688E"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p w14:paraId="0EEDC696" w14:textId="77777777" w:rsidR="004C1198" w:rsidRDefault="004C1198" w:rsidP="004C1198">
            <w:pPr>
              <w:pStyle w:val="NormalWeb"/>
              <w:spacing w:before="0" w:beforeAutospacing="0" w:after="0" w:afterAutospacing="0"/>
              <w:ind w:right="-334"/>
              <w:rPr>
                <w:rFonts w:ascii="Arial" w:hAnsi="Arial" w:cs="Arial"/>
                <w:bCs/>
                <w:sz w:val="22"/>
                <w:szCs w:val="22"/>
              </w:rPr>
            </w:pPr>
          </w:p>
          <w:p w14:paraId="52E82868"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p w14:paraId="2F62F54D"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p w14:paraId="02694472"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tc>
      </w:tr>
      <w:tr w:rsidR="004C1198" w:rsidRPr="002F467C" w14:paraId="55F65566" w14:textId="77777777" w:rsidTr="004C1198">
        <w:trPr>
          <w:trHeight w:val="720"/>
        </w:trPr>
        <w:tc>
          <w:tcPr>
            <w:tcW w:w="5211" w:type="dxa"/>
            <w:gridSpan w:val="2"/>
          </w:tcPr>
          <w:p w14:paraId="3A5F936C"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FA77311"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C1198" w:rsidRPr="002F467C" w14:paraId="3FBB759A" w14:textId="77777777" w:rsidTr="004C1198">
        <w:trPr>
          <w:trHeight w:val="720"/>
        </w:trPr>
        <w:tc>
          <w:tcPr>
            <w:tcW w:w="8856" w:type="dxa"/>
            <w:gridSpan w:val="5"/>
          </w:tcPr>
          <w:p w14:paraId="66371E91" w14:textId="77777777" w:rsidR="004C1198" w:rsidRPr="00B34964" w:rsidRDefault="004C1198" w:rsidP="004C1198">
            <w:pPr>
              <w:rPr>
                <w:rFonts w:ascii="Arial" w:hAnsi="Arial" w:cs="Arial"/>
                <w:b/>
                <w:sz w:val="22"/>
                <w:szCs w:val="22"/>
              </w:rPr>
            </w:pPr>
            <w:r w:rsidRPr="00B34964">
              <w:rPr>
                <w:rFonts w:ascii="Arial" w:hAnsi="Arial" w:cs="Arial"/>
                <w:b/>
                <w:sz w:val="22"/>
                <w:szCs w:val="22"/>
              </w:rPr>
              <w:t>External Examiner’s comments (if relevant)</w:t>
            </w:r>
          </w:p>
          <w:p w14:paraId="6B9C8BD2"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p w14:paraId="6FACEDC0"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p w14:paraId="5829BF55"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p w14:paraId="549DFEF6"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p w14:paraId="760B4F8A" w14:textId="77777777" w:rsidR="004C1198" w:rsidRDefault="004C1198" w:rsidP="004C1198">
            <w:pPr>
              <w:pStyle w:val="NormalWeb"/>
              <w:spacing w:before="0" w:beforeAutospacing="0" w:after="0" w:afterAutospacing="0"/>
              <w:ind w:right="-334"/>
              <w:rPr>
                <w:rFonts w:ascii="Arial" w:hAnsi="Arial" w:cs="Arial"/>
                <w:bCs/>
                <w:sz w:val="22"/>
                <w:szCs w:val="22"/>
              </w:rPr>
            </w:pPr>
          </w:p>
          <w:p w14:paraId="2AF749CF"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p w14:paraId="6BD75A98" w14:textId="77777777" w:rsidR="004C1198" w:rsidRPr="00230F35" w:rsidRDefault="004C1198" w:rsidP="004C1198">
            <w:pPr>
              <w:pStyle w:val="NormalWeb"/>
              <w:spacing w:before="0" w:beforeAutospacing="0" w:after="0" w:afterAutospacing="0"/>
              <w:ind w:right="-334"/>
              <w:rPr>
                <w:rFonts w:ascii="Arial" w:hAnsi="Arial" w:cs="Arial"/>
                <w:bCs/>
                <w:sz w:val="22"/>
                <w:szCs w:val="22"/>
              </w:rPr>
            </w:pPr>
          </w:p>
        </w:tc>
      </w:tr>
      <w:tr w:rsidR="004C1198" w:rsidRPr="002F467C" w14:paraId="0783005F" w14:textId="77777777" w:rsidTr="004C1198">
        <w:trPr>
          <w:trHeight w:val="720"/>
        </w:trPr>
        <w:tc>
          <w:tcPr>
            <w:tcW w:w="5211" w:type="dxa"/>
            <w:gridSpan w:val="2"/>
          </w:tcPr>
          <w:p w14:paraId="159B5C81" w14:textId="77777777" w:rsidR="004C1198" w:rsidRPr="00230F35" w:rsidRDefault="004C1198" w:rsidP="004C1198">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4388640" w14:textId="77777777" w:rsidR="004C1198" w:rsidRPr="00230F35" w:rsidRDefault="004C1198" w:rsidP="004C1198">
            <w:pPr>
              <w:rPr>
                <w:rFonts w:ascii="Arial" w:hAnsi="Arial" w:cs="Arial"/>
                <w:sz w:val="22"/>
                <w:szCs w:val="22"/>
              </w:rPr>
            </w:pPr>
            <w:r w:rsidRPr="00230F35">
              <w:rPr>
                <w:rFonts w:ascii="Arial" w:hAnsi="Arial" w:cs="Arial"/>
                <w:sz w:val="22"/>
                <w:szCs w:val="22"/>
              </w:rPr>
              <w:t>Date:</w:t>
            </w:r>
          </w:p>
        </w:tc>
      </w:tr>
    </w:tbl>
    <w:p w14:paraId="589A6693" w14:textId="77777777" w:rsidR="004C1198" w:rsidRDefault="004C1198" w:rsidP="005D223A"/>
    <w:p w14:paraId="71AEE0D1" w14:textId="77777777" w:rsidR="004C1198" w:rsidRDefault="004C1198" w:rsidP="005D223A"/>
    <w:p w14:paraId="514DDD05" w14:textId="36859D60" w:rsidR="008A666B" w:rsidRDefault="005D223A">
      <w:r>
        <w:t>TMAR CLCL 7003 – 2019 – Encyclopaedia article.</w:t>
      </w:r>
    </w:p>
    <w:p w14:paraId="3324EF8B" w14:textId="77777777" w:rsidR="008A666B" w:rsidRDefault="008A666B"/>
    <w:p w14:paraId="2B068276" w14:textId="77777777" w:rsidR="008A666B" w:rsidRDefault="008A666B" w:rsidP="008A666B">
      <w:r>
        <w:t>Ritual Performance at Mount Juktas (Crete)</w:t>
      </w:r>
    </w:p>
    <w:p w14:paraId="33C7AFFA" w14:textId="313DD90F" w:rsidR="008A666B" w:rsidRDefault="00D71785" w:rsidP="008A666B">
      <w:r>
        <w:t>Word count: 1205</w:t>
      </w:r>
      <w:bookmarkStart w:id="6" w:name="_GoBack"/>
      <w:bookmarkEnd w:id="6"/>
    </w:p>
    <w:p w14:paraId="7164455E" w14:textId="77777777" w:rsidR="009C4799" w:rsidRDefault="009C4799" w:rsidP="008A666B">
      <w:pPr>
        <w:spacing w:line="480" w:lineRule="auto"/>
      </w:pPr>
    </w:p>
    <w:p w14:paraId="0EB6CBC3" w14:textId="46A0C49D" w:rsidR="00BD65DE" w:rsidRDefault="008A666B" w:rsidP="008A666B">
      <w:pPr>
        <w:spacing w:line="480" w:lineRule="auto"/>
      </w:pPr>
      <w:r>
        <w:t>Mount Juktas is a mountain in North-central Crete</w:t>
      </w:r>
      <w:r w:rsidR="00DC26E1">
        <w:t>, situated 13km from the remains of the palace of Knossos</w:t>
      </w:r>
      <w:r>
        <w:rPr>
          <w:rStyle w:val="FootnoteReference"/>
        </w:rPr>
        <w:footnoteReference w:id="1"/>
      </w:r>
      <w:r w:rsidR="00E3371C">
        <w:t>. For</w:t>
      </w:r>
      <w:r>
        <w:t xml:space="preserve"> </w:t>
      </w:r>
      <w:r w:rsidR="00492C9D">
        <w:t>a large</w:t>
      </w:r>
      <w:r w:rsidR="00D57F9D">
        <w:t xml:space="preserve"> part of</w:t>
      </w:r>
      <w:r w:rsidR="00492C9D">
        <w:t xml:space="preserve"> </w:t>
      </w:r>
      <w:r>
        <w:t>the Minoan period</w:t>
      </w:r>
      <w:r w:rsidR="001022EE">
        <w:t xml:space="preserve">  (c2600-c1100 BCE)</w:t>
      </w:r>
      <w:r>
        <w:t xml:space="preserve"> on the island, </w:t>
      </w:r>
      <w:r w:rsidR="00E3371C">
        <w:t xml:space="preserve">on the mountain </w:t>
      </w:r>
      <w:r w:rsidR="00D57F9D" w:rsidRPr="00D57F9D">
        <w:t>at a height of 811m</w:t>
      </w:r>
      <w:r w:rsidRPr="00D57F9D">
        <w:t>,</w:t>
      </w:r>
      <w:r w:rsidR="00E3371C">
        <w:t xml:space="preserve"> there is</w:t>
      </w:r>
      <w:r>
        <w:t xml:space="preserve"> a very important sacred site, a focus of religious and ritual activity known by archaeologists as a ‘peak sanctuary’.  </w:t>
      </w:r>
      <w:r w:rsidR="00DC26E1">
        <w:t>Discovered by Evans</w:t>
      </w:r>
      <w:r w:rsidR="00DC26E1">
        <w:rPr>
          <w:rStyle w:val="FootnoteReference"/>
        </w:rPr>
        <w:footnoteReference w:id="2"/>
      </w:r>
      <w:r w:rsidR="00DC26E1">
        <w:t>, a</w:t>
      </w:r>
      <w:r>
        <w:t xml:space="preserve"> peak sanctuary is defined</w:t>
      </w:r>
      <w:r w:rsidR="00DC26E1">
        <w:t>, according to Peatfield</w:t>
      </w:r>
      <w:r w:rsidR="00DC26E1">
        <w:rPr>
          <w:rStyle w:val="FootnoteReference"/>
        </w:rPr>
        <w:footnoteReference w:id="3"/>
      </w:r>
      <w:r w:rsidR="00492C9D">
        <w:t>,</w:t>
      </w:r>
      <w:r>
        <w:t xml:space="preserve"> </w:t>
      </w:r>
      <w:r w:rsidR="00DC26E1">
        <w:t>on topographical and artefact</w:t>
      </w:r>
      <w:r w:rsidR="00AB34DB">
        <w:t>s/finds</w:t>
      </w:r>
      <w:r w:rsidR="00DC26E1">
        <w:t xml:space="preserve"> grounds.  </w:t>
      </w:r>
      <w:r w:rsidR="00492C9D">
        <w:t>Peak sanctuaries are placed on the upper slopes of mountainous regions.  They are surrounded by the agricultural and pastoral land that is cultivated by the communities and are so at the centre of supporting that ac</w:t>
      </w:r>
      <w:r w:rsidR="00513796">
        <w:t xml:space="preserve">tivity from a religious and </w:t>
      </w:r>
      <w:r w:rsidR="00492C9D">
        <w:t xml:space="preserve">ritual perspective.    </w:t>
      </w:r>
      <w:r w:rsidR="00DC26E1">
        <w:t xml:space="preserve">The </w:t>
      </w:r>
      <w:r w:rsidR="009C4799">
        <w:t>inter-visible view from/to</w:t>
      </w:r>
      <w:r w:rsidR="00DC26E1">
        <w:t xml:space="preserve"> the sanctuary is important as it forms a reminder to the inhabitants of the settlements around it of the religious focus of community and it becomes a physical place to travel to in order to take part in ritual</w:t>
      </w:r>
      <w:r w:rsidR="00A1213E">
        <w:rPr>
          <w:rStyle w:val="FootnoteReference"/>
        </w:rPr>
        <w:footnoteReference w:id="4"/>
      </w:r>
      <w:r w:rsidR="00DC26E1">
        <w:t xml:space="preserve">. </w:t>
      </w:r>
      <w:r w:rsidR="00BD65DE">
        <w:t xml:space="preserve">The </w:t>
      </w:r>
      <w:r w:rsidR="0014549C">
        <w:t xml:space="preserve">Juktas </w:t>
      </w:r>
      <w:r w:rsidR="00BD65DE">
        <w:t xml:space="preserve">sanctuary is believed to align with the </w:t>
      </w:r>
      <w:r w:rsidR="009C4799">
        <w:t>central</w:t>
      </w:r>
      <w:r w:rsidR="00BD65DE">
        <w:t xml:space="preserve"> court</w:t>
      </w:r>
      <w:r w:rsidR="00BD65DE">
        <w:rPr>
          <w:rStyle w:val="FootnoteReference"/>
        </w:rPr>
        <w:footnoteReference w:id="5"/>
      </w:r>
      <w:r w:rsidR="00A1213E">
        <w:t>.  The second element</w:t>
      </w:r>
      <w:r w:rsidR="00F05AB6">
        <w:t xml:space="preserve"> -</w:t>
      </w:r>
      <w:r w:rsidR="00A1213E">
        <w:t xml:space="preserve"> </w:t>
      </w:r>
      <w:r w:rsidR="00BD65DE">
        <w:t>that of material finds, of quantity and quality, as evidence the area was a p</w:t>
      </w:r>
      <w:r w:rsidR="00F05AB6">
        <w:t>eak sanctuary - is in abundance at</w:t>
      </w:r>
      <w:r w:rsidR="00BD65DE">
        <w:t xml:space="preserve"> Juktas.  </w:t>
      </w:r>
      <w:r w:rsidR="00F05AB6">
        <w:t>The</w:t>
      </w:r>
      <w:r w:rsidR="00BD65DE">
        <w:t xml:space="preserve"> </w:t>
      </w:r>
      <w:r w:rsidR="00F05AB6">
        <w:t>type of artefacts</w:t>
      </w:r>
      <w:r w:rsidR="00A1213E">
        <w:t xml:space="preserve"> found</w:t>
      </w:r>
      <w:r w:rsidR="00F05AB6">
        <w:t xml:space="preserve"> are</w:t>
      </w:r>
      <w:r w:rsidR="00BD65DE">
        <w:t xml:space="preserve"> for example: figures and figurines of animal and humans images; votive human limb objects; stone offering tables; an altar; horns of consecration; gold objects; tables and libation vessels with linear A inscriptions.</w:t>
      </w:r>
    </w:p>
    <w:p w14:paraId="15B3A553" w14:textId="77777777" w:rsidR="008A666B" w:rsidRDefault="00BD65DE" w:rsidP="008A666B">
      <w:pPr>
        <w:spacing w:line="480" w:lineRule="auto"/>
      </w:pPr>
      <w:r>
        <w:t xml:space="preserve"> </w:t>
      </w:r>
    </w:p>
    <w:p w14:paraId="27DA1E72" w14:textId="5676315C" w:rsidR="00BD65DE" w:rsidRDefault="00BD65DE" w:rsidP="008A666B">
      <w:pPr>
        <w:spacing w:line="480" w:lineRule="auto"/>
      </w:pPr>
      <w:r>
        <w:t xml:space="preserve">Whilst the phenomenon of peak sanctuaries developed in the </w:t>
      </w:r>
      <w:r w:rsidRPr="001022EE">
        <w:t>proto-palatial period</w:t>
      </w:r>
      <w:r>
        <w:t xml:space="preserve"> </w:t>
      </w:r>
      <w:r w:rsidR="001022EE">
        <w:t xml:space="preserve"> (c.1900 BCE) </w:t>
      </w:r>
      <w:r>
        <w:t xml:space="preserve">and continued through the </w:t>
      </w:r>
      <w:r w:rsidR="001022EE" w:rsidRPr="001022EE">
        <w:t>neo</w:t>
      </w:r>
      <w:r w:rsidRPr="001022EE">
        <w:t>palatial periods</w:t>
      </w:r>
      <w:r w:rsidR="001022EE">
        <w:t xml:space="preserve"> (MMIII – c.1700-1550 BCE)</w:t>
      </w:r>
      <w:r>
        <w:t xml:space="preserve">, material evidence for ritual activity at Juktas supports its occurrence from </w:t>
      </w:r>
      <w:r w:rsidR="001022EE" w:rsidRPr="001022EE">
        <w:t xml:space="preserve">the early to late </w:t>
      </w:r>
      <w:r w:rsidRPr="001022EE">
        <w:t>M</w:t>
      </w:r>
      <w:r w:rsidR="001022EE">
        <w:t>inoan periods (c.2200 – c.1100 BCE)</w:t>
      </w:r>
      <w:r>
        <w:t>.  The sheer volume and quality of finds from the palatial periods points to Mount Juktas being the most important peak sanctuary in Minoan culture.</w:t>
      </w:r>
    </w:p>
    <w:p w14:paraId="75CEC537" w14:textId="77777777" w:rsidR="001B45D2" w:rsidRDefault="001B45D2" w:rsidP="008A666B">
      <w:pPr>
        <w:spacing w:line="480" w:lineRule="auto"/>
      </w:pPr>
    </w:p>
    <w:p w14:paraId="1870CBF7" w14:textId="0F50822C" w:rsidR="001B45D2" w:rsidRDefault="001B45D2" w:rsidP="008A666B">
      <w:pPr>
        <w:spacing w:line="480" w:lineRule="auto"/>
      </w:pPr>
      <w:r>
        <w:t>It is thought that the development of peak sanctuaries grew from the areas being used as burial grounds in the earlier phases of Minoan culture.  These burial grounds begin as simple tombs but eventually these tomb areas are elaborated with supplementary</w:t>
      </w:r>
      <w:r w:rsidR="00A1213E">
        <w:t xml:space="preserve"> structures and rooms.  As communities grow, there becomes a</w:t>
      </w:r>
      <w:r>
        <w:t xml:space="preserve"> need to change or enrich the ritual activity from just funerary rites to what Turner has characterised as a re-alignment between living and dead, to reaffirm the </w:t>
      </w:r>
      <w:r w:rsidR="00EF6848">
        <w:t xml:space="preserve">coherence and </w:t>
      </w:r>
      <w:r>
        <w:t>strength of th</w:t>
      </w:r>
      <w:r w:rsidR="00EF6848">
        <w:t>e community impacted death</w:t>
      </w:r>
      <w:r w:rsidR="00A1213E">
        <w:rPr>
          <w:rStyle w:val="FootnoteReference"/>
        </w:rPr>
        <w:footnoteReference w:id="6"/>
      </w:r>
      <w:r>
        <w:t>.  These new structures may also represent what Renfrew has called a liminal zone between life and afterlife.</w:t>
      </w:r>
      <w:r w:rsidR="00A1213E">
        <w:t xml:space="preserve">  Ritual performance becomes more than just funerary rites but develop to allow a communication between the living and the ancestors</w:t>
      </w:r>
      <w:r w:rsidR="00A1213E">
        <w:rPr>
          <w:rStyle w:val="FootnoteReference"/>
        </w:rPr>
        <w:footnoteReference w:id="7"/>
      </w:r>
      <w:r w:rsidR="00A1213E">
        <w:t xml:space="preserve">.  </w:t>
      </w:r>
    </w:p>
    <w:p w14:paraId="05B00F31" w14:textId="06042A8C" w:rsidR="00A1213E" w:rsidRDefault="00A1213E" w:rsidP="008A666B">
      <w:pPr>
        <w:spacing w:line="480" w:lineRule="auto"/>
      </w:pPr>
      <w:r>
        <w:t>As the pre-palatial era gives to way to the palatial period, the religious dimension of community activity shifts to the peak sanctuaries.  The material evidence   shards from EM II have been found - shows that Juktas is a special case, developing earlier than any other sanctuary.  This reflects the rise of Knossos as a principle ur</w:t>
      </w:r>
      <w:r w:rsidR="005B282B">
        <w:t>ban area in the palatial period and is confirmed by the amount and different types of finds in the archaeological record.</w:t>
      </w:r>
    </w:p>
    <w:p w14:paraId="15AAE4DC" w14:textId="03646F70" w:rsidR="005B282B" w:rsidRDefault="005B282B" w:rsidP="008A666B">
      <w:pPr>
        <w:spacing w:line="480" w:lineRule="auto"/>
      </w:pPr>
      <w:r>
        <w:t>Anthropology has examined what ritual as performance means and a number of aspects can be elucidated</w:t>
      </w:r>
      <w:r>
        <w:rPr>
          <w:rStyle w:val="FootnoteReference"/>
        </w:rPr>
        <w:footnoteReference w:id="8"/>
      </w:r>
      <w:r w:rsidR="00F05AB6">
        <w:t>.  It</w:t>
      </w:r>
      <w:r>
        <w:t>:</w:t>
      </w:r>
    </w:p>
    <w:p w14:paraId="50B8FA7E" w14:textId="14F97F1E" w:rsidR="005B282B" w:rsidRDefault="005B282B" w:rsidP="005B282B">
      <w:pPr>
        <w:pStyle w:val="ListParagraph"/>
        <w:numPr>
          <w:ilvl w:val="0"/>
          <w:numId w:val="2"/>
        </w:numPr>
        <w:spacing w:line="480" w:lineRule="auto"/>
      </w:pPr>
      <w:r>
        <w:t>is formalized behaviour</w:t>
      </w:r>
    </w:p>
    <w:p w14:paraId="1E150B28" w14:textId="5B9241D1" w:rsidR="005B282B" w:rsidRDefault="005B282B" w:rsidP="005B282B">
      <w:pPr>
        <w:pStyle w:val="ListParagraph"/>
        <w:numPr>
          <w:ilvl w:val="0"/>
          <w:numId w:val="2"/>
        </w:numPr>
        <w:spacing w:line="480" w:lineRule="auto"/>
      </w:pPr>
      <w:r>
        <w:t>has transformative power</w:t>
      </w:r>
    </w:p>
    <w:p w14:paraId="2F0B3237" w14:textId="6BF044C1" w:rsidR="005B282B" w:rsidRDefault="005B282B" w:rsidP="005B282B">
      <w:pPr>
        <w:pStyle w:val="ListParagraph"/>
        <w:numPr>
          <w:ilvl w:val="0"/>
          <w:numId w:val="2"/>
        </w:numPr>
        <w:spacing w:line="480" w:lineRule="auto"/>
      </w:pPr>
      <w:r>
        <w:t>can be ceremonial and symbolic</w:t>
      </w:r>
    </w:p>
    <w:p w14:paraId="14F3E6F7" w14:textId="4F0F46F3" w:rsidR="005B282B" w:rsidRDefault="005B282B" w:rsidP="005B282B">
      <w:pPr>
        <w:pStyle w:val="ListParagraph"/>
        <w:numPr>
          <w:ilvl w:val="0"/>
          <w:numId w:val="2"/>
        </w:numPr>
        <w:spacing w:line="480" w:lineRule="auto"/>
      </w:pPr>
      <w:r>
        <w:t>has distinct cultural context with individuality of ritual</w:t>
      </w:r>
    </w:p>
    <w:p w14:paraId="297A2CA4" w14:textId="7E8F9B8B" w:rsidR="005B282B" w:rsidRDefault="005B282B" w:rsidP="005B282B">
      <w:pPr>
        <w:pStyle w:val="ListParagraph"/>
        <w:numPr>
          <w:ilvl w:val="0"/>
          <w:numId w:val="2"/>
        </w:numPr>
        <w:spacing w:line="480" w:lineRule="auto"/>
      </w:pPr>
      <w:r>
        <w:t>has no overarching</w:t>
      </w:r>
      <w:r w:rsidR="00F05AB6">
        <w:t xml:space="preserve"> rul</w:t>
      </w:r>
      <w:r>
        <w:t>es</w:t>
      </w:r>
    </w:p>
    <w:p w14:paraId="61306E50" w14:textId="10111F8F" w:rsidR="005B282B" w:rsidRDefault="005B282B" w:rsidP="005B282B">
      <w:pPr>
        <w:pStyle w:val="ListParagraph"/>
        <w:numPr>
          <w:ilvl w:val="0"/>
          <w:numId w:val="2"/>
        </w:numPr>
        <w:spacing w:line="480" w:lineRule="auto"/>
      </w:pPr>
      <w:r>
        <w:t>has a repetitive, ordered sequence of words, gestures and actions (not necessarily laden with meaning).</w:t>
      </w:r>
    </w:p>
    <w:p w14:paraId="0F8578FD" w14:textId="736A934F" w:rsidR="005B282B" w:rsidRDefault="005B282B" w:rsidP="005B282B">
      <w:pPr>
        <w:spacing w:line="480" w:lineRule="auto"/>
      </w:pPr>
      <w:r>
        <w:t>From this</w:t>
      </w:r>
      <w:r w:rsidR="00F05AB6">
        <w:t xml:space="preserve"> ritual as p</w:t>
      </w:r>
      <w:r w:rsidR="0094642A">
        <w:t>erformance as a practical activity involves the following:</w:t>
      </w:r>
    </w:p>
    <w:p w14:paraId="73E1D022" w14:textId="583864C0" w:rsidR="0094642A" w:rsidRDefault="0094642A" w:rsidP="0094642A">
      <w:pPr>
        <w:pStyle w:val="ListParagraph"/>
        <w:numPr>
          <w:ilvl w:val="0"/>
          <w:numId w:val="2"/>
        </w:numPr>
        <w:spacing w:line="480" w:lineRule="auto"/>
      </w:pPr>
      <w:r>
        <w:t>Participants enacting and taking part in a role</w:t>
      </w:r>
    </w:p>
    <w:p w14:paraId="017D7438" w14:textId="2C917004" w:rsidR="0094642A" w:rsidRDefault="0094642A" w:rsidP="0094642A">
      <w:pPr>
        <w:pStyle w:val="ListParagraph"/>
        <w:numPr>
          <w:ilvl w:val="0"/>
          <w:numId w:val="2"/>
        </w:numPr>
        <w:spacing w:line="480" w:lineRule="auto"/>
      </w:pPr>
      <w:r>
        <w:t>Actions sequenced and prescribed</w:t>
      </w:r>
    </w:p>
    <w:p w14:paraId="067E0BA5" w14:textId="591686A3" w:rsidR="0094642A" w:rsidRDefault="0094642A" w:rsidP="0094642A">
      <w:pPr>
        <w:pStyle w:val="ListParagraph"/>
        <w:numPr>
          <w:ilvl w:val="0"/>
          <w:numId w:val="2"/>
        </w:numPr>
        <w:spacing w:line="480" w:lineRule="auto"/>
      </w:pPr>
      <w:r>
        <w:t>Actions might well involve special objects</w:t>
      </w:r>
    </w:p>
    <w:p w14:paraId="62831055" w14:textId="0EB540C5" w:rsidR="0094642A" w:rsidRDefault="0094642A" w:rsidP="0094642A">
      <w:pPr>
        <w:pStyle w:val="ListParagraph"/>
        <w:numPr>
          <w:ilvl w:val="0"/>
          <w:numId w:val="2"/>
        </w:numPr>
        <w:spacing w:line="480" w:lineRule="auto"/>
      </w:pPr>
      <w:r>
        <w:t>A special space is often used.</w:t>
      </w:r>
    </w:p>
    <w:p w14:paraId="3A4A3B97" w14:textId="10820908" w:rsidR="008D6872" w:rsidRDefault="0094642A" w:rsidP="0094642A">
      <w:pPr>
        <w:spacing w:line="480" w:lineRule="auto"/>
      </w:pPr>
      <w:r>
        <w:t xml:space="preserve">At Juktas, </w:t>
      </w:r>
      <w:r w:rsidR="00570917">
        <w:t xml:space="preserve">ritual as performance is </w:t>
      </w:r>
      <w:r>
        <w:t xml:space="preserve">looked for by considering </w:t>
      </w:r>
      <w:r w:rsidR="00570917">
        <w:t>the archaeological evidence that s</w:t>
      </w:r>
      <w:r>
        <w:t xml:space="preserve">upports the above.  For example, build up of similar deposits can be interpreted as evidence of formalised, repetitive actions.  Evidence of special locations - e.g. altars – or materials such as votive objects, or equipment such as libation vessels can be sought.  Evidence of feasting or of ritual destruction of items would also indicate ritual activity.  </w:t>
      </w:r>
    </w:p>
    <w:p w14:paraId="645B0404" w14:textId="40C2C14A" w:rsidR="0094642A" w:rsidRDefault="008D6872" w:rsidP="0094642A">
      <w:pPr>
        <w:spacing w:line="480" w:lineRule="auto"/>
      </w:pPr>
      <w:r>
        <w:t>Archaeologists thus have identified</w:t>
      </w:r>
      <w:r w:rsidR="00513796">
        <w:t xml:space="preserve"> four aspects to seek</w:t>
      </w:r>
      <w:r w:rsidR="0094642A">
        <w:t xml:space="preserve"> </w:t>
      </w:r>
      <w:r>
        <w:t>if wishing to confirm the performance of ritual</w:t>
      </w:r>
      <w:r w:rsidR="00513796">
        <w:rPr>
          <w:rStyle w:val="FootnoteReference"/>
        </w:rPr>
        <w:footnoteReference w:id="9"/>
      </w:r>
      <w:r>
        <w:t>:</w:t>
      </w:r>
    </w:p>
    <w:p w14:paraId="0B792C0A" w14:textId="103DFF0B" w:rsidR="008D6872" w:rsidRDefault="008D6872" w:rsidP="008D6872">
      <w:pPr>
        <w:pStyle w:val="ListParagraph"/>
        <w:numPr>
          <w:ilvl w:val="0"/>
          <w:numId w:val="2"/>
        </w:numPr>
        <w:spacing w:line="480" w:lineRule="auto"/>
      </w:pPr>
      <w:r w:rsidRPr="008D6872">
        <w:rPr>
          <w:i/>
        </w:rPr>
        <w:t>Structural deposition</w:t>
      </w:r>
      <w:r>
        <w:t>:  the meaningful and deliberate deposition of specific items - such as bones, equipment, human remains - in special locations, and/or objects deliberately removed to the sacred place with ceremony</w:t>
      </w:r>
    </w:p>
    <w:p w14:paraId="67CA4AE6" w14:textId="4440B61E" w:rsidR="008D6872" w:rsidRDefault="008D6872" w:rsidP="008D6872">
      <w:pPr>
        <w:pStyle w:val="ListParagraph"/>
        <w:numPr>
          <w:ilvl w:val="0"/>
          <w:numId w:val="2"/>
        </w:numPr>
        <w:spacing w:line="480" w:lineRule="auto"/>
      </w:pPr>
      <w:r>
        <w:rPr>
          <w:i/>
        </w:rPr>
        <w:t>Feasting and consumption</w:t>
      </w:r>
      <w:r w:rsidRPr="008D6872">
        <w:t>:</w:t>
      </w:r>
      <w:r>
        <w:t xml:space="preserve">  remains in the archaeological record, such as l</w:t>
      </w:r>
      <w:r w:rsidR="00570917">
        <w:t xml:space="preserve">ibation vessels, ash pits, and remains, e.g. pine seeds, </w:t>
      </w:r>
      <w:r>
        <w:t>that indicate the performance of ritual eating and drinking.</w:t>
      </w:r>
    </w:p>
    <w:p w14:paraId="6E10949C" w14:textId="72AFD587" w:rsidR="008D6872" w:rsidRDefault="008D6872" w:rsidP="008D6872">
      <w:pPr>
        <w:pStyle w:val="ListParagraph"/>
        <w:numPr>
          <w:ilvl w:val="0"/>
          <w:numId w:val="2"/>
        </w:numPr>
        <w:spacing w:line="480" w:lineRule="auto"/>
      </w:pPr>
      <w:r>
        <w:rPr>
          <w:i/>
        </w:rPr>
        <w:t>Fragmentation</w:t>
      </w:r>
      <w:r>
        <w:t>:  The deliberate removal</w:t>
      </w:r>
      <w:r w:rsidR="00513796">
        <w:t xml:space="preserve"> and breaking</w:t>
      </w:r>
      <w:r>
        <w:t xml:space="preserve"> of special, spiritually infused objects from circulation and </w:t>
      </w:r>
      <w:r w:rsidR="00513796">
        <w:t>depositing and/or dedication of them at a sacred site.</w:t>
      </w:r>
    </w:p>
    <w:p w14:paraId="57CC6F8D" w14:textId="0F63B2F6" w:rsidR="00513796" w:rsidRDefault="00513796" w:rsidP="00513796">
      <w:pPr>
        <w:spacing w:line="480" w:lineRule="auto"/>
      </w:pPr>
      <w:r>
        <w:t>Juktas already has evidence from the EM II</w:t>
      </w:r>
      <w:r w:rsidR="00202940">
        <w:t xml:space="preserve"> (c.2200 BCE)</w:t>
      </w:r>
      <w:r>
        <w:t xml:space="preserve"> period that ritual activity is taking place, from the shards recovered from the chasm found on the site</w:t>
      </w:r>
      <w:r>
        <w:rPr>
          <w:rStyle w:val="FootnoteReference"/>
        </w:rPr>
        <w:footnoteReference w:id="10"/>
      </w:r>
      <w:r>
        <w:t>. In the pro</w:t>
      </w:r>
      <w:r w:rsidR="006C279B">
        <w:t>to-palatial period, there is evidence of structures being created and a sanctuary wall or tenemos being erected.  During the neopalatial period, from MMIII, Juktas survives the institutionalizing of religious activity that is a by-product of concentration of power within the urban centres like Knossos.  Overall, ritual activity is still community based but the elite exercise control. Many peak sanctuaries are abandoned but Juktas thrives – the alignment of the central court at Knossos with the sanctuary implies a complex Minoan cosmology</w:t>
      </w:r>
      <w:r w:rsidR="00D57F9D">
        <w:t xml:space="preserve"> and perhaps a political and religious nexus between city and sanctuary</w:t>
      </w:r>
      <w:r w:rsidR="006C279B">
        <w:rPr>
          <w:rStyle w:val="FootnoteReference"/>
        </w:rPr>
        <w:footnoteReference w:id="11"/>
      </w:r>
      <w:r w:rsidR="006C279B">
        <w:t>.</w:t>
      </w:r>
    </w:p>
    <w:p w14:paraId="74C0B5A1" w14:textId="6339615C" w:rsidR="006C279B" w:rsidRDefault="00047580" w:rsidP="00513796">
      <w:pPr>
        <w:spacing w:line="480" w:lineRule="auto"/>
      </w:pPr>
      <w:r>
        <w:t>Juktas is now enlarged with three terraces, built, stone altars and subsidiary structures.  Votive objects are found in abundance and some of prestigious materials such gold.  Finds include objects deliberately broken and deposited – evidence of fragmentation and structured deposition.  Large quanti</w:t>
      </w:r>
      <w:r w:rsidR="002A17AE">
        <w:t>ti</w:t>
      </w:r>
      <w:r>
        <w:t>es of pithoi and libation vessel</w:t>
      </w:r>
      <w:r w:rsidR="00D57F9D">
        <w:t>s</w:t>
      </w:r>
      <w:r>
        <w:t xml:space="preserve"> point to ritual feasting.</w:t>
      </w:r>
    </w:p>
    <w:p w14:paraId="7766500F" w14:textId="4AD0133D" w:rsidR="00047580" w:rsidRDefault="00047580" w:rsidP="00513796">
      <w:pPr>
        <w:spacing w:line="480" w:lineRule="auto"/>
      </w:pPr>
      <w:r>
        <w:t>The</w:t>
      </w:r>
      <w:r w:rsidR="00D57F9D">
        <w:t xml:space="preserve"> many</w:t>
      </w:r>
      <w:r>
        <w:t xml:space="preserve"> number of animal, both male and female figurines and the</w:t>
      </w:r>
      <w:r w:rsidR="00202940">
        <w:t xml:space="preserve"> votive</w:t>
      </w:r>
      <w:r>
        <w:t xml:space="preserve"> ‘limb’ objects imply ritual performance of worship and offering, perhaps for individual or collective needs, and this is supported by the existence of stone offering tables</w:t>
      </w:r>
      <w:r w:rsidR="00202940">
        <w:t xml:space="preserve"> built into an altar</w:t>
      </w:r>
      <w:r>
        <w:rPr>
          <w:rStyle w:val="FootnoteReference"/>
        </w:rPr>
        <w:footnoteReference w:id="12"/>
      </w:r>
      <w:r>
        <w:t>.</w:t>
      </w:r>
      <w:r w:rsidR="002A17AE">
        <w:t xml:space="preserve">  Other prestige objects could point to ritual activity</w:t>
      </w:r>
      <w:r w:rsidR="00202940">
        <w:t xml:space="preserve"> related to religious activities in the court of Knossos</w:t>
      </w:r>
      <w:r w:rsidR="002A17AE">
        <w:t>, e.g. the horns of consecration and the many double axes.  The presence of ash pits that include bones and burnt seeds may indicate ritual feasting, for example celebration</w:t>
      </w:r>
      <w:r w:rsidR="00D57F9D">
        <w:t>s</w:t>
      </w:r>
      <w:r w:rsidR="002A17AE">
        <w:t xml:space="preserve"> of the harvest</w:t>
      </w:r>
      <w:r w:rsidR="002A17AE">
        <w:rPr>
          <w:rStyle w:val="FootnoteReference"/>
        </w:rPr>
        <w:footnoteReference w:id="13"/>
      </w:r>
      <w:r w:rsidR="002A17AE">
        <w:t xml:space="preserve">.  </w:t>
      </w:r>
    </w:p>
    <w:p w14:paraId="1988B95C" w14:textId="4C67F770" w:rsidR="009C4799" w:rsidRDefault="004F3E9E" w:rsidP="00513796">
      <w:pPr>
        <w:spacing w:line="480" w:lineRule="auto"/>
      </w:pPr>
      <w:r>
        <w:rPr>
          <w:lang w:val="en-US"/>
        </w:rPr>
        <w:t>H</w:t>
      </w:r>
      <w:r>
        <w:rPr>
          <w:rFonts w:ascii="Cambria" w:hAnsi="Cambria"/>
          <w:lang w:val="en-US"/>
        </w:rPr>
        <w:t>ä</w:t>
      </w:r>
      <w:r>
        <w:rPr>
          <w:lang w:val="en-US"/>
        </w:rPr>
        <w:t>gg</w:t>
      </w:r>
      <w:r w:rsidR="002A17AE">
        <w:t xml:space="preserve"> has argued that one of the primary Minoan rituals was one of summoning the deity, an epiphany ritual</w:t>
      </w:r>
      <w:r w:rsidR="002A17AE">
        <w:rPr>
          <w:rStyle w:val="FootnoteReference"/>
        </w:rPr>
        <w:footnoteReference w:id="14"/>
      </w:r>
      <w:r w:rsidR="002A17AE">
        <w:t>.</w:t>
      </w:r>
      <w:r w:rsidR="0074084E">
        <w:t xml:space="preserve">  The peak sanctuary at Juktas</w:t>
      </w:r>
      <w:r w:rsidR="002A17AE">
        <w:t xml:space="preserve"> is </w:t>
      </w:r>
      <w:r w:rsidR="0074084E">
        <w:t xml:space="preserve">certainly a </w:t>
      </w:r>
      <w:r w:rsidR="002A17AE">
        <w:t>place to perform that ritual</w:t>
      </w:r>
      <w:r w:rsidR="002A17AE">
        <w:rPr>
          <w:rStyle w:val="FootnoteReference"/>
        </w:rPr>
        <w:footnoteReference w:id="15"/>
      </w:r>
      <w:r w:rsidR="002A17AE">
        <w:t>.  Th</w:t>
      </w:r>
      <w:r w:rsidR="00205F59">
        <w:t xml:space="preserve">ere are a number of vessels </w:t>
      </w:r>
      <w:r w:rsidR="00E34C62">
        <w:t>and one black steat</w:t>
      </w:r>
      <w:r w:rsidR="00202940">
        <w:t xml:space="preserve">ite ladle </w:t>
      </w:r>
      <w:r w:rsidR="00205F59">
        <w:t>that carry</w:t>
      </w:r>
      <w:r w:rsidR="00202940">
        <w:t xml:space="preserve"> inscriptions of</w:t>
      </w:r>
      <w:r w:rsidR="00205F59">
        <w:t xml:space="preserve"> a libation formula written in Linear A</w:t>
      </w:r>
      <w:r w:rsidR="00202940">
        <w:rPr>
          <w:rStyle w:val="FootnoteReference"/>
        </w:rPr>
        <w:footnoteReference w:id="16"/>
      </w:r>
      <w:r w:rsidR="00205F59">
        <w:t>.  Though this script is un-translated, comparison of the surviving texts from sacred sites allows the interpretation that these are offering formula.  There are six distinct formulae and they all appear in the finds at Juktas.</w:t>
      </w:r>
      <w:r w:rsidR="001022EE">
        <w:t xml:space="preserve">  The so-called Libation formulas contain a word that appears to be a deity and the formula</w:t>
      </w:r>
      <w:r w:rsidR="00202940">
        <w:t>e</w:t>
      </w:r>
      <w:r w:rsidR="001022EE">
        <w:t xml:space="preserve"> may have been used in dedicatory way</w:t>
      </w:r>
      <w:r w:rsidR="001022EE">
        <w:rPr>
          <w:rStyle w:val="FootnoteReference"/>
        </w:rPr>
        <w:footnoteReference w:id="17"/>
      </w:r>
      <w:r w:rsidR="00202940">
        <w:t>.</w:t>
      </w:r>
    </w:p>
    <w:p w14:paraId="39EBA55F" w14:textId="147E9DE6" w:rsidR="001022EE" w:rsidRDefault="00D71785" w:rsidP="00513796">
      <w:pPr>
        <w:spacing w:line="480" w:lineRule="auto"/>
      </w:pPr>
      <w:r>
        <w:t>The</w:t>
      </w:r>
      <w:r w:rsidR="009C4799">
        <w:t xml:space="preserve"> peak sanctuary is a focus for </w:t>
      </w:r>
      <w:r w:rsidR="004C1198">
        <w:t>religiously based</w:t>
      </w:r>
      <w:r w:rsidR="009C4799">
        <w:t xml:space="preserve"> community activity during the Minoan palatial period.  Evidence from archaeology at Juktas reveals that ritual performance is a key part of this</w:t>
      </w:r>
      <w:r w:rsidR="0014549C">
        <w:t xml:space="preserve"> activity,</w:t>
      </w:r>
      <w:r w:rsidR="009C4799">
        <w:t xml:space="preserve"> and that Juktas hosts the major</w:t>
      </w:r>
      <w:r w:rsidR="0014549C">
        <w:t xml:space="preserve"> sanctuary of the Cretan island.</w:t>
      </w:r>
    </w:p>
    <w:p w14:paraId="2033FB97" w14:textId="77777777" w:rsidR="001022EE" w:rsidRDefault="001022EE" w:rsidP="00513796">
      <w:pPr>
        <w:spacing w:line="480" w:lineRule="auto"/>
      </w:pPr>
    </w:p>
    <w:p w14:paraId="05478DAD" w14:textId="5E508086" w:rsidR="001022EE" w:rsidRDefault="001022EE" w:rsidP="00513796">
      <w:pPr>
        <w:spacing w:line="480" w:lineRule="auto"/>
      </w:pPr>
      <w:r>
        <w:t>References</w:t>
      </w:r>
    </w:p>
    <w:p w14:paraId="04849309" w14:textId="0B9D346C" w:rsidR="00F05AB6" w:rsidRDefault="00F05AB6" w:rsidP="00F05AB6">
      <w:pPr>
        <w:rPr>
          <w:lang w:val="en-US"/>
        </w:rPr>
      </w:pPr>
      <w:r w:rsidRPr="00F05AB6">
        <w:rPr>
          <w:lang w:val="en-US"/>
        </w:rPr>
        <w:t>Adams</w:t>
      </w:r>
      <w:r>
        <w:rPr>
          <w:lang w:val="en-US"/>
        </w:rPr>
        <w:t>,</w:t>
      </w:r>
      <w:r w:rsidRPr="00F05AB6">
        <w:rPr>
          <w:lang w:val="en-US"/>
        </w:rPr>
        <w:t xml:space="preserve"> Ellen</w:t>
      </w:r>
      <w:r>
        <w:rPr>
          <w:lang w:val="en-US"/>
        </w:rPr>
        <w:t>,</w:t>
      </w:r>
      <w:r w:rsidRPr="00F05AB6">
        <w:rPr>
          <w:lang w:val="en-US"/>
        </w:rPr>
        <w:t xml:space="preserve"> </w:t>
      </w:r>
      <w:r>
        <w:rPr>
          <w:lang w:val="en-US"/>
        </w:rPr>
        <w:t>“</w:t>
      </w:r>
      <w:r w:rsidRPr="00F05AB6">
        <w:rPr>
          <w:lang w:val="en-US"/>
        </w:rPr>
        <w:t>Power and Ritual in Neopalatial Crete: A Regional Comparison</w:t>
      </w:r>
      <w:r>
        <w:rPr>
          <w:lang w:val="en-US"/>
        </w:rPr>
        <w:t xml:space="preserve">” </w:t>
      </w:r>
      <w:r w:rsidRPr="00F05AB6">
        <w:rPr>
          <w:i/>
          <w:lang w:val="en-US"/>
        </w:rPr>
        <w:t>World Archaeology</w:t>
      </w:r>
      <w:r w:rsidRPr="00F05AB6">
        <w:rPr>
          <w:lang w:val="en-US"/>
        </w:rPr>
        <w:t>, Vol. 36, No. 1,</w:t>
      </w:r>
      <w:r w:rsidR="0014549C">
        <w:rPr>
          <w:lang w:val="en-US"/>
        </w:rPr>
        <w:t xml:space="preserve"> The Object of Dedication (Mar.</w:t>
      </w:r>
      <w:r w:rsidRPr="00F05AB6">
        <w:rPr>
          <w:lang w:val="en-US"/>
        </w:rPr>
        <w:t xml:space="preserve"> 2004), 26-42</w:t>
      </w:r>
      <w:r>
        <w:rPr>
          <w:lang w:val="en-US"/>
        </w:rPr>
        <w:t>.</w:t>
      </w:r>
    </w:p>
    <w:p w14:paraId="08D48EF7" w14:textId="77777777" w:rsidR="00C92632" w:rsidRDefault="00C92632" w:rsidP="00F05AB6">
      <w:pPr>
        <w:rPr>
          <w:lang w:val="en-US"/>
        </w:rPr>
      </w:pPr>
    </w:p>
    <w:p w14:paraId="2AD6DE20" w14:textId="77FDCED0" w:rsidR="00C92632" w:rsidRPr="00C92632" w:rsidRDefault="00C92632" w:rsidP="00C92632">
      <w:pPr>
        <w:pStyle w:val="FootnoteText"/>
        <w:rPr>
          <w:lang w:val="en-US"/>
        </w:rPr>
      </w:pPr>
      <w:r w:rsidRPr="00C92632">
        <w:rPr>
          <w:rFonts w:cs="Times New Roman"/>
        </w:rPr>
        <w:t>Bowie,</w:t>
      </w:r>
      <w:r>
        <w:rPr>
          <w:rFonts w:cs="Times New Roman"/>
        </w:rPr>
        <w:t xml:space="preserve"> </w:t>
      </w:r>
      <w:r w:rsidR="00570917">
        <w:t>Fiona</w:t>
      </w:r>
      <w:r>
        <w:t>,</w:t>
      </w:r>
      <w:r w:rsidR="00570917">
        <w:t xml:space="preserve"> </w:t>
      </w:r>
      <w:r w:rsidRPr="00C92632">
        <w:rPr>
          <w:rFonts w:cs="Times New Roman"/>
          <w:i/>
        </w:rPr>
        <w:t>The Anthropology of Religion</w:t>
      </w:r>
      <w:r w:rsidRPr="00C92632">
        <w:rPr>
          <w:rFonts w:cs="Times New Roman"/>
        </w:rPr>
        <w:t xml:space="preserve">, </w:t>
      </w:r>
      <w:r>
        <w:rPr>
          <w:rFonts w:cs="Times New Roman"/>
        </w:rPr>
        <w:t>(</w:t>
      </w:r>
      <w:r w:rsidRPr="00C92632">
        <w:rPr>
          <w:rFonts w:cs="Times New Roman"/>
        </w:rPr>
        <w:t>Oxford: Blackwel</w:t>
      </w:r>
      <w:r>
        <w:rPr>
          <w:rFonts w:cs="Times New Roman"/>
        </w:rPr>
        <w:t>l, 2000</w:t>
      </w:r>
      <w:r w:rsidR="00570917">
        <w:rPr>
          <w:rFonts w:cs="Times New Roman"/>
        </w:rPr>
        <w:t>).</w:t>
      </w:r>
    </w:p>
    <w:p w14:paraId="4D497A3B" w14:textId="00BD449C" w:rsidR="00F05AB6" w:rsidRPr="00F05AB6" w:rsidRDefault="00F05AB6" w:rsidP="00F05AB6">
      <w:pPr>
        <w:rPr>
          <w:lang w:val="en-US"/>
        </w:rPr>
      </w:pPr>
    </w:p>
    <w:p w14:paraId="18B86C16" w14:textId="1A1F979B" w:rsidR="00F05AB6" w:rsidRDefault="00E34C62" w:rsidP="00F05AB6">
      <w:pPr>
        <w:rPr>
          <w:lang w:val="en-US"/>
        </w:rPr>
      </w:pPr>
      <w:r w:rsidRPr="00F05AB6">
        <w:rPr>
          <w:lang w:val="en-US"/>
        </w:rPr>
        <w:t>Briault</w:t>
      </w:r>
      <w:r>
        <w:rPr>
          <w:lang w:val="en-US"/>
        </w:rPr>
        <w:t>,</w:t>
      </w:r>
      <w:r w:rsidRPr="00F05AB6">
        <w:rPr>
          <w:lang w:val="en-US"/>
        </w:rPr>
        <w:t xml:space="preserve"> </w:t>
      </w:r>
      <w:r w:rsidR="00F05AB6" w:rsidRPr="00F05AB6">
        <w:rPr>
          <w:lang w:val="en-US"/>
        </w:rPr>
        <w:t>Camilla</w:t>
      </w:r>
      <w:r>
        <w:rPr>
          <w:lang w:val="en-US"/>
        </w:rPr>
        <w:t>,</w:t>
      </w:r>
      <w:r w:rsidR="00F05AB6" w:rsidRPr="00F05AB6">
        <w:rPr>
          <w:lang w:val="en-US"/>
        </w:rPr>
        <w:t xml:space="preserve"> </w:t>
      </w:r>
      <w:r>
        <w:rPr>
          <w:lang w:val="en-US"/>
        </w:rPr>
        <w:t>“</w:t>
      </w:r>
      <w:r w:rsidR="00F05AB6" w:rsidRPr="00F05AB6">
        <w:rPr>
          <w:lang w:val="en-US"/>
        </w:rPr>
        <w:t>Making Mountains Out of Molehills in the Bronze Age Aegean: Visibility, Ritual Kits, and</w:t>
      </w:r>
      <w:r>
        <w:rPr>
          <w:lang w:val="en-US"/>
        </w:rPr>
        <w:t xml:space="preserve"> </w:t>
      </w:r>
      <w:r w:rsidR="00F05AB6" w:rsidRPr="00F05AB6">
        <w:rPr>
          <w:lang w:val="en-US"/>
        </w:rPr>
        <w:t>the Idea of a Peak Sanctuary</w:t>
      </w:r>
      <w:r>
        <w:rPr>
          <w:lang w:val="en-US"/>
        </w:rPr>
        <w:t xml:space="preserve">” </w:t>
      </w:r>
      <w:r w:rsidR="00F05AB6" w:rsidRPr="00E34C62">
        <w:rPr>
          <w:i/>
          <w:lang w:val="en-US"/>
        </w:rPr>
        <w:t>World Archaeology</w:t>
      </w:r>
      <w:r w:rsidR="00F05AB6" w:rsidRPr="00F05AB6">
        <w:rPr>
          <w:lang w:val="en-US"/>
        </w:rPr>
        <w:t>, Vol. 39, No. 1, Viewing Space (Mar., 2007), 122-141</w:t>
      </w:r>
      <w:r>
        <w:rPr>
          <w:lang w:val="en-US"/>
        </w:rPr>
        <w:t>.</w:t>
      </w:r>
    </w:p>
    <w:p w14:paraId="4907CE2E" w14:textId="77777777" w:rsidR="00E34C62" w:rsidRDefault="00E34C62" w:rsidP="00F05AB6">
      <w:pPr>
        <w:rPr>
          <w:lang w:val="en-US"/>
        </w:rPr>
      </w:pPr>
    </w:p>
    <w:p w14:paraId="0C6632EF" w14:textId="4D376CBB" w:rsidR="001C317A" w:rsidRPr="001C317A" w:rsidRDefault="001C317A" w:rsidP="001C317A">
      <w:pPr>
        <w:pStyle w:val="FootnoteText"/>
        <w:rPr>
          <w:lang w:val="en-CA"/>
        </w:rPr>
      </w:pPr>
      <w:r>
        <w:rPr>
          <w:lang w:val="en-CA"/>
        </w:rPr>
        <w:t>C</w:t>
      </w:r>
      <w:r w:rsidRPr="001C317A">
        <w:rPr>
          <w:lang w:val="en-CA"/>
        </w:rPr>
        <w:t>hapman</w:t>
      </w:r>
      <w:r w:rsidR="004F3E9E">
        <w:rPr>
          <w:lang w:val="en-CA"/>
        </w:rPr>
        <w:t>, J</w:t>
      </w:r>
      <w:r>
        <w:rPr>
          <w:lang w:val="en-CA"/>
        </w:rPr>
        <w:t>,</w:t>
      </w:r>
      <w:r w:rsidRPr="001C317A">
        <w:rPr>
          <w:lang w:val="en-CA"/>
        </w:rPr>
        <w:t xml:space="preserve"> </w:t>
      </w:r>
      <w:r>
        <w:rPr>
          <w:lang w:val="en-CA"/>
        </w:rPr>
        <w:t>“</w:t>
      </w:r>
      <w:r w:rsidRPr="001C317A">
        <w:rPr>
          <w:lang w:val="en-CA"/>
        </w:rPr>
        <w:t xml:space="preserve">Structured deposition meets </w:t>
      </w:r>
      <w:r>
        <w:rPr>
          <w:lang w:val="en-CA"/>
        </w:rPr>
        <w:t>deliberate object fragmentation”</w:t>
      </w:r>
      <w:r w:rsidRPr="001C317A">
        <w:rPr>
          <w:lang w:val="en-CA"/>
        </w:rPr>
        <w:t xml:space="preserve"> </w:t>
      </w:r>
      <w:r w:rsidRPr="001C317A">
        <w:rPr>
          <w:i/>
          <w:iCs/>
          <w:lang w:val="en-CA"/>
        </w:rPr>
        <w:t>Archaeological Dialogues,</w:t>
      </w:r>
      <w:r w:rsidRPr="001C317A">
        <w:rPr>
          <w:lang w:val="en-CA"/>
        </w:rPr>
        <w:t xml:space="preserve"> </w:t>
      </w:r>
      <w:r w:rsidRPr="001C317A">
        <w:rPr>
          <w:iCs/>
          <w:lang w:val="en-CA"/>
        </w:rPr>
        <w:t>19</w:t>
      </w:r>
      <w:r>
        <w:rPr>
          <w:lang w:val="en-CA"/>
        </w:rPr>
        <w:t>(2), 2012,</w:t>
      </w:r>
      <w:r w:rsidRPr="001C317A">
        <w:rPr>
          <w:lang w:val="en-CA"/>
        </w:rPr>
        <w:t xml:space="preserve"> </w:t>
      </w:r>
      <w:r>
        <w:rPr>
          <w:lang w:val="en-CA"/>
        </w:rPr>
        <w:t>1</w:t>
      </w:r>
      <w:r w:rsidRPr="001C317A">
        <w:rPr>
          <w:lang w:val="en-CA"/>
        </w:rPr>
        <w:t xml:space="preserve">29-133. </w:t>
      </w:r>
    </w:p>
    <w:p w14:paraId="52D7154C" w14:textId="77777777" w:rsidR="001C317A" w:rsidRDefault="001C317A" w:rsidP="00F05AB6">
      <w:pPr>
        <w:rPr>
          <w:lang w:val="en-US"/>
        </w:rPr>
      </w:pPr>
    </w:p>
    <w:p w14:paraId="2058DEC0" w14:textId="77777777" w:rsidR="001C317A" w:rsidRDefault="001C317A" w:rsidP="00F05AB6">
      <w:pPr>
        <w:rPr>
          <w:lang w:val="en-US"/>
        </w:rPr>
      </w:pPr>
    </w:p>
    <w:p w14:paraId="234D637B" w14:textId="5689E0D7" w:rsidR="00594366" w:rsidRDefault="00594366" w:rsidP="00F05AB6">
      <w:pPr>
        <w:rPr>
          <w:lang w:val="en-US"/>
        </w:rPr>
      </w:pPr>
      <w:r>
        <w:rPr>
          <w:lang w:val="en-US"/>
        </w:rPr>
        <w:t xml:space="preserve">Evans, A, </w:t>
      </w:r>
      <w:r>
        <w:rPr>
          <w:i/>
          <w:lang w:val="en-US"/>
        </w:rPr>
        <w:t xml:space="preserve">The Palace of Minos at Knossos, </w:t>
      </w:r>
      <w:r>
        <w:rPr>
          <w:lang w:val="en-US"/>
        </w:rPr>
        <w:t>I, (London, 1921), pp. 154-159, fig. 114.</w:t>
      </w:r>
    </w:p>
    <w:p w14:paraId="54EBBCDD" w14:textId="77777777" w:rsidR="004F3E9E" w:rsidRDefault="004F3E9E" w:rsidP="00F05AB6">
      <w:pPr>
        <w:rPr>
          <w:lang w:val="en-US"/>
        </w:rPr>
      </w:pPr>
    </w:p>
    <w:p w14:paraId="72B93B0E" w14:textId="7D3968C3" w:rsidR="004F3E9E" w:rsidRPr="00BB1FCF" w:rsidRDefault="00BB1FCF" w:rsidP="00F05AB6">
      <w:pPr>
        <w:rPr>
          <w:lang w:val="en-US"/>
        </w:rPr>
      </w:pPr>
      <w:r>
        <w:rPr>
          <w:lang w:val="en-US"/>
        </w:rPr>
        <w:t>H</w:t>
      </w:r>
      <w:r>
        <w:rPr>
          <w:rFonts w:ascii="Cambria" w:hAnsi="Cambria"/>
          <w:lang w:val="en-US"/>
        </w:rPr>
        <w:t>ä</w:t>
      </w:r>
      <w:r>
        <w:rPr>
          <w:lang w:val="en-US"/>
        </w:rPr>
        <w:t xml:space="preserve">gg, R, “Epiphany in Minoan Ritual” </w:t>
      </w:r>
      <w:r>
        <w:rPr>
          <w:i/>
          <w:lang w:val="en-US"/>
        </w:rPr>
        <w:t>BICS</w:t>
      </w:r>
      <w:r>
        <w:rPr>
          <w:lang w:val="en-US"/>
        </w:rPr>
        <w:t>, vol. 30, 1983, p.184.</w:t>
      </w:r>
    </w:p>
    <w:p w14:paraId="63E2A2E6" w14:textId="61B0642B" w:rsidR="00594366" w:rsidRDefault="00594366" w:rsidP="00F05AB6">
      <w:pPr>
        <w:rPr>
          <w:lang w:val="en-US"/>
        </w:rPr>
      </w:pPr>
    </w:p>
    <w:p w14:paraId="694F097B" w14:textId="1BD8EAB8" w:rsidR="00F05AB6" w:rsidRPr="00594366" w:rsidRDefault="00E34C62" w:rsidP="00594366">
      <w:pPr>
        <w:rPr>
          <w:lang w:val="en-US"/>
        </w:rPr>
      </w:pPr>
      <w:r>
        <w:rPr>
          <w:lang w:val="en-US"/>
        </w:rPr>
        <w:t xml:space="preserve">Karetsou, Alexandra, </w:t>
      </w:r>
      <w:r w:rsidR="00521454">
        <w:rPr>
          <w:lang w:val="en-US"/>
        </w:rPr>
        <w:t>“The Peak Sanctuar</w:t>
      </w:r>
      <w:r w:rsidR="00594366">
        <w:rPr>
          <w:lang w:val="en-US"/>
        </w:rPr>
        <w:t>y of Mt. Ju</w:t>
      </w:r>
      <w:r w:rsidR="004C1198">
        <w:rPr>
          <w:lang w:val="en-US"/>
        </w:rPr>
        <w:t>k</w:t>
      </w:r>
      <w:r w:rsidR="00594366">
        <w:rPr>
          <w:lang w:val="en-US"/>
        </w:rPr>
        <w:t>tas” in eds. Robin H</w:t>
      </w:r>
      <w:r w:rsidR="00594366">
        <w:rPr>
          <w:rFonts w:ascii="Cambria" w:hAnsi="Cambria"/>
          <w:lang w:val="en-US"/>
        </w:rPr>
        <w:t>ä</w:t>
      </w:r>
      <w:r w:rsidR="00521454">
        <w:rPr>
          <w:lang w:val="en-US"/>
        </w:rPr>
        <w:t xml:space="preserve">gg and Nanno Marinatos, </w:t>
      </w:r>
      <w:r w:rsidR="00521454">
        <w:rPr>
          <w:i/>
          <w:lang w:val="en-US"/>
        </w:rPr>
        <w:t>Proceedings of the First International Symposium at the Swedish Institute in Athens, 12-13 May 1980</w:t>
      </w:r>
      <w:r w:rsidR="00521454">
        <w:rPr>
          <w:lang w:val="en-US"/>
        </w:rPr>
        <w:t xml:space="preserve">, </w:t>
      </w:r>
      <w:r w:rsidR="00521454">
        <w:t>Volume 28 of Skrifter,</w:t>
      </w:r>
      <w:r w:rsidR="00594366">
        <w:t xml:space="preserve"> Series Prima (Athens: Svenska Institute, 1980), pp.137-153.</w:t>
      </w:r>
    </w:p>
    <w:p w14:paraId="6ECD5030" w14:textId="77777777" w:rsidR="00594366" w:rsidRDefault="00594366" w:rsidP="00F05AB6">
      <w:pPr>
        <w:rPr>
          <w:i/>
        </w:rPr>
      </w:pPr>
    </w:p>
    <w:p w14:paraId="5DBA1C0F" w14:textId="220A3298" w:rsidR="00F05AB6" w:rsidRDefault="00F05AB6" w:rsidP="00F05AB6">
      <w:r>
        <w:rPr>
          <w:i/>
        </w:rPr>
        <w:t>Linear A</w:t>
      </w:r>
      <w:r>
        <w:t>,</w:t>
      </w:r>
      <w:r w:rsidR="0074084E">
        <w:t xml:space="preserve"> at</w:t>
      </w:r>
      <w:r>
        <w:t xml:space="preserve"> </w:t>
      </w:r>
      <w:hyperlink r:id="rId10" w:history="1">
        <w:r w:rsidRPr="00BF3D5F">
          <w:rPr>
            <w:rStyle w:val="Hyperlink"/>
          </w:rPr>
          <w:t>http://www.people.ku.edu/~jyounger/LinearA/#12</w:t>
        </w:r>
      </w:hyperlink>
      <w:r>
        <w:t xml:space="preserve">  accessed 26</w:t>
      </w:r>
      <w:r w:rsidRPr="00F05AB6">
        <w:rPr>
          <w:vertAlign w:val="superscript"/>
        </w:rPr>
        <w:t>th</w:t>
      </w:r>
      <w:r>
        <w:t xml:space="preserve"> January 2020.</w:t>
      </w:r>
    </w:p>
    <w:p w14:paraId="182B9458" w14:textId="5F843D22" w:rsidR="00F05AB6" w:rsidRDefault="00F05AB6" w:rsidP="00513796">
      <w:pPr>
        <w:spacing w:line="480" w:lineRule="auto"/>
      </w:pPr>
    </w:p>
    <w:p w14:paraId="3EA9CC19" w14:textId="332D6190" w:rsidR="0014549C" w:rsidRDefault="0014549C" w:rsidP="0014549C">
      <w:pPr>
        <w:rPr>
          <w:lang w:val="en-US"/>
        </w:rPr>
      </w:pPr>
      <w:r>
        <w:rPr>
          <w:lang w:val="en-US"/>
        </w:rPr>
        <w:t>Peatfield,</w:t>
      </w:r>
      <w:r w:rsidRPr="0014549C">
        <w:t xml:space="preserve"> </w:t>
      </w:r>
      <w:r>
        <w:t>A.A.D.</w:t>
      </w:r>
      <w:r>
        <w:rPr>
          <w:lang w:val="en-US"/>
        </w:rPr>
        <w:t xml:space="preserve">, “Minoan Peak Sanctuaries: History and Society” in </w:t>
      </w:r>
      <w:r w:rsidRPr="00AB34DB">
        <w:rPr>
          <w:i/>
          <w:lang w:val="en-US"/>
        </w:rPr>
        <w:t>Opuscula Atheniensia XVIII:8</w:t>
      </w:r>
      <w:r>
        <w:rPr>
          <w:lang w:val="en-US"/>
        </w:rPr>
        <w:t>, 1990, pp. 117-131.</w:t>
      </w:r>
    </w:p>
    <w:p w14:paraId="16B0F2BF" w14:textId="77777777" w:rsidR="00C92632" w:rsidRDefault="00C92632" w:rsidP="0014549C">
      <w:pPr>
        <w:rPr>
          <w:lang w:val="en-US"/>
        </w:rPr>
      </w:pPr>
    </w:p>
    <w:p w14:paraId="0F892B88" w14:textId="734C14A3" w:rsidR="00C92632" w:rsidRPr="00C92632" w:rsidRDefault="00C92632" w:rsidP="00C92632">
      <w:r w:rsidRPr="00C92632">
        <w:t>Renfrew, C.</w:t>
      </w:r>
      <w:r>
        <w:t>,</w:t>
      </w:r>
      <w:r w:rsidRPr="00C92632">
        <w:t xml:space="preserve"> </w:t>
      </w:r>
      <w:r w:rsidRPr="00C92632">
        <w:rPr>
          <w:i/>
        </w:rPr>
        <w:t>The Archaeology of Cult: The Sanctuary at Phylakopi</w:t>
      </w:r>
      <w:r w:rsidRPr="00C92632">
        <w:t xml:space="preserve">. </w:t>
      </w:r>
      <w:r>
        <w:t>(</w:t>
      </w:r>
      <w:r w:rsidRPr="00C92632">
        <w:t>London: British School of Archaeology at Athens</w:t>
      </w:r>
      <w:r>
        <w:t>, 1986)</w:t>
      </w:r>
      <w:r w:rsidRPr="00C92632">
        <w:t>, Supplement 18</w:t>
      </w:r>
      <w:r>
        <w:t>, pp.1-26.</w:t>
      </w:r>
    </w:p>
    <w:p w14:paraId="402E38E5" w14:textId="77777777" w:rsidR="008648B0" w:rsidRDefault="008648B0" w:rsidP="0014549C">
      <w:pPr>
        <w:rPr>
          <w:lang w:val="en-US"/>
        </w:rPr>
      </w:pPr>
    </w:p>
    <w:p w14:paraId="48497DC9" w14:textId="16E04AB1" w:rsidR="008648B0" w:rsidRPr="008648B0" w:rsidRDefault="008648B0" w:rsidP="0014549C">
      <w:pPr>
        <w:rPr>
          <w:i/>
          <w:u w:val="single"/>
        </w:rPr>
      </w:pPr>
      <w:r>
        <w:rPr>
          <w:lang w:val="en-US"/>
        </w:rPr>
        <w:t xml:space="preserve">Turner, V, </w:t>
      </w:r>
      <w:r>
        <w:rPr>
          <w:i/>
          <w:lang w:val="en-US"/>
        </w:rPr>
        <w:t>The Forest of Symbols: Aspects of Ndembu ritual</w:t>
      </w:r>
      <w:r>
        <w:rPr>
          <w:lang w:val="en-US"/>
        </w:rPr>
        <w:t>, (London: Cornell University Press, 1967)</w:t>
      </w:r>
      <w:r>
        <w:rPr>
          <w:i/>
          <w:lang w:val="en-US"/>
        </w:rPr>
        <w:t xml:space="preserve"> </w:t>
      </w:r>
    </w:p>
    <w:p w14:paraId="0CE97165" w14:textId="77777777" w:rsidR="00513796" w:rsidRDefault="00513796" w:rsidP="00513796">
      <w:pPr>
        <w:spacing w:line="480" w:lineRule="auto"/>
        <w:ind w:left="360"/>
      </w:pPr>
    </w:p>
    <w:p w14:paraId="0E7F2CFF" w14:textId="5EF3FFF7" w:rsidR="005B282B" w:rsidRDefault="005B282B" w:rsidP="005B282B">
      <w:pPr>
        <w:spacing w:line="480" w:lineRule="auto"/>
      </w:pPr>
    </w:p>
    <w:p w14:paraId="3FEDF71F" w14:textId="77777777" w:rsidR="005B282B" w:rsidRDefault="005B282B" w:rsidP="005B282B">
      <w:pPr>
        <w:spacing w:line="480" w:lineRule="auto"/>
      </w:pPr>
    </w:p>
    <w:sectPr w:rsidR="005B282B" w:rsidSect="00483B7A">
      <w:headerReference w:type="default" r:id="rId11"/>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B70A89" w14:textId="77777777" w:rsidR="004C1198" w:rsidRDefault="004C1198" w:rsidP="008A666B">
      <w:r>
        <w:separator/>
      </w:r>
    </w:p>
  </w:endnote>
  <w:endnote w:type="continuationSeparator" w:id="0">
    <w:p w14:paraId="2DFEA1B8" w14:textId="77777777" w:rsidR="004C1198" w:rsidRDefault="004C1198" w:rsidP="008A66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Tahoma">
    <w:panose1 w:val="020B0604030504040204"/>
    <w:charset w:val="00"/>
    <w:family w:val="auto"/>
    <w:pitch w:val="variable"/>
    <w:sig w:usb0="E1002AFF" w:usb1="C000605B" w:usb2="00000029" w:usb3="00000000" w:csb0="000101FF" w:csb1="00000000"/>
  </w:font>
  <w:font w:name="SimSun">
    <w:altName w:val="宋体"/>
    <w:charset w:val="86"/>
    <w:family w:val="auto"/>
    <w:pitch w:val="variable"/>
    <w:sig w:usb0="00000003" w:usb1="288F0000" w:usb2="00000016" w:usb3="00000000" w:csb0="00040001" w:csb1="00000000"/>
  </w:font>
  <w:font w:name="Lucida Grande">
    <w:panose1 w:val="020B0600040502020204"/>
    <w:charset w:val="00"/>
    <w:family w:val="auto"/>
    <w:pitch w:val="variable"/>
    <w:sig w:usb0="E1000AEF" w:usb1="5000A1FF" w:usb2="00000000" w:usb3="00000000" w:csb0="000001B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Calibri">
    <w:altName w:val="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A4D754F" w14:textId="77777777" w:rsidR="004C1198" w:rsidRDefault="004C1198" w:rsidP="008A666B">
      <w:r>
        <w:separator/>
      </w:r>
    </w:p>
  </w:footnote>
  <w:footnote w:type="continuationSeparator" w:id="0">
    <w:p w14:paraId="5C2986CC" w14:textId="77777777" w:rsidR="004C1198" w:rsidRDefault="004C1198" w:rsidP="008A666B">
      <w:r>
        <w:continuationSeparator/>
      </w:r>
    </w:p>
  </w:footnote>
  <w:footnote w:id="1">
    <w:p w14:paraId="16EE983E" w14:textId="7B7ED489" w:rsidR="004C1198" w:rsidRPr="008A666B" w:rsidRDefault="004C1198">
      <w:pPr>
        <w:pStyle w:val="FootnoteText"/>
        <w:rPr>
          <w:lang w:val="en-US"/>
        </w:rPr>
      </w:pPr>
      <w:r>
        <w:rPr>
          <w:rStyle w:val="FootnoteReference"/>
        </w:rPr>
        <w:footnoteRef/>
      </w:r>
      <w:r>
        <w:rPr>
          <w:lang w:val="en-US"/>
        </w:rPr>
        <w:t>Alexandra Karetsou, ,“The Peak Sanctuary of Mt. Jutas” in eds. Robin H</w:t>
      </w:r>
      <w:r>
        <w:rPr>
          <w:rFonts w:ascii="Cambria" w:hAnsi="Cambria"/>
          <w:lang w:val="en-US"/>
        </w:rPr>
        <w:t>ä</w:t>
      </w:r>
      <w:r>
        <w:rPr>
          <w:lang w:val="en-US"/>
        </w:rPr>
        <w:t xml:space="preserve">gg and Nanno Marinatos, </w:t>
      </w:r>
      <w:r>
        <w:rPr>
          <w:i/>
          <w:lang w:val="en-US"/>
        </w:rPr>
        <w:t>Proceedings of the First International Symposium at the Swedish Institute in Athens, 12-13 May 1980</w:t>
      </w:r>
      <w:r>
        <w:rPr>
          <w:lang w:val="en-US"/>
        </w:rPr>
        <w:t xml:space="preserve">, </w:t>
      </w:r>
      <w:r>
        <w:t>Volume 28 of Skrifter, Series Prima (Athens: Svenska Institute, 1980), p.137</w:t>
      </w:r>
    </w:p>
  </w:footnote>
  <w:footnote w:id="2">
    <w:p w14:paraId="2ABFC2A4" w14:textId="199AD596" w:rsidR="004C1198" w:rsidRPr="00DC26E1" w:rsidRDefault="004C1198">
      <w:pPr>
        <w:pStyle w:val="FootnoteText"/>
        <w:rPr>
          <w:lang w:val="en-US"/>
        </w:rPr>
      </w:pPr>
      <w:r>
        <w:rPr>
          <w:rStyle w:val="FootnoteReference"/>
        </w:rPr>
        <w:footnoteRef/>
      </w:r>
      <w:r>
        <w:t xml:space="preserve"> </w:t>
      </w:r>
      <w:r>
        <w:rPr>
          <w:lang w:val="en-US"/>
        </w:rPr>
        <w:t xml:space="preserve">A. Evans, </w:t>
      </w:r>
      <w:r>
        <w:rPr>
          <w:i/>
          <w:lang w:val="en-US"/>
        </w:rPr>
        <w:t xml:space="preserve">The Palace of Minos at Knossos, </w:t>
      </w:r>
      <w:r>
        <w:rPr>
          <w:lang w:val="en-US"/>
        </w:rPr>
        <w:t>I, (London, 1921), pp. 154-159, fig. 114.</w:t>
      </w:r>
    </w:p>
  </w:footnote>
  <w:footnote w:id="3">
    <w:p w14:paraId="2ED60B95" w14:textId="0523C2C0" w:rsidR="004C1198" w:rsidRPr="00DC26E1" w:rsidRDefault="004C1198" w:rsidP="00AB34DB">
      <w:pPr>
        <w:rPr>
          <w:lang w:val="en-US"/>
        </w:rPr>
      </w:pPr>
      <w:r>
        <w:rPr>
          <w:rStyle w:val="FootnoteReference"/>
        </w:rPr>
        <w:footnoteRef/>
      </w:r>
      <w:r>
        <w:t xml:space="preserve"> A.A.D </w:t>
      </w:r>
      <w:r>
        <w:rPr>
          <w:lang w:val="en-US"/>
        </w:rPr>
        <w:t xml:space="preserve">Peatfield, “Minoan Peak Sanctuaries: History and Society” in </w:t>
      </w:r>
      <w:r w:rsidRPr="00AB34DB">
        <w:rPr>
          <w:i/>
          <w:lang w:val="en-US"/>
        </w:rPr>
        <w:t>Opuscula Atheniensia XVIII:8</w:t>
      </w:r>
      <w:r>
        <w:rPr>
          <w:lang w:val="en-US"/>
        </w:rPr>
        <w:t>, 1990, p.119.</w:t>
      </w:r>
    </w:p>
  </w:footnote>
  <w:footnote w:id="4">
    <w:p w14:paraId="3D4C37D7" w14:textId="7A5E9354" w:rsidR="004C1198" w:rsidRPr="00A1213E" w:rsidRDefault="004C1198">
      <w:pPr>
        <w:pStyle w:val="FootnoteText"/>
        <w:rPr>
          <w:lang w:val="en-US"/>
        </w:rPr>
      </w:pPr>
      <w:r>
        <w:rPr>
          <w:rStyle w:val="FootnoteReference"/>
        </w:rPr>
        <w:footnoteRef/>
      </w:r>
      <w:r>
        <w:t xml:space="preserve"> </w:t>
      </w:r>
      <w:r>
        <w:rPr>
          <w:lang w:val="en-US"/>
        </w:rPr>
        <w:t xml:space="preserve">Peatfield, </w:t>
      </w:r>
      <w:r>
        <w:rPr>
          <w:i/>
          <w:lang w:val="en-US"/>
        </w:rPr>
        <w:t xml:space="preserve">Minoan Peak </w:t>
      </w:r>
      <w:r w:rsidRPr="00C0625D">
        <w:rPr>
          <w:lang w:val="en-US"/>
        </w:rPr>
        <w:t>Sanctuaries</w:t>
      </w:r>
      <w:r>
        <w:rPr>
          <w:lang w:val="en-US"/>
        </w:rPr>
        <w:t xml:space="preserve">, </w:t>
      </w:r>
      <w:r w:rsidRPr="00C0625D">
        <w:rPr>
          <w:lang w:val="en-US"/>
        </w:rPr>
        <w:t>1990</w:t>
      </w:r>
      <w:r>
        <w:rPr>
          <w:lang w:val="en-US"/>
        </w:rPr>
        <w:t>, p.119.</w:t>
      </w:r>
    </w:p>
  </w:footnote>
  <w:footnote w:id="5">
    <w:p w14:paraId="7EE2CF4B" w14:textId="372306B9" w:rsidR="004C1198" w:rsidRDefault="004C1198">
      <w:pPr>
        <w:pStyle w:val="FootnoteText"/>
        <w:rPr>
          <w:lang w:val="en-US"/>
        </w:rPr>
      </w:pPr>
      <w:r>
        <w:rPr>
          <w:rStyle w:val="FootnoteReference"/>
        </w:rPr>
        <w:footnoteRef/>
      </w:r>
      <w:r>
        <w:t xml:space="preserve"> </w:t>
      </w:r>
      <w:r w:rsidRPr="00F05AB6">
        <w:rPr>
          <w:lang w:val="en-US"/>
        </w:rPr>
        <w:t>Ellen Adams</w:t>
      </w:r>
      <w:r>
        <w:rPr>
          <w:lang w:val="en-US"/>
        </w:rPr>
        <w:t>,</w:t>
      </w:r>
      <w:r w:rsidRPr="00F05AB6">
        <w:rPr>
          <w:lang w:val="en-US"/>
        </w:rPr>
        <w:t xml:space="preserve"> </w:t>
      </w:r>
      <w:r>
        <w:rPr>
          <w:lang w:val="en-US"/>
        </w:rPr>
        <w:t>“</w:t>
      </w:r>
      <w:r w:rsidRPr="00F05AB6">
        <w:rPr>
          <w:lang w:val="en-US"/>
        </w:rPr>
        <w:t>Power and Ritual in Neopalatial Crete: A Regional Comparison</w:t>
      </w:r>
      <w:r>
        <w:rPr>
          <w:lang w:val="en-US"/>
        </w:rPr>
        <w:t>”</w:t>
      </w:r>
    </w:p>
    <w:p w14:paraId="55C5B5CE" w14:textId="4008626B" w:rsidR="004C1198" w:rsidRPr="00BD65DE" w:rsidRDefault="004C1198">
      <w:pPr>
        <w:pStyle w:val="FootnoteText"/>
        <w:rPr>
          <w:lang w:val="en-US"/>
        </w:rPr>
      </w:pPr>
      <w:r w:rsidRPr="00F05AB6">
        <w:rPr>
          <w:i/>
          <w:lang w:val="en-US"/>
        </w:rPr>
        <w:t>World Archaeology</w:t>
      </w:r>
      <w:r w:rsidRPr="00F05AB6">
        <w:rPr>
          <w:lang w:val="en-US"/>
        </w:rPr>
        <w:t xml:space="preserve">, Vol. 36, No. 1, The Object of Dedication (Mar., 2004), </w:t>
      </w:r>
      <w:r>
        <w:rPr>
          <w:lang w:val="en-US"/>
        </w:rPr>
        <w:t>p.32</w:t>
      </w:r>
    </w:p>
  </w:footnote>
  <w:footnote w:id="6">
    <w:p w14:paraId="5B38E62B" w14:textId="6B42EA09" w:rsidR="004C1198" w:rsidRPr="008648B0" w:rsidRDefault="004C1198" w:rsidP="008648B0">
      <w:pPr>
        <w:rPr>
          <w:u w:val="single"/>
        </w:rPr>
      </w:pPr>
      <w:r>
        <w:rPr>
          <w:rStyle w:val="FootnoteReference"/>
        </w:rPr>
        <w:footnoteRef/>
      </w:r>
      <w:r>
        <w:t xml:space="preserve"> </w:t>
      </w:r>
      <w:r>
        <w:rPr>
          <w:lang w:val="en-US"/>
        </w:rPr>
        <w:t xml:space="preserve">Victor Turner, </w:t>
      </w:r>
      <w:r>
        <w:rPr>
          <w:i/>
          <w:lang w:val="en-US"/>
        </w:rPr>
        <w:t>The Forest of Symbols: Aspects of Ndembu ritual</w:t>
      </w:r>
      <w:r>
        <w:rPr>
          <w:lang w:val="en-US"/>
        </w:rPr>
        <w:t>, (London: Cornell University Press, 1967), 8f.</w:t>
      </w:r>
    </w:p>
    <w:p w14:paraId="1D7F5A6E" w14:textId="0699F42C" w:rsidR="004C1198" w:rsidRPr="00A1213E" w:rsidRDefault="004C1198">
      <w:pPr>
        <w:pStyle w:val="FootnoteText"/>
        <w:rPr>
          <w:lang w:val="en-US"/>
        </w:rPr>
      </w:pPr>
    </w:p>
  </w:footnote>
  <w:footnote w:id="7">
    <w:p w14:paraId="40CBCEF2" w14:textId="48C0AB59" w:rsidR="004C1198" w:rsidRPr="00C92632" w:rsidRDefault="004C1198" w:rsidP="00C92632">
      <w:r>
        <w:rPr>
          <w:rStyle w:val="FootnoteReference"/>
        </w:rPr>
        <w:footnoteRef/>
      </w:r>
      <w:r>
        <w:t xml:space="preserve"> </w:t>
      </w:r>
      <w:r w:rsidRPr="00C92632">
        <w:t xml:space="preserve">C </w:t>
      </w:r>
      <w:r>
        <w:t>Renfrew,</w:t>
      </w:r>
      <w:r w:rsidRPr="00C92632">
        <w:t xml:space="preserve"> </w:t>
      </w:r>
      <w:r w:rsidRPr="00C92632">
        <w:rPr>
          <w:i/>
        </w:rPr>
        <w:t>The Archaeology of Cult: The Sanctuary at Phylakopi</w:t>
      </w:r>
      <w:r w:rsidRPr="00C92632">
        <w:t xml:space="preserve">. </w:t>
      </w:r>
      <w:r>
        <w:t>(</w:t>
      </w:r>
      <w:r w:rsidRPr="00C92632">
        <w:t>London: British School of Archaeology at Athens</w:t>
      </w:r>
      <w:r>
        <w:t xml:space="preserve">, 1986), </w:t>
      </w:r>
      <w:r w:rsidRPr="00C92632">
        <w:t>Supplement 18</w:t>
      </w:r>
      <w:r>
        <w:t>, p.20.</w:t>
      </w:r>
    </w:p>
  </w:footnote>
  <w:footnote w:id="8">
    <w:p w14:paraId="7CB2F59F" w14:textId="6BD89A6F" w:rsidR="004C1198" w:rsidRPr="00C92632" w:rsidRDefault="004C1198">
      <w:pPr>
        <w:pStyle w:val="FootnoteText"/>
        <w:rPr>
          <w:lang w:val="en-US"/>
        </w:rPr>
      </w:pPr>
      <w:r>
        <w:rPr>
          <w:rStyle w:val="FootnoteReference"/>
        </w:rPr>
        <w:footnoteRef/>
      </w:r>
      <w:r>
        <w:t xml:space="preserve"> </w:t>
      </w:r>
      <w:r w:rsidRPr="00C92632">
        <w:t xml:space="preserve">Fiona </w:t>
      </w:r>
      <w:r w:rsidRPr="00C92632">
        <w:rPr>
          <w:rFonts w:cs="Times New Roman"/>
        </w:rPr>
        <w:t>Bowie,</w:t>
      </w:r>
      <w:r>
        <w:rPr>
          <w:rFonts w:cs="Times New Roman"/>
        </w:rPr>
        <w:t xml:space="preserve"> </w:t>
      </w:r>
      <w:r w:rsidRPr="00C92632">
        <w:rPr>
          <w:rFonts w:cs="Times New Roman"/>
          <w:i/>
        </w:rPr>
        <w:t>The Anthropology of Religion</w:t>
      </w:r>
      <w:r w:rsidRPr="00C92632">
        <w:rPr>
          <w:rFonts w:cs="Times New Roman"/>
        </w:rPr>
        <w:t xml:space="preserve">, </w:t>
      </w:r>
      <w:r>
        <w:rPr>
          <w:rFonts w:cs="Times New Roman"/>
        </w:rPr>
        <w:t>(</w:t>
      </w:r>
      <w:r w:rsidRPr="00C92632">
        <w:rPr>
          <w:rFonts w:cs="Times New Roman"/>
        </w:rPr>
        <w:t>Oxford: Blackwel</w:t>
      </w:r>
      <w:r>
        <w:rPr>
          <w:rFonts w:cs="Times New Roman"/>
        </w:rPr>
        <w:t>l, 2000), pp.145-147.</w:t>
      </w:r>
    </w:p>
  </w:footnote>
  <w:footnote w:id="9">
    <w:p w14:paraId="0A7E0BDA" w14:textId="158E2E9E" w:rsidR="004C1198" w:rsidRPr="004F3E9E" w:rsidRDefault="004C1198">
      <w:pPr>
        <w:pStyle w:val="FootnoteText"/>
        <w:rPr>
          <w:lang w:val="en-CA"/>
        </w:rPr>
      </w:pPr>
      <w:r>
        <w:rPr>
          <w:rStyle w:val="FootnoteReference"/>
        </w:rPr>
        <w:footnoteRef/>
      </w:r>
      <w:r>
        <w:t xml:space="preserve"> </w:t>
      </w:r>
      <w:r w:rsidRPr="001C317A">
        <w:rPr>
          <w:lang w:val="en-CA"/>
        </w:rPr>
        <w:t>J. Chapman</w:t>
      </w:r>
      <w:r>
        <w:rPr>
          <w:lang w:val="en-CA"/>
        </w:rPr>
        <w:t>,</w:t>
      </w:r>
      <w:r w:rsidRPr="001C317A">
        <w:rPr>
          <w:lang w:val="en-CA"/>
        </w:rPr>
        <w:t xml:space="preserve"> </w:t>
      </w:r>
      <w:r>
        <w:rPr>
          <w:lang w:val="en-CA"/>
        </w:rPr>
        <w:t>“</w:t>
      </w:r>
      <w:r w:rsidRPr="001C317A">
        <w:rPr>
          <w:lang w:val="en-CA"/>
        </w:rPr>
        <w:t xml:space="preserve">Structured deposition meets </w:t>
      </w:r>
      <w:r>
        <w:rPr>
          <w:lang w:val="en-CA"/>
        </w:rPr>
        <w:t>deliberate object fragmentation”</w:t>
      </w:r>
      <w:r w:rsidRPr="001C317A">
        <w:rPr>
          <w:lang w:val="en-CA"/>
        </w:rPr>
        <w:t xml:space="preserve"> </w:t>
      </w:r>
      <w:r w:rsidRPr="001C317A">
        <w:rPr>
          <w:i/>
          <w:iCs/>
          <w:lang w:val="en-CA"/>
        </w:rPr>
        <w:t>Archaeological Dialogues,</w:t>
      </w:r>
      <w:r w:rsidRPr="001C317A">
        <w:rPr>
          <w:lang w:val="en-CA"/>
        </w:rPr>
        <w:t xml:space="preserve"> </w:t>
      </w:r>
      <w:r w:rsidRPr="001C317A">
        <w:rPr>
          <w:iCs/>
          <w:lang w:val="en-CA"/>
        </w:rPr>
        <w:t>19</w:t>
      </w:r>
      <w:r>
        <w:rPr>
          <w:lang w:val="en-CA"/>
        </w:rPr>
        <w:t>(2), 2012,</w:t>
      </w:r>
      <w:r w:rsidRPr="001C317A">
        <w:rPr>
          <w:lang w:val="en-CA"/>
        </w:rPr>
        <w:t xml:space="preserve"> </w:t>
      </w:r>
      <w:r>
        <w:rPr>
          <w:lang w:val="en-CA"/>
        </w:rPr>
        <w:t>1</w:t>
      </w:r>
      <w:r w:rsidRPr="001C317A">
        <w:rPr>
          <w:lang w:val="en-CA"/>
        </w:rPr>
        <w:t xml:space="preserve">29-133. </w:t>
      </w:r>
    </w:p>
  </w:footnote>
  <w:footnote w:id="10">
    <w:p w14:paraId="63580E24" w14:textId="79635E93" w:rsidR="004C1198" w:rsidRDefault="004C1198" w:rsidP="00570917">
      <w:pPr>
        <w:rPr>
          <w:lang w:val="en-US"/>
        </w:rPr>
      </w:pPr>
      <w:r>
        <w:rPr>
          <w:rStyle w:val="FootnoteReference"/>
        </w:rPr>
        <w:footnoteRef/>
      </w:r>
      <w:r>
        <w:t xml:space="preserve"> </w:t>
      </w:r>
      <w:r w:rsidRPr="00F05AB6">
        <w:rPr>
          <w:lang w:val="en-US"/>
        </w:rPr>
        <w:t>Camilla Briault</w:t>
      </w:r>
      <w:r>
        <w:rPr>
          <w:lang w:val="en-US"/>
        </w:rPr>
        <w:t>,</w:t>
      </w:r>
      <w:r w:rsidRPr="00F05AB6">
        <w:rPr>
          <w:lang w:val="en-US"/>
        </w:rPr>
        <w:t xml:space="preserve"> </w:t>
      </w:r>
      <w:r>
        <w:rPr>
          <w:lang w:val="en-US"/>
        </w:rPr>
        <w:t>“</w:t>
      </w:r>
      <w:r w:rsidRPr="00F05AB6">
        <w:rPr>
          <w:lang w:val="en-US"/>
        </w:rPr>
        <w:t>Making Mountains Out of Molehills in the Bronze Age Aegean: Visibility, Ritual Kits, and</w:t>
      </w:r>
      <w:r>
        <w:rPr>
          <w:lang w:val="en-US"/>
        </w:rPr>
        <w:t xml:space="preserve"> </w:t>
      </w:r>
      <w:r w:rsidRPr="00F05AB6">
        <w:rPr>
          <w:lang w:val="en-US"/>
        </w:rPr>
        <w:t>the Idea of a Peak Sanctuary</w:t>
      </w:r>
      <w:r>
        <w:rPr>
          <w:lang w:val="en-US"/>
        </w:rPr>
        <w:t xml:space="preserve">” </w:t>
      </w:r>
      <w:r w:rsidRPr="00E34C62">
        <w:rPr>
          <w:i/>
          <w:lang w:val="en-US"/>
        </w:rPr>
        <w:t>World Archaeology</w:t>
      </w:r>
      <w:r w:rsidRPr="00F05AB6">
        <w:rPr>
          <w:lang w:val="en-US"/>
        </w:rPr>
        <w:t xml:space="preserve">, Vol. 39, No. 1, Viewing Space (Mar., 2007), </w:t>
      </w:r>
      <w:r>
        <w:rPr>
          <w:lang w:val="en-US"/>
        </w:rPr>
        <w:t>p.136.</w:t>
      </w:r>
    </w:p>
    <w:p w14:paraId="457B8181" w14:textId="4CB1FD87" w:rsidR="004C1198" w:rsidRPr="00513796" w:rsidRDefault="004C1198">
      <w:pPr>
        <w:pStyle w:val="FootnoteText"/>
        <w:rPr>
          <w:lang w:val="en-US"/>
        </w:rPr>
      </w:pPr>
    </w:p>
  </w:footnote>
  <w:footnote w:id="11">
    <w:p w14:paraId="0B24567E" w14:textId="5894899E" w:rsidR="004C1198" w:rsidRPr="00C0625D" w:rsidRDefault="004C1198" w:rsidP="00F05AB6">
      <w:r>
        <w:rPr>
          <w:rStyle w:val="FootnoteReference"/>
        </w:rPr>
        <w:footnoteRef/>
      </w:r>
      <w:r>
        <w:t xml:space="preserve"> </w:t>
      </w:r>
      <w:r w:rsidRPr="00F05AB6">
        <w:rPr>
          <w:lang w:val="en-US"/>
        </w:rPr>
        <w:t>Adams</w:t>
      </w:r>
      <w:r>
        <w:rPr>
          <w:lang w:val="en-US"/>
        </w:rPr>
        <w:t>,</w:t>
      </w:r>
      <w:r w:rsidRPr="00F05AB6">
        <w:rPr>
          <w:lang w:val="en-US"/>
        </w:rPr>
        <w:t xml:space="preserve"> </w:t>
      </w:r>
      <w:r w:rsidRPr="00C0625D">
        <w:rPr>
          <w:i/>
          <w:lang w:val="en-US"/>
        </w:rPr>
        <w:t>Power and Ritual</w:t>
      </w:r>
      <w:r>
        <w:rPr>
          <w:lang w:val="en-US"/>
        </w:rPr>
        <w:t>, p.28.</w:t>
      </w:r>
    </w:p>
  </w:footnote>
  <w:footnote w:id="12">
    <w:p w14:paraId="4FE7FAD7" w14:textId="45D0C392" w:rsidR="004C1198" w:rsidRPr="004F3E9E" w:rsidRDefault="004C1198" w:rsidP="004F3E9E">
      <w:r>
        <w:rPr>
          <w:rStyle w:val="FootnoteReference"/>
        </w:rPr>
        <w:footnoteRef/>
      </w:r>
      <w:r>
        <w:t xml:space="preserve"> </w:t>
      </w:r>
      <w:r w:rsidRPr="00F05AB6">
        <w:rPr>
          <w:lang w:val="en-US"/>
        </w:rPr>
        <w:t>Adams</w:t>
      </w:r>
      <w:r>
        <w:rPr>
          <w:lang w:val="en-US"/>
        </w:rPr>
        <w:t>,</w:t>
      </w:r>
      <w:r w:rsidRPr="00F05AB6">
        <w:rPr>
          <w:lang w:val="en-US"/>
        </w:rPr>
        <w:t xml:space="preserve"> </w:t>
      </w:r>
      <w:r w:rsidRPr="00C0625D">
        <w:rPr>
          <w:i/>
          <w:lang w:val="en-US"/>
        </w:rPr>
        <w:t>Power and Ritual</w:t>
      </w:r>
      <w:r>
        <w:rPr>
          <w:lang w:val="en-US"/>
        </w:rPr>
        <w:t>, p.31, Table 2.</w:t>
      </w:r>
    </w:p>
  </w:footnote>
  <w:footnote w:id="13">
    <w:p w14:paraId="5F37A2CF" w14:textId="3C800009" w:rsidR="004C1198" w:rsidRPr="002A17AE" w:rsidRDefault="004C1198">
      <w:pPr>
        <w:pStyle w:val="FootnoteText"/>
        <w:rPr>
          <w:lang w:val="en-US"/>
        </w:rPr>
      </w:pPr>
      <w:r>
        <w:rPr>
          <w:rStyle w:val="FootnoteReference"/>
        </w:rPr>
        <w:footnoteRef/>
      </w:r>
      <w:r>
        <w:t xml:space="preserve"> </w:t>
      </w:r>
      <w:r w:rsidRPr="00F05AB6">
        <w:rPr>
          <w:lang w:val="en-US"/>
        </w:rPr>
        <w:t>Adams</w:t>
      </w:r>
      <w:r>
        <w:rPr>
          <w:lang w:val="en-US"/>
        </w:rPr>
        <w:t>,</w:t>
      </w:r>
      <w:r w:rsidRPr="00F05AB6">
        <w:rPr>
          <w:lang w:val="en-US"/>
        </w:rPr>
        <w:t xml:space="preserve"> </w:t>
      </w:r>
      <w:r w:rsidRPr="00C0625D">
        <w:rPr>
          <w:i/>
          <w:lang w:val="en-US"/>
        </w:rPr>
        <w:t>Power and Ritual</w:t>
      </w:r>
      <w:r>
        <w:rPr>
          <w:lang w:val="en-US"/>
        </w:rPr>
        <w:t>, p.31, Table 2.</w:t>
      </w:r>
    </w:p>
  </w:footnote>
  <w:footnote w:id="14">
    <w:p w14:paraId="1418CCB3" w14:textId="1641A417" w:rsidR="004C1198" w:rsidRPr="002A17AE" w:rsidRDefault="004C1198">
      <w:pPr>
        <w:pStyle w:val="FootnoteText"/>
        <w:rPr>
          <w:lang w:val="en-US"/>
        </w:rPr>
      </w:pPr>
      <w:r>
        <w:rPr>
          <w:rStyle w:val="FootnoteReference"/>
        </w:rPr>
        <w:footnoteRef/>
      </w:r>
      <w:r>
        <w:t xml:space="preserve"> </w:t>
      </w:r>
      <w:r>
        <w:rPr>
          <w:lang w:val="en-US"/>
        </w:rPr>
        <w:t>R H</w:t>
      </w:r>
      <w:r>
        <w:rPr>
          <w:rFonts w:ascii="Cambria" w:hAnsi="Cambria"/>
          <w:lang w:val="en-US"/>
        </w:rPr>
        <w:t>ä</w:t>
      </w:r>
      <w:r>
        <w:rPr>
          <w:lang w:val="en-US"/>
        </w:rPr>
        <w:t xml:space="preserve">gg, “Epiphany in Minoan Ritual” </w:t>
      </w:r>
      <w:r>
        <w:rPr>
          <w:i/>
          <w:lang w:val="en-US"/>
        </w:rPr>
        <w:t>BICS</w:t>
      </w:r>
      <w:r>
        <w:rPr>
          <w:lang w:val="en-US"/>
        </w:rPr>
        <w:t>, vol. 30, 1983, 184.</w:t>
      </w:r>
    </w:p>
  </w:footnote>
  <w:footnote w:id="15">
    <w:p w14:paraId="3C264A37" w14:textId="4B79FDCB" w:rsidR="004C1198" w:rsidRPr="002A17AE" w:rsidRDefault="004C1198">
      <w:pPr>
        <w:pStyle w:val="FootnoteText"/>
        <w:rPr>
          <w:lang w:val="en-US"/>
        </w:rPr>
      </w:pPr>
      <w:r>
        <w:rPr>
          <w:rStyle w:val="FootnoteReference"/>
        </w:rPr>
        <w:footnoteRef/>
      </w:r>
      <w:r>
        <w:t xml:space="preserve"> </w:t>
      </w:r>
      <w:r>
        <w:rPr>
          <w:lang w:val="en-US"/>
        </w:rPr>
        <w:t xml:space="preserve">Peatfield, </w:t>
      </w:r>
      <w:r>
        <w:rPr>
          <w:i/>
          <w:lang w:val="en-US"/>
        </w:rPr>
        <w:t>Minoan Peak Sanctuaries,</w:t>
      </w:r>
      <w:r>
        <w:rPr>
          <w:lang w:val="en-US"/>
        </w:rPr>
        <w:t xml:space="preserve"> 1990, p.120.</w:t>
      </w:r>
    </w:p>
  </w:footnote>
  <w:footnote w:id="16">
    <w:p w14:paraId="06156CC1" w14:textId="5D4766EC" w:rsidR="004C1198" w:rsidRPr="00202940" w:rsidRDefault="004C1198">
      <w:pPr>
        <w:pStyle w:val="FootnoteText"/>
        <w:rPr>
          <w:lang w:val="en-US"/>
        </w:rPr>
      </w:pPr>
      <w:r>
        <w:rPr>
          <w:rStyle w:val="FootnoteReference"/>
        </w:rPr>
        <w:footnoteRef/>
      </w:r>
      <w:r>
        <w:t xml:space="preserve"> </w:t>
      </w:r>
      <w:r w:rsidRPr="00F05AB6">
        <w:rPr>
          <w:lang w:val="en-US"/>
        </w:rPr>
        <w:t>Camilla Briault</w:t>
      </w:r>
      <w:r>
        <w:rPr>
          <w:lang w:val="en-US"/>
        </w:rPr>
        <w:t>,</w:t>
      </w:r>
      <w:r w:rsidRPr="00F05AB6">
        <w:rPr>
          <w:lang w:val="en-US"/>
        </w:rPr>
        <w:t xml:space="preserve"> </w:t>
      </w:r>
      <w:r>
        <w:rPr>
          <w:lang w:val="en-US"/>
        </w:rPr>
        <w:t>“</w:t>
      </w:r>
      <w:r w:rsidRPr="00F05AB6">
        <w:rPr>
          <w:lang w:val="en-US"/>
        </w:rPr>
        <w:t>Making Mountains Out of Molehills in the Bronze Age Aegean: Visibility, Ritual Kits, and</w:t>
      </w:r>
      <w:r>
        <w:rPr>
          <w:lang w:val="en-US"/>
        </w:rPr>
        <w:t xml:space="preserve"> </w:t>
      </w:r>
      <w:r w:rsidRPr="00F05AB6">
        <w:rPr>
          <w:lang w:val="en-US"/>
        </w:rPr>
        <w:t>the Idea of a Peak Sanctuary</w:t>
      </w:r>
      <w:r>
        <w:rPr>
          <w:lang w:val="en-US"/>
        </w:rPr>
        <w:t xml:space="preserve">” </w:t>
      </w:r>
      <w:r w:rsidRPr="00E34C62">
        <w:rPr>
          <w:i/>
          <w:lang w:val="en-US"/>
        </w:rPr>
        <w:t>World Archaeology</w:t>
      </w:r>
      <w:r w:rsidRPr="00F05AB6">
        <w:rPr>
          <w:lang w:val="en-US"/>
        </w:rPr>
        <w:t>, Vol. 39, No. 1, Viewing Space (Mar., 2007),</w:t>
      </w:r>
      <w:r>
        <w:rPr>
          <w:lang w:val="en-US"/>
        </w:rPr>
        <w:t xml:space="preserve"> p.130.</w:t>
      </w:r>
    </w:p>
  </w:footnote>
  <w:footnote w:id="17">
    <w:p w14:paraId="20D94BD4" w14:textId="7C43B447" w:rsidR="004C1198" w:rsidRDefault="004C1198" w:rsidP="001022EE">
      <w:pPr>
        <w:spacing w:line="480" w:lineRule="auto"/>
      </w:pPr>
      <w:r>
        <w:rPr>
          <w:rStyle w:val="FootnoteReference"/>
        </w:rPr>
        <w:footnoteRef/>
      </w:r>
      <w:r>
        <w:t xml:space="preserve"> </w:t>
      </w:r>
      <w:r w:rsidRPr="001C317A">
        <w:rPr>
          <w:i/>
          <w:lang w:val="en-US"/>
        </w:rPr>
        <w:t>Linear A</w:t>
      </w:r>
      <w:r>
        <w:rPr>
          <w:lang w:val="en-US"/>
        </w:rPr>
        <w:t xml:space="preserve">, at </w:t>
      </w:r>
      <w:r w:rsidRPr="001C317A">
        <w:t>http://www.people.ku.edu/~jyounger/LinearA/#12</w:t>
      </w:r>
    </w:p>
    <w:p w14:paraId="1DE726CA" w14:textId="0A44DD88" w:rsidR="004C1198" w:rsidRPr="001022EE" w:rsidRDefault="004C1198">
      <w:pPr>
        <w:pStyle w:val="FootnoteText"/>
        <w:rPr>
          <w:lang w:val="en-US"/>
        </w:rPr>
      </w:pP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E79229" w14:textId="03D87471" w:rsidR="00D71785" w:rsidRDefault="00D71785">
    <w:pPr>
      <w:pStyle w:val="Header"/>
    </w:pPr>
    <w:r>
      <w:t xml:space="preserve">Gabrielle Mooney 1905543   </w:t>
    </w:r>
    <w:r>
      <w:tab/>
    </w:r>
    <w:r>
      <w:tab/>
    </w:r>
    <w:r>
      <w:rPr>
        <w:rFonts w:ascii="Times New Roman" w:hAnsi="Times New Roman" w:cs="Times New Roman"/>
        <w:lang w:val="en-US"/>
      </w:rPr>
      <w:t xml:space="preserve">Page </w:t>
    </w:r>
    <w:r>
      <w:rPr>
        <w:rFonts w:ascii="Times New Roman" w:hAnsi="Times New Roman" w:cs="Times New Roman"/>
        <w:lang w:val="en-US"/>
      </w:rPr>
      <w:fldChar w:fldCharType="begin"/>
    </w:r>
    <w:r>
      <w:rPr>
        <w:rFonts w:ascii="Times New Roman" w:hAnsi="Times New Roman" w:cs="Times New Roman"/>
        <w:lang w:val="en-US"/>
      </w:rPr>
      <w:instrText xml:space="preserve"> PAGE </w:instrText>
    </w:r>
    <w:r>
      <w:rPr>
        <w:rFonts w:ascii="Times New Roman" w:hAnsi="Times New Roman" w:cs="Times New Roman"/>
        <w:lang w:val="en-US"/>
      </w:rPr>
      <w:fldChar w:fldCharType="separate"/>
    </w:r>
    <w:r>
      <w:rPr>
        <w:rFonts w:ascii="Times New Roman" w:hAnsi="Times New Roman" w:cs="Times New Roman"/>
        <w:noProof/>
        <w:lang w:val="en-US"/>
      </w:rPr>
      <w:t>1</w:t>
    </w:r>
    <w:r>
      <w:rPr>
        <w:rFonts w:ascii="Times New Roman" w:hAnsi="Times New Roman" w:cs="Times New Roman"/>
        <w:lang w:val="en-US"/>
      </w:rPr>
      <w:fldChar w:fldCharType="end"/>
    </w:r>
    <w:r>
      <w:rPr>
        <w:rFonts w:ascii="Times New Roman" w:hAnsi="Times New Roman" w:cs="Times New Roman"/>
        <w:lang w:val="en-US"/>
      </w:rPr>
      <w:t xml:space="preserve"> of </w:t>
    </w:r>
    <w:r>
      <w:rPr>
        <w:rFonts w:ascii="Times New Roman" w:hAnsi="Times New Roman" w:cs="Times New Roman"/>
        <w:lang w:val="en-US"/>
      </w:rPr>
      <w:fldChar w:fldCharType="begin"/>
    </w:r>
    <w:r>
      <w:rPr>
        <w:rFonts w:ascii="Times New Roman" w:hAnsi="Times New Roman" w:cs="Times New Roman"/>
        <w:lang w:val="en-US"/>
      </w:rPr>
      <w:instrText xml:space="preserve"> NUMPAGES </w:instrText>
    </w:r>
    <w:r>
      <w:rPr>
        <w:rFonts w:ascii="Times New Roman" w:hAnsi="Times New Roman" w:cs="Times New Roman"/>
        <w:lang w:val="en-US"/>
      </w:rPr>
      <w:fldChar w:fldCharType="separate"/>
    </w:r>
    <w:r>
      <w:rPr>
        <w:rFonts w:ascii="Times New Roman" w:hAnsi="Times New Roman" w:cs="Times New Roman"/>
        <w:noProof/>
        <w:lang w:val="en-US"/>
      </w:rPr>
      <w:t>2</w:t>
    </w:r>
    <w:r>
      <w:rPr>
        <w:rFonts w:ascii="Times New Roman" w:hAnsi="Times New Roman" w:cs="Times New Roman"/>
        <w:lang w:val="en-US"/>
      </w:rPr>
      <w:fldChar w:fldCharType="end"/>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28D682E"/>
    <w:multiLevelType w:val="hybridMultilevel"/>
    <w:tmpl w:val="787A86EA"/>
    <w:lvl w:ilvl="0" w:tplc="6E46097E">
      <w:start w:val="1"/>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FE66A1A"/>
    <w:multiLevelType w:val="multilevel"/>
    <w:tmpl w:val="6AA48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223A"/>
    <w:rsid w:val="00047580"/>
    <w:rsid w:val="001022EE"/>
    <w:rsid w:val="0014549C"/>
    <w:rsid w:val="001B45D2"/>
    <w:rsid w:val="001C317A"/>
    <w:rsid w:val="00202940"/>
    <w:rsid w:val="00205F59"/>
    <w:rsid w:val="002A17AE"/>
    <w:rsid w:val="002B7D1A"/>
    <w:rsid w:val="00483B7A"/>
    <w:rsid w:val="00492C9D"/>
    <w:rsid w:val="004C1198"/>
    <w:rsid w:val="004F3E9E"/>
    <w:rsid w:val="00513796"/>
    <w:rsid w:val="00521454"/>
    <w:rsid w:val="00570917"/>
    <w:rsid w:val="00594366"/>
    <w:rsid w:val="005B282B"/>
    <w:rsid w:val="005D223A"/>
    <w:rsid w:val="006C279B"/>
    <w:rsid w:val="0074084E"/>
    <w:rsid w:val="008648B0"/>
    <w:rsid w:val="008A666B"/>
    <w:rsid w:val="008D6872"/>
    <w:rsid w:val="0094642A"/>
    <w:rsid w:val="009C4799"/>
    <w:rsid w:val="00A1213E"/>
    <w:rsid w:val="00AB34DB"/>
    <w:rsid w:val="00BB1FCF"/>
    <w:rsid w:val="00BD65DE"/>
    <w:rsid w:val="00C0625D"/>
    <w:rsid w:val="00C92632"/>
    <w:rsid w:val="00D57F9D"/>
    <w:rsid w:val="00D71785"/>
    <w:rsid w:val="00DC26E1"/>
    <w:rsid w:val="00E3371C"/>
    <w:rsid w:val="00E34C62"/>
    <w:rsid w:val="00EF6848"/>
    <w:rsid w:val="00F05AB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19855E8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223A"/>
  </w:style>
  <w:style w:type="paragraph" w:styleId="Heading3">
    <w:name w:val="heading 3"/>
    <w:basedOn w:val="Normal"/>
    <w:link w:val="Heading3Char"/>
    <w:qFormat/>
    <w:rsid w:val="004C119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8A666B"/>
  </w:style>
  <w:style w:type="character" w:customStyle="1" w:styleId="FootnoteTextChar">
    <w:name w:val="Footnote Text Char"/>
    <w:basedOn w:val="DefaultParagraphFont"/>
    <w:link w:val="FootnoteText"/>
    <w:uiPriority w:val="99"/>
    <w:rsid w:val="008A666B"/>
  </w:style>
  <w:style w:type="character" w:styleId="FootnoteReference">
    <w:name w:val="footnote reference"/>
    <w:basedOn w:val="DefaultParagraphFont"/>
    <w:uiPriority w:val="99"/>
    <w:unhideWhenUsed/>
    <w:rsid w:val="008A666B"/>
    <w:rPr>
      <w:vertAlign w:val="superscript"/>
    </w:rPr>
  </w:style>
  <w:style w:type="paragraph" w:styleId="ListParagraph">
    <w:name w:val="List Paragraph"/>
    <w:basedOn w:val="Normal"/>
    <w:uiPriority w:val="34"/>
    <w:qFormat/>
    <w:rsid w:val="005B282B"/>
    <w:pPr>
      <w:ind w:left="720"/>
      <w:contextualSpacing/>
    </w:pPr>
  </w:style>
  <w:style w:type="character" w:styleId="Hyperlink">
    <w:name w:val="Hyperlink"/>
    <w:basedOn w:val="DefaultParagraphFont"/>
    <w:uiPriority w:val="99"/>
    <w:unhideWhenUsed/>
    <w:rsid w:val="00F05AB6"/>
    <w:rPr>
      <w:color w:val="0000FF" w:themeColor="hyperlink"/>
      <w:u w:val="single"/>
    </w:rPr>
  </w:style>
  <w:style w:type="character" w:styleId="FollowedHyperlink">
    <w:name w:val="FollowedHyperlink"/>
    <w:basedOn w:val="DefaultParagraphFont"/>
    <w:uiPriority w:val="99"/>
    <w:semiHidden/>
    <w:unhideWhenUsed/>
    <w:rsid w:val="00521454"/>
    <w:rPr>
      <w:color w:val="800080" w:themeColor="followedHyperlink"/>
      <w:u w:val="single"/>
    </w:rPr>
  </w:style>
  <w:style w:type="paragraph" w:styleId="BalloonText">
    <w:name w:val="Balloon Text"/>
    <w:basedOn w:val="Normal"/>
    <w:link w:val="BalloonTextChar"/>
    <w:uiPriority w:val="99"/>
    <w:semiHidden/>
    <w:unhideWhenUsed/>
    <w:rsid w:val="0059436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94366"/>
    <w:rPr>
      <w:rFonts w:ascii="Lucida Grande" w:hAnsi="Lucida Grande" w:cs="Lucida Grande"/>
      <w:sz w:val="18"/>
      <w:szCs w:val="18"/>
    </w:rPr>
  </w:style>
  <w:style w:type="character" w:customStyle="1" w:styleId="Heading3Char">
    <w:name w:val="Heading 3 Char"/>
    <w:basedOn w:val="DefaultParagraphFont"/>
    <w:link w:val="Heading3"/>
    <w:rsid w:val="004C1198"/>
    <w:rPr>
      <w:rFonts w:ascii="Tahoma" w:eastAsia="SimSun" w:hAnsi="Tahoma" w:cs="Tahoma"/>
      <w:b/>
      <w:bCs/>
      <w:sz w:val="20"/>
      <w:szCs w:val="20"/>
      <w:lang w:eastAsia="zh-CN"/>
    </w:rPr>
  </w:style>
  <w:style w:type="paragraph" w:styleId="NormalWeb">
    <w:name w:val="Normal (Web)"/>
    <w:basedOn w:val="Normal"/>
    <w:rsid w:val="004C1198"/>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D71785"/>
    <w:pPr>
      <w:tabs>
        <w:tab w:val="center" w:pos="4320"/>
        <w:tab w:val="right" w:pos="8640"/>
      </w:tabs>
    </w:pPr>
  </w:style>
  <w:style w:type="character" w:customStyle="1" w:styleId="HeaderChar">
    <w:name w:val="Header Char"/>
    <w:basedOn w:val="DefaultParagraphFont"/>
    <w:link w:val="Header"/>
    <w:uiPriority w:val="99"/>
    <w:rsid w:val="00D71785"/>
  </w:style>
  <w:style w:type="paragraph" w:styleId="Footer">
    <w:name w:val="footer"/>
    <w:basedOn w:val="Normal"/>
    <w:link w:val="FooterChar"/>
    <w:uiPriority w:val="99"/>
    <w:unhideWhenUsed/>
    <w:rsid w:val="00D71785"/>
    <w:pPr>
      <w:tabs>
        <w:tab w:val="center" w:pos="4320"/>
        <w:tab w:val="right" w:pos="8640"/>
      </w:tabs>
    </w:pPr>
  </w:style>
  <w:style w:type="character" w:customStyle="1" w:styleId="FooterChar">
    <w:name w:val="Footer Char"/>
    <w:basedOn w:val="DefaultParagraphFont"/>
    <w:link w:val="Footer"/>
    <w:uiPriority w:val="99"/>
    <w:rsid w:val="00D71785"/>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223A"/>
  </w:style>
  <w:style w:type="paragraph" w:styleId="Heading3">
    <w:name w:val="heading 3"/>
    <w:basedOn w:val="Normal"/>
    <w:link w:val="Heading3Char"/>
    <w:qFormat/>
    <w:rsid w:val="004C119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8A666B"/>
  </w:style>
  <w:style w:type="character" w:customStyle="1" w:styleId="FootnoteTextChar">
    <w:name w:val="Footnote Text Char"/>
    <w:basedOn w:val="DefaultParagraphFont"/>
    <w:link w:val="FootnoteText"/>
    <w:uiPriority w:val="99"/>
    <w:rsid w:val="008A666B"/>
  </w:style>
  <w:style w:type="character" w:styleId="FootnoteReference">
    <w:name w:val="footnote reference"/>
    <w:basedOn w:val="DefaultParagraphFont"/>
    <w:uiPriority w:val="99"/>
    <w:unhideWhenUsed/>
    <w:rsid w:val="008A666B"/>
    <w:rPr>
      <w:vertAlign w:val="superscript"/>
    </w:rPr>
  </w:style>
  <w:style w:type="paragraph" w:styleId="ListParagraph">
    <w:name w:val="List Paragraph"/>
    <w:basedOn w:val="Normal"/>
    <w:uiPriority w:val="34"/>
    <w:qFormat/>
    <w:rsid w:val="005B282B"/>
    <w:pPr>
      <w:ind w:left="720"/>
      <w:contextualSpacing/>
    </w:pPr>
  </w:style>
  <w:style w:type="character" w:styleId="Hyperlink">
    <w:name w:val="Hyperlink"/>
    <w:basedOn w:val="DefaultParagraphFont"/>
    <w:uiPriority w:val="99"/>
    <w:unhideWhenUsed/>
    <w:rsid w:val="00F05AB6"/>
    <w:rPr>
      <w:color w:val="0000FF" w:themeColor="hyperlink"/>
      <w:u w:val="single"/>
    </w:rPr>
  </w:style>
  <w:style w:type="character" w:styleId="FollowedHyperlink">
    <w:name w:val="FollowedHyperlink"/>
    <w:basedOn w:val="DefaultParagraphFont"/>
    <w:uiPriority w:val="99"/>
    <w:semiHidden/>
    <w:unhideWhenUsed/>
    <w:rsid w:val="00521454"/>
    <w:rPr>
      <w:color w:val="800080" w:themeColor="followedHyperlink"/>
      <w:u w:val="single"/>
    </w:rPr>
  </w:style>
  <w:style w:type="paragraph" w:styleId="BalloonText">
    <w:name w:val="Balloon Text"/>
    <w:basedOn w:val="Normal"/>
    <w:link w:val="BalloonTextChar"/>
    <w:uiPriority w:val="99"/>
    <w:semiHidden/>
    <w:unhideWhenUsed/>
    <w:rsid w:val="0059436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94366"/>
    <w:rPr>
      <w:rFonts w:ascii="Lucida Grande" w:hAnsi="Lucida Grande" w:cs="Lucida Grande"/>
      <w:sz w:val="18"/>
      <w:szCs w:val="18"/>
    </w:rPr>
  </w:style>
  <w:style w:type="character" w:customStyle="1" w:styleId="Heading3Char">
    <w:name w:val="Heading 3 Char"/>
    <w:basedOn w:val="DefaultParagraphFont"/>
    <w:link w:val="Heading3"/>
    <w:rsid w:val="004C1198"/>
    <w:rPr>
      <w:rFonts w:ascii="Tahoma" w:eastAsia="SimSun" w:hAnsi="Tahoma" w:cs="Tahoma"/>
      <w:b/>
      <w:bCs/>
      <w:sz w:val="20"/>
      <w:szCs w:val="20"/>
      <w:lang w:eastAsia="zh-CN"/>
    </w:rPr>
  </w:style>
  <w:style w:type="paragraph" w:styleId="NormalWeb">
    <w:name w:val="Normal (Web)"/>
    <w:basedOn w:val="Normal"/>
    <w:rsid w:val="004C1198"/>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D71785"/>
    <w:pPr>
      <w:tabs>
        <w:tab w:val="center" w:pos="4320"/>
        <w:tab w:val="right" w:pos="8640"/>
      </w:tabs>
    </w:pPr>
  </w:style>
  <w:style w:type="character" w:customStyle="1" w:styleId="HeaderChar">
    <w:name w:val="Header Char"/>
    <w:basedOn w:val="DefaultParagraphFont"/>
    <w:link w:val="Header"/>
    <w:uiPriority w:val="99"/>
    <w:rsid w:val="00D71785"/>
  </w:style>
  <w:style w:type="paragraph" w:styleId="Footer">
    <w:name w:val="footer"/>
    <w:basedOn w:val="Normal"/>
    <w:link w:val="FooterChar"/>
    <w:uiPriority w:val="99"/>
    <w:unhideWhenUsed/>
    <w:rsid w:val="00D71785"/>
    <w:pPr>
      <w:tabs>
        <w:tab w:val="center" w:pos="4320"/>
        <w:tab w:val="right" w:pos="8640"/>
      </w:tabs>
    </w:pPr>
  </w:style>
  <w:style w:type="character" w:customStyle="1" w:styleId="FooterChar">
    <w:name w:val="Footer Char"/>
    <w:basedOn w:val="DefaultParagraphFont"/>
    <w:link w:val="Footer"/>
    <w:uiPriority w:val="99"/>
    <w:rsid w:val="00D717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54310131">
      <w:bodyDiv w:val="1"/>
      <w:marLeft w:val="0"/>
      <w:marRight w:val="0"/>
      <w:marTop w:val="0"/>
      <w:marBottom w:val="0"/>
      <w:divBdr>
        <w:top w:val="none" w:sz="0" w:space="0" w:color="auto"/>
        <w:left w:val="none" w:sz="0" w:space="0" w:color="auto"/>
        <w:bottom w:val="none" w:sz="0" w:space="0" w:color="auto"/>
        <w:right w:val="none" w:sz="0" w:space="0" w:color="auto"/>
      </w:divBdr>
      <w:divsChild>
        <w:div w:id="967197193">
          <w:marLeft w:val="0"/>
          <w:marRight w:val="0"/>
          <w:marTop w:val="0"/>
          <w:marBottom w:val="0"/>
          <w:divBdr>
            <w:top w:val="none" w:sz="0" w:space="0" w:color="auto"/>
            <w:left w:val="none" w:sz="0" w:space="0" w:color="auto"/>
            <w:bottom w:val="none" w:sz="0" w:space="0" w:color="auto"/>
            <w:right w:val="none" w:sz="0" w:space="0" w:color="auto"/>
          </w:divBdr>
          <w:divsChild>
            <w:div w:id="884560069">
              <w:marLeft w:val="0"/>
              <w:marRight w:val="0"/>
              <w:marTop w:val="0"/>
              <w:marBottom w:val="0"/>
              <w:divBdr>
                <w:top w:val="none" w:sz="0" w:space="0" w:color="auto"/>
                <w:left w:val="none" w:sz="0" w:space="0" w:color="auto"/>
                <w:bottom w:val="none" w:sz="0" w:space="0" w:color="auto"/>
                <w:right w:val="none" w:sz="0" w:space="0" w:color="auto"/>
              </w:divBdr>
              <w:divsChild>
                <w:div w:id="192171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hyperlink" Target="http://www.people.ku.edu/~jyounger/LinearA/#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350</TotalTime>
  <Pages>1</Pages>
  <Words>1774</Words>
  <Characters>9033</Characters>
  <Application>Microsoft Macintosh Word</Application>
  <DocSecurity>0</DocSecurity>
  <Lines>205</Lines>
  <Paragraphs>43</Paragraphs>
  <ScaleCrop>false</ScaleCrop>
  <Company/>
  <LinksUpToDate>false</LinksUpToDate>
  <CharactersWithSpaces>10764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Gabby Mooney</dc:creator>
  <cp:keywords/>
  <dc:description/>
  <cp:lastModifiedBy>Gabby Mooney</cp:lastModifiedBy>
  <cp:revision>8</cp:revision>
  <dcterms:created xsi:type="dcterms:W3CDTF">2020-01-28T13:06:00Z</dcterms:created>
  <dcterms:modified xsi:type="dcterms:W3CDTF">2020-01-28T23:59:00Z</dcterms:modified>
</cp:coreProperties>
</file>