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45B95EAD" w:rsidR="00BA751F" w:rsidRPr="000247F6" w:rsidRDefault="006362E6" w:rsidP="006362E6">
      <w:pPr>
        <w:spacing w:before="100" w:beforeAutospacing="1" w:after="100" w:afterAutospacing="1"/>
        <w:jc w:val="center"/>
        <w:rPr>
          <w:rFonts w:asciiTheme="majorHAnsi" w:hAnsiTheme="majorHAnsi" w:cstheme="majorHAnsi"/>
          <w:b/>
          <w:bCs/>
          <w:lang w:val="en-GB"/>
        </w:rPr>
      </w:pPr>
      <w:r w:rsidRPr="000247F6">
        <w:rPr>
          <w:rFonts w:asciiTheme="majorHAnsi" w:hAnsiTheme="majorHAnsi" w:cstheme="majorHAnsi"/>
          <w:b/>
          <w:bCs/>
          <w:noProof/>
          <w:lang w:val="en-GB"/>
        </w:rPr>
        <w:drawing>
          <wp:inline distT="0" distB="0" distL="0" distR="0" wp14:anchorId="7371EDE2" wp14:editId="74BFEB8A">
            <wp:extent cx="2000529" cy="905001"/>
            <wp:effectExtent l="0" t="0" r="0" b="9525"/>
            <wp:docPr id="1457663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663894" name=""/>
                    <pic:cNvPicPr/>
                  </pic:nvPicPr>
                  <pic:blipFill>
                    <a:blip r:embed="rId6"/>
                    <a:stretch>
                      <a:fillRect/>
                    </a:stretch>
                  </pic:blipFill>
                  <pic:spPr>
                    <a:xfrm>
                      <a:off x="0" y="0"/>
                      <a:ext cx="2000529" cy="905001"/>
                    </a:xfrm>
                    <a:prstGeom prst="rect">
                      <a:avLst/>
                    </a:prstGeom>
                  </pic:spPr>
                </pic:pic>
              </a:graphicData>
            </a:graphic>
          </wp:inline>
        </w:drawing>
      </w:r>
    </w:p>
    <w:p w14:paraId="00000002" w14:textId="77777777" w:rsidR="00BA751F" w:rsidRPr="000247F6" w:rsidRDefault="00BA751F" w:rsidP="006362E6">
      <w:pPr>
        <w:spacing w:before="100" w:beforeAutospacing="1" w:after="100" w:afterAutospacing="1"/>
        <w:jc w:val="center"/>
        <w:rPr>
          <w:rFonts w:asciiTheme="majorHAnsi" w:hAnsiTheme="majorHAnsi" w:cstheme="majorHAnsi"/>
          <w:b/>
          <w:bCs/>
          <w:lang w:val="en-GB"/>
        </w:rPr>
      </w:pPr>
    </w:p>
    <w:p w14:paraId="00000003" w14:textId="77777777" w:rsidR="00BA751F" w:rsidRPr="000247F6" w:rsidRDefault="00BA751F" w:rsidP="006362E6">
      <w:pPr>
        <w:spacing w:before="100" w:beforeAutospacing="1" w:after="100" w:afterAutospacing="1"/>
        <w:jc w:val="center"/>
        <w:rPr>
          <w:rFonts w:asciiTheme="majorHAnsi" w:hAnsiTheme="majorHAnsi" w:cstheme="majorHAnsi"/>
          <w:b/>
          <w:bCs/>
          <w:lang w:val="en-GB"/>
        </w:rPr>
      </w:pPr>
    </w:p>
    <w:p w14:paraId="00000004" w14:textId="77777777" w:rsidR="00BA751F" w:rsidRPr="003772E5" w:rsidRDefault="00000000" w:rsidP="006362E6">
      <w:pPr>
        <w:spacing w:before="100" w:beforeAutospacing="1" w:after="100" w:afterAutospacing="1"/>
        <w:jc w:val="center"/>
        <w:rPr>
          <w:rFonts w:ascii="Arial" w:hAnsi="Arial" w:cs="Arial"/>
          <w:b/>
          <w:bCs/>
          <w:lang w:val="en-GB"/>
        </w:rPr>
      </w:pPr>
      <w:r w:rsidRPr="003772E5">
        <w:rPr>
          <w:rFonts w:ascii="Arial" w:hAnsi="Arial" w:cs="Arial"/>
          <w:b/>
          <w:bCs/>
          <w:lang w:val="en-GB"/>
        </w:rPr>
        <w:t>Programme: BA (Hons) Leadership and Management Skills for the Workplace</w:t>
      </w:r>
    </w:p>
    <w:p w14:paraId="00000005" w14:textId="77777777" w:rsidR="00BA751F" w:rsidRPr="003772E5" w:rsidRDefault="00000000" w:rsidP="006362E6">
      <w:pPr>
        <w:spacing w:before="100" w:beforeAutospacing="1" w:after="100" w:afterAutospacing="1"/>
        <w:jc w:val="center"/>
        <w:rPr>
          <w:rFonts w:ascii="Arial" w:hAnsi="Arial" w:cs="Arial"/>
          <w:b/>
          <w:bCs/>
          <w:lang w:val="en-GB"/>
        </w:rPr>
      </w:pPr>
      <w:r w:rsidRPr="003772E5">
        <w:rPr>
          <w:rFonts w:ascii="Arial" w:hAnsi="Arial" w:cs="Arial"/>
          <w:b/>
          <w:bCs/>
          <w:lang w:val="en-GB"/>
        </w:rPr>
        <w:t>Module: Research Methods for Business</w:t>
      </w:r>
    </w:p>
    <w:p w14:paraId="00000006" w14:textId="77777777" w:rsidR="00BA751F" w:rsidRPr="003772E5" w:rsidRDefault="00000000" w:rsidP="006362E6">
      <w:pPr>
        <w:spacing w:before="100" w:beforeAutospacing="1" w:after="100" w:afterAutospacing="1"/>
        <w:jc w:val="center"/>
        <w:rPr>
          <w:rFonts w:ascii="Arial" w:hAnsi="Arial" w:cs="Arial"/>
          <w:b/>
          <w:bCs/>
          <w:lang w:val="en-GB"/>
        </w:rPr>
      </w:pPr>
      <w:r w:rsidRPr="003772E5">
        <w:rPr>
          <w:rFonts w:ascii="Arial" w:hAnsi="Arial" w:cs="Arial"/>
          <w:b/>
          <w:bCs/>
          <w:lang w:val="en-GB"/>
        </w:rPr>
        <w:t>Module code: LCLM6004</w:t>
      </w:r>
    </w:p>
    <w:p w14:paraId="00000007" w14:textId="77777777" w:rsidR="00BA751F" w:rsidRPr="003772E5" w:rsidRDefault="00000000" w:rsidP="006362E6">
      <w:pPr>
        <w:spacing w:before="100" w:beforeAutospacing="1" w:after="100" w:afterAutospacing="1"/>
        <w:jc w:val="center"/>
        <w:rPr>
          <w:rFonts w:ascii="Arial" w:hAnsi="Arial" w:cs="Arial"/>
          <w:b/>
          <w:bCs/>
          <w:lang w:val="en-GB"/>
        </w:rPr>
      </w:pPr>
      <w:r w:rsidRPr="003772E5">
        <w:rPr>
          <w:rFonts w:ascii="Arial" w:hAnsi="Arial" w:cs="Arial"/>
          <w:b/>
          <w:bCs/>
          <w:lang w:val="en-GB"/>
        </w:rPr>
        <w:t>Assignment Title: Component 1 – Business Research Proposal</w:t>
      </w:r>
    </w:p>
    <w:p w14:paraId="00000008" w14:textId="77777777" w:rsidR="00BA751F" w:rsidRPr="003772E5" w:rsidRDefault="00000000" w:rsidP="006362E6">
      <w:pPr>
        <w:spacing w:before="100" w:beforeAutospacing="1" w:after="100" w:afterAutospacing="1"/>
        <w:jc w:val="center"/>
        <w:rPr>
          <w:rFonts w:ascii="Arial" w:hAnsi="Arial" w:cs="Arial"/>
          <w:b/>
          <w:bCs/>
          <w:lang w:val="en-GB"/>
        </w:rPr>
      </w:pPr>
      <w:r w:rsidRPr="003772E5">
        <w:rPr>
          <w:rFonts w:ascii="Arial" w:hAnsi="Arial" w:cs="Arial"/>
          <w:b/>
          <w:bCs/>
          <w:lang w:val="en-GB"/>
        </w:rPr>
        <w:t>Optimising inventory accuracy and reducing stock holding costs: a study of operational practices at DHL Supply Chain UK</w:t>
      </w:r>
    </w:p>
    <w:p w14:paraId="06E67930" w14:textId="67EE6668" w:rsidR="005B1B00" w:rsidRPr="003772E5" w:rsidRDefault="005B1B00" w:rsidP="006362E6">
      <w:pPr>
        <w:spacing w:before="100" w:beforeAutospacing="1" w:after="100" w:afterAutospacing="1"/>
        <w:jc w:val="center"/>
        <w:rPr>
          <w:rFonts w:ascii="Arial" w:hAnsi="Arial" w:cs="Arial"/>
          <w:b/>
          <w:bCs/>
          <w:lang w:val="en-GB"/>
        </w:rPr>
      </w:pPr>
      <w:r w:rsidRPr="003772E5">
        <w:rPr>
          <w:rFonts w:ascii="Arial" w:hAnsi="Arial" w:cs="Arial"/>
          <w:b/>
        </w:rPr>
        <w:t>Lecturer Name:</w:t>
      </w:r>
      <w:r w:rsidR="003772E5" w:rsidRPr="003772E5">
        <w:rPr>
          <w:rFonts w:ascii="Arial" w:hAnsi="Arial" w:cs="Arial"/>
          <w:b/>
        </w:rPr>
        <w:t xml:space="preserve"> </w:t>
      </w:r>
      <w:r w:rsidR="003772E5" w:rsidRPr="003772E5">
        <w:rPr>
          <w:rFonts w:ascii="Arial" w:hAnsi="Arial" w:cs="Arial"/>
          <w:b/>
          <w:bCs/>
        </w:rPr>
        <w:t>Rameses Manalang</w:t>
      </w:r>
    </w:p>
    <w:p w14:paraId="00000009" w14:textId="59D19D19" w:rsidR="00BA751F" w:rsidRPr="003772E5" w:rsidRDefault="00000000" w:rsidP="006362E6">
      <w:pPr>
        <w:spacing w:before="100" w:beforeAutospacing="1" w:after="100" w:afterAutospacing="1"/>
        <w:jc w:val="center"/>
        <w:rPr>
          <w:rFonts w:ascii="Arial" w:hAnsi="Arial" w:cs="Arial"/>
          <w:b/>
          <w:bCs/>
          <w:lang w:val="en-GB"/>
        </w:rPr>
      </w:pPr>
      <w:r w:rsidRPr="003772E5">
        <w:rPr>
          <w:rFonts w:ascii="Arial" w:hAnsi="Arial" w:cs="Arial"/>
          <w:b/>
          <w:bCs/>
          <w:lang w:val="en-GB"/>
        </w:rPr>
        <w:t>Student name:</w:t>
      </w:r>
      <w:r w:rsidR="005B1B00" w:rsidRPr="003772E5">
        <w:rPr>
          <w:rFonts w:ascii="Arial" w:hAnsi="Arial" w:cs="Arial"/>
          <w:b/>
          <w:bCs/>
          <w:lang w:val="en-GB"/>
        </w:rPr>
        <w:t xml:space="preserve"> </w:t>
      </w:r>
      <w:r w:rsidR="005B1B00" w:rsidRPr="003772E5">
        <w:rPr>
          <w:rFonts w:ascii="Arial" w:hAnsi="Arial" w:cs="Arial"/>
          <w:b/>
        </w:rPr>
        <w:t>Elena Buzatu</w:t>
      </w:r>
    </w:p>
    <w:p w14:paraId="0000000A" w14:textId="59AF4F0F" w:rsidR="00BA751F" w:rsidRPr="003772E5" w:rsidRDefault="00000000" w:rsidP="006362E6">
      <w:pPr>
        <w:spacing w:before="100" w:beforeAutospacing="1" w:after="100" w:afterAutospacing="1"/>
        <w:jc w:val="center"/>
        <w:rPr>
          <w:rFonts w:ascii="Arial" w:hAnsi="Arial" w:cs="Arial"/>
          <w:b/>
          <w:bCs/>
          <w:lang w:val="en-GB"/>
        </w:rPr>
      </w:pPr>
      <w:r w:rsidRPr="003772E5">
        <w:rPr>
          <w:rFonts w:ascii="Arial" w:hAnsi="Arial" w:cs="Arial"/>
          <w:b/>
          <w:bCs/>
          <w:lang w:val="en-GB"/>
        </w:rPr>
        <w:t>Student ID number:</w:t>
      </w:r>
      <w:r w:rsidR="005B1B00" w:rsidRPr="003772E5">
        <w:rPr>
          <w:rFonts w:ascii="Arial" w:hAnsi="Arial" w:cs="Arial"/>
          <w:b/>
          <w:bCs/>
          <w:lang w:val="en-GB"/>
        </w:rPr>
        <w:t xml:space="preserve"> </w:t>
      </w:r>
      <w:r w:rsidR="005B1B00" w:rsidRPr="003772E5">
        <w:rPr>
          <w:rFonts w:ascii="Arial" w:hAnsi="Arial" w:cs="Arial"/>
          <w:b/>
        </w:rPr>
        <w:t>2312849</w:t>
      </w:r>
    </w:p>
    <w:p w14:paraId="265C593D" w14:textId="77777777" w:rsidR="00911577" w:rsidRDefault="00911577" w:rsidP="006362E6">
      <w:pPr>
        <w:spacing w:before="100" w:beforeAutospacing="1" w:after="100" w:afterAutospacing="1"/>
        <w:jc w:val="center"/>
        <w:rPr>
          <w:rFonts w:asciiTheme="majorHAnsi" w:hAnsiTheme="majorHAnsi" w:cstheme="majorHAnsi"/>
          <w:lang w:val="en-GB"/>
        </w:rPr>
      </w:pPr>
      <w:bookmarkStart w:id="0" w:name="_heading=h.tuty3qrdkyi1" w:colFirst="0" w:colLast="0"/>
      <w:bookmarkEnd w:id="0"/>
    </w:p>
    <w:p w14:paraId="46B9EF85" w14:textId="77777777" w:rsidR="003772E5" w:rsidRDefault="003772E5" w:rsidP="006362E6">
      <w:pPr>
        <w:spacing w:before="100" w:beforeAutospacing="1" w:after="100" w:afterAutospacing="1"/>
        <w:jc w:val="center"/>
        <w:rPr>
          <w:rFonts w:asciiTheme="majorHAnsi" w:hAnsiTheme="majorHAnsi" w:cstheme="majorHAnsi"/>
          <w:lang w:val="en-GB"/>
        </w:rPr>
      </w:pPr>
    </w:p>
    <w:p w14:paraId="6FD95932" w14:textId="77777777" w:rsidR="003772E5" w:rsidRDefault="003772E5" w:rsidP="006362E6">
      <w:pPr>
        <w:spacing w:before="100" w:beforeAutospacing="1" w:after="100" w:afterAutospacing="1"/>
        <w:jc w:val="center"/>
        <w:rPr>
          <w:rFonts w:asciiTheme="majorHAnsi" w:hAnsiTheme="majorHAnsi" w:cstheme="majorHAnsi"/>
          <w:lang w:val="en-GB"/>
        </w:rPr>
      </w:pPr>
    </w:p>
    <w:p w14:paraId="29328AA1" w14:textId="77777777" w:rsidR="003772E5" w:rsidRDefault="003772E5" w:rsidP="006362E6">
      <w:pPr>
        <w:spacing w:before="100" w:beforeAutospacing="1" w:after="100" w:afterAutospacing="1"/>
        <w:jc w:val="center"/>
        <w:rPr>
          <w:rFonts w:asciiTheme="majorHAnsi" w:hAnsiTheme="majorHAnsi" w:cstheme="majorHAnsi"/>
          <w:lang w:val="en-GB"/>
        </w:rPr>
      </w:pPr>
    </w:p>
    <w:p w14:paraId="0DF07F3B" w14:textId="77777777" w:rsidR="003772E5" w:rsidRPr="000247F6" w:rsidRDefault="003772E5" w:rsidP="006362E6">
      <w:pPr>
        <w:spacing w:before="100" w:beforeAutospacing="1" w:after="100" w:afterAutospacing="1"/>
        <w:jc w:val="center"/>
        <w:rPr>
          <w:rFonts w:asciiTheme="majorHAnsi" w:hAnsiTheme="majorHAnsi" w:cstheme="majorHAnsi"/>
          <w:lang w:val="en-GB"/>
        </w:rPr>
      </w:pPr>
    </w:p>
    <w:p w14:paraId="0000000D" w14:textId="77777777" w:rsidR="00BA751F" w:rsidRPr="003772E5" w:rsidRDefault="00000000" w:rsidP="006362E6">
      <w:pPr>
        <w:spacing w:before="100" w:beforeAutospacing="1" w:after="100" w:afterAutospacing="1"/>
        <w:jc w:val="center"/>
        <w:rPr>
          <w:rFonts w:ascii="Arial" w:hAnsi="Arial" w:cs="Arial"/>
          <w:b/>
          <w:bCs/>
          <w:sz w:val="22"/>
          <w:szCs w:val="22"/>
          <w:lang w:val="en-GB"/>
        </w:rPr>
      </w:pPr>
      <w:r w:rsidRPr="003772E5">
        <w:rPr>
          <w:rFonts w:ascii="Arial" w:hAnsi="Arial" w:cs="Arial"/>
          <w:b/>
          <w:bCs/>
          <w:sz w:val="22"/>
          <w:szCs w:val="22"/>
          <w:lang w:val="en-GB"/>
        </w:rPr>
        <w:lastRenderedPageBreak/>
        <w:t>Table of Contents</w:t>
      </w:r>
    </w:p>
    <w:sdt>
      <w:sdtPr>
        <w:rPr>
          <w:rFonts w:ascii="Arial" w:hAnsi="Arial" w:cs="Arial"/>
          <w:sz w:val="22"/>
          <w:szCs w:val="22"/>
          <w:lang w:val="en-GB"/>
        </w:rPr>
        <w:id w:val="1081337885"/>
        <w:docPartObj>
          <w:docPartGallery w:val="Table of Contents"/>
          <w:docPartUnique/>
        </w:docPartObj>
      </w:sdtPr>
      <w:sdtContent>
        <w:p w14:paraId="7CB3C8BF" w14:textId="1FD03571" w:rsidR="003772E5" w:rsidRPr="003772E5" w:rsidRDefault="00000000">
          <w:pPr>
            <w:pStyle w:val="TOC1"/>
            <w:tabs>
              <w:tab w:val="right" w:leader="dot" w:pos="9350"/>
            </w:tabs>
            <w:rPr>
              <w:rFonts w:ascii="Arial" w:eastAsiaTheme="minorEastAsia" w:hAnsi="Arial" w:cs="Arial"/>
              <w:noProof/>
              <w:kern w:val="2"/>
              <w:sz w:val="22"/>
              <w:szCs w:val="22"/>
              <w:lang w:val="en-GB" w:eastAsia="en-GB"/>
              <w14:ligatures w14:val="standardContextual"/>
            </w:rPr>
          </w:pPr>
          <w:r w:rsidRPr="003772E5">
            <w:rPr>
              <w:rFonts w:ascii="Arial" w:hAnsi="Arial" w:cs="Arial"/>
              <w:sz w:val="22"/>
              <w:szCs w:val="22"/>
              <w:lang w:val="en-GB"/>
            </w:rPr>
            <w:fldChar w:fldCharType="begin"/>
          </w:r>
          <w:r w:rsidRPr="003772E5">
            <w:rPr>
              <w:rFonts w:ascii="Arial" w:hAnsi="Arial" w:cs="Arial"/>
              <w:sz w:val="22"/>
              <w:szCs w:val="22"/>
              <w:lang w:val="en-GB"/>
            </w:rPr>
            <w:instrText xml:space="preserve"> TOC \h \u \z \t "Heading 1,1,Heading 2,2,Heading 3,3,"</w:instrText>
          </w:r>
          <w:r w:rsidRPr="003772E5">
            <w:rPr>
              <w:rFonts w:ascii="Arial" w:hAnsi="Arial" w:cs="Arial"/>
              <w:sz w:val="22"/>
              <w:szCs w:val="22"/>
              <w:lang w:val="en-GB"/>
            </w:rPr>
            <w:fldChar w:fldCharType="separate"/>
          </w:r>
          <w:hyperlink w:anchor="_Toc235553009" w:history="1">
            <w:r w:rsidR="003772E5" w:rsidRPr="003772E5">
              <w:rPr>
                <w:rStyle w:val="Hyperlink"/>
                <w:rFonts w:ascii="Arial" w:hAnsi="Arial" w:cs="Arial"/>
                <w:noProof/>
                <w:sz w:val="22"/>
                <w:szCs w:val="22"/>
                <w:lang w:val="en-GB"/>
              </w:rPr>
              <w:t>1. Identification of a Business Problem</w:t>
            </w:r>
            <w:r w:rsidR="003772E5" w:rsidRPr="003772E5">
              <w:rPr>
                <w:rFonts w:ascii="Arial" w:hAnsi="Arial" w:cs="Arial"/>
                <w:noProof/>
                <w:webHidden/>
                <w:sz w:val="22"/>
                <w:szCs w:val="22"/>
              </w:rPr>
              <w:tab/>
              <w:t>4</w:t>
            </w:r>
          </w:hyperlink>
        </w:p>
        <w:p w14:paraId="18293323" w14:textId="6254837A"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10" w:history="1">
            <w:r w:rsidRPr="003772E5">
              <w:rPr>
                <w:rStyle w:val="Hyperlink"/>
                <w:rFonts w:ascii="Arial" w:hAnsi="Arial" w:cs="Arial"/>
                <w:noProof/>
                <w:sz w:val="22"/>
                <w:szCs w:val="22"/>
                <w:lang w:val="en-GB"/>
              </w:rPr>
              <w:t>1.1 Organisational context</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_Toc235553010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4</w:t>
            </w:r>
            <w:r w:rsidRPr="003772E5">
              <w:rPr>
                <w:rFonts w:ascii="Arial" w:hAnsi="Arial" w:cs="Arial"/>
                <w:noProof/>
                <w:webHidden/>
                <w:sz w:val="22"/>
                <w:szCs w:val="22"/>
              </w:rPr>
              <w:fldChar w:fldCharType="end"/>
            </w:r>
          </w:hyperlink>
        </w:p>
        <w:p w14:paraId="7F9B80FB" w14:textId="6C2F582A" w:rsidR="003772E5" w:rsidRPr="003772E5" w:rsidRDefault="003772E5">
          <w:pPr>
            <w:pStyle w:val="TOC2"/>
            <w:tabs>
              <w:tab w:val="right" w:leader="dot" w:pos="9350"/>
            </w:tabs>
            <w:rPr>
              <w:rFonts w:ascii="Arial" w:eastAsiaTheme="minorEastAsia" w:hAnsi="Arial" w:cs="Arial"/>
              <w:noProof/>
              <w:kern w:val="2"/>
              <w:sz w:val="22"/>
              <w:szCs w:val="22"/>
              <w:lang w:val="en-GB" w:eastAsia="en-GB"/>
              <w14:ligatures w14:val="standardContextual"/>
            </w:rPr>
          </w:pPr>
          <w:hyperlink w:anchor="_Toc235553011" w:history="1">
            <w:r w:rsidRPr="003772E5">
              <w:rPr>
                <w:rStyle w:val="Hyperlink"/>
                <w:rFonts w:ascii="Arial" w:hAnsi="Arial" w:cs="Arial"/>
                <w:noProof/>
                <w:sz w:val="22"/>
                <w:szCs w:val="22"/>
                <w:lang w:val="en-GB"/>
              </w:rPr>
              <w:t>1.2 Business Problem</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_Toc235553011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4</w:t>
            </w:r>
            <w:r w:rsidRPr="003772E5">
              <w:rPr>
                <w:rFonts w:ascii="Arial" w:hAnsi="Arial" w:cs="Arial"/>
                <w:noProof/>
                <w:webHidden/>
                <w:sz w:val="22"/>
                <w:szCs w:val="22"/>
              </w:rPr>
              <w:fldChar w:fldCharType="end"/>
            </w:r>
          </w:hyperlink>
        </w:p>
        <w:p w14:paraId="0BB01107" w14:textId="5AAEDFE4" w:rsidR="003772E5" w:rsidRPr="003772E5" w:rsidRDefault="003772E5">
          <w:pPr>
            <w:pStyle w:val="TOC2"/>
            <w:tabs>
              <w:tab w:val="right" w:leader="dot" w:pos="9350"/>
            </w:tabs>
            <w:rPr>
              <w:rFonts w:ascii="Arial" w:eastAsiaTheme="minorEastAsia" w:hAnsi="Arial" w:cs="Arial"/>
              <w:noProof/>
              <w:kern w:val="2"/>
              <w:sz w:val="22"/>
              <w:szCs w:val="22"/>
              <w:lang w:val="en-GB" w:eastAsia="en-GB"/>
              <w14:ligatures w14:val="standardContextual"/>
            </w:rPr>
          </w:pPr>
          <w:hyperlink w:anchor="_Toc235553012" w:history="1">
            <w:r w:rsidRPr="003772E5">
              <w:rPr>
                <w:rStyle w:val="Hyperlink"/>
                <w:rFonts w:ascii="Arial" w:hAnsi="Arial" w:cs="Arial"/>
                <w:noProof/>
                <w:sz w:val="22"/>
                <w:szCs w:val="22"/>
                <w:lang w:val="en-GB"/>
              </w:rPr>
              <w:t>1.3 Significance and Business Impact</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_Toc235553012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4</w:t>
            </w:r>
            <w:r w:rsidRPr="003772E5">
              <w:rPr>
                <w:rFonts w:ascii="Arial" w:hAnsi="Arial" w:cs="Arial"/>
                <w:noProof/>
                <w:webHidden/>
                <w:sz w:val="22"/>
                <w:szCs w:val="22"/>
              </w:rPr>
              <w:fldChar w:fldCharType="end"/>
            </w:r>
          </w:hyperlink>
        </w:p>
        <w:p w14:paraId="7C89E61F" w14:textId="2507F9B1"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13" w:history="1">
            <w:r w:rsidRPr="003772E5">
              <w:rPr>
                <w:rStyle w:val="Hyperlink"/>
                <w:rFonts w:ascii="Arial" w:hAnsi="Arial" w:cs="Arial"/>
                <w:noProof/>
                <w:sz w:val="22"/>
                <w:szCs w:val="22"/>
                <w:lang w:val="en-GB"/>
              </w:rPr>
              <w:t>2. Research Aim, Objectives and Questions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_Toc235553013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5</w:t>
            </w:r>
            <w:r w:rsidRPr="003772E5">
              <w:rPr>
                <w:rFonts w:ascii="Arial" w:hAnsi="Arial" w:cs="Arial"/>
                <w:noProof/>
                <w:webHidden/>
                <w:sz w:val="22"/>
                <w:szCs w:val="22"/>
              </w:rPr>
              <w:fldChar w:fldCharType="end"/>
            </w:r>
          </w:hyperlink>
        </w:p>
        <w:p w14:paraId="514E3663" w14:textId="0A5395D0"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14" w:history="1">
            <w:r w:rsidRPr="003772E5">
              <w:rPr>
                <w:rStyle w:val="Hyperlink"/>
                <w:rFonts w:ascii="Arial" w:hAnsi="Arial" w:cs="Arial"/>
                <w:noProof/>
                <w:sz w:val="22"/>
                <w:szCs w:val="22"/>
                <w:lang w:val="en-GB"/>
              </w:rPr>
              <w:t>2.1 Research Aim</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_Toc235553014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5</w:t>
            </w:r>
            <w:r w:rsidRPr="003772E5">
              <w:rPr>
                <w:rFonts w:ascii="Arial" w:hAnsi="Arial" w:cs="Arial"/>
                <w:noProof/>
                <w:webHidden/>
                <w:sz w:val="22"/>
                <w:szCs w:val="22"/>
              </w:rPr>
              <w:fldChar w:fldCharType="end"/>
            </w:r>
          </w:hyperlink>
        </w:p>
        <w:p w14:paraId="40894902" w14:textId="79D5E480"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15" w:history="1">
            <w:r w:rsidRPr="003772E5">
              <w:rPr>
                <w:rStyle w:val="Hyperlink"/>
                <w:rFonts w:ascii="Arial" w:hAnsi="Arial" w:cs="Arial"/>
                <w:noProof/>
                <w:sz w:val="22"/>
                <w:szCs w:val="22"/>
                <w:lang w:val="en-GB"/>
              </w:rPr>
              <w:t>2.2 Research Objectives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_Toc235553015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5</w:t>
            </w:r>
            <w:r w:rsidRPr="003772E5">
              <w:rPr>
                <w:rFonts w:ascii="Arial" w:hAnsi="Arial" w:cs="Arial"/>
                <w:noProof/>
                <w:webHidden/>
                <w:sz w:val="22"/>
                <w:szCs w:val="22"/>
              </w:rPr>
              <w:fldChar w:fldCharType="end"/>
            </w:r>
          </w:hyperlink>
        </w:p>
        <w:p w14:paraId="6DC2B1C8" w14:textId="67390FDE"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16" w:history="1">
            <w:r w:rsidRPr="003772E5">
              <w:rPr>
                <w:rStyle w:val="Hyperlink"/>
                <w:rFonts w:ascii="Arial" w:hAnsi="Arial" w:cs="Arial"/>
                <w:noProof/>
                <w:sz w:val="22"/>
                <w:szCs w:val="22"/>
                <w:lang w:val="en-GB"/>
              </w:rPr>
              <w:t>2.3 Research Questions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_Toc235553016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5</w:t>
            </w:r>
            <w:r w:rsidRPr="003772E5">
              <w:rPr>
                <w:rFonts w:ascii="Arial" w:hAnsi="Arial" w:cs="Arial"/>
                <w:noProof/>
                <w:webHidden/>
                <w:sz w:val="22"/>
                <w:szCs w:val="22"/>
              </w:rPr>
              <w:fldChar w:fldCharType="end"/>
            </w:r>
          </w:hyperlink>
        </w:p>
        <w:p w14:paraId="612B409D" w14:textId="33563600"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17" w:history="1">
            <w:r w:rsidRPr="003772E5">
              <w:rPr>
                <w:rStyle w:val="Hyperlink"/>
                <w:rFonts w:ascii="Arial" w:hAnsi="Arial" w:cs="Arial"/>
                <w:noProof/>
                <w:sz w:val="22"/>
                <w:szCs w:val="22"/>
                <w:lang w:val="en-GB"/>
              </w:rPr>
              <w:t>3. Critical Literature Review</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_Toc235553017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6</w:t>
            </w:r>
            <w:r w:rsidRPr="003772E5">
              <w:rPr>
                <w:rFonts w:ascii="Arial" w:hAnsi="Arial" w:cs="Arial"/>
                <w:noProof/>
                <w:webHidden/>
                <w:sz w:val="22"/>
                <w:szCs w:val="22"/>
              </w:rPr>
              <w:fldChar w:fldCharType="end"/>
            </w:r>
          </w:hyperlink>
        </w:p>
        <w:p w14:paraId="535AA3B8" w14:textId="15B6239E" w:rsidR="003772E5" w:rsidRPr="003772E5" w:rsidRDefault="003772E5">
          <w:pPr>
            <w:pStyle w:val="TOC2"/>
            <w:tabs>
              <w:tab w:val="right" w:leader="dot" w:pos="9350"/>
            </w:tabs>
            <w:rPr>
              <w:rFonts w:ascii="Arial" w:eastAsiaTheme="minorEastAsia" w:hAnsi="Arial" w:cs="Arial"/>
              <w:noProof/>
              <w:kern w:val="2"/>
              <w:sz w:val="22"/>
              <w:szCs w:val="22"/>
              <w:lang w:val="en-GB" w:eastAsia="en-GB"/>
              <w14:ligatures w14:val="standardContextual"/>
            </w:rPr>
          </w:pPr>
          <w:hyperlink w:anchor="_Toc235553018" w:history="1">
            <w:r w:rsidRPr="003772E5">
              <w:rPr>
                <w:rStyle w:val="Hyperlink"/>
                <w:rFonts w:ascii="Arial" w:hAnsi="Arial" w:cs="Arial"/>
                <w:noProof/>
                <w:sz w:val="22"/>
                <w:szCs w:val="22"/>
                <w:lang w:val="en-GB"/>
              </w:rPr>
              <w:t>3.1 Accuracy of Inventory and Supply Chain Performance</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_Toc235553018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6</w:t>
            </w:r>
            <w:r w:rsidRPr="003772E5">
              <w:rPr>
                <w:rFonts w:ascii="Arial" w:hAnsi="Arial" w:cs="Arial"/>
                <w:noProof/>
                <w:webHidden/>
                <w:sz w:val="22"/>
                <w:szCs w:val="22"/>
              </w:rPr>
              <w:fldChar w:fldCharType="end"/>
            </w:r>
          </w:hyperlink>
        </w:p>
        <w:p w14:paraId="5747BE22" w14:textId="7E9D5C9F" w:rsidR="003772E5" w:rsidRPr="003772E5" w:rsidRDefault="003772E5">
          <w:pPr>
            <w:pStyle w:val="TOC2"/>
            <w:tabs>
              <w:tab w:val="right" w:leader="dot" w:pos="9350"/>
            </w:tabs>
            <w:rPr>
              <w:rFonts w:ascii="Arial" w:eastAsiaTheme="minorEastAsia" w:hAnsi="Arial" w:cs="Arial"/>
              <w:noProof/>
              <w:kern w:val="2"/>
              <w:sz w:val="22"/>
              <w:szCs w:val="22"/>
              <w:lang w:val="en-GB" w:eastAsia="en-GB"/>
              <w14:ligatures w14:val="standardContextual"/>
            </w:rPr>
          </w:pPr>
          <w:hyperlink w:anchor="_Toc235553019" w:history="1">
            <w:r w:rsidRPr="003772E5">
              <w:rPr>
                <w:rStyle w:val="Hyperlink"/>
                <w:rFonts w:ascii="Arial" w:hAnsi="Arial" w:cs="Arial"/>
                <w:noProof/>
                <w:sz w:val="22"/>
                <w:szCs w:val="22"/>
                <w:lang w:val="en-GB"/>
              </w:rPr>
              <w:t>3.2 Stockholding Costs and Inventory Optimisation Techniques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_Toc235553019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6</w:t>
            </w:r>
            <w:r w:rsidRPr="003772E5">
              <w:rPr>
                <w:rFonts w:ascii="Arial" w:hAnsi="Arial" w:cs="Arial"/>
                <w:noProof/>
                <w:webHidden/>
                <w:sz w:val="22"/>
                <w:szCs w:val="22"/>
              </w:rPr>
              <w:fldChar w:fldCharType="end"/>
            </w:r>
          </w:hyperlink>
        </w:p>
        <w:p w14:paraId="7655F497" w14:textId="28412535" w:rsidR="003772E5" w:rsidRPr="003772E5" w:rsidRDefault="003772E5">
          <w:pPr>
            <w:pStyle w:val="TOC2"/>
            <w:tabs>
              <w:tab w:val="right" w:leader="dot" w:pos="9350"/>
            </w:tabs>
            <w:rPr>
              <w:rFonts w:ascii="Arial" w:eastAsiaTheme="minorEastAsia" w:hAnsi="Arial" w:cs="Arial"/>
              <w:noProof/>
              <w:kern w:val="2"/>
              <w:sz w:val="22"/>
              <w:szCs w:val="22"/>
              <w:lang w:val="en-GB" w:eastAsia="en-GB"/>
              <w14:ligatures w14:val="standardContextual"/>
            </w:rPr>
          </w:pPr>
          <w:hyperlink w:anchor="_Toc235553020" w:history="1">
            <w:r w:rsidRPr="003772E5">
              <w:rPr>
                <w:rStyle w:val="Hyperlink"/>
                <w:rFonts w:ascii="Arial" w:hAnsi="Arial" w:cs="Arial"/>
                <w:noProof/>
                <w:sz w:val="22"/>
                <w:szCs w:val="22"/>
                <w:lang w:val="en-GB"/>
              </w:rPr>
              <w:t>3.3 Technologies, Digitalisation and Inventory Management Systems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_Toc235553020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7</w:t>
            </w:r>
            <w:r w:rsidRPr="003772E5">
              <w:rPr>
                <w:rFonts w:ascii="Arial" w:hAnsi="Arial" w:cs="Arial"/>
                <w:noProof/>
                <w:webHidden/>
                <w:sz w:val="22"/>
                <w:szCs w:val="22"/>
              </w:rPr>
              <w:fldChar w:fldCharType="end"/>
            </w:r>
          </w:hyperlink>
        </w:p>
        <w:p w14:paraId="5A9547AE" w14:textId="540F4F38" w:rsidR="003772E5" w:rsidRPr="003772E5" w:rsidRDefault="003772E5">
          <w:pPr>
            <w:pStyle w:val="TOC2"/>
            <w:tabs>
              <w:tab w:val="right" w:leader="dot" w:pos="9350"/>
            </w:tabs>
            <w:rPr>
              <w:rFonts w:ascii="Arial" w:eastAsiaTheme="minorEastAsia" w:hAnsi="Arial" w:cs="Arial"/>
              <w:noProof/>
              <w:kern w:val="2"/>
              <w:sz w:val="22"/>
              <w:szCs w:val="22"/>
              <w:lang w:val="en-GB" w:eastAsia="en-GB"/>
              <w14:ligatures w14:val="standardContextual"/>
            </w:rPr>
          </w:pPr>
          <w:hyperlink w:anchor="_Toc235553021" w:history="1">
            <w:r w:rsidRPr="003772E5">
              <w:rPr>
                <w:rStyle w:val="Hyperlink"/>
                <w:rFonts w:ascii="Arial" w:hAnsi="Arial" w:cs="Arial"/>
                <w:noProof/>
                <w:sz w:val="22"/>
                <w:szCs w:val="22"/>
                <w:lang w:val="en-GB"/>
              </w:rPr>
              <w:t>3.4 Research Gaps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_Toc235553021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7</w:t>
            </w:r>
            <w:r w:rsidRPr="003772E5">
              <w:rPr>
                <w:rFonts w:ascii="Arial" w:hAnsi="Arial" w:cs="Arial"/>
                <w:noProof/>
                <w:webHidden/>
                <w:sz w:val="22"/>
                <w:szCs w:val="22"/>
              </w:rPr>
              <w:fldChar w:fldCharType="end"/>
            </w:r>
          </w:hyperlink>
        </w:p>
        <w:p w14:paraId="2BEBBDBF" w14:textId="5ADE0123" w:rsidR="003772E5" w:rsidRPr="003772E5" w:rsidRDefault="003772E5">
          <w:pPr>
            <w:pStyle w:val="TOC2"/>
            <w:tabs>
              <w:tab w:val="right" w:leader="dot" w:pos="9350"/>
            </w:tabs>
            <w:rPr>
              <w:rFonts w:ascii="Arial" w:eastAsiaTheme="minorEastAsia" w:hAnsi="Arial" w:cs="Arial"/>
              <w:noProof/>
              <w:kern w:val="2"/>
              <w:sz w:val="22"/>
              <w:szCs w:val="22"/>
              <w:lang w:val="en-GB" w:eastAsia="en-GB"/>
              <w14:ligatures w14:val="standardContextual"/>
            </w:rPr>
          </w:pPr>
          <w:hyperlink w:anchor="_Toc235553022" w:history="1">
            <w:r w:rsidRPr="003772E5">
              <w:rPr>
                <w:rStyle w:val="Hyperlink"/>
                <w:rFonts w:ascii="Arial" w:hAnsi="Arial" w:cs="Arial"/>
                <w:noProof/>
                <w:sz w:val="22"/>
                <w:szCs w:val="22"/>
                <w:lang w:val="en-GB"/>
              </w:rPr>
              <w:t>3.5 Theoretical Framework</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_Toc235553022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8</w:t>
            </w:r>
            <w:r w:rsidRPr="003772E5">
              <w:rPr>
                <w:rFonts w:ascii="Arial" w:hAnsi="Arial" w:cs="Arial"/>
                <w:noProof/>
                <w:webHidden/>
                <w:sz w:val="22"/>
                <w:szCs w:val="22"/>
              </w:rPr>
              <w:fldChar w:fldCharType="end"/>
            </w:r>
          </w:hyperlink>
        </w:p>
        <w:p w14:paraId="0DDB1292" w14:textId="1FCC0930"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23" w:history="1">
            <w:r w:rsidRPr="003772E5">
              <w:rPr>
                <w:rStyle w:val="Hyperlink"/>
                <w:rFonts w:ascii="Arial" w:hAnsi="Arial" w:cs="Arial"/>
                <w:noProof/>
                <w:sz w:val="22"/>
                <w:szCs w:val="22"/>
                <w:lang w:val="en-GB"/>
              </w:rPr>
              <w:t>4. Research Methodology and Design</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_Toc235553023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8</w:t>
            </w:r>
            <w:r w:rsidRPr="003772E5">
              <w:rPr>
                <w:rFonts w:ascii="Arial" w:hAnsi="Arial" w:cs="Arial"/>
                <w:noProof/>
                <w:webHidden/>
                <w:sz w:val="22"/>
                <w:szCs w:val="22"/>
              </w:rPr>
              <w:fldChar w:fldCharType="end"/>
            </w:r>
          </w:hyperlink>
        </w:p>
        <w:p w14:paraId="286417C6" w14:textId="3ABFD224"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24" w:history="1">
            <w:r w:rsidRPr="003772E5">
              <w:rPr>
                <w:rStyle w:val="Hyperlink"/>
                <w:rFonts w:ascii="Arial" w:hAnsi="Arial" w:cs="Arial"/>
                <w:noProof/>
                <w:sz w:val="22"/>
                <w:szCs w:val="22"/>
                <w:lang w:val="en-GB"/>
              </w:rPr>
              <w:t>4.1 Research approach</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_Toc235553024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8</w:t>
            </w:r>
            <w:r w:rsidRPr="003772E5">
              <w:rPr>
                <w:rFonts w:ascii="Arial" w:hAnsi="Arial" w:cs="Arial"/>
                <w:noProof/>
                <w:webHidden/>
                <w:sz w:val="22"/>
                <w:szCs w:val="22"/>
              </w:rPr>
              <w:fldChar w:fldCharType="end"/>
            </w:r>
          </w:hyperlink>
        </w:p>
        <w:p w14:paraId="22F0CB44" w14:textId="0FE1911E"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25" w:history="1">
            <w:r w:rsidRPr="003772E5">
              <w:rPr>
                <w:rStyle w:val="Hyperlink"/>
                <w:rFonts w:ascii="Arial" w:hAnsi="Arial" w:cs="Arial"/>
                <w:noProof/>
                <w:sz w:val="22"/>
                <w:szCs w:val="22"/>
                <w:lang w:val="en-GB"/>
              </w:rPr>
              <w:t>4.2 Data collection and analysis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_Toc235553025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8</w:t>
            </w:r>
            <w:r w:rsidRPr="003772E5">
              <w:rPr>
                <w:rFonts w:ascii="Arial" w:hAnsi="Arial" w:cs="Arial"/>
                <w:noProof/>
                <w:webHidden/>
                <w:sz w:val="22"/>
                <w:szCs w:val="22"/>
              </w:rPr>
              <w:fldChar w:fldCharType="end"/>
            </w:r>
          </w:hyperlink>
        </w:p>
        <w:p w14:paraId="0AB2BC5C" w14:textId="30918DA6"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26" w:history="1">
            <w:r w:rsidRPr="003772E5">
              <w:rPr>
                <w:rStyle w:val="Hyperlink"/>
                <w:rFonts w:ascii="Arial" w:hAnsi="Arial" w:cs="Arial"/>
                <w:noProof/>
                <w:sz w:val="22"/>
                <w:szCs w:val="22"/>
                <w:lang w:val="en-GB"/>
              </w:rPr>
              <w:t>4.3 Sampling strategy</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_Toc235553026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9</w:t>
            </w:r>
            <w:r w:rsidRPr="003772E5">
              <w:rPr>
                <w:rFonts w:ascii="Arial" w:hAnsi="Arial" w:cs="Arial"/>
                <w:noProof/>
                <w:webHidden/>
                <w:sz w:val="22"/>
                <w:szCs w:val="22"/>
              </w:rPr>
              <w:fldChar w:fldCharType="end"/>
            </w:r>
          </w:hyperlink>
        </w:p>
        <w:p w14:paraId="05F0C1EF" w14:textId="57121A2C"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27" w:history="1">
            <w:r w:rsidRPr="003772E5">
              <w:rPr>
                <w:rStyle w:val="Hyperlink"/>
                <w:rFonts w:ascii="Arial" w:hAnsi="Arial" w:cs="Arial"/>
                <w:noProof/>
                <w:sz w:val="22"/>
                <w:szCs w:val="22"/>
                <w:lang w:val="en-GB"/>
              </w:rPr>
              <w:t>4.4 Research ethics, data validity and reliability</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_Toc235553027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9</w:t>
            </w:r>
            <w:r w:rsidRPr="003772E5">
              <w:rPr>
                <w:rFonts w:ascii="Arial" w:hAnsi="Arial" w:cs="Arial"/>
                <w:noProof/>
                <w:webHidden/>
                <w:sz w:val="22"/>
                <w:szCs w:val="22"/>
              </w:rPr>
              <w:fldChar w:fldCharType="end"/>
            </w:r>
          </w:hyperlink>
        </w:p>
        <w:p w14:paraId="004C9D42" w14:textId="73C9EE90"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28" w:history="1">
            <w:r w:rsidRPr="003772E5">
              <w:rPr>
                <w:rStyle w:val="Hyperlink"/>
                <w:rFonts w:ascii="Arial" w:hAnsi="Arial" w:cs="Arial"/>
                <w:noProof/>
                <w:sz w:val="22"/>
                <w:szCs w:val="22"/>
                <w:lang w:val="en-GB"/>
              </w:rPr>
              <w:t>5. Business Relevance and Practical Implications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_Toc235553028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10</w:t>
            </w:r>
            <w:r w:rsidRPr="003772E5">
              <w:rPr>
                <w:rFonts w:ascii="Arial" w:hAnsi="Arial" w:cs="Arial"/>
                <w:noProof/>
                <w:webHidden/>
                <w:sz w:val="22"/>
                <w:szCs w:val="22"/>
              </w:rPr>
              <w:fldChar w:fldCharType="end"/>
            </w:r>
          </w:hyperlink>
        </w:p>
        <w:p w14:paraId="16399FA2" w14:textId="28F5BB2F" w:rsidR="003772E5" w:rsidRPr="003772E5" w:rsidRDefault="003772E5">
          <w:pPr>
            <w:pStyle w:val="TOC1"/>
            <w:tabs>
              <w:tab w:val="right" w:leader="dot" w:pos="9350"/>
            </w:tabs>
            <w:rPr>
              <w:rFonts w:ascii="Arial" w:eastAsiaTheme="minorEastAsia" w:hAnsi="Arial" w:cs="Arial"/>
              <w:noProof/>
              <w:kern w:val="2"/>
              <w:sz w:val="22"/>
              <w:szCs w:val="22"/>
              <w:lang w:val="en-GB" w:eastAsia="en-GB"/>
              <w14:ligatures w14:val="standardContextual"/>
            </w:rPr>
          </w:pPr>
          <w:hyperlink w:anchor="_Toc235553029" w:history="1">
            <w:r w:rsidRPr="003772E5">
              <w:rPr>
                <w:rStyle w:val="Hyperlink"/>
                <w:rFonts w:ascii="Arial" w:hAnsi="Arial" w:cs="Arial"/>
                <w:noProof/>
                <w:sz w:val="22"/>
                <w:szCs w:val="22"/>
                <w:lang w:val="en-GB"/>
              </w:rPr>
              <w:t>References</w:t>
            </w:r>
            <w:r w:rsidRPr="003772E5">
              <w:rPr>
                <w:rFonts w:ascii="Arial" w:hAnsi="Arial" w:cs="Arial"/>
                <w:noProof/>
                <w:webHidden/>
                <w:sz w:val="22"/>
                <w:szCs w:val="22"/>
              </w:rPr>
              <w:tab/>
            </w:r>
            <w:r w:rsidRPr="003772E5">
              <w:rPr>
                <w:rFonts w:ascii="Arial" w:hAnsi="Arial" w:cs="Arial"/>
                <w:noProof/>
                <w:webHidden/>
                <w:sz w:val="22"/>
                <w:szCs w:val="22"/>
              </w:rPr>
              <w:fldChar w:fldCharType="begin"/>
            </w:r>
            <w:r w:rsidRPr="003772E5">
              <w:rPr>
                <w:rFonts w:ascii="Arial" w:hAnsi="Arial" w:cs="Arial"/>
                <w:noProof/>
                <w:webHidden/>
                <w:sz w:val="22"/>
                <w:szCs w:val="22"/>
              </w:rPr>
              <w:instrText xml:space="preserve"> PAGEREF _Toc235553029 \h </w:instrText>
            </w:r>
            <w:r w:rsidRPr="003772E5">
              <w:rPr>
                <w:rFonts w:ascii="Arial" w:hAnsi="Arial" w:cs="Arial"/>
                <w:noProof/>
                <w:webHidden/>
                <w:sz w:val="22"/>
                <w:szCs w:val="22"/>
              </w:rPr>
            </w:r>
            <w:r w:rsidRPr="003772E5">
              <w:rPr>
                <w:rFonts w:ascii="Arial" w:hAnsi="Arial" w:cs="Arial"/>
                <w:noProof/>
                <w:webHidden/>
                <w:sz w:val="22"/>
                <w:szCs w:val="22"/>
              </w:rPr>
              <w:fldChar w:fldCharType="separate"/>
            </w:r>
            <w:r w:rsidRPr="003772E5">
              <w:rPr>
                <w:rFonts w:ascii="Arial" w:hAnsi="Arial" w:cs="Arial"/>
                <w:noProof/>
                <w:webHidden/>
                <w:sz w:val="22"/>
                <w:szCs w:val="22"/>
              </w:rPr>
              <w:t>11</w:t>
            </w:r>
            <w:r w:rsidRPr="003772E5">
              <w:rPr>
                <w:rFonts w:ascii="Arial" w:hAnsi="Arial" w:cs="Arial"/>
                <w:noProof/>
                <w:webHidden/>
                <w:sz w:val="22"/>
                <w:szCs w:val="22"/>
              </w:rPr>
              <w:fldChar w:fldCharType="end"/>
            </w:r>
          </w:hyperlink>
        </w:p>
        <w:p w14:paraId="20F63905" w14:textId="77777777" w:rsidR="00845D06" w:rsidRDefault="00000000" w:rsidP="00845D06">
          <w:pPr>
            <w:spacing w:before="100" w:beforeAutospacing="1" w:after="100" w:afterAutospacing="1"/>
            <w:rPr>
              <w:rFonts w:ascii="Arial" w:hAnsi="Arial" w:cs="Arial"/>
              <w:sz w:val="22"/>
              <w:szCs w:val="22"/>
              <w:lang w:val="en-GB"/>
            </w:rPr>
          </w:pPr>
          <w:r w:rsidRPr="003772E5">
            <w:rPr>
              <w:rFonts w:ascii="Arial" w:hAnsi="Arial" w:cs="Arial"/>
              <w:sz w:val="22"/>
              <w:szCs w:val="22"/>
              <w:lang w:val="en-GB"/>
            </w:rPr>
            <w:lastRenderedPageBreak/>
            <w:fldChar w:fldCharType="end"/>
          </w:r>
        </w:p>
      </w:sdtContent>
    </w:sdt>
    <w:bookmarkStart w:id="1" w:name="_Toc235553009" w:displacedByCustomXml="prev"/>
    <w:p w14:paraId="00000026" w14:textId="1913A038" w:rsidR="00BA751F" w:rsidRPr="00845D06" w:rsidRDefault="00000000" w:rsidP="00845D06">
      <w:pPr>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 Identification of a Business Problem</w:t>
      </w:r>
      <w:bookmarkEnd w:id="1"/>
    </w:p>
    <w:p w14:paraId="00000027"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2" w:name="_Toc235553010"/>
      <w:r w:rsidRPr="003772E5">
        <w:rPr>
          <w:rFonts w:ascii="Arial" w:hAnsi="Arial" w:cs="Arial"/>
          <w:sz w:val="22"/>
          <w:szCs w:val="22"/>
          <w:lang w:val="en-GB"/>
        </w:rPr>
        <w:t>1.1 Organisational context</w:t>
      </w:r>
      <w:bookmarkEnd w:id="2"/>
      <w:r w:rsidRPr="003772E5">
        <w:rPr>
          <w:rFonts w:ascii="Arial" w:hAnsi="Arial" w:cs="Arial"/>
          <w:sz w:val="22"/>
          <w:szCs w:val="22"/>
          <w:lang w:val="en-GB"/>
        </w:rPr>
        <w:t xml:space="preserve"> </w:t>
      </w:r>
    </w:p>
    <w:p w14:paraId="3E5223BA" w14:textId="76D6C435" w:rsidR="000247F6" w:rsidRPr="003772E5" w:rsidRDefault="000247F6" w:rsidP="000247F6">
      <w:pPr>
        <w:rPr>
          <w:rFonts w:ascii="Arial" w:hAnsi="Arial" w:cs="Arial"/>
          <w:sz w:val="22"/>
          <w:szCs w:val="22"/>
          <w:lang w:val="en-IN"/>
        </w:rPr>
      </w:pPr>
      <w:r w:rsidRPr="003772E5">
        <w:rPr>
          <w:rFonts w:ascii="Arial" w:hAnsi="Arial" w:cs="Arial"/>
          <w:sz w:val="22"/>
          <w:szCs w:val="22"/>
          <w:lang w:val="en-IN"/>
        </w:rPr>
        <w:t>DHL is the global leading logistics provider and</w:t>
      </w:r>
      <w:r w:rsidR="00841868" w:rsidRPr="003772E5">
        <w:rPr>
          <w:rFonts w:ascii="Arial" w:hAnsi="Arial" w:cs="Arial"/>
          <w:sz w:val="22"/>
          <w:szCs w:val="22"/>
          <w:lang w:val="en-IN"/>
        </w:rPr>
        <w:t xml:space="preserve"> </w:t>
      </w:r>
      <w:r w:rsidRPr="003772E5">
        <w:rPr>
          <w:rFonts w:ascii="Arial" w:hAnsi="Arial" w:cs="Arial"/>
          <w:sz w:val="22"/>
          <w:szCs w:val="22"/>
          <w:lang w:val="en-IN"/>
        </w:rPr>
        <w:t xml:space="preserve">handles around 1.5 billion parcels and currently has more than 500,000 employees across over 220 countries (DHL, 2023). The primary DHL value proposition is based around operational execution, allowing clients to outsource logistics operations and to no longer need to worry about carrying their own stock. They want a greater sense of confidence in the accuracy and reliability of service, so DHL’s ability to hold and track </w:t>
      </w:r>
      <w:r w:rsidR="00841868" w:rsidRPr="003772E5">
        <w:rPr>
          <w:rFonts w:ascii="Arial" w:hAnsi="Arial" w:cs="Arial"/>
          <w:sz w:val="22"/>
          <w:szCs w:val="22"/>
          <w:lang w:val="en-IN"/>
        </w:rPr>
        <w:t>inventory accurately</w:t>
      </w:r>
      <w:r w:rsidRPr="003772E5">
        <w:rPr>
          <w:rFonts w:ascii="Arial" w:hAnsi="Arial" w:cs="Arial"/>
          <w:sz w:val="22"/>
          <w:szCs w:val="22"/>
          <w:lang w:val="en-IN"/>
        </w:rPr>
        <w:t xml:space="preserve"> is crucial in its success and contractual relationships with clients.</w:t>
      </w:r>
      <w:r w:rsidRPr="003772E5">
        <w:rPr>
          <w:rFonts w:ascii="Arial" w:hAnsi="Arial" w:cs="Arial"/>
          <w:sz w:val="22"/>
          <w:szCs w:val="22"/>
          <w:lang w:val="en-IN"/>
        </w:rPr>
        <w:br/>
      </w:r>
    </w:p>
    <w:p w14:paraId="00000029" w14:textId="77777777" w:rsidR="00BA751F" w:rsidRPr="003772E5" w:rsidRDefault="00000000" w:rsidP="006362E6">
      <w:pPr>
        <w:pStyle w:val="Heading2"/>
        <w:spacing w:before="100" w:beforeAutospacing="1" w:after="100" w:afterAutospacing="1"/>
        <w:rPr>
          <w:rFonts w:ascii="Arial" w:hAnsi="Arial" w:cs="Arial"/>
          <w:sz w:val="22"/>
          <w:szCs w:val="22"/>
          <w:lang w:val="en-GB"/>
        </w:rPr>
      </w:pPr>
      <w:bookmarkStart w:id="3" w:name="_Toc235553011"/>
      <w:r w:rsidRPr="003772E5">
        <w:rPr>
          <w:rFonts w:ascii="Arial" w:hAnsi="Arial" w:cs="Arial"/>
          <w:sz w:val="22"/>
          <w:szCs w:val="22"/>
          <w:lang w:val="en-GB"/>
        </w:rPr>
        <w:t>1.2 Business Problem</w:t>
      </w:r>
      <w:bookmarkEnd w:id="3"/>
      <w:r w:rsidRPr="003772E5">
        <w:rPr>
          <w:rFonts w:ascii="Arial" w:hAnsi="Arial" w:cs="Arial"/>
          <w:sz w:val="22"/>
          <w:szCs w:val="22"/>
          <w:lang w:val="en-GB"/>
        </w:rPr>
        <w:t xml:space="preserve"> </w:t>
      </w:r>
    </w:p>
    <w:p w14:paraId="0FF1039E" w14:textId="111B0BBC" w:rsidR="00841868" w:rsidRPr="003772E5" w:rsidRDefault="00841868" w:rsidP="00841868">
      <w:pPr>
        <w:rPr>
          <w:rFonts w:ascii="Arial" w:hAnsi="Arial" w:cs="Arial"/>
          <w:sz w:val="22"/>
          <w:szCs w:val="22"/>
          <w:lang w:val="en-IN"/>
        </w:rPr>
      </w:pPr>
      <w:r w:rsidRPr="003772E5">
        <w:rPr>
          <w:rFonts w:ascii="Arial" w:hAnsi="Arial" w:cs="Arial"/>
          <w:sz w:val="22"/>
          <w:szCs w:val="22"/>
          <w:lang w:val="en-IN"/>
        </w:rPr>
        <w:t xml:space="preserve">The significant and ongoing problem that plagues the operations of DHL Supply Chain UK is a double-edged problem consisting of inventory inaccuracy combined with high costs of carrying this inventory. When the physical count of inventory within a warehouse deviates from the inventory count held within a warehouse management system (WMS), then inventory inaccuracy has occurred. Common reasons include picking accuracy, product damage or poor labelling, and integration issues between the client’s </w:t>
      </w:r>
      <w:r w:rsidR="0048164E" w:rsidRPr="0048164E">
        <w:rPr>
          <w:rFonts w:ascii="Arial" w:hAnsi="Arial" w:cs="Arial"/>
          <w:sz w:val="22"/>
          <w:szCs w:val="22"/>
        </w:rPr>
        <w:t>Enterprise Resource Planning</w:t>
      </w:r>
      <w:r w:rsidR="0048164E" w:rsidRPr="0048164E">
        <w:rPr>
          <w:rFonts w:ascii="Arial" w:hAnsi="Arial" w:cs="Arial"/>
          <w:sz w:val="22"/>
          <w:szCs w:val="22"/>
          <w:lang w:val="en-IN"/>
        </w:rPr>
        <w:t xml:space="preserve"> </w:t>
      </w:r>
      <w:r w:rsidR="0048164E">
        <w:rPr>
          <w:rFonts w:ascii="Arial" w:hAnsi="Arial" w:cs="Arial"/>
          <w:sz w:val="22"/>
          <w:szCs w:val="22"/>
          <w:lang w:val="en-IN"/>
        </w:rPr>
        <w:t>(</w:t>
      </w:r>
      <w:r w:rsidRPr="003772E5">
        <w:rPr>
          <w:rFonts w:ascii="Arial" w:hAnsi="Arial" w:cs="Arial"/>
          <w:sz w:val="22"/>
          <w:szCs w:val="22"/>
          <w:lang w:val="en-IN"/>
        </w:rPr>
        <w:t>ERP</w:t>
      </w:r>
      <w:r w:rsidR="0048164E">
        <w:rPr>
          <w:rFonts w:ascii="Arial" w:hAnsi="Arial" w:cs="Arial"/>
          <w:sz w:val="22"/>
          <w:szCs w:val="22"/>
          <w:lang w:val="en-IN"/>
        </w:rPr>
        <w:t>)</w:t>
      </w:r>
      <w:r w:rsidRPr="003772E5">
        <w:rPr>
          <w:rFonts w:ascii="Arial" w:hAnsi="Arial" w:cs="Arial"/>
          <w:sz w:val="22"/>
          <w:szCs w:val="22"/>
          <w:lang w:val="en-IN"/>
        </w:rPr>
        <w:t xml:space="preserve"> and DHL systems. An excess inventory position may result when too high a level of inventory stock is held by DHL due to poor confidence levels of its data accuracy. This can result in a vicious circle whereby inaccuracies create caution, which creates the overholding of inventory, which exacerbates the inaccuracy of the data due to high stock levels.</w:t>
      </w:r>
    </w:p>
    <w:p w14:paraId="0000002B" w14:textId="77777777" w:rsidR="00BA751F" w:rsidRPr="001A04AA" w:rsidRDefault="00000000" w:rsidP="006362E6">
      <w:pPr>
        <w:pStyle w:val="Heading2"/>
        <w:spacing w:before="100" w:beforeAutospacing="1" w:after="100" w:afterAutospacing="1"/>
        <w:rPr>
          <w:rFonts w:ascii="Arial" w:hAnsi="Arial" w:cs="Arial"/>
          <w:sz w:val="22"/>
          <w:szCs w:val="22"/>
          <w:lang w:val="en-GB"/>
        </w:rPr>
      </w:pPr>
      <w:bookmarkStart w:id="4" w:name="_Toc235553012"/>
      <w:r w:rsidRPr="001A04AA">
        <w:rPr>
          <w:rFonts w:ascii="Arial" w:hAnsi="Arial" w:cs="Arial"/>
          <w:sz w:val="22"/>
          <w:szCs w:val="22"/>
          <w:lang w:val="en-GB"/>
        </w:rPr>
        <w:t>1.3 Significance and Business Impact</w:t>
      </w:r>
      <w:bookmarkEnd w:id="4"/>
      <w:r w:rsidRPr="001A04AA">
        <w:rPr>
          <w:rFonts w:ascii="Arial" w:hAnsi="Arial" w:cs="Arial"/>
          <w:sz w:val="22"/>
          <w:szCs w:val="22"/>
          <w:lang w:val="en-GB"/>
        </w:rPr>
        <w:t xml:space="preserve"> </w:t>
      </w:r>
    </w:p>
    <w:p w14:paraId="0000002C" w14:textId="704DA659" w:rsidR="00BA751F" w:rsidRPr="003772E5" w:rsidRDefault="000247F6" w:rsidP="006362E6">
      <w:pPr>
        <w:shd w:val="clear" w:color="auto" w:fill="FFFFFF"/>
        <w:spacing w:before="100" w:beforeAutospacing="1" w:after="100" w:afterAutospacing="1"/>
        <w:rPr>
          <w:rFonts w:ascii="Arial" w:hAnsi="Arial" w:cs="Arial"/>
          <w:sz w:val="22"/>
          <w:szCs w:val="22"/>
          <w:lang w:val="en-GB"/>
        </w:rPr>
      </w:pPr>
      <w:r w:rsidRPr="00E13BCF">
        <w:rPr>
          <w:rFonts w:ascii="Arial" w:hAnsi="Arial" w:cs="Arial"/>
          <w:b/>
          <w:bCs/>
          <w:sz w:val="22"/>
          <w:szCs w:val="22"/>
          <w:lang w:val="en-IN"/>
        </w:rPr>
        <w:t>Firstly</w:t>
      </w:r>
      <w:r w:rsidRPr="003772E5">
        <w:rPr>
          <w:rFonts w:ascii="Arial" w:hAnsi="Arial" w:cs="Arial"/>
          <w:b/>
          <w:bCs/>
          <w:i/>
          <w:iCs/>
          <w:sz w:val="22"/>
          <w:szCs w:val="22"/>
          <w:lang w:val="en-IN"/>
        </w:rPr>
        <w:t>,</w:t>
      </w:r>
      <w:r w:rsidRPr="003772E5">
        <w:rPr>
          <w:rFonts w:ascii="Arial" w:hAnsi="Arial" w:cs="Arial"/>
          <w:sz w:val="22"/>
          <w:szCs w:val="22"/>
          <w:lang w:val="en-IN"/>
        </w:rPr>
        <w:t xml:space="preserve"> inaccuracy directly undermines DHL’s core offering and value proposition</w:t>
      </w:r>
      <w:r w:rsidRPr="0069662A">
        <w:rPr>
          <w:rFonts w:ascii="Arial" w:hAnsi="Arial" w:cs="Arial"/>
          <w:sz w:val="22"/>
          <w:szCs w:val="22"/>
          <w:lang w:val="en-IN"/>
        </w:rPr>
        <w:t xml:space="preserve">.  </w:t>
      </w:r>
      <w:r w:rsidRPr="0069662A">
        <w:rPr>
          <w:rFonts w:ascii="Arial" w:hAnsi="Arial" w:cs="Arial"/>
          <w:b/>
          <w:bCs/>
          <w:sz w:val="22"/>
          <w:szCs w:val="22"/>
          <w:lang w:val="en-IN"/>
        </w:rPr>
        <w:t>Secondly</w:t>
      </w:r>
      <w:r w:rsidRPr="003772E5">
        <w:rPr>
          <w:rFonts w:ascii="Arial" w:hAnsi="Arial" w:cs="Arial"/>
          <w:b/>
          <w:bCs/>
          <w:i/>
          <w:iCs/>
          <w:sz w:val="22"/>
          <w:szCs w:val="22"/>
          <w:lang w:val="en-IN"/>
        </w:rPr>
        <w:t>,</w:t>
      </w:r>
      <w:r w:rsidRPr="003772E5">
        <w:rPr>
          <w:rFonts w:ascii="Arial" w:hAnsi="Arial" w:cs="Arial"/>
          <w:sz w:val="22"/>
          <w:szCs w:val="22"/>
          <w:lang w:val="en-IN"/>
        </w:rPr>
        <w:t xml:space="preserve"> excess inventories block working capital, physically fill warehouse space and lead to additional holding and obsolescence costs, which represent significant business impacts in a highly competitive market. </w:t>
      </w:r>
      <w:r w:rsidRPr="0069662A">
        <w:rPr>
          <w:rFonts w:ascii="Arial" w:hAnsi="Arial" w:cs="Arial"/>
          <w:b/>
          <w:bCs/>
          <w:sz w:val="22"/>
          <w:szCs w:val="22"/>
          <w:lang w:val="en-GB"/>
        </w:rPr>
        <w:t>Thirdly,</w:t>
      </w:r>
      <w:r w:rsidRPr="003772E5">
        <w:rPr>
          <w:rFonts w:ascii="Arial" w:hAnsi="Arial" w:cs="Arial"/>
          <w:sz w:val="22"/>
          <w:szCs w:val="22"/>
          <w:lang w:val="en-GB"/>
        </w:rPr>
        <w:t xml:space="preserve"> in an industry with slim margins, contracts are frequently subject to renewal based on their reputation damage and losing business to competitors such as XPO Logistics or </w:t>
      </w:r>
      <w:r w:rsidR="005B1B00" w:rsidRPr="003772E5">
        <w:rPr>
          <w:rFonts w:ascii="Arial" w:hAnsi="Arial" w:cs="Arial"/>
          <w:sz w:val="22"/>
          <w:szCs w:val="22"/>
          <w:lang w:val="en-GB"/>
        </w:rPr>
        <w:t>Kuehne Nagel</w:t>
      </w:r>
      <w:r w:rsidRPr="003772E5">
        <w:rPr>
          <w:rFonts w:ascii="Arial" w:hAnsi="Arial" w:cs="Arial"/>
          <w:sz w:val="22"/>
          <w:szCs w:val="22"/>
          <w:lang w:val="en-GB"/>
        </w:rPr>
        <w:t xml:space="preserve">. </w:t>
      </w:r>
    </w:p>
    <w:p w14:paraId="0000002D" w14:textId="078508D3" w:rsidR="00BA751F" w:rsidRPr="003772E5" w:rsidRDefault="00000000" w:rsidP="006362E6">
      <w:pPr>
        <w:pStyle w:val="Heading1"/>
        <w:spacing w:before="100" w:beforeAutospacing="1" w:after="100" w:afterAutospacing="1"/>
        <w:rPr>
          <w:rFonts w:ascii="Arial" w:hAnsi="Arial" w:cs="Arial"/>
          <w:sz w:val="22"/>
          <w:szCs w:val="22"/>
          <w:lang w:val="en-GB"/>
        </w:rPr>
      </w:pPr>
      <w:bookmarkStart w:id="5" w:name="_Toc235553013"/>
      <w:r w:rsidRPr="003772E5">
        <w:rPr>
          <w:rFonts w:ascii="Arial" w:hAnsi="Arial" w:cs="Arial"/>
          <w:sz w:val="22"/>
          <w:szCs w:val="22"/>
          <w:lang w:val="en-GB"/>
        </w:rPr>
        <w:lastRenderedPageBreak/>
        <w:t>2. Research Aim, Objectives and Questi</w:t>
      </w:r>
      <w:r w:rsidR="009201E3" w:rsidRPr="003772E5">
        <w:rPr>
          <w:rFonts w:ascii="Arial" w:hAnsi="Arial" w:cs="Arial"/>
          <w:sz w:val="22"/>
          <w:szCs w:val="22"/>
          <w:lang w:val="en-GB"/>
        </w:rPr>
        <w:t>o</w:t>
      </w:r>
      <w:r w:rsidRPr="003772E5">
        <w:rPr>
          <w:rFonts w:ascii="Arial" w:hAnsi="Arial" w:cs="Arial"/>
          <w:sz w:val="22"/>
          <w:szCs w:val="22"/>
          <w:lang w:val="en-GB"/>
        </w:rPr>
        <w:t>ns</w:t>
      </w:r>
      <w:bookmarkEnd w:id="5"/>
    </w:p>
    <w:p w14:paraId="0000002E"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6" w:name="_Toc235553014"/>
      <w:r w:rsidRPr="003772E5">
        <w:rPr>
          <w:rFonts w:ascii="Arial" w:hAnsi="Arial" w:cs="Arial"/>
          <w:sz w:val="22"/>
          <w:szCs w:val="22"/>
          <w:lang w:val="en-GB"/>
        </w:rPr>
        <w:t>2.1 Research Aim</w:t>
      </w:r>
      <w:bookmarkEnd w:id="6"/>
    </w:p>
    <w:p w14:paraId="0000002F" w14:textId="58148CD6"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The aim of this research is to conduct a</w:t>
      </w:r>
      <w:r w:rsidR="002D1D2B">
        <w:rPr>
          <w:rFonts w:ascii="Arial" w:hAnsi="Arial" w:cs="Arial"/>
          <w:sz w:val="22"/>
          <w:szCs w:val="22"/>
          <w:lang w:val="en-GB"/>
        </w:rPr>
        <w:t xml:space="preserve">n investigation </w:t>
      </w:r>
      <w:r w:rsidRPr="003772E5">
        <w:rPr>
          <w:rFonts w:ascii="Arial" w:hAnsi="Arial" w:cs="Arial"/>
          <w:sz w:val="22"/>
          <w:szCs w:val="22"/>
          <w:lang w:val="en-GB"/>
        </w:rPr>
        <w:t>of the operational practices utilised within DHL Supply Chain UK for optimising inventory accuracy and minimising stock holding costs</w:t>
      </w:r>
      <w:r w:rsidR="00C34A28">
        <w:rPr>
          <w:rFonts w:ascii="Arial" w:hAnsi="Arial" w:cs="Arial"/>
          <w:sz w:val="22"/>
          <w:szCs w:val="22"/>
          <w:lang w:val="en-GB"/>
        </w:rPr>
        <w:t>.</w:t>
      </w:r>
      <w:r w:rsidRPr="003772E5">
        <w:rPr>
          <w:rFonts w:ascii="Arial" w:hAnsi="Arial" w:cs="Arial"/>
          <w:sz w:val="22"/>
          <w:szCs w:val="22"/>
          <w:lang w:val="en-GB"/>
        </w:rPr>
        <w:t xml:space="preserve"> </w:t>
      </w:r>
    </w:p>
    <w:p w14:paraId="00000030"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7" w:name="_Toc235553015"/>
      <w:r w:rsidRPr="003772E5">
        <w:rPr>
          <w:rFonts w:ascii="Arial" w:hAnsi="Arial" w:cs="Arial"/>
          <w:sz w:val="22"/>
          <w:szCs w:val="22"/>
          <w:lang w:val="en-GB"/>
        </w:rPr>
        <w:t>2.2 Research Objectives</w:t>
      </w:r>
      <w:bookmarkEnd w:id="7"/>
      <w:r w:rsidRPr="003772E5">
        <w:rPr>
          <w:rFonts w:ascii="Arial" w:hAnsi="Arial" w:cs="Arial"/>
          <w:sz w:val="22"/>
          <w:szCs w:val="22"/>
          <w:lang w:val="en-GB"/>
        </w:rPr>
        <w:t xml:space="preserve"> </w:t>
      </w:r>
    </w:p>
    <w:p w14:paraId="00000031" w14:textId="77777777" w:rsidR="00BA751F" w:rsidRPr="003772E5" w:rsidRDefault="00000000" w:rsidP="006362E6">
      <w:pPr>
        <w:numPr>
          <w:ilvl w:val="0"/>
          <w:numId w:val="1"/>
        </w:num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To identify and review the current operational practices and systems deployed at DHL UK’s Supply Chain for managing inventory. </w:t>
      </w:r>
    </w:p>
    <w:p w14:paraId="00000032" w14:textId="77777777" w:rsidR="00BA751F" w:rsidRPr="003772E5" w:rsidRDefault="00000000" w:rsidP="006362E6">
      <w:pPr>
        <w:numPr>
          <w:ilvl w:val="0"/>
          <w:numId w:val="1"/>
        </w:num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To analyse the root causes of inventory accuracy issues at DHL UK and its impact on stockholding costs</w:t>
      </w:r>
    </w:p>
    <w:p w14:paraId="00000033" w14:textId="77777777" w:rsidR="00BA751F" w:rsidRPr="003772E5" w:rsidRDefault="00000000" w:rsidP="006362E6">
      <w:pPr>
        <w:numPr>
          <w:ilvl w:val="0"/>
          <w:numId w:val="1"/>
        </w:num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To recommend practical solutions and interventions for optimising inventory accuracy and minimising the holding costs of inventory. </w:t>
      </w:r>
    </w:p>
    <w:p w14:paraId="00000034"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8" w:name="_Toc235553016"/>
      <w:r w:rsidRPr="003772E5">
        <w:rPr>
          <w:rFonts w:ascii="Arial" w:hAnsi="Arial" w:cs="Arial"/>
          <w:sz w:val="22"/>
          <w:szCs w:val="22"/>
          <w:lang w:val="en-GB"/>
        </w:rPr>
        <w:t>2.3 Research Questions</w:t>
      </w:r>
      <w:bookmarkEnd w:id="8"/>
    </w:p>
    <w:p w14:paraId="00000035" w14:textId="77777777" w:rsidR="00BA751F" w:rsidRPr="003772E5" w:rsidRDefault="00000000" w:rsidP="006362E6">
      <w:pPr>
        <w:spacing w:before="100" w:beforeAutospacing="1" w:after="100" w:afterAutospacing="1"/>
        <w:rPr>
          <w:rFonts w:ascii="Arial" w:hAnsi="Arial" w:cs="Arial"/>
          <w:sz w:val="22"/>
          <w:szCs w:val="22"/>
          <w:lang w:val="en-GB"/>
        </w:rPr>
      </w:pPr>
      <w:r w:rsidRPr="0069662A">
        <w:rPr>
          <w:rFonts w:ascii="Arial" w:hAnsi="Arial" w:cs="Arial"/>
          <w:b/>
          <w:bCs/>
          <w:sz w:val="22"/>
          <w:szCs w:val="22"/>
          <w:lang w:val="en-GB"/>
        </w:rPr>
        <w:t>RQ1:</w:t>
      </w:r>
      <w:r w:rsidRPr="003772E5">
        <w:rPr>
          <w:rFonts w:ascii="Arial" w:hAnsi="Arial" w:cs="Arial"/>
          <w:b/>
          <w:bCs/>
          <w:i/>
          <w:iCs/>
          <w:sz w:val="22"/>
          <w:szCs w:val="22"/>
          <w:lang w:val="en-GB"/>
        </w:rPr>
        <w:t xml:space="preserve"> </w:t>
      </w:r>
      <w:r w:rsidRPr="003772E5">
        <w:rPr>
          <w:rFonts w:ascii="Arial" w:hAnsi="Arial" w:cs="Arial"/>
          <w:sz w:val="22"/>
          <w:szCs w:val="22"/>
          <w:lang w:val="en-GB"/>
        </w:rPr>
        <w:t xml:space="preserve">What operational practices does DHL Supply Chain UK currently adopt for managing </w:t>
      </w:r>
      <w:r w:rsidRPr="00ED06FD">
        <w:rPr>
          <w:rFonts w:ascii="Arial" w:hAnsi="Arial" w:cs="Arial"/>
          <w:sz w:val="22"/>
          <w:szCs w:val="22"/>
          <w:lang w:val="en-GB"/>
        </w:rPr>
        <w:t>inventory accuracy?</w:t>
      </w:r>
    </w:p>
    <w:p w14:paraId="00000036" w14:textId="77777777" w:rsidR="00BA751F" w:rsidRPr="003772E5" w:rsidRDefault="00000000" w:rsidP="006362E6">
      <w:pPr>
        <w:spacing w:before="100" w:beforeAutospacing="1" w:after="100" w:afterAutospacing="1"/>
        <w:rPr>
          <w:rFonts w:ascii="Arial" w:hAnsi="Arial" w:cs="Arial"/>
          <w:sz w:val="22"/>
          <w:szCs w:val="22"/>
          <w:lang w:val="en-GB"/>
        </w:rPr>
      </w:pPr>
      <w:r w:rsidRPr="0069662A">
        <w:rPr>
          <w:rFonts w:ascii="Arial" w:hAnsi="Arial" w:cs="Arial"/>
          <w:b/>
          <w:bCs/>
          <w:sz w:val="22"/>
          <w:szCs w:val="22"/>
          <w:lang w:val="en-GB"/>
        </w:rPr>
        <w:t>RQ2</w:t>
      </w:r>
      <w:r w:rsidRPr="003772E5">
        <w:rPr>
          <w:rFonts w:ascii="Arial" w:hAnsi="Arial" w:cs="Arial"/>
          <w:b/>
          <w:bCs/>
          <w:i/>
          <w:iCs/>
          <w:sz w:val="22"/>
          <w:szCs w:val="22"/>
          <w:lang w:val="en-GB"/>
        </w:rPr>
        <w:t>:</w:t>
      </w:r>
      <w:r w:rsidRPr="003772E5">
        <w:rPr>
          <w:rFonts w:ascii="Arial" w:hAnsi="Arial" w:cs="Arial"/>
          <w:sz w:val="22"/>
          <w:szCs w:val="22"/>
          <w:lang w:val="en-GB"/>
        </w:rPr>
        <w:t xml:space="preserve"> What are the root causes of inventory accuracy issues at DHL UK and their impact on stockholding costs?</w:t>
      </w:r>
    </w:p>
    <w:p w14:paraId="00000037" w14:textId="77777777" w:rsidR="00BA751F" w:rsidRPr="003772E5" w:rsidRDefault="00000000" w:rsidP="006362E6">
      <w:pPr>
        <w:spacing w:before="100" w:beforeAutospacing="1" w:after="100" w:afterAutospacing="1"/>
        <w:rPr>
          <w:rFonts w:ascii="Arial" w:hAnsi="Arial" w:cs="Arial"/>
          <w:sz w:val="22"/>
          <w:szCs w:val="22"/>
          <w:lang w:val="en-GB"/>
        </w:rPr>
      </w:pPr>
      <w:r w:rsidRPr="0069662A">
        <w:rPr>
          <w:rFonts w:ascii="Arial" w:hAnsi="Arial" w:cs="Arial"/>
          <w:b/>
          <w:bCs/>
          <w:sz w:val="22"/>
          <w:szCs w:val="22"/>
          <w:lang w:val="en-GB"/>
        </w:rPr>
        <w:t>RQ3:</w:t>
      </w:r>
      <w:r w:rsidRPr="003772E5">
        <w:rPr>
          <w:rFonts w:ascii="Arial" w:hAnsi="Arial" w:cs="Arial"/>
          <w:sz w:val="22"/>
          <w:szCs w:val="22"/>
          <w:lang w:val="en-GB"/>
        </w:rPr>
        <w:t xml:space="preserve"> What actions or strategies could be implemented within DHL Supply Chain UK to increase the accuracy of their inventories and subsequently minimise stock holding costs?</w:t>
      </w:r>
    </w:p>
    <w:p w14:paraId="00000038"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9" w:name="_Toc235553017"/>
      <w:r w:rsidRPr="003772E5">
        <w:rPr>
          <w:rFonts w:ascii="Arial" w:hAnsi="Arial" w:cs="Arial"/>
          <w:sz w:val="22"/>
          <w:szCs w:val="22"/>
          <w:lang w:val="en-GB"/>
        </w:rPr>
        <w:t>3. Critical Literature Review</w:t>
      </w:r>
      <w:bookmarkEnd w:id="9"/>
    </w:p>
    <w:p w14:paraId="00000039" w14:textId="77777777" w:rsidR="00BA751F" w:rsidRPr="003772E5" w:rsidRDefault="00000000" w:rsidP="006362E6">
      <w:pPr>
        <w:pStyle w:val="Heading2"/>
        <w:spacing w:before="100" w:beforeAutospacing="1" w:after="100" w:afterAutospacing="1"/>
        <w:rPr>
          <w:rFonts w:ascii="Arial" w:hAnsi="Arial" w:cs="Arial"/>
          <w:sz w:val="22"/>
          <w:szCs w:val="22"/>
          <w:lang w:val="en-GB"/>
        </w:rPr>
      </w:pPr>
      <w:bookmarkStart w:id="10" w:name="_Toc235553018"/>
      <w:r w:rsidRPr="003772E5">
        <w:rPr>
          <w:rFonts w:ascii="Arial" w:hAnsi="Arial" w:cs="Arial"/>
          <w:sz w:val="22"/>
          <w:szCs w:val="22"/>
          <w:lang w:val="en-GB"/>
        </w:rPr>
        <w:t>3.1 Accuracy of Inventory and Supply Chain Performance</w:t>
      </w:r>
      <w:bookmarkEnd w:id="10"/>
    </w:p>
    <w:p w14:paraId="0000003A" w14:textId="3D2D209E" w:rsidR="00BA751F" w:rsidRPr="003772E5" w:rsidRDefault="00000000" w:rsidP="006362E6">
      <w:pPr>
        <w:spacing w:before="100" w:beforeAutospacing="1" w:after="100" w:afterAutospacing="1"/>
        <w:rPr>
          <w:rFonts w:ascii="Arial" w:hAnsi="Arial" w:cs="Arial"/>
          <w:sz w:val="22"/>
          <w:szCs w:val="22"/>
          <w:lang w:val="en-GB"/>
        </w:rPr>
      </w:pPr>
      <w:r w:rsidRPr="003772E5">
        <w:rPr>
          <w:rFonts w:ascii="Arial" w:hAnsi="Arial" w:cs="Arial"/>
          <w:sz w:val="22"/>
          <w:szCs w:val="22"/>
          <w:lang w:val="en-GB"/>
        </w:rPr>
        <w:t>According to Puiu</w:t>
      </w:r>
      <w:r w:rsidRPr="003772E5">
        <w:rPr>
          <w:rFonts w:ascii="Arial" w:hAnsi="Arial" w:cs="Arial"/>
          <w:i/>
          <w:iCs/>
          <w:sz w:val="22"/>
          <w:szCs w:val="22"/>
          <w:lang w:val="en-GB"/>
        </w:rPr>
        <w:t xml:space="preserve"> et al.</w:t>
      </w:r>
      <w:r w:rsidRPr="003772E5">
        <w:rPr>
          <w:rFonts w:ascii="Arial" w:hAnsi="Arial" w:cs="Arial"/>
          <w:sz w:val="22"/>
          <w:szCs w:val="22"/>
          <w:lang w:val="en-GB"/>
        </w:rPr>
        <w:t xml:space="preserve"> (2025), inventory accuracy is defined as an inventory </w:t>
      </w:r>
      <w:r w:rsidR="00E153A8">
        <w:rPr>
          <w:rFonts w:ascii="Arial" w:hAnsi="Arial" w:cs="Arial"/>
          <w:sz w:val="22"/>
          <w:szCs w:val="22"/>
          <w:lang w:val="en-GB"/>
        </w:rPr>
        <w:t>Key Performance Indicator (</w:t>
      </w:r>
      <w:r w:rsidRPr="003772E5">
        <w:rPr>
          <w:rFonts w:ascii="Arial" w:hAnsi="Arial" w:cs="Arial"/>
          <w:sz w:val="22"/>
          <w:szCs w:val="22"/>
          <w:lang w:val="en-GB"/>
        </w:rPr>
        <w:t>KPI</w:t>
      </w:r>
      <w:r w:rsidR="00E153A8">
        <w:rPr>
          <w:rFonts w:ascii="Arial" w:hAnsi="Arial" w:cs="Arial"/>
          <w:sz w:val="22"/>
          <w:szCs w:val="22"/>
          <w:lang w:val="en-GB"/>
        </w:rPr>
        <w:t xml:space="preserve">) </w:t>
      </w:r>
      <w:r w:rsidRPr="003772E5">
        <w:rPr>
          <w:rFonts w:ascii="Arial" w:hAnsi="Arial" w:cs="Arial"/>
          <w:sz w:val="22"/>
          <w:szCs w:val="22"/>
          <w:lang w:val="en-GB"/>
        </w:rPr>
        <w:t xml:space="preserve">to determine how closely recorded amounts of inventory reflect physically counted inventory amounts. Accurate inventory results lead to high-level excellence in inventory management that helps a firm to gain confidence for operational and financial decision-making. It has been argued by Chen </w:t>
      </w:r>
      <w:r w:rsidRPr="003772E5">
        <w:rPr>
          <w:rFonts w:ascii="Arial" w:hAnsi="Arial" w:cs="Arial"/>
          <w:i/>
          <w:iCs/>
          <w:sz w:val="22"/>
          <w:szCs w:val="22"/>
          <w:lang w:val="en-GB"/>
        </w:rPr>
        <w:t xml:space="preserve">et al. </w:t>
      </w:r>
      <w:r w:rsidRPr="003772E5">
        <w:rPr>
          <w:rFonts w:ascii="Arial" w:hAnsi="Arial" w:cs="Arial"/>
          <w:sz w:val="22"/>
          <w:szCs w:val="22"/>
          <w:lang w:val="en-GB"/>
        </w:rPr>
        <w:t xml:space="preserve">(2025) that small inaccuracies can accumulate and amplify across multiple-tier supply networks in an effect similar to the “bullwhip” phenomenon. Small errors at </w:t>
      </w:r>
      <w:r w:rsidRPr="003772E5">
        <w:rPr>
          <w:rFonts w:ascii="Arial" w:hAnsi="Arial" w:cs="Arial"/>
          <w:sz w:val="22"/>
          <w:szCs w:val="22"/>
          <w:lang w:val="en-GB"/>
        </w:rPr>
        <w:lastRenderedPageBreak/>
        <w:t xml:space="preserve">the </w:t>
      </w:r>
      <w:r w:rsidR="00AC27D9">
        <w:rPr>
          <w:rFonts w:ascii="Arial" w:hAnsi="Arial" w:cs="Arial"/>
          <w:sz w:val="22"/>
          <w:szCs w:val="22"/>
          <w:lang w:val="en-GB"/>
        </w:rPr>
        <w:t>Point of Sale (</w:t>
      </w:r>
      <w:r w:rsidRPr="003772E5">
        <w:rPr>
          <w:rFonts w:ascii="Arial" w:hAnsi="Arial" w:cs="Arial"/>
          <w:sz w:val="22"/>
          <w:szCs w:val="22"/>
          <w:lang w:val="en-GB"/>
        </w:rPr>
        <w:t>POS</w:t>
      </w:r>
      <w:r w:rsidR="00AC27D9">
        <w:rPr>
          <w:rFonts w:ascii="Arial" w:hAnsi="Arial" w:cs="Arial"/>
          <w:sz w:val="22"/>
          <w:szCs w:val="22"/>
          <w:lang w:val="en-GB"/>
        </w:rPr>
        <w:t>)</w:t>
      </w:r>
      <w:r w:rsidRPr="003772E5">
        <w:rPr>
          <w:rFonts w:ascii="Arial" w:hAnsi="Arial" w:cs="Arial"/>
          <w:sz w:val="22"/>
          <w:szCs w:val="22"/>
          <w:lang w:val="en-GB"/>
        </w:rPr>
        <w:t xml:space="preserve"> can be significantly magnified by each player in the supply chain further up the hierarchy to such an extent that major oversupply or undersupply can result. Chehrazi (2025) blame inaccurate inventory data on theft, human error, transaction errors and system lag, when physical stock has moved but has yet to be physically recorded. Most businesses find that their so-called in-stock items are unavailable, and the physical stock they have is unavailable within the system. As Masyhuri (2022), one of the greatest drivers of business success today is providing the customers with excellent satisfaction. Perhaps less surprisingly, inventory accuracy also plays a significant role in maintaining excellent levels of satisfaction for the customers. The response of such instances results in a level of customer frustration and the delays to follow encourage the customers to take their business elsewhere.</w:t>
      </w:r>
    </w:p>
    <w:p w14:paraId="0000003B" w14:textId="77777777" w:rsidR="00BA751F" w:rsidRPr="003772E5" w:rsidRDefault="00000000" w:rsidP="006362E6">
      <w:pPr>
        <w:pStyle w:val="Heading2"/>
        <w:spacing w:before="100" w:beforeAutospacing="1" w:after="100" w:afterAutospacing="1"/>
        <w:rPr>
          <w:rFonts w:ascii="Arial" w:hAnsi="Arial" w:cs="Arial"/>
          <w:sz w:val="22"/>
          <w:szCs w:val="22"/>
          <w:lang w:val="en-GB"/>
        </w:rPr>
      </w:pPr>
      <w:bookmarkStart w:id="11" w:name="_Toc235553019"/>
      <w:r w:rsidRPr="003772E5">
        <w:rPr>
          <w:rFonts w:ascii="Arial" w:hAnsi="Arial" w:cs="Arial"/>
          <w:sz w:val="22"/>
          <w:szCs w:val="22"/>
          <w:lang w:val="en-GB"/>
        </w:rPr>
        <w:t>3.2 Stockholding Costs and Inventory Optimisation Techniques</w:t>
      </w:r>
      <w:bookmarkEnd w:id="11"/>
    </w:p>
    <w:p w14:paraId="0000003C" w14:textId="6A77EAD5"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In the words of Dinçer and Turgay (2023), inventory optimisation is about managing a stock’s size against consumer </w:t>
      </w:r>
      <w:r w:rsidR="003772E5" w:rsidRPr="003772E5">
        <w:rPr>
          <w:rFonts w:ascii="Arial" w:hAnsi="Arial" w:cs="Arial"/>
          <w:sz w:val="22"/>
          <w:szCs w:val="22"/>
          <w:lang w:val="en-GB"/>
        </w:rPr>
        <w:t>demand and</w:t>
      </w:r>
      <w:r w:rsidRPr="003772E5">
        <w:rPr>
          <w:rFonts w:ascii="Arial" w:hAnsi="Arial" w:cs="Arial"/>
          <w:sz w:val="22"/>
          <w:szCs w:val="22"/>
          <w:lang w:val="en-GB"/>
        </w:rPr>
        <w:t xml:space="preserve"> also striking a balance so as to achieve peak revenue. Businesses rely on a wide array of historical data and also analysis from market trends to inform the type of product to position and keep. As per Singh (2022), stock holding costs are those costs that occur when inventory is on hand and are commonly broken down into categories such as capital cost and storage cost. Various approaches have been developed to try to balance stock holding costs with those of ordering inventory. A popular approach adopted to reduce stock holding costs is Just-in-Time and other lean inventory philosophies aimed at minimising levels of inventory. However, a limitation with a large portion of the existing research is that it appears to provide fairly general prescriptions which are not specifically geared towards large multinational organisations with diverse product lines, multiple currency streams and multi-jurisdictional stock regulations to consider.</w:t>
      </w:r>
    </w:p>
    <w:p w14:paraId="0000003D" w14:textId="77777777" w:rsidR="00BA751F" w:rsidRPr="003772E5" w:rsidRDefault="00000000" w:rsidP="006362E6">
      <w:pPr>
        <w:pStyle w:val="Heading2"/>
        <w:spacing w:before="100" w:beforeAutospacing="1" w:after="100" w:afterAutospacing="1"/>
        <w:rPr>
          <w:rFonts w:ascii="Arial" w:hAnsi="Arial" w:cs="Arial"/>
          <w:sz w:val="22"/>
          <w:szCs w:val="22"/>
          <w:lang w:val="en-GB"/>
        </w:rPr>
      </w:pPr>
      <w:bookmarkStart w:id="12" w:name="_Toc235553020"/>
      <w:r w:rsidRPr="003772E5">
        <w:rPr>
          <w:rFonts w:ascii="Arial" w:hAnsi="Arial" w:cs="Arial"/>
          <w:sz w:val="22"/>
          <w:szCs w:val="22"/>
          <w:lang w:val="en-GB"/>
        </w:rPr>
        <w:t>3.3 Technologies, Digitalisation and Inventory Management Systems</w:t>
      </w:r>
      <w:bookmarkEnd w:id="12"/>
    </w:p>
    <w:p w14:paraId="0000003E" w14:textId="16F48BB9" w:rsidR="00BA751F" w:rsidRPr="0048164E" w:rsidRDefault="00000000" w:rsidP="006362E6">
      <w:pPr>
        <w:spacing w:before="100" w:beforeAutospacing="1" w:after="100" w:afterAutospacing="1"/>
        <w:rPr>
          <w:rFonts w:ascii="Arial" w:hAnsi="Arial" w:cs="Arial"/>
          <w:b/>
          <w:bCs/>
          <w:sz w:val="22"/>
          <w:szCs w:val="22"/>
          <w:lang w:val="en-GB"/>
        </w:rPr>
      </w:pPr>
      <w:r w:rsidRPr="003772E5">
        <w:rPr>
          <w:rFonts w:ascii="Arial" w:hAnsi="Arial" w:cs="Arial"/>
          <w:sz w:val="22"/>
          <w:szCs w:val="22"/>
          <w:lang w:val="en-GB"/>
        </w:rPr>
        <w:t xml:space="preserve">Muthukalyani (2024) has stated that technology, today the most critical enabling technology of supply chain visibility and agility, drives the necessary data and insights across the supply chain. </w:t>
      </w:r>
      <w:r w:rsidR="0048164E" w:rsidRPr="0048164E">
        <w:rPr>
          <w:rFonts w:ascii="Arial" w:hAnsi="Arial" w:cs="Arial"/>
          <w:sz w:val="22"/>
          <w:szCs w:val="22"/>
          <w:lang w:val="en-GB"/>
        </w:rPr>
        <w:t>Radio-Frequency Identification</w:t>
      </w:r>
      <w:r w:rsidR="0048164E">
        <w:rPr>
          <w:rFonts w:ascii="Arial" w:hAnsi="Arial" w:cs="Arial"/>
          <w:b/>
          <w:bCs/>
          <w:sz w:val="22"/>
          <w:szCs w:val="22"/>
          <w:lang w:val="en-GB"/>
        </w:rPr>
        <w:t xml:space="preserve"> (RFID</w:t>
      </w:r>
      <w:r w:rsidR="0048164E">
        <w:rPr>
          <w:rFonts w:ascii="Arial" w:hAnsi="Arial" w:cs="Arial"/>
          <w:sz w:val="22"/>
          <w:szCs w:val="22"/>
          <w:lang w:val="en-GB"/>
        </w:rPr>
        <w:t xml:space="preserve">) </w:t>
      </w:r>
      <w:r w:rsidRPr="003772E5">
        <w:rPr>
          <w:rFonts w:ascii="Arial" w:hAnsi="Arial" w:cs="Arial"/>
          <w:sz w:val="22"/>
          <w:szCs w:val="22"/>
          <w:lang w:val="en-GB"/>
        </w:rPr>
        <w:t xml:space="preserve">has been particularly widely investigated as a means of improving visibility over stock. Although Vaka (2024) tend to point out that its initial costs of implementation and integration challenges can sometimes detract from its overall benefits, particularly if integrated with legacy systems. There has been considerable academic interest in the potential for machine learning to facilitate more accurate demand forecasts, thereby reducing </w:t>
      </w:r>
      <w:r w:rsidRPr="003772E5">
        <w:rPr>
          <w:rFonts w:ascii="Arial" w:hAnsi="Arial" w:cs="Arial"/>
          <w:sz w:val="22"/>
          <w:szCs w:val="22"/>
          <w:lang w:val="en-GB"/>
        </w:rPr>
        <w:lastRenderedPageBreak/>
        <w:t>both under-stocking and over-stocking simultaneously. However, relying on the old, manual way of doing inventory can no longer keep pace with the world today. As per Ghazi and Salih (2023), with the application of various specialized software and systems, businesses have the capabilities to automate many tasks and procedures involved in inventory management-including recording and tracking orders, creating reports, and calculating stock levels. Digitising inventory management is also important as it enables storage and access of inventory data electronically as it allows for ease of sharing and collaboration between different departments and stakeholders, as well as accelerated and efficient data analysis and reporting.</w:t>
      </w:r>
    </w:p>
    <w:p w14:paraId="0000003F" w14:textId="77777777" w:rsidR="00BA751F" w:rsidRPr="003772E5" w:rsidRDefault="00000000" w:rsidP="006362E6">
      <w:pPr>
        <w:pStyle w:val="Heading2"/>
        <w:spacing w:before="100" w:beforeAutospacing="1" w:after="100" w:afterAutospacing="1"/>
        <w:rPr>
          <w:rFonts w:ascii="Arial" w:hAnsi="Arial" w:cs="Arial"/>
          <w:sz w:val="22"/>
          <w:szCs w:val="22"/>
          <w:lang w:val="en-GB"/>
        </w:rPr>
      </w:pPr>
      <w:bookmarkStart w:id="13" w:name="_Toc235553021"/>
      <w:r w:rsidRPr="003772E5">
        <w:rPr>
          <w:rFonts w:ascii="Arial" w:hAnsi="Arial" w:cs="Arial"/>
          <w:sz w:val="22"/>
          <w:szCs w:val="22"/>
          <w:lang w:val="en-GB"/>
        </w:rPr>
        <w:t>3.4 Research Gaps</w:t>
      </w:r>
      <w:bookmarkEnd w:id="13"/>
      <w:r w:rsidRPr="003772E5">
        <w:rPr>
          <w:rFonts w:ascii="Arial" w:hAnsi="Arial" w:cs="Arial"/>
          <w:sz w:val="22"/>
          <w:szCs w:val="22"/>
          <w:lang w:val="en-GB"/>
        </w:rPr>
        <w:t xml:space="preserve"> </w:t>
      </w:r>
    </w:p>
    <w:p w14:paraId="00000040" w14:textId="77777777"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There are few studies which directly investigate inventory accuracy and the reduction of stock holding costs as interlinked phenomena, with most studies focusing on them individually, albeit that some research has explicitly assumed these links. There is relatively little empirically based research specifically within the context of large MNCs. Much of the research that does exist has been either conceptual or theoretical or is situated in the context of SMEs. While technology implementation in inventory management is extensively documented, there is little longitudinal evidence on how the effects of adopting new inventory technologies unfold over time, after initial installation impacts have dissipated. </w:t>
      </w:r>
    </w:p>
    <w:p w14:paraId="00000041" w14:textId="77777777" w:rsidR="00BA751F" w:rsidRPr="003772E5" w:rsidRDefault="00000000" w:rsidP="006362E6">
      <w:pPr>
        <w:pStyle w:val="Heading2"/>
        <w:spacing w:before="100" w:beforeAutospacing="1" w:after="100" w:afterAutospacing="1"/>
        <w:rPr>
          <w:rFonts w:ascii="Arial" w:hAnsi="Arial" w:cs="Arial"/>
          <w:sz w:val="22"/>
          <w:szCs w:val="22"/>
          <w:lang w:val="en-GB"/>
        </w:rPr>
      </w:pPr>
      <w:bookmarkStart w:id="14" w:name="_Toc235553022"/>
      <w:r w:rsidRPr="003772E5">
        <w:rPr>
          <w:rFonts w:ascii="Arial" w:hAnsi="Arial" w:cs="Arial"/>
          <w:sz w:val="22"/>
          <w:szCs w:val="22"/>
          <w:lang w:val="en-GB"/>
        </w:rPr>
        <w:t>3.5 Theoretical Framework</w:t>
      </w:r>
      <w:bookmarkEnd w:id="14"/>
      <w:r w:rsidRPr="003772E5">
        <w:rPr>
          <w:rFonts w:ascii="Arial" w:hAnsi="Arial" w:cs="Arial"/>
          <w:sz w:val="22"/>
          <w:szCs w:val="22"/>
          <w:lang w:val="en-GB"/>
        </w:rPr>
        <w:t xml:space="preserve"> </w:t>
      </w:r>
    </w:p>
    <w:p w14:paraId="00000042" w14:textId="77777777"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According to Lubis (2022), the </w:t>
      </w:r>
      <w:r w:rsidRPr="0069662A">
        <w:rPr>
          <w:rFonts w:ascii="Arial" w:hAnsi="Arial" w:cs="Arial"/>
          <w:b/>
          <w:bCs/>
          <w:sz w:val="22"/>
          <w:szCs w:val="22"/>
          <w:lang w:val="en-GB"/>
        </w:rPr>
        <w:t>Resource-Based View</w:t>
      </w:r>
      <w:r w:rsidRPr="003772E5">
        <w:rPr>
          <w:rFonts w:ascii="Arial" w:hAnsi="Arial" w:cs="Arial"/>
          <w:b/>
          <w:bCs/>
          <w:i/>
          <w:iCs/>
          <w:sz w:val="22"/>
          <w:szCs w:val="22"/>
          <w:lang w:val="en-GB"/>
        </w:rPr>
        <w:t xml:space="preserve"> </w:t>
      </w:r>
      <w:r w:rsidRPr="00E13BCF">
        <w:rPr>
          <w:rFonts w:ascii="Arial" w:hAnsi="Arial" w:cs="Arial"/>
          <w:b/>
          <w:bCs/>
          <w:sz w:val="22"/>
          <w:szCs w:val="22"/>
          <w:lang w:val="en-GB"/>
        </w:rPr>
        <w:t>(RBV)</w:t>
      </w:r>
      <w:r w:rsidRPr="003772E5">
        <w:rPr>
          <w:rFonts w:ascii="Arial" w:hAnsi="Arial" w:cs="Arial"/>
          <w:sz w:val="22"/>
          <w:szCs w:val="22"/>
          <w:lang w:val="en-GB"/>
        </w:rPr>
        <w:t xml:space="preserve"> of the firm highlights how unique capabilities and resources of a firm are. In this case, effective inventory management processes and information systems may be used to gain sustainable competitive advantage through their value, rarity and inimitability. Rauf and Dhanekula (2026) studied that </w:t>
      </w:r>
      <w:r w:rsidRPr="0069662A">
        <w:rPr>
          <w:rFonts w:ascii="Arial" w:hAnsi="Arial" w:cs="Arial"/>
          <w:b/>
          <w:bCs/>
          <w:sz w:val="22"/>
          <w:szCs w:val="22"/>
          <w:lang w:val="en-GB"/>
        </w:rPr>
        <w:t>Transaction Cost</w:t>
      </w:r>
      <w:r w:rsidRPr="003772E5">
        <w:rPr>
          <w:rFonts w:ascii="Arial" w:hAnsi="Arial" w:cs="Arial"/>
          <w:b/>
          <w:bCs/>
          <w:i/>
          <w:iCs/>
          <w:sz w:val="22"/>
          <w:szCs w:val="22"/>
          <w:lang w:val="en-GB"/>
        </w:rPr>
        <w:t xml:space="preserve"> </w:t>
      </w:r>
      <w:r w:rsidRPr="0069662A">
        <w:rPr>
          <w:rFonts w:ascii="Arial" w:hAnsi="Arial" w:cs="Arial"/>
          <w:b/>
          <w:bCs/>
          <w:sz w:val="22"/>
          <w:szCs w:val="22"/>
          <w:lang w:val="en-GB"/>
        </w:rPr>
        <w:t>Economics (TCE</w:t>
      </w:r>
      <w:r w:rsidRPr="003772E5">
        <w:rPr>
          <w:rFonts w:ascii="Arial" w:hAnsi="Arial" w:cs="Arial"/>
          <w:b/>
          <w:bCs/>
          <w:i/>
          <w:iCs/>
          <w:sz w:val="22"/>
          <w:szCs w:val="22"/>
          <w:lang w:val="en-GB"/>
        </w:rPr>
        <w:t xml:space="preserve">) </w:t>
      </w:r>
      <w:r w:rsidRPr="003772E5">
        <w:rPr>
          <w:rFonts w:ascii="Arial" w:hAnsi="Arial" w:cs="Arial"/>
          <w:sz w:val="22"/>
          <w:szCs w:val="22"/>
          <w:lang w:val="en-GB"/>
        </w:rPr>
        <w:t xml:space="preserve">can be used to explain the optimal mode of governing inventory transactions and the trade-off between the costs of coordinating a network of inventory control points and the cost of holding buffer stock. The principles of </w:t>
      </w:r>
      <w:r w:rsidRPr="0069662A">
        <w:rPr>
          <w:rFonts w:ascii="Arial" w:hAnsi="Arial" w:cs="Arial"/>
          <w:b/>
          <w:bCs/>
          <w:sz w:val="22"/>
          <w:szCs w:val="22"/>
          <w:lang w:val="en-GB"/>
        </w:rPr>
        <w:t>Lean Management</w:t>
      </w:r>
      <w:r w:rsidRPr="003772E5">
        <w:rPr>
          <w:rFonts w:ascii="Arial" w:hAnsi="Arial" w:cs="Arial"/>
          <w:sz w:val="22"/>
          <w:szCs w:val="22"/>
          <w:lang w:val="en-GB"/>
        </w:rPr>
        <w:t xml:space="preserve">, particularly about eliminating waste, are applied to examine process efficiencies and costs associated with stock holding. </w:t>
      </w:r>
      <w:r w:rsidRPr="0069662A">
        <w:rPr>
          <w:rFonts w:ascii="Arial" w:hAnsi="Arial" w:cs="Arial"/>
          <w:b/>
          <w:bCs/>
          <w:sz w:val="22"/>
          <w:szCs w:val="22"/>
          <w:lang w:val="en-GB"/>
        </w:rPr>
        <w:t>Contingency Theory</w:t>
      </w:r>
      <w:r w:rsidRPr="003772E5">
        <w:rPr>
          <w:rFonts w:ascii="Arial" w:hAnsi="Arial" w:cs="Arial"/>
          <w:sz w:val="22"/>
          <w:szCs w:val="22"/>
          <w:lang w:val="en-GB"/>
        </w:rPr>
        <w:t xml:space="preserve"> is applied to acknowledge that the appropriate inventory management strategy will depend upon a variety of contingent factors, such as organisational size and structure and the nature of the business environment.</w:t>
      </w:r>
    </w:p>
    <w:p w14:paraId="00000043"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15" w:name="_Toc235553023"/>
      <w:r w:rsidRPr="003772E5">
        <w:rPr>
          <w:rFonts w:ascii="Arial" w:hAnsi="Arial" w:cs="Arial"/>
          <w:sz w:val="22"/>
          <w:szCs w:val="22"/>
          <w:lang w:val="en-GB"/>
        </w:rPr>
        <w:lastRenderedPageBreak/>
        <w:t>4. Research Methodology and Design</w:t>
      </w:r>
      <w:bookmarkEnd w:id="15"/>
    </w:p>
    <w:p w14:paraId="00000044"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16" w:name="_Toc235553024"/>
      <w:r w:rsidRPr="003772E5">
        <w:rPr>
          <w:rFonts w:ascii="Arial" w:hAnsi="Arial" w:cs="Arial"/>
          <w:sz w:val="22"/>
          <w:szCs w:val="22"/>
          <w:lang w:val="en-GB"/>
        </w:rPr>
        <w:t>4.1 Research approach</w:t>
      </w:r>
      <w:bookmarkEnd w:id="16"/>
      <w:r w:rsidRPr="003772E5">
        <w:rPr>
          <w:rFonts w:ascii="Arial" w:hAnsi="Arial" w:cs="Arial"/>
          <w:sz w:val="22"/>
          <w:szCs w:val="22"/>
          <w:lang w:val="en-GB"/>
        </w:rPr>
        <w:t xml:space="preserve"> </w:t>
      </w:r>
    </w:p>
    <w:p w14:paraId="00000045" w14:textId="77777777"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This research will use a qualitative research approach to explore how UK multinational corporations like DHL optimise inventory accuracy and minimise stock holding costs. It will not generate primary data but rather consolidate current knowledge derived from published literature, industry reports, case studies, and academic research. This research methodology is suitable as the topic is exploratory, time and resources are constrained, and ample secondary literature on inventory management in large organisations is available. </w:t>
      </w:r>
    </w:p>
    <w:p w14:paraId="00000046"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17" w:name="_Toc235553025"/>
      <w:r w:rsidRPr="003772E5">
        <w:rPr>
          <w:rFonts w:ascii="Arial" w:hAnsi="Arial" w:cs="Arial"/>
          <w:sz w:val="22"/>
          <w:szCs w:val="22"/>
          <w:lang w:val="en-GB"/>
        </w:rPr>
        <w:t>4.2 Data collection and analysis</w:t>
      </w:r>
      <w:bookmarkEnd w:id="17"/>
      <w:r w:rsidRPr="003772E5">
        <w:rPr>
          <w:rFonts w:ascii="Arial" w:hAnsi="Arial" w:cs="Arial"/>
          <w:sz w:val="22"/>
          <w:szCs w:val="22"/>
          <w:lang w:val="en-GB"/>
        </w:rPr>
        <w:t xml:space="preserve"> </w:t>
      </w:r>
    </w:p>
    <w:p w14:paraId="00000047" w14:textId="222B1E1A"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The methodology used for this research will be a secondary research </w:t>
      </w:r>
      <w:r w:rsidR="006362E6" w:rsidRPr="003772E5">
        <w:rPr>
          <w:rFonts w:ascii="Arial" w:hAnsi="Arial" w:cs="Arial"/>
          <w:sz w:val="22"/>
          <w:szCs w:val="22"/>
          <w:lang w:val="en-GB"/>
        </w:rPr>
        <w:t>design;</w:t>
      </w:r>
      <w:r w:rsidRPr="003772E5">
        <w:rPr>
          <w:rFonts w:ascii="Arial" w:hAnsi="Arial" w:cs="Arial"/>
          <w:sz w:val="22"/>
          <w:szCs w:val="22"/>
          <w:lang w:val="en-GB"/>
        </w:rPr>
        <w:t xml:space="preserve"> whereby secondary data is data that has already been collected, published and analysed by others. Secondary data for this research work will be derived from company annual reports, industry reports, published webpages, data from government reports and a case study of the inventory management of DHL. The method used will help to achieve research with the advantage of reducing cost and time spent to carry out a wide and in-depth examination. Web-based secondary data will be predominantly used, sourced through the Google search engine. This will include company annual reports and publications, whitepapers from consultancy firms like McKinsey, Deloitte and Gartner, trade magazines, and newspapers. Search terms like “inventory accuracy UK MNCs”, “stock holding cost reduction strategies”, and “supply chain optimisation large enterprises” will be used to source the information. The selection of secondary material will consider source credibility, relevance and recency. Thematic analysis will be used to analyse the collected data. After collecting the data, it will be read and coded to identify patterns and recurring themes. These themes will then be organised to relate to the research objectives and compare findings across various MNCs and industries. </w:t>
      </w:r>
    </w:p>
    <w:p w14:paraId="00000048"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18" w:name="_Toc235553026"/>
      <w:r w:rsidRPr="003772E5">
        <w:rPr>
          <w:rFonts w:ascii="Arial" w:hAnsi="Arial" w:cs="Arial"/>
          <w:sz w:val="22"/>
          <w:szCs w:val="22"/>
          <w:lang w:val="en-GB"/>
        </w:rPr>
        <w:t>4.3 Sampling strategy</w:t>
      </w:r>
      <w:bookmarkEnd w:id="18"/>
    </w:p>
    <w:p w14:paraId="00000049" w14:textId="5238B4EE"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The sampling strategy will be purposive, selecting secondary sources purposefully on their relevance to DHL’s inventory management strategies rather than using a random approach. Selection criteria will prioritise sources that discuss larger organisations with international operations, due to the complexities of</w:t>
      </w:r>
      <w:r w:rsidR="0024791F">
        <w:rPr>
          <w:rFonts w:ascii="Arial" w:hAnsi="Arial" w:cs="Arial"/>
          <w:sz w:val="22"/>
          <w:szCs w:val="22"/>
          <w:lang w:val="en-GB"/>
        </w:rPr>
        <w:t xml:space="preserve"> Multinational Corporations (</w:t>
      </w:r>
      <w:r w:rsidRPr="003772E5">
        <w:rPr>
          <w:rFonts w:ascii="Arial" w:hAnsi="Arial" w:cs="Arial"/>
          <w:sz w:val="22"/>
          <w:szCs w:val="22"/>
          <w:lang w:val="en-GB"/>
        </w:rPr>
        <w:t>MNCs</w:t>
      </w:r>
      <w:r w:rsidR="0024791F">
        <w:rPr>
          <w:rFonts w:ascii="Arial" w:hAnsi="Arial" w:cs="Arial"/>
          <w:sz w:val="22"/>
          <w:szCs w:val="22"/>
          <w:lang w:val="en-GB"/>
        </w:rPr>
        <w:t>)</w:t>
      </w:r>
      <w:r w:rsidRPr="003772E5">
        <w:rPr>
          <w:rFonts w:ascii="Arial" w:hAnsi="Arial" w:cs="Arial"/>
          <w:sz w:val="22"/>
          <w:szCs w:val="22"/>
          <w:lang w:val="en-GB"/>
        </w:rPr>
        <w:t xml:space="preserve">. The study limits the population of the sources of study to online accessible secondary sources such as DHL corporate </w:t>
      </w:r>
      <w:r w:rsidRPr="003772E5">
        <w:rPr>
          <w:rFonts w:ascii="Arial" w:hAnsi="Arial" w:cs="Arial"/>
          <w:sz w:val="22"/>
          <w:szCs w:val="22"/>
          <w:lang w:val="en-GB"/>
        </w:rPr>
        <w:lastRenderedPageBreak/>
        <w:t>reports, industry case studies, scholarly journal articles, and trade literature concerning the logistics field within the last five years (2021 to 2026). An identified resource is inclusive if it is available online for public access, authored in English, relevant to inventory accuracy and if it pertains to DHL's operations. Resources with no credible date of publication, academic paid articles or if they relate to logistics practice other than that which impacts DHL’s operations are not included in the study.</w:t>
      </w:r>
    </w:p>
    <w:p w14:paraId="0000004A"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19" w:name="_Toc235553027"/>
      <w:r w:rsidRPr="003772E5">
        <w:rPr>
          <w:rFonts w:ascii="Arial" w:hAnsi="Arial" w:cs="Arial"/>
          <w:sz w:val="22"/>
          <w:szCs w:val="22"/>
          <w:lang w:val="en-GB"/>
        </w:rPr>
        <w:t>4</w:t>
      </w:r>
      <w:r w:rsidRPr="001A04AA">
        <w:rPr>
          <w:rFonts w:ascii="Arial" w:hAnsi="Arial" w:cs="Arial"/>
          <w:sz w:val="22"/>
          <w:szCs w:val="22"/>
          <w:lang w:val="en-GB"/>
        </w:rPr>
        <w:t>.4 Research ethics, data validity and reliability</w:t>
      </w:r>
      <w:bookmarkEnd w:id="19"/>
      <w:r w:rsidRPr="003772E5">
        <w:rPr>
          <w:rFonts w:ascii="Arial" w:hAnsi="Arial" w:cs="Arial"/>
          <w:sz w:val="22"/>
          <w:szCs w:val="22"/>
          <w:lang w:val="en-GB"/>
        </w:rPr>
        <w:t xml:space="preserve"> </w:t>
      </w:r>
    </w:p>
    <w:p w14:paraId="0000004B" w14:textId="77777777" w:rsidR="00BA751F" w:rsidRPr="003772E5" w:rsidRDefault="00000000"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As this research will not involve any human participants, there will be no issues relating to ethics such as informed consent, confidentiality and data protection. The research will, however, maintain academic integrity and ethical standards through proper referencing and citation, avoidance of plagiarism, and ensuring that all data sources are correctly acknowledged (Mulenga and Shilongo, 2024). Sources will also be reviewed to identify any bias in their presentation of data, and this will be reflected in the discussion where necessary.</w:t>
      </w:r>
    </w:p>
    <w:p w14:paraId="0000004C"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20" w:name="_Toc235553028"/>
      <w:r w:rsidRPr="003772E5">
        <w:rPr>
          <w:rFonts w:ascii="Arial" w:hAnsi="Arial" w:cs="Arial"/>
          <w:sz w:val="22"/>
          <w:szCs w:val="22"/>
          <w:lang w:val="en-GB"/>
        </w:rPr>
        <w:t>5. Business Relevance and Practical Implications</w:t>
      </w:r>
      <w:bookmarkEnd w:id="20"/>
    </w:p>
    <w:p w14:paraId="09FDE731" w14:textId="5E362671" w:rsidR="003D78B2" w:rsidRPr="003772E5" w:rsidRDefault="001C068F" w:rsidP="003D78B2">
      <w:pPr>
        <w:rPr>
          <w:rFonts w:ascii="Arial" w:hAnsi="Arial" w:cs="Arial"/>
          <w:sz w:val="22"/>
          <w:szCs w:val="22"/>
          <w:lang w:val="en-IN"/>
        </w:rPr>
      </w:pPr>
      <w:r w:rsidRPr="003772E5">
        <w:rPr>
          <w:rFonts w:ascii="Arial" w:hAnsi="Arial" w:cs="Arial"/>
          <w:sz w:val="22"/>
          <w:szCs w:val="22"/>
          <w:lang w:val="en-IN"/>
        </w:rPr>
        <w:t xml:space="preserve">DHL is one of the world's biggest logistics and supply chain companies, taking in inventory for many multinational businesses from different industrial sectors. The capability to preserve accurate levels of stock and hold costs </w:t>
      </w:r>
      <w:r w:rsidR="008C06DD" w:rsidRPr="003772E5">
        <w:rPr>
          <w:rFonts w:ascii="Arial" w:hAnsi="Arial" w:cs="Arial"/>
          <w:sz w:val="22"/>
          <w:szCs w:val="22"/>
          <w:lang w:val="en-IN"/>
        </w:rPr>
        <w:t>is</w:t>
      </w:r>
      <w:r w:rsidRPr="003772E5">
        <w:rPr>
          <w:rFonts w:ascii="Arial" w:hAnsi="Arial" w:cs="Arial"/>
          <w:sz w:val="22"/>
          <w:szCs w:val="22"/>
          <w:lang w:val="en-IN"/>
        </w:rPr>
        <w:t xml:space="preserve"> at the heart of the value proposition which DHL delivers to customers. This could be done through DHL to help benchmark present inventory accuracy levels, as against other leading firms, and to spotlight gaps that are present with current real-time inventory accuracy. For DHL, the use of greater predictive analytics for the precise forecasting of demand in order to reduce stockouts and overstocking could be one primary outcome. More innovative practices such as the vendor-owned managed inventory (VMI) or the joint sharing of demand forecasting between clients and DHL would also position DHL in a more service-driven, value-added manner. </w:t>
      </w:r>
      <w:r w:rsidR="003D78B2" w:rsidRPr="003772E5">
        <w:rPr>
          <w:rFonts w:ascii="Arial" w:hAnsi="Arial" w:cs="Arial"/>
          <w:sz w:val="22"/>
          <w:szCs w:val="22"/>
          <w:lang w:val="en-IN"/>
        </w:rPr>
        <w:t>As a consequence of the completed project, the study will gain more knowledge as to how applied business research offers assistance by making the gap between theory and application available to practical business settings.</w:t>
      </w:r>
    </w:p>
    <w:p w14:paraId="1D6547FA" w14:textId="6C9B087B" w:rsidR="001C068F" w:rsidRPr="003772E5" w:rsidRDefault="001C068F" w:rsidP="001C068F">
      <w:pPr>
        <w:rPr>
          <w:rFonts w:ascii="Arial" w:hAnsi="Arial" w:cs="Arial"/>
          <w:sz w:val="22"/>
          <w:szCs w:val="22"/>
          <w:lang w:val="en-IN"/>
        </w:rPr>
      </w:pPr>
    </w:p>
    <w:p w14:paraId="3334AD55" w14:textId="77777777" w:rsidR="001C068F" w:rsidRPr="003772E5" w:rsidRDefault="001C068F" w:rsidP="001C068F">
      <w:pPr>
        <w:rPr>
          <w:rFonts w:ascii="Arial" w:hAnsi="Arial" w:cs="Arial"/>
          <w:sz w:val="22"/>
          <w:szCs w:val="22"/>
          <w:lang w:val="en-GB"/>
        </w:rPr>
      </w:pPr>
    </w:p>
    <w:p w14:paraId="0000004F" w14:textId="77777777" w:rsidR="00BA751F" w:rsidRPr="003772E5" w:rsidRDefault="00000000" w:rsidP="006362E6">
      <w:pPr>
        <w:spacing w:before="100" w:beforeAutospacing="1" w:after="100" w:afterAutospacing="1"/>
        <w:rPr>
          <w:rFonts w:ascii="Arial" w:hAnsi="Arial" w:cs="Arial"/>
          <w:sz w:val="22"/>
          <w:szCs w:val="22"/>
          <w:lang w:val="en-GB"/>
        </w:rPr>
      </w:pPr>
      <w:r w:rsidRPr="003772E5">
        <w:rPr>
          <w:rFonts w:ascii="Arial" w:hAnsi="Arial" w:cs="Arial"/>
          <w:sz w:val="22"/>
          <w:szCs w:val="22"/>
          <w:lang w:val="en-GB"/>
        </w:rPr>
        <w:br w:type="page"/>
      </w:r>
    </w:p>
    <w:p w14:paraId="00000050" w14:textId="77777777" w:rsidR="00BA751F" w:rsidRPr="003772E5" w:rsidRDefault="00000000" w:rsidP="006362E6">
      <w:pPr>
        <w:pStyle w:val="Heading1"/>
        <w:spacing w:before="100" w:beforeAutospacing="1" w:after="100" w:afterAutospacing="1"/>
        <w:rPr>
          <w:rFonts w:ascii="Arial" w:hAnsi="Arial" w:cs="Arial"/>
          <w:sz w:val="22"/>
          <w:szCs w:val="22"/>
          <w:lang w:val="en-GB"/>
        </w:rPr>
      </w:pPr>
      <w:bookmarkStart w:id="21" w:name="_Toc235553029"/>
      <w:r w:rsidRPr="003772E5">
        <w:rPr>
          <w:rFonts w:ascii="Arial" w:hAnsi="Arial" w:cs="Arial"/>
          <w:sz w:val="22"/>
          <w:szCs w:val="22"/>
          <w:lang w:val="en-GB"/>
        </w:rPr>
        <w:lastRenderedPageBreak/>
        <w:t>References</w:t>
      </w:r>
      <w:bookmarkEnd w:id="21"/>
    </w:p>
    <w:p w14:paraId="1055744D"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Chehrazi, N. (2025) ‘Inventory systems with record inaccuracy: Transaction errors vs. unobservable loss’, </w:t>
      </w:r>
      <w:r w:rsidRPr="003772E5">
        <w:rPr>
          <w:rFonts w:ascii="Arial" w:hAnsi="Arial" w:cs="Arial"/>
          <w:i/>
          <w:iCs/>
          <w:sz w:val="22"/>
          <w:szCs w:val="22"/>
          <w:lang w:val="en-GB"/>
        </w:rPr>
        <w:t>Manufacturing &amp; Service Operations Management</w:t>
      </w:r>
      <w:r w:rsidRPr="003772E5">
        <w:rPr>
          <w:rFonts w:ascii="Arial" w:hAnsi="Arial" w:cs="Arial"/>
          <w:sz w:val="22"/>
          <w:szCs w:val="22"/>
          <w:lang w:val="en-GB"/>
        </w:rPr>
        <w:t xml:space="preserve">, 27(4), pp.1183-1204. </w:t>
      </w:r>
    </w:p>
    <w:p w14:paraId="395B771A"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Chen, J., Kim, S., Srinivasan, D. and Zhou, Y. (2025) ‘Can common institutional investors in supply chains decode the bullwhip effect? Evidence from order backlog mispricing’, </w:t>
      </w:r>
      <w:r w:rsidRPr="003772E5">
        <w:rPr>
          <w:rFonts w:ascii="Arial" w:hAnsi="Arial" w:cs="Arial"/>
          <w:i/>
          <w:iCs/>
          <w:sz w:val="22"/>
          <w:szCs w:val="22"/>
          <w:lang w:val="en-GB"/>
        </w:rPr>
        <w:t>Journal of Accounting, Auditing &amp; Finance</w:t>
      </w:r>
      <w:r w:rsidRPr="003772E5">
        <w:rPr>
          <w:rFonts w:ascii="Arial" w:hAnsi="Arial" w:cs="Arial"/>
          <w:sz w:val="22"/>
          <w:szCs w:val="22"/>
          <w:lang w:val="en-GB"/>
        </w:rPr>
        <w:t xml:space="preserve">, 40(4), pp.1296-1322. </w:t>
      </w:r>
    </w:p>
    <w:p w14:paraId="04F50514"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DHL (2023) </w:t>
      </w:r>
      <w:r w:rsidRPr="003772E5">
        <w:rPr>
          <w:rFonts w:ascii="Arial" w:hAnsi="Arial" w:cs="Arial"/>
          <w:i/>
          <w:iCs/>
          <w:sz w:val="22"/>
          <w:szCs w:val="22"/>
          <w:lang w:val="en-GB"/>
        </w:rPr>
        <w:t xml:space="preserve">About DHL eCommerce UK - DHL eCommerce. </w:t>
      </w:r>
      <w:r w:rsidRPr="003772E5">
        <w:rPr>
          <w:rFonts w:ascii="Arial" w:hAnsi="Arial" w:cs="Arial"/>
          <w:sz w:val="22"/>
          <w:szCs w:val="22"/>
          <w:lang w:val="en-GB"/>
        </w:rPr>
        <w:t xml:space="preserve">Available at: </w:t>
      </w:r>
      <w:hyperlink r:id="rId7">
        <w:r w:rsidRPr="003772E5">
          <w:rPr>
            <w:rFonts w:ascii="Arial" w:hAnsi="Arial" w:cs="Arial"/>
            <w:sz w:val="22"/>
            <w:szCs w:val="22"/>
            <w:u w:val="single"/>
            <w:lang w:val="en-GB"/>
          </w:rPr>
          <w:t>https://www.dhl.com/gb-en/ecommerce/uk/about.html</w:t>
        </w:r>
      </w:hyperlink>
      <w:r w:rsidRPr="003772E5">
        <w:rPr>
          <w:rFonts w:ascii="Arial" w:hAnsi="Arial" w:cs="Arial"/>
          <w:sz w:val="22"/>
          <w:szCs w:val="22"/>
          <w:lang w:val="en-GB"/>
        </w:rPr>
        <w:t xml:space="preserve"> (Accessed 20 July 2026)</w:t>
      </w:r>
    </w:p>
    <w:p w14:paraId="46D08191"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Dinçer, K.F. and Turgay, S. (2023) ‘Balancing demand and supply: Inventory allocation in FMCG’, </w:t>
      </w:r>
      <w:r w:rsidRPr="003772E5">
        <w:rPr>
          <w:rFonts w:ascii="Arial" w:hAnsi="Arial" w:cs="Arial"/>
          <w:i/>
          <w:iCs/>
          <w:sz w:val="22"/>
          <w:szCs w:val="22"/>
          <w:lang w:val="en-GB"/>
        </w:rPr>
        <w:t>Industrial Engineering and Innovation Management</w:t>
      </w:r>
      <w:r w:rsidRPr="003772E5">
        <w:rPr>
          <w:rFonts w:ascii="Arial" w:hAnsi="Arial" w:cs="Arial"/>
          <w:sz w:val="22"/>
          <w:szCs w:val="22"/>
          <w:lang w:val="en-GB"/>
        </w:rPr>
        <w:t xml:space="preserve">, 6(10), pp.41-49. </w:t>
      </w:r>
    </w:p>
    <w:p w14:paraId="48078572"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Ghazi, M. and Salih, H.S. (2023) ‘Implementing an automated inventory management system for small and medium-sized enterprises’, </w:t>
      </w:r>
      <w:r w:rsidRPr="003772E5">
        <w:rPr>
          <w:rFonts w:ascii="Arial" w:hAnsi="Arial" w:cs="Arial"/>
          <w:i/>
          <w:iCs/>
          <w:sz w:val="22"/>
          <w:szCs w:val="22"/>
          <w:lang w:val="en-GB"/>
        </w:rPr>
        <w:t>Iraqi Journal For Computer Science and Mathematics</w:t>
      </w:r>
      <w:r w:rsidRPr="003772E5">
        <w:rPr>
          <w:rFonts w:ascii="Arial" w:hAnsi="Arial" w:cs="Arial"/>
          <w:sz w:val="22"/>
          <w:szCs w:val="22"/>
          <w:lang w:val="en-GB"/>
        </w:rPr>
        <w:t xml:space="preserve">, 4(2), p.21. </w:t>
      </w:r>
    </w:p>
    <w:p w14:paraId="63974439"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Lubis, N.W. (2022) ‘Resource based view (RBV) in improving company strategic capacity’, </w:t>
      </w:r>
      <w:r w:rsidRPr="003772E5">
        <w:rPr>
          <w:rFonts w:ascii="Arial" w:hAnsi="Arial" w:cs="Arial"/>
          <w:i/>
          <w:iCs/>
          <w:sz w:val="22"/>
          <w:szCs w:val="22"/>
          <w:lang w:val="en-GB"/>
        </w:rPr>
        <w:t>Research Horizon</w:t>
      </w:r>
      <w:r w:rsidRPr="003772E5">
        <w:rPr>
          <w:rFonts w:ascii="Arial" w:hAnsi="Arial" w:cs="Arial"/>
          <w:sz w:val="22"/>
          <w:szCs w:val="22"/>
          <w:lang w:val="en-GB"/>
        </w:rPr>
        <w:t xml:space="preserve">, 2(6), pp.587-596. </w:t>
      </w:r>
    </w:p>
    <w:p w14:paraId="3D21286E"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Masyhuri, M. (2022) ‘Key drivers of customer satisfaction on the e-commerce business’, </w:t>
      </w:r>
      <w:r w:rsidRPr="003772E5">
        <w:rPr>
          <w:rFonts w:ascii="Arial" w:hAnsi="Arial" w:cs="Arial"/>
          <w:i/>
          <w:iCs/>
          <w:sz w:val="22"/>
          <w:szCs w:val="22"/>
          <w:lang w:val="en-GB"/>
        </w:rPr>
        <w:t>East Asian Journal of Multidisciplinary Research</w:t>
      </w:r>
      <w:r w:rsidRPr="003772E5">
        <w:rPr>
          <w:rFonts w:ascii="Arial" w:hAnsi="Arial" w:cs="Arial"/>
          <w:sz w:val="22"/>
          <w:szCs w:val="22"/>
          <w:lang w:val="en-GB"/>
        </w:rPr>
        <w:t xml:space="preserve">, 1(4), pp.657-670. </w:t>
      </w:r>
    </w:p>
    <w:p w14:paraId="3C18E91D"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Mulenga, R. and Shilongo, H. (2024) ‘Academic integrity in higher education: Understanding and addressing plagiarism’, </w:t>
      </w:r>
      <w:r w:rsidRPr="003772E5">
        <w:rPr>
          <w:rFonts w:ascii="Arial" w:hAnsi="Arial" w:cs="Arial"/>
          <w:i/>
          <w:iCs/>
          <w:sz w:val="22"/>
          <w:szCs w:val="22"/>
          <w:lang w:val="en-GB"/>
        </w:rPr>
        <w:t>Acta Pedagogia Asiana</w:t>
      </w:r>
      <w:r w:rsidRPr="003772E5">
        <w:rPr>
          <w:rFonts w:ascii="Arial" w:hAnsi="Arial" w:cs="Arial"/>
          <w:sz w:val="22"/>
          <w:szCs w:val="22"/>
          <w:lang w:val="en-GB"/>
        </w:rPr>
        <w:t xml:space="preserve">, 3(1), pp.30-43. </w:t>
      </w:r>
    </w:p>
    <w:p w14:paraId="22B3DF9E"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Muthukalyani, A.R. (2024) ‘Enhancing supply chain agility with real-time data analytics’,</w:t>
      </w:r>
      <w:r w:rsidRPr="003772E5">
        <w:rPr>
          <w:rFonts w:ascii="Arial" w:hAnsi="Arial" w:cs="Arial"/>
          <w:i/>
          <w:iCs/>
          <w:sz w:val="22"/>
          <w:szCs w:val="22"/>
          <w:lang w:val="en-GB"/>
        </w:rPr>
        <w:t xml:space="preserve"> Journal ID, </w:t>
      </w:r>
      <w:r w:rsidRPr="003772E5">
        <w:rPr>
          <w:rFonts w:ascii="Arial" w:hAnsi="Arial" w:cs="Arial"/>
          <w:sz w:val="22"/>
          <w:szCs w:val="22"/>
          <w:lang w:val="en-GB"/>
        </w:rPr>
        <w:t xml:space="preserve">2364, p.4269. </w:t>
      </w:r>
    </w:p>
    <w:p w14:paraId="69968152"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Puiu, I.R., Petre, I.M. and Boșcoianu, M. (2025) ‘Targeting Toward Optimal Inventory in Automotive Industry—An Analysis Based on Six Sigma Methodology’, </w:t>
      </w:r>
      <w:r w:rsidRPr="003772E5">
        <w:rPr>
          <w:rFonts w:ascii="Arial" w:hAnsi="Arial" w:cs="Arial"/>
          <w:i/>
          <w:iCs/>
          <w:sz w:val="22"/>
          <w:szCs w:val="22"/>
          <w:lang w:val="en-GB"/>
        </w:rPr>
        <w:t>Logistics</w:t>
      </w:r>
      <w:r w:rsidRPr="003772E5">
        <w:rPr>
          <w:rFonts w:ascii="Arial" w:hAnsi="Arial" w:cs="Arial"/>
          <w:sz w:val="22"/>
          <w:szCs w:val="22"/>
          <w:lang w:val="en-GB"/>
        </w:rPr>
        <w:t xml:space="preserve">, 10(1), p.8. </w:t>
      </w:r>
    </w:p>
    <w:p w14:paraId="4DEC0739"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Rauf, M.A. and Dhanekula, A. (2026) ‘Meta-Analysis of Distribution Cost Control in Retail Supply Chains: Insights from Data Modeling’, </w:t>
      </w:r>
      <w:r w:rsidRPr="003772E5">
        <w:rPr>
          <w:rFonts w:ascii="Arial" w:hAnsi="Arial" w:cs="Arial"/>
          <w:i/>
          <w:iCs/>
          <w:sz w:val="22"/>
          <w:szCs w:val="22"/>
          <w:lang w:val="en-GB"/>
        </w:rPr>
        <w:t>Journal of Sustainable Development and Policy</w:t>
      </w:r>
      <w:r w:rsidRPr="003772E5">
        <w:rPr>
          <w:rFonts w:ascii="Arial" w:hAnsi="Arial" w:cs="Arial"/>
          <w:sz w:val="22"/>
          <w:szCs w:val="22"/>
          <w:lang w:val="en-GB"/>
        </w:rPr>
        <w:t xml:space="preserve">, 5(01), pp.73-109. </w:t>
      </w:r>
    </w:p>
    <w:p w14:paraId="72DDE6C7"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lastRenderedPageBreak/>
        <w:t xml:space="preserve">Singh, J. (2022) ‘Concepts of inventory and related technical terminologies: A literature review’, </w:t>
      </w:r>
      <w:r w:rsidRPr="003772E5">
        <w:rPr>
          <w:rFonts w:ascii="Arial" w:hAnsi="Arial" w:cs="Arial"/>
          <w:i/>
          <w:iCs/>
          <w:sz w:val="22"/>
          <w:szCs w:val="22"/>
          <w:lang w:val="en-GB"/>
        </w:rPr>
        <w:t>International Journal for Research Trends and Innovation</w:t>
      </w:r>
      <w:r w:rsidRPr="003772E5">
        <w:rPr>
          <w:rFonts w:ascii="Arial" w:hAnsi="Arial" w:cs="Arial"/>
          <w:sz w:val="22"/>
          <w:szCs w:val="22"/>
          <w:lang w:val="en-GB"/>
        </w:rPr>
        <w:t xml:space="preserve">, 7(1), pp.1784-1796. </w:t>
      </w:r>
    </w:p>
    <w:p w14:paraId="45EB4EAA" w14:textId="77777777" w:rsidR="00DC505A" w:rsidRPr="003772E5" w:rsidRDefault="00DC505A" w:rsidP="006362E6">
      <w:pPr>
        <w:shd w:val="clear" w:color="auto" w:fill="FFFFFF"/>
        <w:spacing w:before="100" w:beforeAutospacing="1" w:after="100" w:afterAutospacing="1"/>
        <w:rPr>
          <w:rFonts w:ascii="Arial" w:hAnsi="Arial" w:cs="Arial"/>
          <w:sz w:val="22"/>
          <w:szCs w:val="22"/>
          <w:lang w:val="en-GB"/>
        </w:rPr>
      </w:pPr>
      <w:r w:rsidRPr="003772E5">
        <w:rPr>
          <w:rFonts w:ascii="Arial" w:hAnsi="Arial" w:cs="Arial"/>
          <w:sz w:val="22"/>
          <w:szCs w:val="22"/>
          <w:lang w:val="en-GB"/>
        </w:rPr>
        <w:t xml:space="preserve">Vaka, D.K. (2024) ‘Integrating inventory management and distribution: A holistic supply chain strategy’, </w:t>
      </w:r>
      <w:r w:rsidRPr="003772E5">
        <w:rPr>
          <w:rFonts w:ascii="Arial" w:hAnsi="Arial" w:cs="Arial"/>
          <w:i/>
          <w:iCs/>
          <w:sz w:val="22"/>
          <w:szCs w:val="22"/>
          <w:lang w:val="en-GB"/>
        </w:rPr>
        <w:t>The International Journal of Managing Value and Supply Chains,</w:t>
      </w:r>
      <w:r w:rsidRPr="003772E5">
        <w:rPr>
          <w:rFonts w:ascii="Arial" w:hAnsi="Arial" w:cs="Arial"/>
          <w:sz w:val="22"/>
          <w:szCs w:val="22"/>
          <w:lang w:val="en-GB"/>
        </w:rPr>
        <w:t xml:space="preserve"> 15(2), pp.13-23. </w:t>
      </w:r>
    </w:p>
    <w:p w14:paraId="0000005E" w14:textId="77777777" w:rsidR="00BA751F" w:rsidRPr="003772E5" w:rsidRDefault="00BA751F" w:rsidP="006362E6">
      <w:pPr>
        <w:spacing w:before="100" w:beforeAutospacing="1" w:after="100" w:afterAutospacing="1"/>
        <w:rPr>
          <w:rFonts w:ascii="Arial" w:hAnsi="Arial" w:cs="Arial"/>
          <w:sz w:val="22"/>
          <w:szCs w:val="22"/>
          <w:lang w:val="en-GB"/>
        </w:rPr>
      </w:pPr>
    </w:p>
    <w:sectPr w:rsidR="00BA751F" w:rsidRPr="003772E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F6C025F-63E1-4626-9500-8A8BA2AE5579}"/>
    <w:embedBold r:id="rId2" w:fontKey="{10C5F396-8874-42FD-8EA7-AFF26AEFC4ED}"/>
  </w:font>
  <w:font w:name="Cambria">
    <w:panose1 w:val="02040503050406030204"/>
    <w:charset w:val="00"/>
    <w:family w:val="roman"/>
    <w:pitch w:val="variable"/>
    <w:sig w:usb0="E00006FF" w:usb1="420024FF" w:usb2="02000000" w:usb3="00000000" w:csb0="0000019F" w:csb1="00000000"/>
    <w:embedRegular r:id="rId3" w:fontKey="{F5A8F481-A0E0-455F-BBEF-9AFE531174F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03126"/>
    <w:multiLevelType w:val="multilevel"/>
    <w:tmpl w:val="84F09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1039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51F"/>
    <w:rsid w:val="000247F6"/>
    <w:rsid w:val="00177E62"/>
    <w:rsid w:val="001A04AA"/>
    <w:rsid w:val="001C068F"/>
    <w:rsid w:val="001F27B5"/>
    <w:rsid w:val="0024791F"/>
    <w:rsid w:val="00285E3B"/>
    <w:rsid w:val="002D1D2B"/>
    <w:rsid w:val="00306F98"/>
    <w:rsid w:val="003772E5"/>
    <w:rsid w:val="00391F8C"/>
    <w:rsid w:val="003D78B2"/>
    <w:rsid w:val="0048164E"/>
    <w:rsid w:val="004F5473"/>
    <w:rsid w:val="005B1B00"/>
    <w:rsid w:val="006362E6"/>
    <w:rsid w:val="0069662A"/>
    <w:rsid w:val="00773851"/>
    <w:rsid w:val="00841868"/>
    <w:rsid w:val="00845D06"/>
    <w:rsid w:val="008C06DD"/>
    <w:rsid w:val="008F0AE2"/>
    <w:rsid w:val="00911577"/>
    <w:rsid w:val="009143C8"/>
    <w:rsid w:val="009201E3"/>
    <w:rsid w:val="00964ACA"/>
    <w:rsid w:val="009A1DB4"/>
    <w:rsid w:val="009E4CAB"/>
    <w:rsid w:val="00A223FC"/>
    <w:rsid w:val="00AB7855"/>
    <w:rsid w:val="00AC27D9"/>
    <w:rsid w:val="00BA751F"/>
    <w:rsid w:val="00C34A28"/>
    <w:rsid w:val="00DC505A"/>
    <w:rsid w:val="00E13BCF"/>
    <w:rsid w:val="00E153A8"/>
    <w:rsid w:val="00ED06FD"/>
    <w:rsid w:val="00EE665F"/>
    <w:rsid w:val="00F86666"/>
    <w:rsid w:val="00FA17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80CBA"/>
  <w15:docId w15:val="{DC102989-7E3A-4A6F-8F7C-5CF033E58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NormalWeb">
    <w:name w:val="Normal (Web)"/>
    <w:basedOn w:val="Normal"/>
    <w:uiPriority w:val="99"/>
    <w:semiHidden/>
    <w:unhideWhenUsed/>
    <w:rsid w:val="003D78B2"/>
  </w:style>
  <w:style w:type="paragraph" w:styleId="TOC1">
    <w:name w:val="toc 1"/>
    <w:basedOn w:val="Normal"/>
    <w:next w:val="Normal"/>
    <w:autoRedefine/>
    <w:uiPriority w:val="39"/>
    <w:unhideWhenUsed/>
    <w:rsid w:val="003772E5"/>
    <w:pPr>
      <w:spacing w:after="100"/>
    </w:pPr>
  </w:style>
  <w:style w:type="paragraph" w:styleId="TOC2">
    <w:name w:val="toc 2"/>
    <w:basedOn w:val="Normal"/>
    <w:next w:val="Normal"/>
    <w:autoRedefine/>
    <w:uiPriority w:val="39"/>
    <w:unhideWhenUsed/>
    <w:rsid w:val="003772E5"/>
    <w:pPr>
      <w:spacing w:after="100"/>
      <w:ind w:left="240"/>
    </w:pPr>
  </w:style>
  <w:style w:type="character" w:styleId="Hyperlink">
    <w:name w:val="Hyperlink"/>
    <w:basedOn w:val="DefaultParagraphFont"/>
    <w:uiPriority w:val="99"/>
    <w:unhideWhenUsed/>
    <w:rsid w:val="003772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dhl.com/gb-en/ecommerce/uk/abou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2DRS5U+Mota32RevRPoNlIOyDA==">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10</Pages>
  <Words>2772</Words>
  <Characters>15807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Buzatu</cp:lastModifiedBy>
  <cp:revision>25</cp:revision>
  <dcterms:created xsi:type="dcterms:W3CDTF">2026-07-20T13:03:00Z</dcterms:created>
  <dcterms:modified xsi:type="dcterms:W3CDTF">2026-07-25T11:00:00Z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aadb78e9-1ef3-4033-994c-807dd7bab938</vt:lpwstr>
  </property>
</Properties>
</file>