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22A97" w14:textId="77777777" w:rsidR="00843F8E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</w:p>
    <w:p w14:paraId="7C85989D" w14:textId="77777777" w:rsidR="00843F8E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</w:p>
    <w:p w14:paraId="3310E6DB" w14:textId="77777777" w:rsidR="00843F8E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</w:p>
    <w:p w14:paraId="41CCB5E1" w14:textId="3403AED8" w:rsidR="00A17F67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</w:t>
      </w:r>
      <w:r w:rsidR="005859F1">
        <w:rPr>
          <w:rFonts w:ascii="Arial" w:hAnsi="Arial" w:cs="Arial"/>
          <w:sz w:val="36"/>
          <w:szCs w:val="36"/>
        </w:rPr>
        <w:t xml:space="preserve">Sameena Hassan </w:t>
      </w:r>
    </w:p>
    <w:p w14:paraId="0D2362C2" w14:textId="5035C136" w:rsidR="005859F1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</w:t>
      </w:r>
      <w:r w:rsidR="00815172">
        <w:rPr>
          <w:rFonts w:ascii="Arial" w:hAnsi="Arial" w:cs="Arial"/>
          <w:sz w:val="36"/>
          <w:szCs w:val="36"/>
        </w:rPr>
        <w:t xml:space="preserve">2023264 </w:t>
      </w:r>
    </w:p>
    <w:p w14:paraId="6C8BD159" w14:textId="784B56B8" w:rsidR="00815172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</w:t>
      </w:r>
      <w:r w:rsidR="00815172">
        <w:rPr>
          <w:rFonts w:ascii="Arial" w:hAnsi="Arial" w:cs="Arial"/>
          <w:sz w:val="36"/>
          <w:szCs w:val="36"/>
        </w:rPr>
        <w:t>Account</w:t>
      </w:r>
      <w:r w:rsidR="009E409B">
        <w:rPr>
          <w:rFonts w:ascii="Arial" w:hAnsi="Arial" w:cs="Arial"/>
          <w:sz w:val="36"/>
          <w:szCs w:val="36"/>
        </w:rPr>
        <w:t xml:space="preserve">ing Fundamentals </w:t>
      </w:r>
    </w:p>
    <w:p w14:paraId="2C481D3F" w14:textId="32198142" w:rsidR="009E409B" w:rsidRPr="005859F1" w:rsidRDefault="00843F8E" w:rsidP="005859F1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LCBB4001</w:t>
      </w:r>
    </w:p>
    <w:p w14:paraId="46EB8166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EB21433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CA80CDF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B803848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266049D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C002F11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69BF768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7E0542E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98DE28D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C6EC092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C860621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7FD99B7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4C448ED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81A4244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0B28FC1D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EF33745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F1B5218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3DD4FF6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B64196A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9F498D6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BDD2A65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CE55BEC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238CBEA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F5C5B3B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BA3C99C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3B17366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945C9FE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ABC13E9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9B90965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34CF14C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2BD5384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69CB3A5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8B34943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F592D3B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120C8CA" w14:textId="77777777" w:rsidR="00A17F67" w:rsidRDefault="00A17F67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5BA7B0F" w14:textId="10CB1761" w:rsidR="00E45056" w:rsidRPr="00E45056" w:rsidRDefault="006F76BD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6F76BD">
        <w:rPr>
          <w:rFonts w:ascii="Arial" w:hAnsi="Arial" w:cs="Arial"/>
          <w:sz w:val="22"/>
          <w:szCs w:val="22"/>
          <w:u w:val="single"/>
        </w:rPr>
        <w:t xml:space="preserve">Task 1 </w:t>
      </w:r>
      <w:r>
        <w:rPr>
          <w:rFonts w:ascii="Arial" w:hAnsi="Arial" w:cs="Arial"/>
          <w:sz w:val="22"/>
          <w:szCs w:val="22"/>
          <w:u w:val="single"/>
        </w:rPr>
        <w:t>Part A</w:t>
      </w:r>
      <w:r w:rsidRPr="006F76BD">
        <w:rPr>
          <w:rFonts w:ascii="Arial" w:hAnsi="Arial" w:cs="Arial"/>
          <w:sz w:val="22"/>
          <w:szCs w:val="22"/>
          <w:u w:val="single"/>
        </w:rPr>
        <w:t xml:space="preserve"> (25)</w:t>
      </w:r>
    </w:p>
    <w:p w14:paraId="0278DD69" w14:textId="0E363C9C" w:rsidR="00E45056" w:rsidRPr="00E45056" w:rsidRDefault="00E45056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INCOME STATEMENT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31</w:t>
      </w:r>
      <w:r w:rsidRPr="00E45056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of December 2023</w:t>
      </w:r>
    </w:p>
    <w:p w14:paraId="1E72A0D7" w14:textId="130AA50F" w:rsidR="006F76BD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E45056">
        <w:rPr>
          <w:rFonts w:ascii="Arial" w:hAnsi="Arial" w:cs="Arial"/>
          <w:sz w:val="21"/>
          <w:szCs w:val="21"/>
          <w:u w:val="single"/>
        </w:rPr>
        <w:t>Income</w:t>
      </w:r>
    </w:p>
    <w:p w14:paraId="1A6ADDC9" w14:textId="77777777" w:rsidR="00F1336E" w:rsidRPr="00F1336E" w:rsidRDefault="00F1336E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</w:p>
    <w:p w14:paraId="0F8CCCC0" w14:textId="7A4BDC39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160,000</w:t>
      </w:r>
    </w:p>
    <w:p w14:paraId="4B4C6800" w14:textId="004412F2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25,000</w:t>
      </w:r>
      <w:r w:rsidRPr="00E45056">
        <w:rPr>
          <w:rFonts w:ascii="Arial" w:hAnsi="Arial" w:cs="Arial"/>
          <w:sz w:val="21"/>
          <w:szCs w:val="21"/>
        </w:rPr>
        <w:tab/>
      </w:r>
      <w:r w:rsidRPr="00E45056">
        <w:rPr>
          <w:rFonts w:ascii="Arial" w:hAnsi="Arial" w:cs="Arial"/>
          <w:sz w:val="21"/>
          <w:szCs w:val="21"/>
        </w:rPr>
        <w:tab/>
        <w:t>= 190,000</w:t>
      </w:r>
    </w:p>
    <w:p w14:paraId="2673BDAF" w14:textId="1437354A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5,000</w:t>
      </w:r>
    </w:p>
    <w:p w14:paraId="67810E9B" w14:textId="51E29983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Cost of sales- 95,000</w:t>
      </w:r>
      <w:r w:rsidRPr="00E45056">
        <w:rPr>
          <w:rFonts w:ascii="Arial" w:hAnsi="Arial" w:cs="Arial"/>
          <w:sz w:val="21"/>
          <w:szCs w:val="21"/>
        </w:rPr>
        <w:tab/>
      </w:r>
      <w:r w:rsidRPr="00E45056">
        <w:rPr>
          <w:rFonts w:ascii="Arial" w:hAnsi="Arial" w:cs="Arial"/>
          <w:sz w:val="21"/>
          <w:szCs w:val="21"/>
        </w:rPr>
        <w:tab/>
      </w:r>
      <w:r w:rsidRPr="00E45056">
        <w:rPr>
          <w:rFonts w:ascii="Arial" w:hAnsi="Arial" w:cs="Arial"/>
          <w:sz w:val="21"/>
          <w:szCs w:val="21"/>
        </w:rPr>
        <w:tab/>
        <w:t xml:space="preserve">190,000 – 95,000 = </w:t>
      </w:r>
      <w:r w:rsidRPr="00E45056">
        <w:rPr>
          <w:rFonts w:ascii="Arial" w:hAnsi="Arial" w:cs="Arial"/>
          <w:sz w:val="21"/>
          <w:szCs w:val="21"/>
          <w:u w:val="single"/>
        </w:rPr>
        <w:t>£95,000 GROSS PROFIT</w:t>
      </w:r>
    </w:p>
    <w:p w14:paraId="60EB60F2" w14:textId="40F31043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</w:p>
    <w:p w14:paraId="47C3A6D7" w14:textId="13EA618A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E45056">
        <w:rPr>
          <w:rFonts w:ascii="Arial" w:hAnsi="Arial" w:cs="Arial"/>
          <w:sz w:val="21"/>
          <w:szCs w:val="21"/>
          <w:u w:val="single"/>
        </w:rPr>
        <w:t>Expenses</w:t>
      </w:r>
    </w:p>
    <w:p w14:paraId="21ACB012" w14:textId="78EB5A35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</w:p>
    <w:p w14:paraId="77F0A1E1" w14:textId="59E4C4EC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Rent- 2,500</w:t>
      </w:r>
    </w:p>
    <w:p w14:paraId="386374F1" w14:textId="5AAD26A9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Gas and Elec- 1,500</w:t>
      </w:r>
    </w:p>
    <w:p w14:paraId="3FB106B3" w14:textId="557DF381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Salaries- 28,000</w:t>
      </w:r>
    </w:p>
    <w:p w14:paraId="5BF373AE" w14:textId="313A6FEB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Salaries accrued- 3,000</w:t>
      </w:r>
    </w:p>
    <w:p w14:paraId="29E457D9" w14:textId="06DF91C2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Irrecoverable debt- 800</w:t>
      </w:r>
      <w:r w:rsidRPr="00E45056">
        <w:rPr>
          <w:rFonts w:ascii="Arial" w:hAnsi="Arial" w:cs="Arial"/>
          <w:sz w:val="21"/>
          <w:szCs w:val="21"/>
        </w:rPr>
        <w:tab/>
      </w:r>
      <w:r w:rsidRPr="00E45056">
        <w:rPr>
          <w:rFonts w:ascii="Arial" w:hAnsi="Arial" w:cs="Arial"/>
          <w:sz w:val="21"/>
          <w:szCs w:val="21"/>
          <w:u w:val="single"/>
        </w:rPr>
        <w:t>= £111,000</w:t>
      </w:r>
    </w:p>
    <w:p w14:paraId="3A5E824E" w14:textId="39BD9551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Trade receivable- 17,000</w:t>
      </w:r>
    </w:p>
    <w:p w14:paraId="586FF228" w14:textId="0383B6B1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Trade allowed- 700</w:t>
      </w:r>
    </w:p>
    <w:p w14:paraId="6F044E8F" w14:textId="11E2B2D2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Drawings- 13,000</w:t>
      </w:r>
    </w:p>
    <w:p w14:paraId="40F2EA5F" w14:textId="227BB138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Furniture- 15,000</w:t>
      </w:r>
    </w:p>
    <w:p w14:paraId="7E4A8423" w14:textId="658184AD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Loan- 1,000</w:t>
      </w:r>
    </w:p>
    <w:p w14:paraId="34CBC062" w14:textId="7D28143F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Vehicles- 28,500</w:t>
      </w:r>
    </w:p>
    <w:p w14:paraId="0CB2511E" w14:textId="77777777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</w:p>
    <w:p w14:paraId="6FAC57F5" w14:textId="23F551E2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E45056">
        <w:rPr>
          <w:rFonts w:ascii="Arial" w:hAnsi="Arial" w:cs="Arial"/>
          <w:sz w:val="21"/>
          <w:szCs w:val="21"/>
          <w:u w:val="single"/>
        </w:rPr>
        <w:t>Extra income</w:t>
      </w:r>
    </w:p>
    <w:p w14:paraId="1553191B" w14:textId="2FF6D7A8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</w:p>
    <w:p w14:paraId="2BBC2060" w14:textId="0C80A76B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Debtors- 5,000</w:t>
      </w:r>
    </w:p>
    <w:p w14:paraId="3EA373EF" w14:textId="6EC7EF11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Capital- 25,000</w:t>
      </w:r>
    </w:p>
    <w:p w14:paraId="072B52B8" w14:textId="4073BED6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E45056">
        <w:rPr>
          <w:rFonts w:ascii="Arial" w:hAnsi="Arial" w:cs="Arial"/>
          <w:sz w:val="21"/>
          <w:szCs w:val="21"/>
        </w:rPr>
        <w:t>Depression on furniture- 1,800</w:t>
      </w:r>
      <w:r w:rsidRPr="00E45056">
        <w:rPr>
          <w:rFonts w:ascii="Arial" w:hAnsi="Arial" w:cs="Arial"/>
          <w:sz w:val="21"/>
          <w:szCs w:val="21"/>
        </w:rPr>
        <w:tab/>
      </w:r>
      <w:r w:rsidR="00E45056">
        <w:rPr>
          <w:rFonts w:ascii="Arial" w:hAnsi="Arial" w:cs="Arial"/>
          <w:sz w:val="21"/>
          <w:szCs w:val="21"/>
        </w:rPr>
        <w:tab/>
      </w:r>
      <w:r w:rsidRPr="00E45056">
        <w:rPr>
          <w:rFonts w:ascii="Arial" w:hAnsi="Arial" w:cs="Arial"/>
          <w:sz w:val="21"/>
          <w:szCs w:val="21"/>
        </w:rPr>
        <w:t>=</w:t>
      </w:r>
      <w:r w:rsidRPr="00E45056">
        <w:rPr>
          <w:rFonts w:ascii="Arial" w:hAnsi="Arial" w:cs="Arial"/>
          <w:sz w:val="21"/>
          <w:szCs w:val="21"/>
          <w:u w:val="single"/>
        </w:rPr>
        <w:t>£46,975</w:t>
      </w:r>
    </w:p>
    <w:p w14:paraId="55721C9F" w14:textId="762E3A0F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lastRenderedPageBreak/>
        <w:t>Depression on vehicle- 4,275</w:t>
      </w:r>
    </w:p>
    <w:p w14:paraId="1B238596" w14:textId="1D4CC9AE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Pre-rent- 300</w:t>
      </w:r>
    </w:p>
    <w:p w14:paraId="5C3B13DA" w14:textId="6EEFD493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Discounts- 200</w:t>
      </w:r>
    </w:p>
    <w:p w14:paraId="01BB0B4F" w14:textId="52A9E2F8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Provision-250</w:t>
      </w:r>
    </w:p>
    <w:p w14:paraId="5A753529" w14:textId="7F3A4CC4" w:rsidR="006F76BD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Loan- 10,000</w:t>
      </w:r>
    </w:p>
    <w:p w14:paraId="472B692D" w14:textId="5A4C8FEC" w:rsidR="006F76BD" w:rsidRDefault="006F76BD" w:rsidP="008B4CF4">
      <w:pPr>
        <w:spacing w:line="360" w:lineRule="auto"/>
        <w:rPr>
          <w:rFonts w:ascii="Arial" w:hAnsi="Arial" w:cs="Arial"/>
          <w:sz w:val="21"/>
          <w:szCs w:val="21"/>
        </w:rPr>
      </w:pPr>
      <w:r w:rsidRPr="00E45056">
        <w:rPr>
          <w:rFonts w:ascii="Arial" w:hAnsi="Arial" w:cs="Arial"/>
          <w:sz w:val="21"/>
          <w:szCs w:val="21"/>
        </w:rPr>
        <w:t>Vehicle maintenance- 150</w:t>
      </w:r>
    </w:p>
    <w:p w14:paraId="463A269A" w14:textId="77777777" w:rsidR="00F1336E" w:rsidRPr="00F1336E" w:rsidRDefault="00F1336E" w:rsidP="008B4CF4">
      <w:pPr>
        <w:spacing w:line="360" w:lineRule="auto"/>
        <w:rPr>
          <w:rFonts w:ascii="Arial" w:hAnsi="Arial" w:cs="Arial"/>
          <w:sz w:val="21"/>
          <w:szCs w:val="21"/>
        </w:rPr>
      </w:pPr>
    </w:p>
    <w:p w14:paraId="5CE2C34E" w14:textId="3FE7C1EE" w:rsidR="00E45056" w:rsidRPr="00E45056" w:rsidRDefault="006F76BD" w:rsidP="008B4CF4">
      <w:pPr>
        <w:spacing w:line="360" w:lineRule="auto"/>
        <w:rPr>
          <w:rFonts w:ascii="Arial" w:hAnsi="Arial" w:cs="Arial"/>
          <w:sz w:val="21"/>
          <w:szCs w:val="21"/>
          <w:u w:val="single"/>
        </w:rPr>
      </w:pPr>
      <w:r w:rsidRPr="00E45056">
        <w:rPr>
          <w:rFonts w:ascii="Arial" w:hAnsi="Arial" w:cs="Arial"/>
          <w:sz w:val="21"/>
          <w:szCs w:val="21"/>
        </w:rPr>
        <w:t>Gross profit= £95,000 + 46,975 =</w:t>
      </w:r>
      <w:r w:rsidRPr="00E45056">
        <w:rPr>
          <w:rFonts w:ascii="Arial" w:hAnsi="Arial" w:cs="Arial"/>
          <w:sz w:val="21"/>
          <w:szCs w:val="21"/>
          <w:u w:val="single"/>
        </w:rPr>
        <w:t xml:space="preserve"> £30,975 profit</w:t>
      </w:r>
    </w:p>
    <w:p w14:paraId="53274191" w14:textId="39BE753E" w:rsidR="006F76BD" w:rsidRDefault="006F76BD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Task 1 Part B (25)</w:t>
      </w:r>
    </w:p>
    <w:p w14:paraId="5AA48C7C" w14:textId="3D41B832" w:rsidR="00E45056" w:rsidRDefault="00E45056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252FB46" w14:textId="2A7CADAE" w:rsidR="00D12164" w:rsidRPr="00E45056" w:rsidRDefault="00E45056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E45056">
        <w:rPr>
          <w:rFonts w:ascii="Arial" w:hAnsi="Arial" w:cs="Arial"/>
          <w:sz w:val="22"/>
          <w:szCs w:val="22"/>
        </w:rPr>
        <w:t>Assets = Liability + Equity</w:t>
      </w:r>
    </w:p>
    <w:p w14:paraId="0C1FC468" w14:textId="77777777" w:rsidR="00E45056" w:rsidRDefault="00E45056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0124EDD" w14:textId="5A9A063F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D12164">
        <w:rPr>
          <w:rFonts w:ascii="Arial" w:hAnsi="Arial" w:cs="Arial"/>
          <w:sz w:val="22"/>
          <w:szCs w:val="22"/>
        </w:rPr>
        <w:t>Fixed assets</w:t>
      </w:r>
      <w:r>
        <w:rPr>
          <w:rFonts w:ascii="Arial" w:hAnsi="Arial" w:cs="Arial"/>
          <w:sz w:val="22"/>
          <w:szCs w:val="22"/>
        </w:rPr>
        <w:t>- tangible and intangible assets you own.</w:t>
      </w:r>
    </w:p>
    <w:p w14:paraId="45FECEDA" w14:textId="01DF49E9" w:rsidR="00D12164" w:rsidRDefault="00F1336E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Stock, machinery, equipment</w:t>
      </w:r>
    </w:p>
    <w:p w14:paraId="2F1F7E62" w14:textId="66404C5E" w:rsidR="00F1336E" w:rsidRDefault="00F1336E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BBE9906" w14:textId="5D68A1B0" w:rsidR="00F1336E" w:rsidRDefault="00F1336E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Current assets- bank balance, </w:t>
      </w:r>
    </w:p>
    <w:p w14:paraId="72EF4DB9" w14:textId="77777777" w:rsidR="00F1336E" w:rsidRDefault="00F1336E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4413A00" w14:textId="3D16FD0E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Current assets- debtors, </w:t>
      </w:r>
      <w:r w:rsidR="00E45056">
        <w:rPr>
          <w:rFonts w:ascii="Arial" w:hAnsi="Arial" w:cs="Arial"/>
          <w:sz w:val="22"/>
          <w:szCs w:val="22"/>
        </w:rPr>
        <w:t>cash,</w:t>
      </w:r>
      <w:r>
        <w:rPr>
          <w:rFonts w:ascii="Arial" w:hAnsi="Arial" w:cs="Arial"/>
          <w:sz w:val="22"/>
          <w:szCs w:val="22"/>
        </w:rPr>
        <w:t xml:space="preserve"> and bank</w:t>
      </w:r>
    </w:p>
    <w:p w14:paraId="63E124F2" w14:textId="4F534921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929626F" w14:textId="16409EB1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liabilities- creditors, tax, loans</w:t>
      </w:r>
    </w:p>
    <w:p w14:paraId="24D96DDD" w14:textId="120FC4F1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2030987" w14:textId="33D2611F" w:rsidR="00F1336E" w:rsidRDefault="00F1336E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Equity- Share capital</w:t>
      </w:r>
    </w:p>
    <w:p w14:paraId="28E4C1F2" w14:textId="6AF13907" w:rsidR="00A428BE" w:rsidRDefault="00A428BE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325B2C2" w14:textId="431AE99B" w:rsidR="00A428BE" w:rsidRDefault="00A428BE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Companies are required to prepare a statement of financial position when preparing annual records which are obligated. These are required</w:t>
      </w:r>
      <w:r w:rsidR="007F1ED7">
        <w:rPr>
          <w:rFonts w:ascii="Arial" w:hAnsi="Arial" w:cs="Arial"/>
          <w:sz w:val="22"/>
          <w:szCs w:val="22"/>
        </w:rPr>
        <w:t xml:space="preserve"> internally for shareholders, also</w:t>
      </w:r>
      <w:r>
        <w:rPr>
          <w:rFonts w:ascii="Arial" w:hAnsi="Arial" w:cs="Arial"/>
          <w:sz w:val="22"/>
          <w:szCs w:val="22"/>
        </w:rPr>
        <w:t xml:space="preserve"> HMRC</w:t>
      </w:r>
      <w:r w:rsidR="007F1ED7">
        <w:rPr>
          <w:rFonts w:ascii="Arial" w:hAnsi="Arial" w:cs="Arial"/>
          <w:sz w:val="22"/>
          <w:szCs w:val="22"/>
        </w:rPr>
        <w:t>.</w:t>
      </w:r>
    </w:p>
    <w:p w14:paraId="59201407" w14:textId="53519207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104357F" w14:textId="7B5BF9F8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291A0B9" w14:textId="77CF95F9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1B95735" w14:textId="6E537FDE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45D4BFB" w14:textId="5A38980D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82E0995" w14:textId="29327152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F32289D" w14:textId="124CD000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7D455FC" w14:textId="17F3710D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144C4A7" w14:textId="76393F10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D354785" w14:textId="500572C9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C116F12" w14:textId="43DEEE84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5A7103DC" w14:textId="3CADFAD2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97C1357" w14:textId="27FEF4A2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AFBA06C" w14:textId="22464A92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DA775E9" w14:textId="1C6378A9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F18BF8A" w14:textId="6378EA4C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0C1454B" w14:textId="018C265E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8A888A3" w14:textId="748EC0A9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3820AE8" w14:textId="4EE93554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16EC7B2" w14:textId="11EF969D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F71B930" w14:textId="376C67F3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12164">
        <w:rPr>
          <w:rFonts w:ascii="Arial" w:hAnsi="Arial" w:cs="Arial"/>
          <w:sz w:val="22"/>
          <w:szCs w:val="22"/>
          <w:u w:val="single"/>
        </w:rPr>
        <w:t>Task 2</w:t>
      </w:r>
      <w:r>
        <w:rPr>
          <w:rFonts w:ascii="Arial" w:hAnsi="Arial" w:cs="Arial"/>
          <w:sz w:val="22"/>
          <w:szCs w:val="22"/>
          <w:u w:val="single"/>
        </w:rPr>
        <w:t xml:space="preserve"> Part A</w:t>
      </w:r>
    </w:p>
    <w:p w14:paraId="2FC90162" w14:textId="4D46D8E1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9264" w:type="dxa"/>
        <w:tblLook w:val="04A0" w:firstRow="1" w:lastRow="0" w:firstColumn="1" w:lastColumn="0" w:noHBand="0" w:noVBand="1"/>
      </w:tblPr>
      <w:tblGrid>
        <w:gridCol w:w="4632"/>
        <w:gridCol w:w="4632"/>
      </w:tblGrid>
      <w:tr w:rsidR="00D12164" w14:paraId="6CAB9015" w14:textId="77777777" w:rsidTr="00D12164">
        <w:trPr>
          <w:trHeight w:val="748"/>
        </w:trPr>
        <w:tc>
          <w:tcPr>
            <w:tcW w:w="4632" w:type="dxa"/>
          </w:tcPr>
          <w:p w14:paraId="1ABAF98E" w14:textId="6FD6477D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Debit</w:t>
            </w:r>
            <w:r w:rsidR="00213077">
              <w:rPr>
                <w:rFonts w:ascii="Arial" w:hAnsi="Arial" w:cs="Arial"/>
                <w:sz w:val="22"/>
                <w:szCs w:val="22"/>
              </w:rPr>
              <w:t xml:space="preserve"> £</w:t>
            </w:r>
          </w:p>
        </w:tc>
        <w:tc>
          <w:tcPr>
            <w:tcW w:w="4632" w:type="dxa"/>
          </w:tcPr>
          <w:p w14:paraId="12047D54" w14:textId="25D109E3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</w:t>
            </w:r>
            <w:r w:rsidR="00213077">
              <w:rPr>
                <w:rFonts w:ascii="Arial" w:hAnsi="Arial" w:cs="Arial"/>
                <w:sz w:val="22"/>
                <w:szCs w:val="22"/>
              </w:rPr>
              <w:t xml:space="preserve"> £</w:t>
            </w:r>
          </w:p>
        </w:tc>
      </w:tr>
      <w:tr w:rsidR="00D12164" w14:paraId="093E3F0B" w14:textId="77777777" w:rsidTr="00D12164">
        <w:trPr>
          <w:trHeight w:val="748"/>
        </w:trPr>
        <w:tc>
          <w:tcPr>
            <w:tcW w:w="4632" w:type="dxa"/>
          </w:tcPr>
          <w:p w14:paraId="0CC35FCE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3E3F2426" w14:textId="2B834652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</w:t>
            </w:r>
          </w:p>
        </w:tc>
      </w:tr>
      <w:tr w:rsidR="00D12164" w14:paraId="05E9BBA5" w14:textId="77777777" w:rsidTr="00D12164">
        <w:trPr>
          <w:trHeight w:val="748"/>
        </w:trPr>
        <w:tc>
          <w:tcPr>
            <w:tcW w:w="4632" w:type="dxa"/>
          </w:tcPr>
          <w:p w14:paraId="34052E50" w14:textId="509C2988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1000</w:t>
            </w:r>
          </w:p>
        </w:tc>
        <w:tc>
          <w:tcPr>
            <w:tcW w:w="4632" w:type="dxa"/>
          </w:tcPr>
          <w:p w14:paraId="45CE7812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6EF7AFBC" w14:textId="77777777" w:rsidTr="00D12164">
        <w:trPr>
          <w:trHeight w:val="748"/>
        </w:trPr>
        <w:tc>
          <w:tcPr>
            <w:tcW w:w="4632" w:type="dxa"/>
          </w:tcPr>
          <w:p w14:paraId="72D05BBD" w14:textId="68703ADD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4632" w:type="dxa"/>
          </w:tcPr>
          <w:p w14:paraId="3E5C67B5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7D2C5FAB" w14:textId="77777777" w:rsidTr="00D12164">
        <w:trPr>
          <w:trHeight w:val="748"/>
        </w:trPr>
        <w:tc>
          <w:tcPr>
            <w:tcW w:w="4632" w:type="dxa"/>
          </w:tcPr>
          <w:p w14:paraId="2F1DA6A0" w14:textId="32A7B28B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4632" w:type="dxa"/>
          </w:tcPr>
          <w:p w14:paraId="1F8E0E2F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4839E097" w14:textId="77777777" w:rsidTr="00D12164">
        <w:trPr>
          <w:trHeight w:val="748"/>
        </w:trPr>
        <w:tc>
          <w:tcPr>
            <w:tcW w:w="4632" w:type="dxa"/>
          </w:tcPr>
          <w:p w14:paraId="2A5F27E5" w14:textId="791C139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1F8A50F0" w14:textId="09AA1E32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</w:t>
            </w:r>
          </w:p>
        </w:tc>
      </w:tr>
      <w:tr w:rsidR="00D12164" w14:paraId="762B82BA" w14:textId="77777777" w:rsidTr="00D12164">
        <w:trPr>
          <w:trHeight w:val="748"/>
        </w:trPr>
        <w:tc>
          <w:tcPr>
            <w:tcW w:w="4632" w:type="dxa"/>
          </w:tcPr>
          <w:p w14:paraId="6F453FCE" w14:textId="3F915D1B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350</w:t>
            </w:r>
          </w:p>
        </w:tc>
        <w:tc>
          <w:tcPr>
            <w:tcW w:w="4632" w:type="dxa"/>
          </w:tcPr>
          <w:p w14:paraId="4EADA1F8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69EBBCF3" w14:textId="77777777" w:rsidTr="00D12164">
        <w:trPr>
          <w:trHeight w:val="748"/>
        </w:trPr>
        <w:tc>
          <w:tcPr>
            <w:tcW w:w="4632" w:type="dxa"/>
          </w:tcPr>
          <w:p w14:paraId="7E431F64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7018290D" w14:textId="093E43CC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2600</w:t>
            </w:r>
          </w:p>
        </w:tc>
      </w:tr>
      <w:tr w:rsidR="00D12164" w14:paraId="07C63C21" w14:textId="77777777" w:rsidTr="00D12164">
        <w:trPr>
          <w:trHeight w:val="748"/>
        </w:trPr>
        <w:tc>
          <w:tcPr>
            <w:tcW w:w="4632" w:type="dxa"/>
          </w:tcPr>
          <w:p w14:paraId="13BC9F68" w14:textId="56B79D4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450</w:t>
            </w:r>
          </w:p>
        </w:tc>
        <w:tc>
          <w:tcPr>
            <w:tcW w:w="4632" w:type="dxa"/>
          </w:tcPr>
          <w:p w14:paraId="463C0630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60A4B9B1" w14:textId="77777777" w:rsidTr="00D12164">
        <w:trPr>
          <w:trHeight w:val="748"/>
        </w:trPr>
        <w:tc>
          <w:tcPr>
            <w:tcW w:w="4632" w:type="dxa"/>
          </w:tcPr>
          <w:p w14:paraId="5AFD658D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462DA877" w14:textId="1D85D2EC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1200</w:t>
            </w:r>
          </w:p>
        </w:tc>
      </w:tr>
      <w:tr w:rsidR="00D12164" w14:paraId="17AFD60D" w14:textId="77777777" w:rsidTr="00D12164">
        <w:trPr>
          <w:trHeight w:val="748"/>
        </w:trPr>
        <w:tc>
          <w:tcPr>
            <w:tcW w:w="4632" w:type="dxa"/>
          </w:tcPr>
          <w:p w14:paraId="2A749AB0" w14:textId="441E232D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565F0E2E" w14:textId="0339700F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</w:t>
            </w:r>
          </w:p>
        </w:tc>
      </w:tr>
      <w:tr w:rsidR="00D12164" w14:paraId="38D7CE69" w14:textId="77777777" w:rsidTr="00D12164">
        <w:trPr>
          <w:trHeight w:val="748"/>
        </w:trPr>
        <w:tc>
          <w:tcPr>
            <w:tcW w:w="4632" w:type="dxa"/>
          </w:tcPr>
          <w:p w14:paraId="4FB3744F" w14:textId="2201616D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4632" w:type="dxa"/>
          </w:tcPr>
          <w:p w14:paraId="3281CE65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6DE7E8E3" w14:textId="77777777" w:rsidTr="00D12164">
        <w:trPr>
          <w:trHeight w:val="748"/>
        </w:trPr>
        <w:tc>
          <w:tcPr>
            <w:tcW w:w="4632" w:type="dxa"/>
          </w:tcPr>
          <w:p w14:paraId="11453955" w14:textId="4498BC15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4632" w:type="dxa"/>
          </w:tcPr>
          <w:p w14:paraId="27B53611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164" w14:paraId="143B065B" w14:textId="77777777" w:rsidTr="00D12164">
        <w:trPr>
          <w:trHeight w:val="748"/>
        </w:trPr>
        <w:tc>
          <w:tcPr>
            <w:tcW w:w="4632" w:type="dxa"/>
          </w:tcPr>
          <w:p w14:paraId="74DE4DF0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4C620C02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8000</w:t>
            </w:r>
          </w:p>
          <w:p w14:paraId="1D220569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Depreciation value at 30%</w:t>
            </w:r>
          </w:p>
          <w:p w14:paraId="0F60EB99" w14:textId="6D7CF38B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 loss of £6,000</w:t>
            </w:r>
          </w:p>
        </w:tc>
      </w:tr>
      <w:tr w:rsidR="00D12164" w14:paraId="28C744ED" w14:textId="77777777" w:rsidTr="00D12164">
        <w:trPr>
          <w:trHeight w:val="748"/>
        </w:trPr>
        <w:tc>
          <w:tcPr>
            <w:tcW w:w="4632" w:type="dxa"/>
          </w:tcPr>
          <w:p w14:paraId="376F8642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32" w:type="dxa"/>
          </w:tcPr>
          <w:p w14:paraId="4C7E6A77" w14:textId="504E2746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6000</w:t>
            </w:r>
          </w:p>
        </w:tc>
      </w:tr>
      <w:tr w:rsidR="00D12164" w14:paraId="743C46D5" w14:textId="77777777" w:rsidTr="00D12164">
        <w:trPr>
          <w:trHeight w:val="748"/>
        </w:trPr>
        <w:tc>
          <w:tcPr>
            <w:tcW w:w="4632" w:type="dxa"/>
          </w:tcPr>
          <w:p w14:paraId="7FAC0EF0" w14:textId="21B62615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1200</w:t>
            </w:r>
          </w:p>
        </w:tc>
        <w:tc>
          <w:tcPr>
            <w:tcW w:w="4632" w:type="dxa"/>
          </w:tcPr>
          <w:p w14:paraId="06C5FB09" w14:textId="77777777" w:rsidR="00D12164" w:rsidRDefault="00D12164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FB0622" w14:textId="63DFCA3F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B5EABD4" w14:textId="23D8402F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= </w:t>
      </w:r>
      <w:r w:rsidR="00213077">
        <w:rPr>
          <w:rFonts w:ascii="Arial" w:hAnsi="Arial" w:cs="Arial"/>
          <w:sz w:val="22"/>
          <w:szCs w:val="22"/>
        </w:rPr>
        <w:t>£</w:t>
      </w:r>
      <w:r>
        <w:rPr>
          <w:rFonts w:ascii="Arial" w:hAnsi="Arial" w:cs="Arial"/>
          <w:sz w:val="22"/>
          <w:szCs w:val="22"/>
        </w:rPr>
        <w:t>6500 debit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=</w:t>
      </w:r>
      <w:r w:rsidR="00213077">
        <w:rPr>
          <w:rFonts w:ascii="Arial" w:hAnsi="Arial" w:cs="Arial"/>
          <w:sz w:val="22"/>
          <w:szCs w:val="22"/>
        </w:rPr>
        <w:t xml:space="preserve"> £</w:t>
      </w:r>
      <w:r>
        <w:rPr>
          <w:rFonts w:ascii="Arial" w:hAnsi="Arial" w:cs="Arial"/>
          <w:sz w:val="22"/>
          <w:szCs w:val="22"/>
        </w:rPr>
        <w:t>23,900 credit</w:t>
      </w:r>
    </w:p>
    <w:p w14:paraId="7CFE8FB5" w14:textId="4CDBFAFB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E383C23" w14:textId="49C71C2F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12164">
        <w:rPr>
          <w:rFonts w:ascii="Arial" w:hAnsi="Arial" w:cs="Arial"/>
          <w:sz w:val="22"/>
          <w:szCs w:val="22"/>
          <w:u w:val="single"/>
        </w:rPr>
        <w:t>Task 2 Part B</w:t>
      </w:r>
    </w:p>
    <w:p w14:paraId="76911D6C" w14:textId="3822BD15" w:rsidR="00D12164" w:rsidRDefault="00D12164" w:rsidP="008B4CF4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10093" w:type="dxa"/>
        <w:tblLook w:val="04A0" w:firstRow="1" w:lastRow="0" w:firstColumn="1" w:lastColumn="0" w:noHBand="0" w:noVBand="1"/>
      </w:tblPr>
      <w:tblGrid>
        <w:gridCol w:w="3364"/>
        <w:gridCol w:w="3364"/>
        <w:gridCol w:w="3365"/>
      </w:tblGrid>
      <w:tr w:rsidR="00213077" w14:paraId="5C41F759" w14:textId="77777777" w:rsidTr="00213077">
        <w:trPr>
          <w:trHeight w:val="625"/>
        </w:trPr>
        <w:tc>
          <w:tcPr>
            <w:tcW w:w="3364" w:type="dxa"/>
          </w:tcPr>
          <w:p w14:paraId="2CFD4ECA" w14:textId="6C881F49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Account title</w:t>
            </w:r>
          </w:p>
        </w:tc>
        <w:tc>
          <w:tcPr>
            <w:tcW w:w="3364" w:type="dxa"/>
          </w:tcPr>
          <w:p w14:paraId="0CC45B60" w14:textId="5F7519A3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Debit £</w:t>
            </w:r>
          </w:p>
        </w:tc>
        <w:tc>
          <w:tcPr>
            <w:tcW w:w="3365" w:type="dxa"/>
          </w:tcPr>
          <w:p w14:paraId="63F229FF" w14:textId="39DDFCC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 £</w:t>
            </w:r>
          </w:p>
        </w:tc>
      </w:tr>
      <w:tr w:rsidR="00213077" w14:paraId="7DE6D585" w14:textId="77777777" w:rsidTr="00213077">
        <w:trPr>
          <w:trHeight w:val="625"/>
        </w:trPr>
        <w:tc>
          <w:tcPr>
            <w:tcW w:w="3364" w:type="dxa"/>
          </w:tcPr>
          <w:p w14:paraId="69BAF7C2" w14:textId="775CAEA8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Purchases</w:t>
            </w:r>
          </w:p>
        </w:tc>
        <w:tc>
          <w:tcPr>
            <w:tcW w:w="3364" w:type="dxa"/>
          </w:tcPr>
          <w:p w14:paraId="44BFB2EE" w14:textId="0B0D524A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3,800</w:t>
            </w:r>
          </w:p>
        </w:tc>
        <w:tc>
          <w:tcPr>
            <w:tcW w:w="3365" w:type="dxa"/>
          </w:tcPr>
          <w:p w14:paraId="09402C0E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077" w14:paraId="0767F0FE" w14:textId="77777777" w:rsidTr="00213077">
        <w:trPr>
          <w:trHeight w:val="625"/>
        </w:trPr>
        <w:tc>
          <w:tcPr>
            <w:tcW w:w="3364" w:type="dxa"/>
          </w:tcPr>
          <w:p w14:paraId="1B9A579D" w14:textId="4E6A3D03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Bank balance</w:t>
            </w:r>
          </w:p>
        </w:tc>
        <w:tc>
          <w:tcPr>
            <w:tcW w:w="3364" w:type="dxa"/>
          </w:tcPr>
          <w:p w14:paraId="0B1FE519" w14:textId="325197B9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14,800</w:t>
            </w:r>
          </w:p>
        </w:tc>
        <w:tc>
          <w:tcPr>
            <w:tcW w:w="3365" w:type="dxa"/>
          </w:tcPr>
          <w:p w14:paraId="61A4B95C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077" w14:paraId="7154722A" w14:textId="77777777" w:rsidTr="00213077">
        <w:trPr>
          <w:trHeight w:val="625"/>
        </w:trPr>
        <w:tc>
          <w:tcPr>
            <w:tcW w:w="3364" w:type="dxa"/>
          </w:tcPr>
          <w:p w14:paraId="3994E956" w14:textId="2CD825B9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Capital</w:t>
            </w:r>
          </w:p>
        </w:tc>
        <w:tc>
          <w:tcPr>
            <w:tcW w:w="3364" w:type="dxa"/>
          </w:tcPr>
          <w:p w14:paraId="20C85066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65" w:type="dxa"/>
          </w:tcPr>
          <w:p w14:paraId="3FC12FD2" w14:textId="4FBF94DE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30,700</w:t>
            </w:r>
          </w:p>
        </w:tc>
      </w:tr>
      <w:tr w:rsidR="00213077" w14:paraId="68DD87D8" w14:textId="77777777" w:rsidTr="00213077">
        <w:trPr>
          <w:trHeight w:val="625"/>
        </w:trPr>
        <w:tc>
          <w:tcPr>
            <w:tcW w:w="3364" w:type="dxa"/>
          </w:tcPr>
          <w:p w14:paraId="4FAC9E28" w14:textId="22258BB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Salaries</w:t>
            </w:r>
          </w:p>
        </w:tc>
        <w:tc>
          <w:tcPr>
            <w:tcW w:w="3364" w:type="dxa"/>
          </w:tcPr>
          <w:p w14:paraId="2C3C49C3" w14:textId="41B9F22C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</w:t>
            </w:r>
          </w:p>
        </w:tc>
        <w:tc>
          <w:tcPr>
            <w:tcW w:w="3365" w:type="dxa"/>
          </w:tcPr>
          <w:p w14:paraId="1FE68087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077" w14:paraId="200F6701" w14:textId="77777777" w:rsidTr="00213077">
        <w:trPr>
          <w:trHeight w:val="625"/>
        </w:trPr>
        <w:tc>
          <w:tcPr>
            <w:tcW w:w="3364" w:type="dxa"/>
          </w:tcPr>
          <w:p w14:paraId="15B14A47" w14:textId="0E5BD525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payables</w:t>
            </w:r>
          </w:p>
        </w:tc>
        <w:tc>
          <w:tcPr>
            <w:tcW w:w="3364" w:type="dxa"/>
          </w:tcPr>
          <w:p w14:paraId="4D7B5358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65" w:type="dxa"/>
          </w:tcPr>
          <w:p w14:paraId="0F3930BC" w14:textId="1F22B6F3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3,200</w:t>
            </w:r>
          </w:p>
        </w:tc>
      </w:tr>
      <w:tr w:rsidR="00213077" w14:paraId="6871E5BC" w14:textId="77777777" w:rsidTr="00213077">
        <w:trPr>
          <w:trHeight w:val="625"/>
        </w:trPr>
        <w:tc>
          <w:tcPr>
            <w:tcW w:w="3364" w:type="dxa"/>
          </w:tcPr>
          <w:p w14:paraId="09EF4884" w14:textId="3C7744C8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Trade receivables </w:t>
            </w:r>
          </w:p>
        </w:tc>
        <w:tc>
          <w:tcPr>
            <w:tcW w:w="3364" w:type="dxa"/>
          </w:tcPr>
          <w:p w14:paraId="3BBD9771" w14:textId="2B4ABCE8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10,600</w:t>
            </w:r>
          </w:p>
        </w:tc>
        <w:tc>
          <w:tcPr>
            <w:tcW w:w="3365" w:type="dxa"/>
          </w:tcPr>
          <w:p w14:paraId="73679952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077" w14:paraId="3C9B957B" w14:textId="77777777" w:rsidTr="00213077">
        <w:trPr>
          <w:trHeight w:val="625"/>
        </w:trPr>
        <w:tc>
          <w:tcPr>
            <w:tcW w:w="3364" w:type="dxa"/>
          </w:tcPr>
          <w:p w14:paraId="74873C61" w14:textId="7083D770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</w:p>
        </w:tc>
        <w:tc>
          <w:tcPr>
            <w:tcW w:w="3364" w:type="dxa"/>
          </w:tcPr>
          <w:p w14:paraId="03244257" w14:textId="77777777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65" w:type="dxa"/>
          </w:tcPr>
          <w:p w14:paraId="2111A2B4" w14:textId="4BC41EEC" w:rsidR="00213077" w:rsidRDefault="00213077" w:rsidP="008B4C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8,000</w:t>
            </w:r>
          </w:p>
        </w:tc>
      </w:tr>
    </w:tbl>
    <w:p w14:paraId="27BCAA6B" w14:textId="73C7E897" w:rsidR="00D12164" w:rsidRDefault="00213077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= £30,000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=£41,900</w:t>
      </w:r>
    </w:p>
    <w:p w14:paraId="5732D62D" w14:textId="544F56C9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2C14014" w14:textId="4AC3F7B0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5B01EC29" w14:textId="73CDCDD6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95E8EFE" w14:textId="7BA070AD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550F84D9" w14:textId="4F68572B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0E4DA65" w14:textId="169B435D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5D740533" w14:textId="46F85B21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0CCE684" w14:textId="0FB43484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F4F6846" w14:textId="7460015F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2217F57" w14:textId="7A1F00BF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26C9EEB" w14:textId="6C1956D7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3255C29" w14:textId="6B4D53A7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08F27CE" w14:textId="5EF6C04F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B3C7290" w14:textId="1903CC51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1C1F646" w14:textId="4911B3C5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472A6C53" w14:textId="418A8B3D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B0C69E4" w14:textId="26473BA7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5C837D5" w14:textId="3D12A8C4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0FE13E7F" w14:textId="4F275910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390AD3B" w14:textId="714736B2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Task 3</w:t>
      </w:r>
    </w:p>
    <w:p w14:paraId="540A4ACA" w14:textId="29E4189A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161347DF" w14:textId="72B9EDB1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 xml:space="preserve">Going concern is an accountancy term used to identify if a company has </w:t>
      </w:r>
      <w:r>
        <w:rPr>
          <w:rFonts w:ascii="Arial" w:hAnsi="Arial" w:cs="Arial"/>
          <w:sz w:val="22"/>
          <w:szCs w:val="22"/>
        </w:rPr>
        <w:t>‘</w:t>
      </w:r>
      <w:r w:rsidRPr="008B4CF4">
        <w:rPr>
          <w:rFonts w:ascii="Arial" w:hAnsi="Arial" w:cs="Arial"/>
          <w:sz w:val="22"/>
          <w:szCs w:val="22"/>
        </w:rPr>
        <w:t>the</w:t>
      </w:r>
    </w:p>
    <w:p w14:paraId="7CB90030" w14:textId="77777777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resources which are required to operate indefinitely until it provides evidence</w:t>
      </w:r>
    </w:p>
    <w:p w14:paraId="71904059" w14:textId="42DA564A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to the contrary.</w:t>
      </w:r>
      <w:r>
        <w:rPr>
          <w:rFonts w:ascii="Arial" w:hAnsi="Arial" w:cs="Arial"/>
          <w:sz w:val="22"/>
          <w:szCs w:val="22"/>
        </w:rPr>
        <w:t>’</w:t>
      </w:r>
      <w:r w:rsidRPr="008B4CF4">
        <w:rPr>
          <w:rFonts w:ascii="Arial" w:hAnsi="Arial" w:cs="Arial"/>
          <w:sz w:val="22"/>
          <w:szCs w:val="22"/>
        </w:rPr>
        <w:t xml:space="preserve"> It </w:t>
      </w:r>
      <w:r>
        <w:rPr>
          <w:rFonts w:ascii="Arial" w:hAnsi="Arial" w:cs="Arial"/>
          <w:sz w:val="22"/>
          <w:szCs w:val="22"/>
        </w:rPr>
        <w:t>enables</w:t>
      </w:r>
      <w:r w:rsidRPr="008B4CF4">
        <w:rPr>
          <w:rFonts w:ascii="Arial" w:hAnsi="Arial" w:cs="Arial"/>
          <w:sz w:val="22"/>
          <w:szCs w:val="22"/>
        </w:rPr>
        <w:t xml:space="preserve"> enough money</w:t>
      </w:r>
      <w:r>
        <w:rPr>
          <w:rFonts w:ascii="Arial" w:hAnsi="Arial" w:cs="Arial"/>
          <w:sz w:val="22"/>
          <w:szCs w:val="22"/>
        </w:rPr>
        <w:t xml:space="preserve"> to be made</w:t>
      </w:r>
      <w:r w:rsidRPr="008B4CF4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 xml:space="preserve">to </w:t>
      </w:r>
      <w:r w:rsidRPr="008B4CF4">
        <w:rPr>
          <w:rFonts w:ascii="Arial" w:hAnsi="Arial" w:cs="Arial"/>
          <w:sz w:val="22"/>
          <w:szCs w:val="22"/>
        </w:rPr>
        <w:t>avoid bankruptcy</w:t>
      </w:r>
      <w:r>
        <w:rPr>
          <w:rFonts w:ascii="Arial" w:hAnsi="Arial" w:cs="Arial"/>
          <w:sz w:val="22"/>
          <w:szCs w:val="22"/>
        </w:rPr>
        <w:t xml:space="preserve"> for the next 12 months. </w:t>
      </w:r>
      <w:r w:rsidRPr="008B4CF4">
        <w:rPr>
          <w:rFonts w:ascii="Arial" w:hAnsi="Arial" w:cs="Arial"/>
          <w:sz w:val="22"/>
          <w:szCs w:val="22"/>
        </w:rPr>
        <w:t xml:space="preserve"> Going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>concern prepares the financial statements on a going concern basis when,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>under the going concern assumption the entity is viewed as being able to</w:t>
      </w:r>
    </w:p>
    <w:p w14:paraId="46018B72" w14:textId="77777777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continue in business for the foreseeable future and will not be liquidated or be</w:t>
      </w:r>
    </w:p>
    <w:p w14:paraId="610A952D" w14:textId="359991F1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 xml:space="preserve">compelled to discontinue operations. </w:t>
      </w:r>
      <w:r>
        <w:rPr>
          <w:rFonts w:ascii="Arial" w:hAnsi="Arial" w:cs="Arial"/>
          <w:sz w:val="22"/>
          <w:szCs w:val="22"/>
        </w:rPr>
        <w:t xml:space="preserve">If a company isn’t going concern, they are more prone to being unsuccessful. </w:t>
      </w:r>
      <w:r w:rsidRPr="008B4CF4">
        <w:rPr>
          <w:rFonts w:ascii="Arial" w:hAnsi="Arial" w:cs="Arial"/>
          <w:sz w:val="22"/>
          <w:szCs w:val="22"/>
        </w:rPr>
        <w:t>The going concern method allows you to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>determine how a company should reduce their expenses and if needing to sell</w:t>
      </w:r>
      <w:r>
        <w:rPr>
          <w:rFonts w:ascii="Arial" w:hAnsi="Arial" w:cs="Arial"/>
          <w:sz w:val="22"/>
          <w:szCs w:val="22"/>
        </w:rPr>
        <w:t xml:space="preserve"> its</w:t>
      </w:r>
      <w:r w:rsidRPr="008B4CF4">
        <w:rPr>
          <w:rFonts w:ascii="Arial" w:hAnsi="Arial" w:cs="Arial"/>
          <w:sz w:val="22"/>
          <w:szCs w:val="22"/>
        </w:rPr>
        <w:t xml:space="preserve"> assets. It allowed preparation time for companies to defer some pre</w:t>
      </w:r>
      <w:r>
        <w:rPr>
          <w:rFonts w:ascii="Arial" w:hAnsi="Arial" w:cs="Arial"/>
          <w:sz w:val="22"/>
          <w:szCs w:val="22"/>
        </w:rPr>
        <w:t>-</w:t>
      </w:r>
      <w:r w:rsidRPr="008B4CF4">
        <w:rPr>
          <w:rFonts w:ascii="Arial" w:hAnsi="Arial" w:cs="Arial"/>
          <w:sz w:val="22"/>
          <w:szCs w:val="22"/>
        </w:rPr>
        <w:t>paid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 xml:space="preserve">payments until the future accounting periods, allowing </w:t>
      </w:r>
      <w:r>
        <w:rPr>
          <w:rFonts w:ascii="Arial" w:hAnsi="Arial" w:cs="Arial"/>
          <w:sz w:val="22"/>
          <w:szCs w:val="22"/>
        </w:rPr>
        <w:t xml:space="preserve">them </w:t>
      </w:r>
      <w:r w:rsidRPr="008B4CF4">
        <w:rPr>
          <w:rFonts w:ascii="Arial" w:hAnsi="Arial" w:cs="Arial"/>
          <w:sz w:val="22"/>
          <w:szCs w:val="22"/>
        </w:rPr>
        <w:t>to efficiently utilise the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>assets if need</w:t>
      </w:r>
      <w:r>
        <w:rPr>
          <w:rFonts w:ascii="Arial" w:hAnsi="Arial" w:cs="Arial"/>
          <w:sz w:val="22"/>
          <w:szCs w:val="22"/>
        </w:rPr>
        <w:t>ed</w:t>
      </w:r>
      <w:r w:rsidRPr="008B4CF4">
        <w:rPr>
          <w:rFonts w:ascii="Arial" w:hAnsi="Arial" w:cs="Arial"/>
          <w:sz w:val="22"/>
          <w:szCs w:val="22"/>
        </w:rPr>
        <w:t xml:space="preserve">. The going concern theory allows you to have an insight </w:t>
      </w:r>
      <w:r>
        <w:rPr>
          <w:rFonts w:ascii="Arial" w:hAnsi="Arial" w:cs="Arial"/>
          <w:sz w:val="22"/>
          <w:szCs w:val="22"/>
        </w:rPr>
        <w:t>into</w:t>
      </w:r>
      <w:r w:rsidRPr="008B4CF4">
        <w:rPr>
          <w:rFonts w:ascii="Arial" w:hAnsi="Arial" w:cs="Arial"/>
          <w:sz w:val="22"/>
          <w:szCs w:val="22"/>
        </w:rPr>
        <w:t xml:space="preserve"> what profit and losses have been recorded for that year and prepares you </w:t>
      </w:r>
      <w:r>
        <w:rPr>
          <w:rFonts w:ascii="Arial" w:hAnsi="Arial" w:cs="Arial"/>
          <w:sz w:val="22"/>
          <w:szCs w:val="22"/>
        </w:rPr>
        <w:t xml:space="preserve">for </w:t>
      </w:r>
      <w:r w:rsidRPr="008B4CF4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 xml:space="preserve"> </w:t>
      </w:r>
      <w:r w:rsidRPr="008B4CF4">
        <w:rPr>
          <w:rFonts w:ascii="Arial" w:hAnsi="Arial" w:cs="Arial"/>
          <w:sz w:val="22"/>
          <w:szCs w:val="22"/>
        </w:rPr>
        <w:t>foreseeable future allowing you to make necessary changes where required.</w:t>
      </w:r>
    </w:p>
    <w:p w14:paraId="6F40F8C6" w14:textId="77777777" w:rsidR="00C61B4A" w:rsidRPr="008B4CF4" w:rsidRDefault="00C61B4A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6E09DB6D" w14:textId="77777777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To ensure that the going concern concept is carried out successfully, is it</w:t>
      </w:r>
    </w:p>
    <w:p w14:paraId="0B33DD03" w14:textId="76A56595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important to consider some main factors to ensure productivity such as</w:t>
      </w:r>
    </w:p>
    <w:p w14:paraId="5FB26BAB" w14:textId="6ADB35A2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 xml:space="preserve">demand </w:t>
      </w:r>
      <w:r>
        <w:rPr>
          <w:rFonts w:ascii="Arial" w:hAnsi="Arial" w:cs="Arial"/>
          <w:sz w:val="22"/>
          <w:szCs w:val="22"/>
        </w:rPr>
        <w:t>for</w:t>
      </w:r>
      <w:r w:rsidRPr="008B4CF4">
        <w:rPr>
          <w:rFonts w:ascii="Arial" w:hAnsi="Arial" w:cs="Arial"/>
          <w:sz w:val="22"/>
          <w:szCs w:val="22"/>
        </w:rPr>
        <w:t xml:space="preserve"> the service or product, profitability, and no changes in the current</w:t>
      </w:r>
    </w:p>
    <w:p w14:paraId="5AD96612" w14:textId="10F27901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law. The importan</w:t>
      </w:r>
      <w:r>
        <w:rPr>
          <w:rFonts w:ascii="Arial" w:hAnsi="Arial" w:cs="Arial"/>
          <w:sz w:val="22"/>
          <w:szCs w:val="22"/>
        </w:rPr>
        <w:t>ce</w:t>
      </w:r>
      <w:r w:rsidRPr="008B4CF4">
        <w:rPr>
          <w:rFonts w:ascii="Arial" w:hAnsi="Arial" w:cs="Arial"/>
          <w:sz w:val="22"/>
          <w:szCs w:val="22"/>
        </w:rPr>
        <w:t xml:space="preserve"> of going concern is that it is a crucial assumption which has</w:t>
      </w:r>
    </w:p>
    <w:p w14:paraId="612DB068" w14:textId="77777777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been made based on the business valuation. It influences business theories</w:t>
      </w:r>
    </w:p>
    <w:p w14:paraId="30D566E4" w14:textId="2E4B3239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 xml:space="preserve">strategies, </w:t>
      </w:r>
      <w:r>
        <w:rPr>
          <w:rFonts w:ascii="Arial" w:hAnsi="Arial" w:cs="Arial"/>
          <w:sz w:val="22"/>
          <w:szCs w:val="22"/>
        </w:rPr>
        <w:t xml:space="preserve">and </w:t>
      </w:r>
      <w:r w:rsidRPr="008B4CF4">
        <w:rPr>
          <w:rFonts w:ascii="Arial" w:hAnsi="Arial" w:cs="Arial"/>
          <w:sz w:val="22"/>
          <w:szCs w:val="22"/>
        </w:rPr>
        <w:t>investment decisions alongside financial element</w:t>
      </w:r>
      <w:r>
        <w:rPr>
          <w:rFonts w:ascii="Arial" w:hAnsi="Arial" w:cs="Arial"/>
          <w:sz w:val="22"/>
          <w:szCs w:val="22"/>
        </w:rPr>
        <w:t>s</w:t>
      </w:r>
      <w:r w:rsidRPr="008B4CF4">
        <w:rPr>
          <w:rFonts w:ascii="Arial" w:hAnsi="Arial" w:cs="Arial"/>
          <w:sz w:val="22"/>
          <w:szCs w:val="22"/>
        </w:rPr>
        <w:t>. If a business</w:t>
      </w:r>
    </w:p>
    <w:p w14:paraId="05D8FBE5" w14:textId="77777777" w:rsidR="008B4CF4" w:rsidRP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is not going concern, this does hold a huge impact on its ability to secure</w:t>
      </w:r>
    </w:p>
    <w:p w14:paraId="2E909108" w14:textId="11E4AC84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funding in the future or any investments.</w:t>
      </w:r>
    </w:p>
    <w:p w14:paraId="552D501B" w14:textId="4667005D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7885C07B" w14:textId="3E362093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D8C84D7" w14:textId="52D0F2FD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506A74E" w14:textId="5B4D3B8B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34A9872" w14:textId="4FC71D23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24B5ABBF" w14:textId="3DDD8FD6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</w:t>
      </w:r>
    </w:p>
    <w:p w14:paraId="77E3DA3B" w14:textId="7B38134C" w:rsidR="008B4CF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</w:p>
    <w:p w14:paraId="31495334" w14:textId="6A468784" w:rsidR="008B4CF4" w:rsidRPr="00D12164" w:rsidRDefault="008B4CF4" w:rsidP="008B4CF4">
      <w:pPr>
        <w:spacing w:line="360" w:lineRule="auto"/>
        <w:rPr>
          <w:rFonts w:ascii="Arial" w:hAnsi="Arial" w:cs="Arial"/>
          <w:sz w:val="22"/>
          <w:szCs w:val="22"/>
        </w:rPr>
      </w:pPr>
      <w:r w:rsidRPr="008B4CF4">
        <w:rPr>
          <w:rFonts w:ascii="Arial" w:hAnsi="Arial" w:cs="Arial"/>
          <w:sz w:val="22"/>
          <w:szCs w:val="22"/>
        </w:rPr>
        <w:t>Kenton, W. (2021). Going Concern. [online] Investopedia. Available at: https://www.investopedia.com/terms/g/goingconcern.asp#:~:text=Key%20Takeaways-.</w:t>
      </w:r>
    </w:p>
    <w:sectPr w:rsidR="008B4CF4" w:rsidRPr="00D121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6BD"/>
    <w:rsid w:val="00213077"/>
    <w:rsid w:val="00353102"/>
    <w:rsid w:val="005859F1"/>
    <w:rsid w:val="00616010"/>
    <w:rsid w:val="006F76BD"/>
    <w:rsid w:val="007F1ED7"/>
    <w:rsid w:val="00815172"/>
    <w:rsid w:val="00843F8E"/>
    <w:rsid w:val="008B4CF4"/>
    <w:rsid w:val="009E409B"/>
    <w:rsid w:val="00A17F67"/>
    <w:rsid w:val="00A428BE"/>
    <w:rsid w:val="00C61B4A"/>
    <w:rsid w:val="00CA6FEC"/>
    <w:rsid w:val="00D12164"/>
    <w:rsid w:val="00E45056"/>
    <w:rsid w:val="00F1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062926"/>
  <w15:chartTrackingRefBased/>
  <w15:docId w15:val="{59DBE5F4-5137-DA49-92CF-731D4EFF4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Sam</dc:creator>
  <cp:keywords/>
  <dc:description/>
  <cp:lastModifiedBy>sameena hassan</cp:lastModifiedBy>
  <cp:revision>2</cp:revision>
  <dcterms:created xsi:type="dcterms:W3CDTF">2024-03-03T13:43:00Z</dcterms:created>
  <dcterms:modified xsi:type="dcterms:W3CDTF">2024-03-03T13:43:00Z</dcterms:modified>
</cp:coreProperties>
</file>