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AAA30AF" wp14:paraId="2C078E63" wp14:textId="51C0E13F">
      <w:pPr>
        <w:spacing w:line="360" w:lineRule="auto"/>
        <w:jc w:val="center"/>
        <w:rPr>
          <w:rFonts w:ascii="Arial" w:hAnsi="Arial" w:eastAsia="Arial" w:cs="Arial"/>
          <w:b w:val="1"/>
          <w:bCs w:val="1"/>
          <w:sz w:val="22"/>
          <w:szCs w:val="22"/>
        </w:rPr>
      </w:pPr>
      <w:r w:rsidRPr="2AAA30AF" w:rsidR="2661F565">
        <w:rPr>
          <w:rFonts w:ascii="Arial" w:hAnsi="Arial" w:eastAsia="Arial" w:cs="Arial"/>
          <w:b w:val="1"/>
          <w:bCs w:val="1"/>
          <w:sz w:val="22"/>
          <w:szCs w:val="22"/>
        </w:rPr>
        <w:t xml:space="preserve">BSc Health and </w:t>
      </w:r>
      <w:r w:rsidRPr="2AAA30AF" w:rsidR="2661F565">
        <w:rPr>
          <w:rFonts w:ascii="Arial" w:hAnsi="Arial" w:eastAsia="Arial" w:cs="Arial"/>
          <w:b w:val="1"/>
          <w:bCs w:val="1"/>
          <w:sz w:val="22"/>
          <w:szCs w:val="22"/>
        </w:rPr>
        <w:t>Social Care</w:t>
      </w:r>
      <w:r w:rsidRPr="2AAA30AF" w:rsidR="2661F565">
        <w:rPr>
          <w:rFonts w:ascii="Arial" w:hAnsi="Arial" w:eastAsia="Arial" w:cs="Arial"/>
          <w:b w:val="1"/>
          <w:bCs w:val="1"/>
          <w:sz w:val="22"/>
          <w:szCs w:val="22"/>
        </w:rPr>
        <w:t xml:space="preserve"> </w:t>
      </w:r>
    </w:p>
    <w:p w:rsidR="2661F565" w:rsidP="2AAA30AF" w:rsidRDefault="2661F565" w14:paraId="0BE5BA84" w14:textId="2B5C8402">
      <w:pPr>
        <w:spacing w:line="360" w:lineRule="auto"/>
        <w:jc w:val="center"/>
        <w:rPr>
          <w:rFonts w:ascii="Arial" w:hAnsi="Arial" w:eastAsia="Arial" w:cs="Arial"/>
          <w:b w:val="1"/>
          <w:bCs w:val="1"/>
          <w:sz w:val="22"/>
          <w:szCs w:val="22"/>
        </w:rPr>
      </w:pPr>
      <w:r w:rsidRPr="2AAA30AF" w:rsidR="2661F565">
        <w:rPr>
          <w:rFonts w:ascii="Arial" w:hAnsi="Arial" w:eastAsia="Arial" w:cs="Arial"/>
          <w:b w:val="1"/>
          <w:bCs w:val="1"/>
          <w:sz w:val="22"/>
          <w:szCs w:val="22"/>
        </w:rPr>
        <w:t>Protecting and Supporting in Health and Social Care</w:t>
      </w:r>
    </w:p>
    <w:p w:rsidR="2661F565" w:rsidP="2AAA30AF" w:rsidRDefault="2661F565" w14:paraId="3D01FEAA" w14:textId="69A01A0F">
      <w:pPr>
        <w:spacing w:line="360" w:lineRule="auto"/>
        <w:jc w:val="center"/>
        <w:rPr>
          <w:rFonts w:ascii="Arial" w:hAnsi="Arial" w:eastAsia="Arial" w:cs="Arial"/>
          <w:b w:val="1"/>
          <w:bCs w:val="1"/>
          <w:sz w:val="22"/>
          <w:szCs w:val="22"/>
        </w:rPr>
      </w:pPr>
      <w:r w:rsidRPr="2AAA30AF" w:rsidR="2661F565">
        <w:rPr>
          <w:rFonts w:ascii="Arial" w:hAnsi="Arial" w:eastAsia="Arial" w:cs="Arial"/>
          <w:b w:val="1"/>
          <w:bCs w:val="1"/>
          <w:sz w:val="22"/>
          <w:szCs w:val="22"/>
        </w:rPr>
        <w:t>BMHP5021</w:t>
      </w:r>
    </w:p>
    <w:p w:rsidR="2AAA30AF" w:rsidP="2AAA30AF" w:rsidRDefault="2AAA30AF" w14:paraId="3450A04E" w14:textId="3DC5E3CA">
      <w:pPr>
        <w:spacing w:line="360" w:lineRule="auto"/>
        <w:jc w:val="left"/>
        <w:rPr>
          <w:rFonts w:ascii="Arial" w:hAnsi="Arial" w:eastAsia="Arial" w:cs="Arial"/>
          <w:b w:val="1"/>
          <w:bCs w:val="1"/>
          <w:sz w:val="22"/>
          <w:szCs w:val="22"/>
        </w:rPr>
      </w:pPr>
    </w:p>
    <w:p w:rsidR="2AAA30AF" w:rsidP="2AAA30AF" w:rsidRDefault="2AAA30AF" w14:paraId="2576A71E" w14:textId="0766C53A">
      <w:pPr>
        <w:spacing w:line="360" w:lineRule="auto"/>
        <w:jc w:val="left"/>
        <w:rPr>
          <w:rFonts w:ascii="Arial" w:hAnsi="Arial" w:eastAsia="Arial" w:cs="Arial"/>
          <w:b w:val="1"/>
          <w:bCs w:val="1"/>
          <w:sz w:val="22"/>
          <w:szCs w:val="22"/>
        </w:rPr>
      </w:pPr>
    </w:p>
    <w:p w:rsidR="2661F565" w:rsidP="2AAA30AF" w:rsidRDefault="2661F565" w14:paraId="198CC3CE" w14:textId="1987731D">
      <w:pPr>
        <w:spacing w:line="360" w:lineRule="auto"/>
        <w:jc w:val="left"/>
        <w:rPr>
          <w:rFonts w:ascii="Arial" w:hAnsi="Arial" w:eastAsia="Arial" w:cs="Arial"/>
          <w:b w:val="1"/>
          <w:bCs w:val="1"/>
          <w:sz w:val="22"/>
          <w:szCs w:val="22"/>
        </w:rPr>
      </w:pPr>
      <w:r w:rsidRPr="2AAA30AF" w:rsidR="2661F565">
        <w:rPr>
          <w:rFonts w:ascii="Arial" w:hAnsi="Arial" w:eastAsia="Arial" w:cs="Arial"/>
          <w:b w:val="1"/>
          <w:bCs w:val="1"/>
          <w:sz w:val="22"/>
          <w:szCs w:val="22"/>
        </w:rPr>
        <w:t>Name: Nazema Bibi</w:t>
      </w:r>
    </w:p>
    <w:p w:rsidR="2661F565" w:rsidP="2AAA30AF" w:rsidRDefault="2661F565" w14:paraId="2F60469F" w14:textId="511C30E6">
      <w:pPr>
        <w:spacing w:line="360" w:lineRule="auto"/>
        <w:jc w:val="left"/>
        <w:rPr>
          <w:rFonts w:ascii="Arial" w:hAnsi="Arial" w:eastAsia="Arial" w:cs="Arial"/>
          <w:b w:val="1"/>
          <w:bCs w:val="1"/>
          <w:sz w:val="22"/>
          <w:szCs w:val="22"/>
        </w:rPr>
      </w:pPr>
      <w:r w:rsidRPr="2AAA30AF" w:rsidR="2661F565">
        <w:rPr>
          <w:rFonts w:ascii="Arial" w:hAnsi="Arial" w:eastAsia="Arial" w:cs="Arial"/>
          <w:b w:val="1"/>
          <w:bCs w:val="1"/>
          <w:sz w:val="22"/>
          <w:szCs w:val="22"/>
        </w:rPr>
        <w:t>Student Number: 2333305</w:t>
      </w:r>
    </w:p>
    <w:p w:rsidR="2661F565" w:rsidP="2AAA30AF" w:rsidRDefault="2661F565" w14:paraId="4BC1108E" w14:textId="1A58F5D0">
      <w:pPr>
        <w:spacing w:line="360" w:lineRule="auto"/>
        <w:jc w:val="left"/>
        <w:rPr>
          <w:rFonts w:ascii="Arial" w:hAnsi="Arial" w:eastAsia="Arial" w:cs="Arial"/>
          <w:b w:val="1"/>
          <w:bCs w:val="1"/>
          <w:sz w:val="22"/>
          <w:szCs w:val="22"/>
        </w:rPr>
      </w:pPr>
      <w:r w:rsidRPr="2AAA30AF" w:rsidR="2661F565">
        <w:rPr>
          <w:rFonts w:ascii="Arial" w:hAnsi="Arial" w:eastAsia="Arial" w:cs="Arial"/>
          <w:b w:val="1"/>
          <w:bCs w:val="1"/>
          <w:sz w:val="22"/>
          <w:szCs w:val="22"/>
        </w:rPr>
        <w:t>Lect</w:t>
      </w:r>
      <w:r w:rsidRPr="2AAA30AF" w:rsidR="2661F565">
        <w:rPr>
          <w:rFonts w:ascii="Arial" w:hAnsi="Arial" w:eastAsia="Arial" w:cs="Arial"/>
          <w:b w:val="1"/>
          <w:bCs w:val="1"/>
          <w:sz w:val="22"/>
          <w:szCs w:val="22"/>
        </w:rPr>
        <w:t>urer:</w:t>
      </w:r>
      <w:r w:rsidRPr="2AAA30AF" w:rsidR="2661F565">
        <w:rPr>
          <w:rFonts w:ascii="Arial" w:hAnsi="Arial" w:eastAsia="Arial" w:cs="Arial"/>
          <w:b w:val="1"/>
          <w:bCs w:val="1"/>
          <w:sz w:val="22"/>
          <w:szCs w:val="22"/>
        </w:rPr>
        <w:t xml:space="preserve"> Phi</w:t>
      </w:r>
      <w:r w:rsidRPr="2AAA30AF" w:rsidR="2661F565">
        <w:rPr>
          <w:rFonts w:ascii="Arial" w:hAnsi="Arial" w:eastAsia="Arial" w:cs="Arial"/>
          <w:b w:val="1"/>
          <w:bCs w:val="1"/>
          <w:sz w:val="22"/>
          <w:szCs w:val="22"/>
        </w:rPr>
        <w:t>llip Jones</w:t>
      </w:r>
    </w:p>
    <w:p w:rsidR="2661F565" w:rsidP="2AAA30AF" w:rsidRDefault="2661F565" w14:paraId="4069CA16" w14:textId="25F42BB6">
      <w:pPr>
        <w:pStyle w:val="Normal"/>
        <w:spacing w:line="360" w:lineRule="auto"/>
        <w:jc w:val="left"/>
        <w:rPr>
          <w:rFonts w:ascii="Arial" w:hAnsi="Arial" w:eastAsia="Arial" w:cs="Arial"/>
          <w:b w:val="1"/>
          <w:bCs w:val="1"/>
          <w:sz w:val="22"/>
          <w:szCs w:val="22"/>
        </w:rPr>
      </w:pPr>
      <w:r w:rsidRPr="2AAA30AF" w:rsidR="2661F565">
        <w:rPr>
          <w:rFonts w:ascii="Arial" w:hAnsi="Arial" w:eastAsia="Arial" w:cs="Arial"/>
          <w:b w:val="1"/>
          <w:bCs w:val="1"/>
          <w:sz w:val="22"/>
          <w:szCs w:val="22"/>
        </w:rPr>
        <w:t xml:space="preserve">Assignment Title: </w:t>
      </w:r>
      <w:r w:rsidRPr="2AAA30AF" w:rsidR="2661F565">
        <w:rPr>
          <w:rFonts w:ascii="Arial" w:hAnsi="Arial" w:eastAsia="Arial" w:cs="Arial"/>
          <w:b w:val="1"/>
          <w:bCs w:val="1"/>
          <w:sz w:val="22"/>
          <w:szCs w:val="22"/>
        </w:rPr>
        <w:t>Component</w:t>
      </w:r>
      <w:r w:rsidRPr="2AAA30AF" w:rsidR="2661F565">
        <w:rPr>
          <w:rFonts w:ascii="Arial" w:hAnsi="Arial" w:eastAsia="Arial" w:cs="Arial"/>
          <w:b w:val="1"/>
          <w:bCs w:val="1"/>
          <w:sz w:val="22"/>
          <w:szCs w:val="22"/>
        </w:rPr>
        <w:t xml:space="preserve"> 1: Presentation (</w:t>
      </w:r>
      <w:r w:rsidRPr="2AAA30AF" w:rsidR="17931DE0">
        <w:rPr>
          <w:rFonts w:ascii="Arial" w:hAnsi="Arial" w:eastAsia="Arial" w:cs="Arial"/>
          <w:b w:val="1"/>
          <w:bCs w:val="1"/>
          <w:noProof w:val="0"/>
          <w:sz w:val="22"/>
          <w:szCs w:val="22"/>
          <w:lang w:val="en-US"/>
        </w:rPr>
        <w:t>Round-the-Table</w:t>
      </w:r>
      <w:r w:rsidRPr="2AAA30AF" w:rsidR="17931DE0">
        <w:rPr>
          <w:rFonts w:ascii="Arial" w:hAnsi="Arial" w:eastAsia="Arial" w:cs="Arial"/>
          <w:b w:val="1"/>
          <w:bCs w:val="1"/>
          <w:sz w:val="22"/>
          <w:szCs w:val="22"/>
        </w:rPr>
        <w:t xml:space="preserve"> Group Discussion)</w:t>
      </w:r>
    </w:p>
    <w:p w:rsidR="17931DE0" w:rsidP="2AAA30AF" w:rsidRDefault="17931DE0" w14:paraId="6DAE652F" w14:textId="149818D6">
      <w:pPr>
        <w:pStyle w:val="Normal"/>
        <w:spacing w:line="360" w:lineRule="auto"/>
        <w:jc w:val="left"/>
        <w:rPr>
          <w:rFonts w:ascii="Arial" w:hAnsi="Arial" w:eastAsia="Arial" w:cs="Arial"/>
          <w:b w:val="1"/>
          <w:bCs w:val="1"/>
          <w:sz w:val="22"/>
          <w:szCs w:val="22"/>
        </w:rPr>
      </w:pPr>
      <w:r w:rsidRPr="2AAA30AF" w:rsidR="17931DE0">
        <w:rPr>
          <w:rFonts w:ascii="Arial" w:hAnsi="Arial" w:eastAsia="Arial" w:cs="Arial"/>
          <w:b w:val="1"/>
          <w:bCs w:val="1"/>
          <w:sz w:val="22"/>
          <w:szCs w:val="22"/>
        </w:rPr>
        <w:t>Submission Date: 23/02/2026</w:t>
      </w:r>
    </w:p>
    <w:p w:rsidR="2AAA30AF" w:rsidP="2AAA30AF" w:rsidRDefault="2AAA30AF" w14:paraId="0574E210" w14:textId="43667F88">
      <w:pPr>
        <w:pStyle w:val="Normal"/>
        <w:spacing w:line="360" w:lineRule="auto"/>
        <w:jc w:val="left"/>
        <w:rPr>
          <w:rFonts w:ascii="Arial" w:hAnsi="Arial" w:eastAsia="Arial" w:cs="Arial"/>
          <w:b w:val="1"/>
          <w:bCs w:val="1"/>
          <w:sz w:val="22"/>
          <w:szCs w:val="22"/>
        </w:rPr>
      </w:pPr>
    </w:p>
    <w:p w:rsidR="2AAA30AF" w:rsidP="2AAA30AF" w:rsidRDefault="2AAA30AF" w14:paraId="4D454E01" w14:textId="3E2AF70A">
      <w:pPr>
        <w:pStyle w:val="Normal"/>
        <w:spacing w:line="360" w:lineRule="auto"/>
        <w:jc w:val="left"/>
        <w:rPr>
          <w:rFonts w:ascii="Arial" w:hAnsi="Arial" w:eastAsia="Arial" w:cs="Arial"/>
          <w:b w:val="1"/>
          <w:bCs w:val="1"/>
          <w:sz w:val="22"/>
          <w:szCs w:val="22"/>
        </w:rPr>
      </w:pPr>
    </w:p>
    <w:p w:rsidR="2AAA30AF" w:rsidP="2AAA30AF" w:rsidRDefault="2AAA30AF" w14:paraId="620E7D59" w14:textId="57E70F08">
      <w:pPr>
        <w:pStyle w:val="Normal"/>
        <w:spacing w:line="360" w:lineRule="auto"/>
        <w:jc w:val="left"/>
        <w:rPr>
          <w:rFonts w:ascii="Arial" w:hAnsi="Arial" w:eastAsia="Arial" w:cs="Arial"/>
          <w:b w:val="1"/>
          <w:bCs w:val="1"/>
          <w:sz w:val="22"/>
          <w:szCs w:val="22"/>
        </w:rPr>
      </w:pPr>
    </w:p>
    <w:p w:rsidR="2AAA30AF" w:rsidP="2AAA30AF" w:rsidRDefault="2AAA30AF" w14:paraId="307FEFC8" w14:textId="67A36764">
      <w:pPr>
        <w:pStyle w:val="Normal"/>
        <w:spacing w:line="360" w:lineRule="auto"/>
        <w:jc w:val="left"/>
        <w:rPr>
          <w:rFonts w:ascii="Arial" w:hAnsi="Arial" w:eastAsia="Arial" w:cs="Arial"/>
          <w:b w:val="1"/>
          <w:bCs w:val="1"/>
          <w:sz w:val="22"/>
          <w:szCs w:val="22"/>
        </w:rPr>
      </w:pPr>
    </w:p>
    <w:p w:rsidR="2AAA30AF" w:rsidP="2AAA30AF" w:rsidRDefault="2AAA30AF" w14:paraId="3CD4B819" w14:textId="4918B3D5">
      <w:pPr>
        <w:pStyle w:val="Normal"/>
        <w:spacing w:line="360" w:lineRule="auto"/>
        <w:jc w:val="left"/>
        <w:rPr>
          <w:rFonts w:ascii="Arial" w:hAnsi="Arial" w:eastAsia="Arial" w:cs="Arial"/>
          <w:b w:val="1"/>
          <w:bCs w:val="1"/>
          <w:sz w:val="22"/>
          <w:szCs w:val="22"/>
        </w:rPr>
      </w:pPr>
    </w:p>
    <w:p w:rsidR="2AAA30AF" w:rsidP="2AAA30AF" w:rsidRDefault="2AAA30AF" w14:paraId="6DAE28FD" w14:textId="6F9772CB">
      <w:pPr>
        <w:pStyle w:val="Normal"/>
        <w:spacing w:line="360" w:lineRule="auto"/>
        <w:jc w:val="left"/>
        <w:rPr>
          <w:rFonts w:ascii="Arial" w:hAnsi="Arial" w:eastAsia="Arial" w:cs="Arial"/>
          <w:b w:val="1"/>
          <w:bCs w:val="1"/>
          <w:sz w:val="22"/>
          <w:szCs w:val="22"/>
        </w:rPr>
      </w:pPr>
    </w:p>
    <w:p w:rsidR="2AAA30AF" w:rsidP="2AAA30AF" w:rsidRDefault="2AAA30AF" w14:paraId="3EA42408" w14:textId="35C5AE57">
      <w:pPr>
        <w:pStyle w:val="Normal"/>
        <w:spacing w:line="360" w:lineRule="auto"/>
        <w:jc w:val="left"/>
        <w:rPr>
          <w:rFonts w:ascii="Arial" w:hAnsi="Arial" w:eastAsia="Arial" w:cs="Arial"/>
          <w:b w:val="1"/>
          <w:bCs w:val="1"/>
          <w:sz w:val="22"/>
          <w:szCs w:val="22"/>
        </w:rPr>
      </w:pPr>
    </w:p>
    <w:p w:rsidR="2AAA30AF" w:rsidP="2AAA30AF" w:rsidRDefault="2AAA30AF" w14:paraId="6E102EBC" w14:textId="6D0EB9D3">
      <w:pPr>
        <w:pStyle w:val="Normal"/>
        <w:spacing w:line="360" w:lineRule="auto"/>
        <w:jc w:val="left"/>
        <w:rPr>
          <w:rFonts w:ascii="Arial" w:hAnsi="Arial" w:eastAsia="Arial" w:cs="Arial"/>
          <w:b w:val="1"/>
          <w:bCs w:val="1"/>
          <w:sz w:val="22"/>
          <w:szCs w:val="22"/>
        </w:rPr>
      </w:pPr>
    </w:p>
    <w:p w:rsidR="2AAA30AF" w:rsidP="2AAA30AF" w:rsidRDefault="2AAA30AF" w14:paraId="0D74B4F4" w14:textId="5B9EDE8F">
      <w:pPr>
        <w:pStyle w:val="Normal"/>
        <w:spacing w:line="360" w:lineRule="auto"/>
        <w:jc w:val="left"/>
        <w:rPr>
          <w:rFonts w:ascii="Arial" w:hAnsi="Arial" w:eastAsia="Arial" w:cs="Arial"/>
          <w:b w:val="1"/>
          <w:bCs w:val="1"/>
          <w:sz w:val="22"/>
          <w:szCs w:val="22"/>
        </w:rPr>
      </w:pPr>
    </w:p>
    <w:p w:rsidR="2AAA30AF" w:rsidP="2AAA30AF" w:rsidRDefault="2AAA30AF" w14:paraId="39FE01A1" w14:textId="5C387CA5">
      <w:pPr>
        <w:pStyle w:val="Normal"/>
        <w:spacing w:line="360" w:lineRule="auto"/>
        <w:jc w:val="left"/>
        <w:rPr>
          <w:rFonts w:ascii="Arial" w:hAnsi="Arial" w:eastAsia="Arial" w:cs="Arial"/>
          <w:b w:val="1"/>
          <w:bCs w:val="1"/>
          <w:sz w:val="22"/>
          <w:szCs w:val="22"/>
        </w:rPr>
      </w:pPr>
    </w:p>
    <w:p w:rsidR="2AAA30AF" w:rsidP="2AAA30AF" w:rsidRDefault="2AAA30AF" w14:paraId="0A2DAFC3" w14:textId="495F50E4">
      <w:pPr>
        <w:pStyle w:val="Normal"/>
        <w:spacing w:line="360" w:lineRule="auto"/>
        <w:jc w:val="left"/>
        <w:rPr>
          <w:rFonts w:ascii="Arial" w:hAnsi="Arial" w:eastAsia="Arial" w:cs="Arial"/>
          <w:b w:val="1"/>
          <w:bCs w:val="1"/>
          <w:sz w:val="22"/>
          <w:szCs w:val="22"/>
        </w:rPr>
      </w:pPr>
    </w:p>
    <w:p w:rsidR="2AAA30AF" w:rsidP="2AAA30AF" w:rsidRDefault="2AAA30AF" w14:paraId="37000F40" w14:textId="605A81B6">
      <w:pPr>
        <w:pStyle w:val="Normal"/>
        <w:spacing w:line="360" w:lineRule="auto"/>
        <w:jc w:val="left"/>
        <w:rPr>
          <w:rFonts w:ascii="Arial" w:hAnsi="Arial" w:eastAsia="Arial" w:cs="Arial"/>
          <w:b w:val="1"/>
          <w:bCs w:val="1"/>
          <w:sz w:val="22"/>
          <w:szCs w:val="22"/>
        </w:rPr>
      </w:pPr>
    </w:p>
    <w:p w:rsidR="2AAA30AF" w:rsidP="2AAA30AF" w:rsidRDefault="2AAA30AF" w14:paraId="4002C509" w14:textId="6B508A03">
      <w:pPr>
        <w:pStyle w:val="Normal"/>
        <w:spacing w:line="360" w:lineRule="auto"/>
        <w:jc w:val="left"/>
        <w:rPr>
          <w:rFonts w:ascii="Arial" w:hAnsi="Arial" w:eastAsia="Arial" w:cs="Arial"/>
          <w:b w:val="1"/>
          <w:bCs w:val="1"/>
          <w:sz w:val="22"/>
          <w:szCs w:val="22"/>
        </w:rPr>
      </w:pPr>
    </w:p>
    <w:p w:rsidR="2AAA30AF" w:rsidP="2AAA30AF" w:rsidRDefault="2AAA30AF" w14:paraId="40A3D850" w14:textId="2EF188F0">
      <w:pPr>
        <w:pStyle w:val="Normal"/>
        <w:spacing w:line="360" w:lineRule="auto"/>
        <w:jc w:val="left"/>
        <w:rPr>
          <w:rFonts w:ascii="Arial" w:hAnsi="Arial" w:eastAsia="Arial" w:cs="Arial"/>
          <w:b w:val="1"/>
          <w:bCs w:val="1"/>
          <w:sz w:val="22"/>
          <w:szCs w:val="22"/>
        </w:rPr>
      </w:pPr>
    </w:p>
    <w:p w:rsidR="17931DE0" w:rsidP="2AAA30AF" w:rsidRDefault="17931DE0" w14:paraId="73482F81" w14:textId="3149B741">
      <w:pPr>
        <w:pStyle w:val="Normal"/>
        <w:spacing w:line="360" w:lineRule="auto"/>
        <w:jc w:val="left"/>
        <w:rPr>
          <w:rFonts w:ascii="Arial" w:hAnsi="Arial" w:eastAsia="Arial" w:cs="Arial"/>
          <w:b w:val="1"/>
          <w:bCs w:val="1"/>
          <w:sz w:val="22"/>
          <w:szCs w:val="22"/>
        </w:rPr>
      </w:pPr>
      <w:r w:rsidRPr="5414D84F" w:rsidR="17931DE0">
        <w:rPr>
          <w:rFonts w:ascii="Arial" w:hAnsi="Arial" w:eastAsia="Arial" w:cs="Arial"/>
          <w:b w:val="1"/>
          <w:bCs w:val="1"/>
          <w:noProof w:val="0"/>
          <w:sz w:val="22"/>
          <w:szCs w:val="22"/>
          <w:lang w:val="en-US"/>
        </w:rPr>
        <w:t>Reference</w:t>
      </w:r>
      <w:r w:rsidRPr="5414D84F" w:rsidR="17931DE0">
        <w:rPr>
          <w:rFonts w:ascii="Arial" w:hAnsi="Arial" w:eastAsia="Arial" w:cs="Arial"/>
          <w:b w:val="1"/>
          <w:bCs w:val="1"/>
          <w:sz w:val="22"/>
          <w:szCs w:val="22"/>
        </w:rPr>
        <w:t xml:space="preserve"> List</w:t>
      </w:r>
    </w:p>
    <w:p w:rsidR="2D89FC3B" w:rsidP="5414D84F" w:rsidRDefault="2D89FC3B" w14:paraId="52DEB77C" w14:textId="5433A4C1">
      <w:pPr>
        <w:shd w:val="clear" w:color="auto" w:fill="FFFFFF" w:themeFill="background1"/>
        <w:spacing w:before="0" w:beforeAutospacing="off" w:after="180" w:afterAutospacing="off"/>
        <w:jc w:val="left"/>
      </w:pPr>
      <w:r w:rsidRPr="5414D84F" w:rsidR="2D89FC3B">
        <w:rPr>
          <w:rFonts w:ascii="Times New Roman" w:hAnsi="Times New Roman" w:eastAsia="Times New Roman" w:cs="Times New Roman"/>
          <w:b w:val="0"/>
          <w:bCs w:val="0"/>
          <w:i w:val="0"/>
          <w:iCs w:val="0"/>
          <w:caps w:val="0"/>
          <w:smallCaps w:val="0"/>
          <w:noProof w:val="0"/>
          <w:color w:val="242424"/>
          <w:sz w:val="30"/>
          <w:szCs w:val="30"/>
          <w:lang w:val="en-US"/>
        </w:rPr>
        <w:t xml:space="preserve">Bradford District Safeguarding Children Partnership (2023) Local child safeguarding practice review: Child A. Bradford: Bradford District Safeguarding Children Partnership. Available at: </w:t>
      </w:r>
      <w:hyperlink r:id="R09236fb02dcd44b5">
        <w:r w:rsidRPr="5414D84F" w:rsidR="2D89FC3B">
          <w:rPr>
            <w:rStyle w:val="Hyperlink"/>
            <w:rFonts w:ascii="Times New Roman" w:hAnsi="Times New Roman" w:eastAsia="Times New Roman" w:cs="Times New Roman"/>
            <w:b w:val="0"/>
            <w:bCs w:val="0"/>
            <w:i w:val="0"/>
            <w:iCs w:val="0"/>
            <w:caps w:val="0"/>
            <w:smallCaps w:val="0"/>
            <w:noProof w:val="0"/>
            <w:color w:val="242424"/>
            <w:sz w:val="30"/>
            <w:szCs w:val="30"/>
            <w:lang w:val="en-US"/>
          </w:rPr>
          <w:t>https://saferbradford.co.uk/media/k44hmjpy/child-a-final-report-for-publication.pdf</w:t>
        </w:r>
      </w:hyperlink>
      <w:r w:rsidRPr="5414D84F" w:rsidR="2D89FC3B">
        <w:rPr>
          <w:rFonts w:ascii="Times New Roman" w:hAnsi="Times New Roman" w:eastAsia="Times New Roman" w:cs="Times New Roman"/>
          <w:b w:val="0"/>
          <w:bCs w:val="0"/>
          <w:i w:val="0"/>
          <w:iCs w:val="0"/>
          <w:caps w:val="0"/>
          <w:smallCaps w:val="0"/>
          <w:noProof w:val="0"/>
          <w:color w:val="242424"/>
          <w:sz w:val="30"/>
          <w:szCs w:val="30"/>
          <w:lang w:val="en-US"/>
        </w:rPr>
        <w:t xml:space="preserve"> (Accessed: 11 February 2026).</w:t>
      </w:r>
    </w:p>
    <w:p w:rsidR="5414D84F" w:rsidP="5414D84F" w:rsidRDefault="5414D84F" w14:paraId="0547B95A" w14:textId="7886FC8F">
      <w:pPr>
        <w:shd w:val="clear" w:color="auto" w:fill="FFFFFF" w:themeFill="background1"/>
        <w:spacing w:before="0" w:beforeAutospacing="off" w:after="180" w:afterAutospacing="off"/>
        <w:jc w:val="left"/>
      </w:pPr>
    </w:p>
    <w:p w:rsidR="2D89FC3B" w:rsidP="5414D84F" w:rsidRDefault="2D89FC3B" w14:paraId="7556EE74" w14:textId="450D5F5C">
      <w:pPr>
        <w:shd w:val="clear" w:color="auto" w:fill="FFFFFF" w:themeFill="background1"/>
        <w:spacing w:before="0" w:beforeAutospacing="off" w:after="180" w:afterAutospacing="off"/>
        <w:jc w:val="left"/>
      </w:pPr>
      <w:r w:rsidRPr="5414D84F" w:rsidR="2D89FC3B">
        <w:rPr>
          <w:rFonts w:ascii="Times New Roman" w:hAnsi="Times New Roman" w:eastAsia="Times New Roman" w:cs="Times New Roman"/>
          <w:b w:val="0"/>
          <w:bCs w:val="0"/>
          <w:i w:val="0"/>
          <w:iCs w:val="0"/>
          <w:caps w:val="0"/>
          <w:smallCaps w:val="0"/>
          <w:noProof w:val="0"/>
          <w:color w:val="242424"/>
          <w:sz w:val="30"/>
          <w:szCs w:val="30"/>
          <w:lang w:val="en-US"/>
        </w:rPr>
        <w:t xml:space="preserve">Department for Education (2024) Information sharing: advice for practitioners providing safeguarding services to children, young people, parents and carers. London: Department for Education. Available at: </w:t>
      </w:r>
      <w:hyperlink r:id="R0bd27d28824c4496">
        <w:r w:rsidRPr="5414D84F" w:rsidR="2D89FC3B">
          <w:rPr>
            <w:rStyle w:val="Hyperlink"/>
            <w:rFonts w:ascii="Times New Roman" w:hAnsi="Times New Roman" w:eastAsia="Times New Roman" w:cs="Times New Roman"/>
            <w:b w:val="0"/>
            <w:bCs w:val="0"/>
            <w:i w:val="0"/>
            <w:iCs w:val="0"/>
            <w:caps w:val="0"/>
            <w:smallCaps w:val="0"/>
            <w:noProof w:val="0"/>
            <w:color w:val="242424"/>
            <w:sz w:val="30"/>
            <w:szCs w:val="30"/>
            <w:lang w:val="en-US"/>
          </w:rPr>
          <w:t>https://www.gov.uk/government/publications/safeguarding-practitioners-information-sharing-advice</w:t>
        </w:r>
      </w:hyperlink>
      <w:r w:rsidRPr="5414D84F" w:rsidR="2D89FC3B">
        <w:rPr>
          <w:rFonts w:ascii="Times New Roman" w:hAnsi="Times New Roman" w:eastAsia="Times New Roman" w:cs="Times New Roman"/>
          <w:b w:val="0"/>
          <w:bCs w:val="0"/>
          <w:i w:val="0"/>
          <w:iCs w:val="0"/>
          <w:caps w:val="0"/>
          <w:smallCaps w:val="0"/>
          <w:noProof w:val="0"/>
          <w:color w:val="242424"/>
          <w:sz w:val="30"/>
          <w:szCs w:val="30"/>
          <w:lang w:val="en-US"/>
        </w:rPr>
        <w:t xml:space="preserve"> (Accessed: 11 February 2026).</w:t>
      </w:r>
    </w:p>
    <w:p w:rsidR="5414D84F" w:rsidP="5414D84F" w:rsidRDefault="5414D84F" w14:paraId="7B93EF21" w14:textId="579E1B5A">
      <w:pPr>
        <w:shd w:val="clear" w:color="auto" w:fill="FFFFFF" w:themeFill="background1"/>
        <w:spacing w:before="0" w:beforeAutospacing="off" w:after="180" w:afterAutospacing="off"/>
        <w:jc w:val="left"/>
      </w:pPr>
    </w:p>
    <w:p w:rsidR="2D89FC3B" w:rsidP="5414D84F" w:rsidRDefault="2D89FC3B" w14:paraId="04A46035" w14:textId="589C42A8">
      <w:pPr>
        <w:shd w:val="clear" w:color="auto" w:fill="FFFFFF" w:themeFill="background1"/>
        <w:spacing w:before="0" w:beforeAutospacing="off" w:after="180" w:afterAutospacing="off"/>
        <w:jc w:val="left"/>
      </w:pPr>
      <w:r w:rsidRPr="5414D84F" w:rsidR="2D89FC3B">
        <w:rPr>
          <w:rFonts w:ascii="Times New Roman" w:hAnsi="Times New Roman" w:eastAsia="Times New Roman" w:cs="Times New Roman"/>
          <w:b w:val="0"/>
          <w:bCs w:val="0"/>
          <w:i w:val="0"/>
          <w:iCs w:val="0"/>
          <w:caps w:val="0"/>
          <w:smallCaps w:val="0"/>
          <w:noProof w:val="0"/>
          <w:color w:val="242424"/>
          <w:sz w:val="30"/>
          <w:szCs w:val="30"/>
          <w:lang w:val="en-US"/>
        </w:rPr>
        <w:t xml:space="preserve">Felitti, V.J., Anda, R.F., Nordenberg, D., Williamson, D.F., Spitz, A.M., Edwards, V., Koss, M.P. and Marks, J.S. (1998) ‘Relationship of childhood abuse and household dysfunction to many of the leading causes of death in adults’, American Journal of Preventive Medicine, 14(4), pp. 245–258. Available at: </w:t>
      </w:r>
      <w:hyperlink r:id="R514bb5ad1baf42ce">
        <w:r w:rsidRPr="5414D84F" w:rsidR="2D89FC3B">
          <w:rPr>
            <w:rStyle w:val="Hyperlink"/>
            <w:rFonts w:ascii="Times New Roman" w:hAnsi="Times New Roman" w:eastAsia="Times New Roman" w:cs="Times New Roman"/>
            <w:b w:val="0"/>
            <w:bCs w:val="0"/>
            <w:i w:val="0"/>
            <w:iCs w:val="0"/>
            <w:caps w:val="0"/>
            <w:smallCaps w:val="0"/>
            <w:noProof w:val="0"/>
            <w:color w:val="242424"/>
            <w:sz w:val="30"/>
            <w:szCs w:val="30"/>
            <w:lang w:val="en-US"/>
          </w:rPr>
          <w:t>https://pubmed.ncbi.nlm.nih.gov/9635069/</w:t>
        </w:r>
      </w:hyperlink>
      <w:r w:rsidRPr="5414D84F" w:rsidR="2D89FC3B">
        <w:rPr>
          <w:rFonts w:ascii="Times New Roman" w:hAnsi="Times New Roman" w:eastAsia="Times New Roman" w:cs="Times New Roman"/>
          <w:b w:val="0"/>
          <w:bCs w:val="0"/>
          <w:i w:val="0"/>
          <w:iCs w:val="0"/>
          <w:caps w:val="0"/>
          <w:smallCaps w:val="0"/>
          <w:noProof w:val="0"/>
          <w:color w:val="242424"/>
          <w:sz w:val="30"/>
          <w:szCs w:val="30"/>
          <w:lang w:val="en-US"/>
        </w:rPr>
        <w:t xml:space="preserve"> (Accessed: 11 February 2026).</w:t>
      </w:r>
    </w:p>
    <w:p w:rsidR="5414D84F" w:rsidP="5414D84F" w:rsidRDefault="5414D84F" w14:paraId="5E0E1A2B" w14:textId="1FB79055">
      <w:pPr>
        <w:shd w:val="clear" w:color="auto" w:fill="FFFFFF" w:themeFill="background1"/>
        <w:spacing w:before="0" w:beforeAutospacing="off" w:after="180" w:afterAutospacing="off"/>
        <w:jc w:val="left"/>
      </w:pPr>
    </w:p>
    <w:p w:rsidR="2D89FC3B" w:rsidP="5414D84F" w:rsidRDefault="2D89FC3B" w14:paraId="4D90A9F3" w14:textId="36767E1B">
      <w:pPr>
        <w:shd w:val="clear" w:color="auto" w:fill="FFFFFF" w:themeFill="background1"/>
        <w:spacing w:before="0" w:beforeAutospacing="off" w:after="180" w:afterAutospacing="off"/>
        <w:jc w:val="left"/>
      </w:pPr>
      <w:r w:rsidRPr="5414D84F" w:rsidR="2D89FC3B">
        <w:rPr>
          <w:rFonts w:ascii="Times New Roman" w:hAnsi="Times New Roman" w:eastAsia="Times New Roman" w:cs="Times New Roman"/>
          <w:b w:val="0"/>
          <w:bCs w:val="0"/>
          <w:i w:val="0"/>
          <w:iCs w:val="0"/>
          <w:caps w:val="0"/>
          <w:smallCaps w:val="0"/>
          <w:noProof w:val="0"/>
          <w:color w:val="242424"/>
          <w:sz w:val="30"/>
          <w:szCs w:val="30"/>
          <w:lang w:val="en-US"/>
        </w:rPr>
        <w:t xml:space="preserve">HM Government (2023) Working Together to Safeguard Children. London: HM Government. Available at: </w:t>
      </w:r>
      <w:hyperlink r:id="R77effa8867e94ce0">
        <w:r w:rsidRPr="5414D84F" w:rsidR="2D89FC3B">
          <w:rPr>
            <w:rStyle w:val="Hyperlink"/>
            <w:rFonts w:ascii="Times New Roman" w:hAnsi="Times New Roman" w:eastAsia="Times New Roman" w:cs="Times New Roman"/>
            <w:b w:val="0"/>
            <w:bCs w:val="0"/>
            <w:i w:val="0"/>
            <w:iCs w:val="0"/>
            <w:caps w:val="0"/>
            <w:smallCaps w:val="0"/>
            <w:noProof w:val="0"/>
            <w:color w:val="242424"/>
            <w:sz w:val="30"/>
            <w:szCs w:val="30"/>
            <w:lang w:val="en-US"/>
          </w:rPr>
          <w:t>https://www.gov.uk/government/publications/working-together-to-safeguard-children–2</w:t>
        </w:r>
      </w:hyperlink>
      <w:r w:rsidRPr="5414D84F" w:rsidR="2D89FC3B">
        <w:rPr>
          <w:rFonts w:ascii="Times New Roman" w:hAnsi="Times New Roman" w:eastAsia="Times New Roman" w:cs="Times New Roman"/>
          <w:b w:val="0"/>
          <w:bCs w:val="0"/>
          <w:i w:val="0"/>
          <w:iCs w:val="0"/>
          <w:caps w:val="0"/>
          <w:smallCaps w:val="0"/>
          <w:noProof w:val="0"/>
          <w:color w:val="242424"/>
          <w:sz w:val="30"/>
          <w:szCs w:val="30"/>
          <w:lang w:val="en-US"/>
        </w:rPr>
        <w:t xml:space="preserve"> (Accessed: 11 February 2026).</w:t>
      </w:r>
    </w:p>
    <w:p w:rsidR="5414D84F" w:rsidP="5414D84F" w:rsidRDefault="5414D84F" w14:paraId="776D0221" w14:textId="4FCFD8E2">
      <w:pPr>
        <w:shd w:val="clear" w:color="auto" w:fill="FFFFFF" w:themeFill="background1"/>
        <w:spacing w:before="0" w:beforeAutospacing="off" w:after="180" w:afterAutospacing="off"/>
        <w:jc w:val="left"/>
      </w:pPr>
    </w:p>
    <w:p w:rsidR="2D89FC3B" w:rsidP="5414D84F" w:rsidRDefault="2D89FC3B" w14:paraId="5FE2DFD0" w14:textId="42F99189">
      <w:pPr>
        <w:shd w:val="clear" w:color="auto" w:fill="FFFFFF" w:themeFill="background1"/>
        <w:spacing w:before="0" w:beforeAutospacing="off" w:after="180" w:afterAutospacing="off"/>
        <w:jc w:val="left"/>
      </w:pPr>
      <w:r w:rsidRPr="5414D84F" w:rsidR="2D89FC3B">
        <w:rPr>
          <w:rFonts w:ascii="Times New Roman" w:hAnsi="Times New Roman" w:eastAsia="Times New Roman" w:cs="Times New Roman"/>
          <w:b w:val="0"/>
          <w:bCs w:val="0"/>
          <w:i w:val="0"/>
          <w:iCs w:val="0"/>
          <w:caps w:val="0"/>
          <w:smallCaps w:val="0"/>
          <w:noProof w:val="0"/>
          <w:color w:val="242424"/>
          <w:sz w:val="30"/>
          <w:szCs w:val="30"/>
          <w:lang w:val="en-US"/>
        </w:rPr>
        <w:t xml:space="preserve">Hughes, K., Bellis, M.A., Hardcastle, K.A., Sethi, D., Butchart, A., Mikton, C., Jones, L. and Dunne, M.P. (2017) ‘The effect of multiple adverse childhood experiences on health: a systematic review and meta-analysis’, The Lancet Public Health, 2(8), pp. e356–e366. Available at: </w:t>
      </w:r>
      <w:hyperlink r:id="Rddc0506177884fb5">
        <w:r w:rsidRPr="5414D84F" w:rsidR="2D89FC3B">
          <w:rPr>
            <w:rStyle w:val="Hyperlink"/>
            <w:rFonts w:ascii="Times New Roman" w:hAnsi="Times New Roman" w:eastAsia="Times New Roman" w:cs="Times New Roman"/>
            <w:b w:val="0"/>
            <w:bCs w:val="0"/>
            <w:i w:val="0"/>
            <w:iCs w:val="0"/>
            <w:caps w:val="0"/>
            <w:smallCaps w:val="0"/>
            <w:noProof w:val="0"/>
            <w:color w:val="242424"/>
            <w:sz w:val="30"/>
            <w:szCs w:val="30"/>
            <w:lang w:val="en-US"/>
          </w:rPr>
          <w:t>https://www.sciencedirect.com/science/article/pii/S2468266717301184</w:t>
        </w:r>
      </w:hyperlink>
      <w:r w:rsidRPr="5414D84F" w:rsidR="2D89FC3B">
        <w:rPr>
          <w:rFonts w:ascii="Times New Roman" w:hAnsi="Times New Roman" w:eastAsia="Times New Roman" w:cs="Times New Roman"/>
          <w:b w:val="0"/>
          <w:bCs w:val="0"/>
          <w:i w:val="0"/>
          <w:iCs w:val="0"/>
          <w:caps w:val="0"/>
          <w:smallCaps w:val="0"/>
          <w:noProof w:val="0"/>
          <w:color w:val="242424"/>
          <w:sz w:val="30"/>
          <w:szCs w:val="30"/>
          <w:lang w:val="en-US"/>
        </w:rPr>
        <w:t xml:space="preserve"> (Accessed: 11 February 2026).</w:t>
      </w:r>
    </w:p>
    <w:p w:rsidR="5414D84F" w:rsidP="5414D84F" w:rsidRDefault="5414D84F" w14:paraId="30198055" w14:textId="4FB7F0BA">
      <w:pPr>
        <w:shd w:val="clear" w:color="auto" w:fill="FFFFFF" w:themeFill="background1"/>
        <w:spacing w:before="0" w:beforeAutospacing="off" w:after="180" w:afterAutospacing="off"/>
        <w:jc w:val="left"/>
      </w:pPr>
    </w:p>
    <w:p w:rsidR="2D89FC3B" w:rsidP="5414D84F" w:rsidRDefault="2D89FC3B" w14:paraId="1CD09CE3" w14:textId="410C435E">
      <w:pPr>
        <w:shd w:val="clear" w:color="auto" w:fill="FFFFFF" w:themeFill="background1"/>
        <w:spacing w:before="0" w:beforeAutospacing="off" w:after="180" w:afterAutospacing="off"/>
        <w:jc w:val="left"/>
      </w:pPr>
      <w:r w:rsidRPr="5414D84F" w:rsidR="2D89FC3B">
        <w:rPr>
          <w:rFonts w:ascii="Times New Roman" w:hAnsi="Times New Roman" w:eastAsia="Times New Roman" w:cs="Times New Roman"/>
          <w:b w:val="0"/>
          <w:bCs w:val="0"/>
          <w:i w:val="0"/>
          <w:iCs w:val="0"/>
          <w:caps w:val="0"/>
          <w:smallCaps w:val="0"/>
          <w:noProof w:val="0"/>
          <w:color w:val="242424"/>
          <w:sz w:val="30"/>
          <w:szCs w:val="30"/>
          <w:lang w:val="en-US"/>
        </w:rPr>
        <w:t xml:space="preserve">Legislation.gov.uk (1989) Children Act 1989. Available at: </w:t>
      </w:r>
      <w:hyperlink r:id="Raf5997f844a54ad5">
        <w:r w:rsidRPr="5414D84F" w:rsidR="2D89FC3B">
          <w:rPr>
            <w:rStyle w:val="Hyperlink"/>
            <w:rFonts w:ascii="Times New Roman" w:hAnsi="Times New Roman" w:eastAsia="Times New Roman" w:cs="Times New Roman"/>
            <w:b w:val="0"/>
            <w:bCs w:val="0"/>
            <w:i w:val="0"/>
            <w:iCs w:val="0"/>
            <w:caps w:val="0"/>
            <w:smallCaps w:val="0"/>
            <w:noProof w:val="0"/>
            <w:color w:val="242424"/>
            <w:sz w:val="30"/>
            <w:szCs w:val="30"/>
            <w:lang w:val="en-US"/>
          </w:rPr>
          <w:t>https://www.legislation.gov.uk/ukpga/1989/41/contents</w:t>
        </w:r>
      </w:hyperlink>
      <w:r w:rsidRPr="5414D84F" w:rsidR="2D89FC3B">
        <w:rPr>
          <w:rFonts w:ascii="Times New Roman" w:hAnsi="Times New Roman" w:eastAsia="Times New Roman" w:cs="Times New Roman"/>
          <w:b w:val="0"/>
          <w:bCs w:val="0"/>
          <w:i w:val="0"/>
          <w:iCs w:val="0"/>
          <w:caps w:val="0"/>
          <w:smallCaps w:val="0"/>
          <w:noProof w:val="0"/>
          <w:color w:val="242424"/>
          <w:sz w:val="30"/>
          <w:szCs w:val="30"/>
          <w:lang w:val="en-US"/>
        </w:rPr>
        <w:t xml:space="preserve"> (Accessed: 11 February 2026).</w:t>
      </w:r>
    </w:p>
    <w:p w:rsidR="5414D84F" w:rsidP="5414D84F" w:rsidRDefault="5414D84F" w14:paraId="74D574E1" w14:textId="675B9BA7">
      <w:pPr>
        <w:shd w:val="clear" w:color="auto" w:fill="FFFFFF" w:themeFill="background1"/>
        <w:spacing w:before="0" w:beforeAutospacing="off" w:after="180" w:afterAutospacing="off"/>
        <w:jc w:val="left"/>
      </w:pPr>
    </w:p>
    <w:p w:rsidR="2D89FC3B" w:rsidP="5414D84F" w:rsidRDefault="2D89FC3B" w14:paraId="3A102919" w14:textId="364897B0">
      <w:pPr>
        <w:shd w:val="clear" w:color="auto" w:fill="FFFFFF" w:themeFill="background1"/>
        <w:spacing w:before="0" w:beforeAutospacing="off" w:after="180" w:afterAutospacing="off"/>
        <w:jc w:val="left"/>
      </w:pPr>
      <w:r w:rsidRPr="5414D84F" w:rsidR="2D89FC3B">
        <w:rPr>
          <w:rFonts w:ascii="Times New Roman" w:hAnsi="Times New Roman" w:eastAsia="Times New Roman" w:cs="Times New Roman"/>
          <w:b w:val="0"/>
          <w:bCs w:val="0"/>
          <w:i w:val="0"/>
          <w:iCs w:val="0"/>
          <w:caps w:val="0"/>
          <w:smallCaps w:val="0"/>
          <w:noProof w:val="0"/>
          <w:color w:val="242424"/>
          <w:sz w:val="30"/>
          <w:szCs w:val="30"/>
          <w:lang w:val="en-US"/>
        </w:rPr>
        <w:t xml:space="preserve">Legislation.gov.uk (2004) Children Act 2004. Available at: </w:t>
      </w:r>
      <w:hyperlink r:id="R7693aeb7126c4b82">
        <w:r w:rsidRPr="5414D84F" w:rsidR="2D89FC3B">
          <w:rPr>
            <w:rStyle w:val="Hyperlink"/>
            <w:rFonts w:ascii="Times New Roman" w:hAnsi="Times New Roman" w:eastAsia="Times New Roman" w:cs="Times New Roman"/>
            <w:b w:val="0"/>
            <w:bCs w:val="0"/>
            <w:i w:val="0"/>
            <w:iCs w:val="0"/>
            <w:caps w:val="0"/>
            <w:smallCaps w:val="0"/>
            <w:noProof w:val="0"/>
            <w:color w:val="242424"/>
            <w:sz w:val="30"/>
            <w:szCs w:val="30"/>
            <w:lang w:val="en-US"/>
          </w:rPr>
          <w:t>https://www.legislation.gov.uk/ukpga/2004/31/contents</w:t>
        </w:r>
      </w:hyperlink>
      <w:r w:rsidRPr="5414D84F" w:rsidR="2D89FC3B">
        <w:rPr>
          <w:rFonts w:ascii="Times New Roman" w:hAnsi="Times New Roman" w:eastAsia="Times New Roman" w:cs="Times New Roman"/>
          <w:b w:val="0"/>
          <w:bCs w:val="0"/>
          <w:i w:val="0"/>
          <w:iCs w:val="0"/>
          <w:caps w:val="0"/>
          <w:smallCaps w:val="0"/>
          <w:noProof w:val="0"/>
          <w:color w:val="242424"/>
          <w:sz w:val="30"/>
          <w:szCs w:val="30"/>
          <w:lang w:val="en-US"/>
        </w:rPr>
        <w:t xml:space="preserve"> (Accessed: 11 February 2026).</w:t>
      </w:r>
    </w:p>
    <w:p w:rsidR="5414D84F" w:rsidP="5414D84F" w:rsidRDefault="5414D84F" w14:paraId="68B97968" w14:textId="69AC436C">
      <w:pPr>
        <w:shd w:val="clear" w:color="auto" w:fill="FFFFFF" w:themeFill="background1"/>
        <w:spacing w:before="0" w:beforeAutospacing="off" w:after="180" w:afterAutospacing="off"/>
        <w:jc w:val="left"/>
      </w:pPr>
    </w:p>
    <w:p w:rsidR="2D89FC3B" w:rsidP="5414D84F" w:rsidRDefault="2D89FC3B" w14:paraId="6B997292" w14:textId="6837F1FD">
      <w:pPr>
        <w:shd w:val="clear" w:color="auto" w:fill="FFFFFF" w:themeFill="background1"/>
        <w:spacing w:before="0" w:beforeAutospacing="off" w:after="180" w:afterAutospacing="off"/>
        <w:jc w:val="left"/>
      </w:pPr>
      <w:r w:rsidRPr="5414D84F" w:rsidR="2D89FC3B">
        <w:rPr>
          <w:rFonts w:ascii="Times New Roman" w:hAnsi="Times New Roman" w:eastAsia="Times New Roman" w:cs="Times New Roman"/>
          <w:b w:val="0"/>
          <w:bCs w:val="0"/>
          <w:i w:val="0"/>
          <w:iCs w:val="0"/>
          <w:caps w:val="0"/>
          <w:smallCaps w:val="0"/>
          <w:noProof w:val="0"/>
          <w:color w:val="242424"/>
          <w:sz w:val="30"/>
          <w:szCs w:val="30"/>
          <w:lang w:val="en-US"/>
        </w:rPr>
        <w:t xml:space="preserve">National Institute for Health and Care Excellence (2017) Child abuse and neglect. NICE guideline NG76. Available at: </w:t>
      </w:r>
      <w:hyperlink r:id="R7b025ad8ae9d4ad5">
        <w:r w:rsidRPr="5414D84F" w:rsidR="2D89FC3B">
          <w:rPr>
            <w:rStyle w:val="Hyperlink"/>
            <w:rFonts w:ascii="Times New Roman" w:hAnsi="Times New Roman" w:eastAsia="Times New Roman" w:cs="Times New Roman"/>
            <w:b w:val="0"/>
            <w:bCs w:val="0"/>
            <w:i w:val="0"/>
            <w:iCs w:val="0"/>
            <w:caps w:val="0"/>
            <w:smallCaps w:val="0"/>
            <w:noProof w:val="0"/>
            <w:color w:val="242424"/>
            <w:sz w:val="30"/>
            <w:szCs w:val="30"/>
            <w:lang w:val="en-US"/>
          </w:rPr>
          <w:t>https://www.nice.org.uk/guidance/ng76</w:t>
        </w:r>
      </w:hyperlink>
      <w:r w:rsidRPr="5414D84F" w:rsidR="2D89FC3B">
        <w:rPr>
          <w:rFonts w:ascii="Times New Roman" w:hAnsi="Times New Roman" w:eastAsia="Times New Roman" w:cs="Times New Roman"/>
          <w:b w:val="0"/>
          <w:bCs w:val="0"/>
          <w:i w:val="0"/>
          <w:iCs w:val="0"/>
          <w:caps w:val="0"/>
          <w:smallCaps w:val="0"/>
          <w:noProof w:val="0"/>
          <w:color w:val="242424"/>
          <w:sz w:val="30"/>
          <w:szCs w:val="30"/>
          <w:lang w:val="en-US"/>
        </w:rPr>
        <w:t xml:space="preserve"> (Accessed: 11 February 2026)</w:t>
      </w:r>
    </w:p>
    <w:p w:rsidR="5414D84F" w:rsidP="5414D84F" w:rsidRDefault="5414D84F" w14:paraId="317C134F" w14:textId="28E6F6C3">
      <w:pPr>
        <w:pStyle w:val="Normal"/>
        <w:spacing w:line="360" w:lineRule="auto"/>
        <w:jc w:val="left"/>
        <w:rPr>
          <w:rFonts w:ascii="Arial" w:hAnsi="Arial" w:eastAsia="Arial" w:cs="Arial"/>
          <w:b w:val="1"/>
          <w:bCs w:val="1"/>
          <w:sz w:val="22"/>
          <w:szCs w:val="22"/>
        </w:rPr>
      </w:pPr>
    </w:p>
    <w:p w:rsidR="2AAA30AF" w:rsidP="2AAA30AF" w:rsidRDefault="2AAA30AF" w14:paraId="357D24B5" w14:textId="45461672">
      <w:pPr>
        <w:jc w:val="center"/>
        <w:rPr>
          <w:rFonts w:ascii="Arial" w:hAnsi="Arial" w:eastAsia="Arial" w:cs="Arial"/>
          <w:b w:val="1"/>
          <w:bCs w:val="1"/>
          <w:sz w:val="22"/>
          <w:szCs w:val="22"/>
        </w:rPr>
      </w:pPr>
    </w:p>
    <w:p w:rsidR="2AAA30AF" w:rsidP="2AAA30AF" w:rsidRDefault="2AAA30AF" w14:paraId="084AD041" w14:textId="69563229">
      <w:pPr>
        <w:rPr>
          <w:rFonts w:ascii="Arial" w:hAnsi="Arial" w:eastAsia="Arial" w:cs="Arial"/>
          <w:sz w:val="22"/>
          <w:szCs w:val="22"/>
        </w:rPr>
      </w:pPr>
    </w:p>
    <w:p w:rsidR="2AAA30AF" w:rsidP="2AAA30AF" w:rsidRDefault="2AAA30AF" w14:paraId="5E22E343" w14:textId="20B0A32A">
      <w:pPr>
        <w:rPr>
          <w:rFonts w:ascii="Arial" w:hAnsi="Arial" w:eastAsia="Arial" w:cs="Arial"/>
          <w:sz w:val="22"/>
          <w:szCs w:val="22"/>
        </w:rPr>
      </w:pPr>
    </w:p>
    <w:p w:rsidR="2AAA30AF" w:rsidP="2AAA30AF" w:rsidRDefault="2AAA30AF" w14:paraId="16765226" w14:textId="25FB3E69">
      <w:pPr>
        <w:rPr>
          <w:rFonts w:ascii="Arial" w:hAnsi="Arial" w:eastAsia="Arial" w:cs="Arial"/>
          <w:sz w:val="22"/>
          <w:szCs w:val="22"/>
        </w:rPr>
      </w:pPr>
    </w:p>
    <w:p w:rsidR="2AAA30AF" w:rsidP="2AAA30AF" w:rsidRDefault="2AAA30AF" w14:paraId="4C2CB5CE" w14:textId="55C354DF">
      <w:pPr>
        <w:rPr>
          <w:rFonts w:ascii="Arial" w:hAnsi="Arial" w:eastAsia="Arial" w:cs="Arial"/>
          <w:sz w:val="22"/>
          <w:szCs w:val="22"/>
        </w:rPr>
      </w:pPr>
    </w:p>
    <w:p w:rsidR="2AAA30AF" w:rsidP="2AAA30AF" w:rsidRDefault="2AAA30AF" w14:paraId="220085EE" w14:textId="2293E00F">
      <w:pPr>
        <w:rPr>
          <w:rFonts w:ascii="Arial" w:hAnsi="Arial" w:eastAsia="Arial" w:cs="Arial"/>
          <w:sz w:val="22"/>
          <w:szCs w:val="22"/>
        </w:rPr>
      </w:pPr>
    </w:p>
    <w:p w:rsidR="2AAA30AF" w:rsidP="2AAA30AF" w:rsidRDefault="2AAA30AF" w14:paraId="48469A20" w14:textId="4A29FBD6">
      <w:pPr>
        <w:rPr>
          <w:rFonts w:ascii="Arial" w:hAnsi="Arial" w:eastAsia="Arial" w:cs="Arial"/>
          <w:sz w:val="22"/>
          <w:szCs w:val="22"/>
        </w:rPr>
      </w:pPr>
    </w:p>
    <w:p w:rsidR="2AAA30AF" w:rsidP="2AAA30AF" w:rsidRDefault="2AAA30AF" w14:paraId="0C8DE0D1" w14:textId="160D7731">
      <w:pPr>
        <w:rPr>
          <w:rFonts w:ascii="Arial" w:hAnsi="Arial" w:eastAsia="Arial" w:cs="Arial"/>
          <w:sz w:val="22"/>
          <w:szCs w:val="22"/>
        </w:rPr>
      </w:pPr>
    </w:p>
    <w:sectPr>
      <w:pgSz w:w="12240" w:h="15840" w:orient="portrait"/>
      <w:pgMar w:top="1440" w:right="1440" w:bottom="1440" w:left="1440" w:header="720" w:footer="720" w:gutter="0"/>
      <w:cols w:space="720"/>
      <w:docGrid w:linePitch="360"/>
      <w:headerReference w:type="default" r:id="R34930fee737746d6"/>
      <w:footerReference w:type="default" r:id="R74f7176e37c4414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AAA30AF" w:rsidTr="2AAA30AF" w14:paraId="68E259E2">
      <w:trPr>
        <w:trHeight w:val="300"/>
      </w:trPr>
      <w:tc>
        <w:tcPr>
          <w:tcW w:w="3120" w:type="dxa"/>
          <w:tcMar/>
        </w:tcPr>
        <w:p w:rsidR="2AAA30AF" w:rsidP="2AAA30AF" w:rsidRDefault="2AAA30AF" w14:paraId="716F1E19" w14:textId="7C75D2E7">
          <w:pPr>
            <w:pStyle w:val="Header"/>
            <w:bidi w:val="0"/>
            <w:ind w:left="-115"/>
            <w:jc w:val="left"/>
          </w:pPr>
        </w:p>
      </w:tc>
      <w:tc>
        <w:tcPr>
          <w:tcW w:w="3120" w:type="dxa"/>
          <w:tcMar/>
        </w:tcPr>
        <w:p w:rsidR="2AAA30AF" w:rsidP="2AAA30AF" w:rsidRDefault="2AAA30AF" w14:paraId="45731469" w14:textId="7A0866AA">
          <w:pPr>
            <w:pStyle w:val="Header"/>
            <w:bidi w:val="0"/>
            <w:jc w:val="center"/>
          </w:pPr>
        </w:p>
      </w:tc>
      <w:tc>
        <w:tcPr>
          <w:tcW w:w="3120" w:type="dxa"/>
          <w:tcMar/>
        </w:tcPr>
        <w:p w:rsidR="2AAA30AF" w:rsidP="2AAA30AF" w:rsidRDefault="2AAA30AF" w14:paraId="1C44A836" w14:textId="067275B8">
          <w:pPr>
            <w:pStyle w:val="Header"/>
            <w:bidi w:val="0"/>
            <w:ind w:right="-115"/>
            <w:jc w:val="right"/>
          </w:pPr>
          <w:r>
            <w:fldChar w:fldCharType="begin"/>
          </w:r>
          <w:r>
            <w:instrText xml:space="preserve">PAGE</w:instrText>
          </w:r>
          <w:r>
            <w:fldChar w:fldCharType="separate"/>
          </w:r>
          <w:r>
            <w:fldChar w:fldCharType="end"/>
          </w:r>
        </w:p>
      </w:tc>
    </w:tr>
  </w:tbl>
  <w:p w:rsidR="2AAA30AF" w:rsidP="2AAA30AF" w:rsidRDefault="2AAA30AF" w14:paraId="1D4687BC" w14:textId="4D6CBA0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AAA30AF" w:rsidTr="2AAA30AF" w14:paraId="08BD3B4C">
      <w:trPr>
        <w:trHeight w:val="300"/>
      </w:trPr>
      <w:tc>
        <w:tcPr>
          <w:tcW w:w="3120" w:type="dxa"/>
          <w:tcMar/>
        </w:tcPr>
        <w:p w:rsidR="2AAA30AF" w:rsidP="2AAA30AF" w:rsidRDefault="2AAA30AF" w14:paraId="53C0D1A3" w14:textId="70F05124">
          <w:pPr>
            <w:pStyle w:val="Header"/>
            <w:bidi w:val="0"/>
            <w:ind w:left="-115"/>
            <w:jc w:val="left"/>
          </w:pPr>
        </w:p>
      </w:tc>
      <w:tc>
        <w:tcPr>
          <w:tcW w:w="3120" w:type="dxa"/>
          <w:tcMar/>
        </w:tcPr>
        <w:p w:rsidR="2AAA30AF" w:rsidP="2AAA30AF" w:rsidRDefault="2AAA30AF" w14:paraId="76F6FB9A" w14:textId="16B24867">
          <w:pPr>
            <w:pStyle w:val="Header"/>
            <w:bidi w:val="0"/>
            <w:jc w:val="center"/>
          </w:pPr>
        </w:p>
      </w:tc>
      <w:tc>
        <w:tcPr>
          <w:tcW w:w="3120" w:type="dxa"/>
          <w:tcMar/>
        </w:tcPr>
        <w:p w:rsidR="2AAA30AF" w:rsidP="2AAA30AF" w:rsidRDefault="2AAA30AF" w14:paraId="0C42594D" w14:textId="7B67CE6F">
          <w:pPr>
            <w:pStyle w:val="Header"/>
            <w:bidi w:val="0"/>
            <w:ind w:right="-115"/>
            <w:jc w:val="right"/>
          </w:pPr>
        </w:p>
      </w:tc>
    </w:tr>
  </w:tbl>
  <w:p w:rsidR="2AAA30AF" w:rsidP="2AAA30AF" w:rsidRDefault="2AAA30AF" w14:paraId="16315AD9" w14:textId="26D6EEA1">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62CD27"/>
    <w:rsid w:val="089526D3"/>
    <w:rsid w:val="0973259A"/>
    <w:rsid w:val="122901C0"/>
    <w:rsid w:val="17931DE0"/>
    <w:rsid w:val="1967F4AA"/>
    <w:rsid w:val="1F89AC7C"/>
    <w:rsid w:val="2661F565"/>
    <w:rsid w:val="2AAA30AF"/>
    <w:rsid w:val="2AD1A606"/>
    <w:rsid w:val="2D89FC3B"/>
    <w:rsid w:val="2E682CE0"/>
    <w:rsid w:val="2F738DC2"/>
    <w:rsid w:val="3062CD27"/>
    <w:rsid w:val="44C2D8D3"/>
    <w:rsid w:val="45FF399E"/>
    <w:rsid w:val="537D52FB"/>
    <w:rsid w:val="5414D84F"/>
    <w:rsid w:val="557840B7"/>
    <w:rsid w:val="5E7AD473"/>
    <w:rsid w:val="62185C73"/>
    <w:rsid w:val="67053A34"/>
    <w:rsid w:val="75789E4C"/>
    <w:rsid w:val="777797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6CEAF"/>
  <w15:chartTrackingRefBased/>
  <w15:docId w15:val="{E95B9191-2FD2-482E-8920-3DDD65FD48C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AAA30AF"/>
    <w:rPr>
      <w:color w:val="467886"/>
      <w:u w:val="single"/>
    </w:rPr>
  </w:style>
  <w:style w:type="paragraph" w:styleId="Header">
    <w:uiPriority w:val="99"/>
    <w:name w:val="header"/>
    <w:basedOn w:val="Normal"/>
    <w:unhideWhenUsed/>
    <w:rsid w:val="2AAA30AF"/>
    <w:pPr>
      <w:tabs>
        <w:tab w:val="center" w:leader="none" w:pos="4680"/>
        <w:tab w:val="right" w:leader="none" w:pos="9360"/>
      </w:tabs>
      <w:spacing w:after="0" w:line="240" w:lineRule="auto"/>
    </w:pPr>
  </w:style>
  <w:style w:type="paragraph" w:styleId="Footer">
    <w:uiPriority w:val="99"/>
    <w:name w:val="footer"/>
    <w:basedOn w:val="Normal"/>
    <w:unhideWhenUsed/>
    <w:rsid w:val="2AAA30A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34930fee737746d6" /><Relationship Type="http://schemas.openxmlformats.org/officeDocument/2006/relationships/footer" Target="footer.xml" Id="R74f7176e37c44149" /><Relationship Type="http://schemas.openxmlformats.org/officeDocument/2006/relationships/hyperlink" Target="https://saferbradford.co.uk/media/k44hmjpy/child-a-final-report-for-publication.pdf" TargetMode="External" Id="R09236fb02dcd44b5" /><Relationship Type="http://schemas.openxmlformats.org/officeDocument/2006/relationships/hyperlink" Target="https://www.gov.uk/government/publications/safeguarding-practitioners-information-sharing-advice" TargetMode="External" Id="R0bd27d28824c4496" /><Relationship Type="http://schemas.openxmlformats.org/officeDocument/2006/relationships/hyperlink" Target="https://pubmed.ncbi.nlm.nih.gov/9635069/" TargetMode="External" Id="R514bb5ad1baf42ce" /><Relationship Type="http://schemas.openxmlformats.org/officeDocument/2006/relationships/hyperlink" Target="https://www.gov.uk/government/publications/working-together-to-safeguard-children%E2%80%932" TargetMode="External" Id="R77effa8867e94ce0" /><Relationship Type="http://schemas.openxmlformats.org/officeDocument/2006/relationships/hyperlink" Target="https://www.sciencedirect.com/science/article/pii/S2468266717301184" TargetMode="External" Id="Rddc0506177884fb5" /><Relationship Type="http://schemas.openxmlformats.org/officeDocument/2006/relationships/hyperlink" Target="https://www.legislation.gov.uk/ukpga/1989/41/contents" TargetMode="External" Id="Raf5997f844a54ad5" /><Relationship Type="http://schemas.openxmlformats.org/officeDocument/2006/relationships/hyperlink" Target="https://www.legislation.gov.uk/ukpga/2004/31/contents" TargetMode="External" Id="R7693aeb7126c4b82" /><Relationship Type="http://schemas.openxmlformats.org/officeDocument/2006/relationships/hyperlink" Target="https://www.nice.org.uk/guidance/ng76" TargetMode="External" Id="R7b025ad8ae9d4ad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2026-02-20T15:01:46.1374278Z</dcterms:created>
  <dcterms:modified xsi:type="dcterms:W3CDTF">2026-02-22T00:34:16.5443253Z</dcterms:modified>
  <dc:creator>Nazema Bibi (2333305)</dc:creator>
  <lastModifiedBy>Nazema Bibi (2333305)</lastModifiedBy>
</coreProperties>
</file>